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3EF" w:rsidRDefault="00CE451E" w:rsidP="00CE451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7E496DC-1B21-4350-9FAC-EAC62E27E531" style="width:450.6pt;height:469.2pt">
            <v:imagedata r:id="rId8" o:title=""/>
          </v:shape>
        </w:pict>
      </w:r>
    </w:p>
    <w:bookmarkEnd w:id="0"/>
    <w:p w:rsidR="00E473EF" w:rsidRDefault="00E473EF">
      <w:pPr>
        <w:rPr>
          <w:noProof/>
        </w:rPr>
        <w:sectPr w:rsidR="00E473EF" w:rsidSect="00CE451E">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E473EF" w:rsidRDefault="00CE451E">
      <w:pPr>
        <w:rPr>
          <w:noProof/>
        </w:rPr>
      </w:pPr>
      <w:bookmarkStart w:id="1" w:name="_GoBack"/>
      <w:bookmarkEnd w:id="1"/>
      <w:r>
        <w:rPr>
          <w:noProof/>
        </w:rPr>
        <w:lastRenderedPageBreak/>
        <w:t>Having regard to:</w:t>
      </w:r>
    </w:p>
    <w:p w:rsidR="00E473EF" w:rsidRDefault="00CE451E">
      <w:pPr>
        <w:pStyle w:val="Tiret0"/>
        <w:tabs>
          <w:tab w:val="clear" w:pos="850"/>
          <w:tab w:val="num" w:pos="1004"/>
        </w:tabs>
        <w:rPr>
          <w:noProof/>
        </w:rPr>
      </w:pPr>
      <w:r>
        <w:rPr>
          <w:noProof/>
        </w:rPr>
        <w:t xml:space="preserve">the Treaty on the Functioning of the European Union, and in particular Article 314 thereof, in conjunction with the Treaty </w:t>
      </w:r>
      <w:r>
        <w:rPr>
          <w:noProof/>
        </w:rPr>
        <w:t>establishing the European Atomic Energy Community, and in particular Article 106a thereof,</w:t>
      </w:r>
    </w:p>
    <w:p w:rsidR="00E473EF" w:rsidRDefault="00CE451E">
      <w:pPr>
        <w:pStyle w:val="Tiret0"/>
        <w:tabs>
          <w:tab w:val="clear" w:pos="850"/>
          <w:tab w:val="num" w:pos="927"/>
        </w:tabs>
        <w:rPr>
          <w:rFonts w:cs="Arial"/>
          <w:noProof/>
          <w:szCs w:val="18"/>
        </w:rPr>
      </w:pPr>
      <w:r>
        <w:rPr>
          <w:noProof/>
        </w:rPr>
        <w:t>Regulation (EU, Euratom) 2018/1046 of the European Parliament and of the Council of 18 July 2018 on the financial rules applicable to the general budget of the Union</w:t>
      </w:r>
      <w:r>
        <w:rPr>
          <w:noProof/>
        </w:rPr>
        <w:t xml:space="preserve"> (…)</w:t>
      </w:r>
      <w:r>
        <w:rPr>
          <w:rStyle w:val="FootnoteReference"/>
          <w:noProof/>
        </w:rPr>
        <w:footnoteReference w:id="2"/>
      </w:r>
      <w:r>
        <w:rPr>
          <w:noProof/>
        </w:rPr>
        <w:t>, and in particular Article 42 thereof,</w:t>
      </w:r>
    </w:p>
    <w:p w:rsidR="00E473EF" w:rsidRDefault="00CE451E">
      <w:pPr>
        <w:pStyle w:val="Tiret0"/>
        <w:tabs>
          <w:tab w:val="clear" w:pos="850"/>
          <w:tab w:val="num" w:pos="927"/>
        </w:tabs>
        <w:rPr>
          <w:noProof/>
        </w:rPr>
      </w:pPr>
      <w:r>
        <w:rPr>
          <w:noProof/>
        </w:rPr>
        <w:t>the draft general budget of the European Union for the financial year 2021, as adopted by the Commission on 27 July 2020</w:t>
      </w:r>
      <w:r>
        <w:rPr>
          <w:rStyle w:val="FootnoteReference"/>
          <w:noProof/>
        </w:rPr>
        <w:footnoteReference w:id="3"/>
      </w:r>
      <w:r>
        <w:rPr>
          <w:noProof/>
        </w:rPr>
        <w:t>,</w:t>
      </w:r>
    </w:p>
    <w:p w:rsidR="00E473EF" w:rsidRDefault="00CE451E">
      <w:pPr>
        <w:spacing w:after="600"/>
        <w:jc w:val="both"/>
        <w:rPr>
          <w:noProof/>
        </w:rPr>
      </w:pPr>
      <w:r>
        <w:rPr>
          <w:noProof/>
        </w:rPr>
        <w:t>The European Commission hereby presents to the European Parliament and to the Council Am</w:t>
      </w:r>
      <w:r>
        <w:rPr>
          <w:noProof/>
        </w:rPr>
        <w:t>ending Letter No 1 to the draft general budget of the European Union for the financial year 2021, for the reasons set out in the explanatory memorandum.</w:t>
      </w:r>
    </w:p>
    <w:p w:rsidR="00E473EF" w:rsidRDefault="00CE451E">
      <w:pPr>
        <w:spacing w:after="240"/>
        <w:jc w:val="both"/>
        <w:rPr>
          <w:b/>
          <w:noProof/>
          <w:u w:val="single"/>
          <w:lang w:eastAsia="ko-KR"/>
        </w:rPr>
      </w:pPr>
      <w:r>
        <w:rPr>
          <w:b/>
          <w:noProof/>
          <w:u w:val="single"/>
          <w:lang w:eastAsia="ko-KR"/>
        </w:rPr>
        <w:t>CHANGES TO THE STATEMENT OF REVENUE AND EXPENDITURE BY SECTION</w:t>
      </w:r>
    </w:p>
    <w:p w:rsidR="00E473EF" w:rsidRDefault="00CE451E">
      <w:pPr>
        <w:jc w:val="both"/>
        <w:rPr>
          <w:noProof/>
          <w:lang w:eastAsia="ko-KR"/>
        </w:rPr>
      </w:pPr>
      <w:r>
        <w:rPr>
          <w:noProof/>
        </w:rPr>
        <w:t xml:space="preserve">The changes to the general statement of </w:t>
      </w:r>
      <w:r>
        <w:rPr>
          <w:noProof/>
        </w:rPr>
        <w:t>expenditure and revenue as well to the statements of revenue and expenditure by section are available on EUR-Lex (</w:t>
      </w:r>
      <w:hyperlink r:id="rId15" w:history="1">
        <w:r>
          <w:rPr>
            <w:rStyle w:val="Hyperlink"/>
            <w:noProof/>
            <w:color w:val="auto"/>
          </w:rPr>
          <w:t>https://eur-lex.europa.eu/budget/www/index-en.htm</w:t>
        </w:r>
      </w:hyperlink>
      <w:r>
        <w:rPr>
          <w:noProof/>
        </w:rPr>
        <w:t>). An English version of th</w:t>
      </w:r>
      <w:r>
        <w:rPr>
          <w:noProof/>
        </w:rPr>
        <w:t>e changes to this statement is attached for information as a budgetary annex.</w:t>
      </w:r>
    </w:p>
    <w:p w:rsidR="00E473EF" w:rsidRDefault="00E473EF">
      <w:pPr>
        <w:rPr>
          <w:noProof/>
        </w:rPr>
        <w:sectPr w:rsidR="00E473EF">
          <w:headerReference w:type="even" r:id="rId16"/>
          <w:headerReference w:type="default" r:id="rId17"/>
          <w:footerReference w:type="even" r:id="rId18"/>
          <w:footerReference w:type="default" r:id="rId19"/>
          <w:headerReference w:type="first" r:id="rId20"/>
          <w:footerReference w:type="first" r:id="rId21"/>
          <w:pgSz w:w="11907" w:h="16839"/>
          <w:pgMar w:top="1418" w:right="1418" w:bottom="1418" w:left="1418" w:header="709" w:footer="709" w:gutter="0"/>
          <w:cols w:space="720"/>
          <w:docGrid w:linePitch="360"/>
        </w:sectPr>
      </w:pPr>
    </w:p>
    <w:p w:rsidR="00E473EF" w:rsidRDefault="00CE451E">
      <w:pPr>
        <w:pStyle w:val="TOCHeading"/>
        <w:spacing w:before="0" w:after="0"/>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lastRenderedPageBreak/>
        <w:t>TABLE OF CONTENTS</w:t>
      </w:r>
    </w:p>
    <w:p w:rsidR="00E473EF" w:rsidRDefault="00CE451E">
      <w:pPr>
        <w:pStyle w:val="TOC1"/>
        <w:tabs>
          <w:tab w:val="left" w:pos="709"/>
          <w:tab w:val="right" w:leader="dot" w:pos="9061"/>
        </w:tabs>
        <w:spacing w:before="0" w:after="0"/>
        <w:rPr>
          <w:rFonts w:asciiTheme="minorHAnsi" w:eastAsiaTheme="minorEastAsia" w:hAnsiTheme="minorHAnsi" w:cstheme="minorBidi"/>
          <w:b w:val="0"/>
          <w:bCs w:val="0"/>
          <w:caps w:val="0"/>
          <w:noProof/>
          <w:sz w:val="22"/>
          <w:szCs w:val="22"/>
          <w:lang w:val="cs-CZ" w:eastAsia="cs-CZ"/>
        </w:rPr>
      </w:pPr>
      <w:r>
        <w:rPr>
          <w:rFonts w:ascii="10" w:hAnsi="10"/>
          <w:noProof/>
          <w:sz w:val="18"/>
          <w:szCs w:val="18"/>
        </w:rPr>
        <w:fldChar w:fldCharType="begin"/>
      </w:r>
      <w:r>
        <w:rPr>
          <w:rFonts w:ascii="10" w:hAnsi="10"/>
          <w:noProof/>
          <w:sz w:val="18"/>
          <w:szCs w:val="18"/>
        </w:rPr>
        <w:instrText xml:space="preserve"> TOC \o "1-3" \h \z \u </w:instrText>
      </w:r>
      <w:r>
        <w:rPr>
          <w:rFonts w:ascii="10" w:hAnsi="10"/>
          <w:noProof/>
          <w:sz w:val="18"/>
          <w:szCs w:val="18"/>
        </w:rPr>
        <w:fldChar w:fldCharType="separate"/>
      </w:r>
      <w:hyperlink w:anchor="_Toc56009530" w:history="1">
        <w:r>
          <w:rPr>
            <w:rStyle w:val="Hyperlink"/>
            <w:noProof/>
          </w:rPr>
          <w:t>1.</w:t>
        </w:r>
        <w:r>
          <w:rPr>
            <w:rFonts w:asciiTheme="minorHAnsi" w:eastAsiaTheme="minorEastAsia" w:hAnsiTheme="minorHAnsi" w:cstheme="minorBidi"/>
            <w:b w:val="0"/>
            <w:bCs w:val="0"/>
            <w:caps w:val="0"/>
            <w:noProof/>
            <w:sz w:val="22"/>
            <w:szCs w:val="22"/>
            <w:lang w:val="cs-CZ" w:eastAsia="cs-CZ"/>
          </w:rPr>
          <w:tab/>
        </w:r>
        <w:r>
          <w:rPr>
            <w:rStyle w:val="Hyperlink"/>
            <w:noProof/>
          </w:rPr>
          <w:t>Introduction</w:t>
        </w:r>
        <w:r>
          <w:rPr>
            <w:noProof/>
            <w:webHidden/>
          </w:rPr>
          <w:tab/>
        </w:r>
        <w:r>
          <w:rPr>
            <w:noProof/>
            <w:webHidden/>
          </w:rPr>
          <w:fldChar w:fldCharType="begin"/>
        </w:r>
        <w:r>
          <w:rPr>
            <w:noProof/>
            <w:webHidden/>
          </w:rPr>
          <w:instrText xml:space="preserve"> PAGEREF _Toc56009530 \h </w:instrText>
        </w:r>
        <w:r>
          <w:rPr>
            <w:noProof/>
            <w:webHidden/>
          </w:rPr>
        </w:r>
        <w:r>
          <w:rPr>
            <w:noProof/>
            <w:webHidden/>
          </w:rPr>
          <w:fldChar w:fldCharType="separate"/>
        </w:r>
        <w:r>
          <w:rPr>
            <w:noProof/>
            <w:webHidden/>
          </w:rPr>
          <w:t>3</w:t>
        </w:r>
        <w:r>
          <w:rPr>
            <w:noProof/>
            <w:webHidden/>
          </w:rPr>
          <w:fldChar w:fldCharType="end"/>
        </w:r>
      </w:hyperlink>
    </w:p>
    <w:p w:rsidR="00E473EF" w:rsidRDefault="00CE451E">
      <w:pPr>
        <w:pStyle w:val="TOC1"/>
        <w:tabs>
          <w:tab w:val="left" w:pos="709"/>
          <w:tab w:val="right" w:leader="dot" w:pos="9061"/>
        </w:tabs>
        <w:spacing w:before="0" w:after="0"/>
        <w:rPr>
          <w:rFonts w:asciiTheme="minorHAnsi" w:eastAsiaTheme="minorEastAsia" w:hAnsiTheme="minorHAnsi" w:cstheme="minorBidi"/>
          <w:b w:val="0"/>
          <w:bCs w:val="0"/>
          <w:caps w:val="0"/>
          <w:noProof/>
          <w:sz w:val="22"/>
          <w:szCs w:val="22"/>
          <w:lang w:val="cs-CZ" w:eastAsia="cs-CZ"/>
        </w:rPr>
      </w:pPr>
      <w:hyperlink w:anchor="_Toc56009531" w:history="1">
        <w:r>
          <w:rPr>
            <w:rStyle w:val="Hyperlink"/>
            <w:noProof/>
          </w:rPr>
          <w:t>2.</w:t>
        </w:r>
        <w:r>
          <w:rPr>
            <w:rFonts w:asciiTheme="minorHAnsi" w:eastAsiaTheme="minorEastAsia" w:hAnsiTheme="minorHAnsi" w:cstheme="minorBidi"/>
            <w:b w:val="0"/>
            <w:bCs w:val="0"/>
            <w:caps w:val="0"/>
            <w:noProof/>
            <w:sz w:val="22"/>
            <w:szCs w:val="22"/>
            <w:lang w:val="cs-CZ" w:eastAsia="cs-CZ"/>
          </w:rPr>
          <w:tab/>
        </w:r>
        <w:r>
          <w:rPr>
            <w:rStyle w:val="Hyperlink"/>
            <w:noProof/>
          </w:rPr>
          <w:t>Impact of the agreement on the next MFF on the draft budget 2021</w:t>
        </w:r>
        <w:r>
          <w:rPr>
            <w:noProof/>
            <w:webHidden/>
          </w:rPr>
          <w:tab/>
        </w:r>
        <w:r>
          <w:rPr>
            <w:noProof/>
            <w:webHidden/>
          </w:rPr>
          <w:fldChar w:fldCharType="begin"/>
        </w:r>
        <w:r>
          <w:rPr>
            <w:noProof/>
            <w:webHidden/>
          </w:rPr>
          <w:instrText xml:space="preserve"> PAGEREF _Toc56009531 \h </w:instrText>
        </w:r>
        <w:r>
          <w:rPr>
            <w:noProof/>
            <w:webHidden/>
          </w:rPr>
        </w:r>
        <w:r>
          <w:rPr>
            <w:noProof/>
            <w:webHidden/>
          </w:rPr>
          <w:fldChar w:fldCharType="separate"/>
        </w:r>
        <w:r>
          <w:rPr>
            <w:noProof/>
            <w:webHidden/>
          </w:rPr>
          <w:t>4</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32" w:history="1">
        <w:r>
          <w:rPr>
            <w:rStyle w:val="Hyperlink"/>
            <w:rFonts w:eastAsia="Calibri"/>
            <w:b/>
            <w:noProof/>
            <w:lang w:eastAsia="en-US"/>
          </w:rPr>
          <w:t xml:space="preserve">2.1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Adjustments resulting from the EUCO agreement of July 2020</w:t>
        </w:r>
        <w:r>
          <w:rPr>
            <w:noProof/>
            <w:webHidden/>
          </w:rPr>
          <w:tab/>
        </w:r>
        <w:r>
          <w:rPr>
            <w:noProof/>
            <w:webHidden/>
          </w:rPr>
          <w:fldChar w:fldCharType="begin"/>
        </w:r>
        <w:r>
          <w:rPr>
            <w:noProof/>
            <w:webHidden/>
          </w:rPr>
          <w:instrText xml:space="preserve"> PAGEREF _Toc56009532 \h </w:instrText>
        </w:r>
        <w:r>
          <w:rPr>
            <w:noProof/>
            <w:webHidden/>
          </w:rPr>
        </w:r>
        <w:r>
          <w:rPr>
            <w:noProof/>
            <w:webHidden/>
          </w:rPr>
          <w:fldChar w:fldCharType="separate"/>
        </w:r>
        <w:r>
          <w:rPr>
            <w:noProof/>
            <w:webHidden/>
          </w:rPr>
          <w:t>4</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33" w:history="1">
        <w:r>
          <w:rPr>
            <w:rStyle w:val="Hyperlink"/>
            <w:rFonts w:eastAsia="Calibri"/>
            <w:i/>
            <w:noProof/>
            <w:lang w:eastAsia="de-DE"/>
          </w:rPr>
          <w:t xml:space="preserve">2.1.1 </w:t>
        </w:r>
        <w:r>
          <w:rPr>
            <w:rFonts w:asciiTheme="minorHAnsi" w:eastAsiaTheme="minorEastAsia" w:hAnsiTheme="minorHAnsi" w:cstheme="minorBidi"/>
            <w:smallCaps w:val="0"/>
            <w:noProof/>
            <w:sz w:val="22"/>
            <w:szCs w:val="22"/>
            <w:lang w:val="cs-CZ" w:eastAsia="cs-CZ"/>
          </w:rPr>
          <w:tab/>
        </w:r>
        <w:r>
          <w:rPr>
            <w:rStyle w:val="Hyperlink"/>
            <w:rFonts w:eastAsia="Calibri"/>
            <w:i/>
            <w:noProof/>
            <w:lang w:eastAsia="de-DE"/>
          </w:rPr>
          <w:t>Envelopes</w:t>
        </w:r>
        <w:r>
          <w:rPr>
            <w:rStyle w:val="Hyperlink"/>
            <w:rFonts w:eastAsia="Calibri"/>
            <w:i/>
            <w:noProof/>
          </w:rPr>
          <w:t xml:space="preserve"> of spending programmes</w:t>
        </w:r>
        <w:r>
          <w:rPr>
            <w:noProof/>
            <w:webHidden/>
          </w:rPr>
          <w:tab/>
        </w:r>
        <w:r>
          <w:rPr>
            <w:noProof/>
            <w:webHidden/>
          </w:rPr>
          <w:fldChar w:fldCharType="begin"/>
        </w:r>
        <w:r>
          <w:rPr>
            <w:noProof/>
            <w:webHidden/>
          </w:rPr>
          <w:instrText xml:space="preserve"> PAGEREF _Toc56009533 \h </w:instrText>
        </w:r>
        <w:r>
          <w:rPr>
            <w:noProof/>
            <w:webHidden/>
          </w:rPr>
        </w:r>
        <w:r>
          <w:rPr>
            <w:noProof/>
            <w:webHidden/>
          </w:rPr>
          <w:fldChar w:fldCharType="separate"/>
        </w:r>
        <w:r>
          <w:rPr>
            <w:noProof/>
            <w:webHidden/>
          </w:rPr>
          <w:t>4</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34" w:history="1">
        <w:r>
          <w:rPr>
            <w:rStyle w:val="Hyperlink"/>
            <w:rFonts w:eastAsia="Calibri"/>
            <w:i/>
            <w:noProof/>
          </w:rPr>
          <w:t>2.</w:t>
        </w:r>
        <w:r>
          <w:rPr>
            <w:rStyle w:val="Hyperlink"/>
            <w:rFonts w:eastAsia="Calibri"/>
            <w:i/>
            <w:noProof/>
            <w:lang w:eastAsia="de-DE"/>
          </w:rPr>
          <w:t xml:space="preserve">1.1 </w:t>
        </w:r>
        <w:r>
          <w:rPr>
            <w:rFonts w:asciiTheme="minorHAnsi" w:eastAsiaTheme="minorEastAsia" w:hAnsiTheme="minorHAnsi" w:cstheme="minorBidi"/>
            <w:smallCaps w:val="0"/>
            <w:noProof/>
            <w:sz w:val="22"/>
            <w:szCs w:val="22"/>
            <w:lang w:val="cs-CZ" w:eastAsia="cs-CZ"/>
          </w:rPr>
          <w:tab/>
        </w:r>
        <w:r>
          <w:rPr>
            <w:rStyle w:val="Hyperlink"/>
            <w:rFonts w:eastAsia="Calibri"/>
            <w:i/>
            <w:noProof/>
            <w:lang w:eastAsia="de-DE"/>
          </w:rPr>
          <w:t>Envelopes</w:t>
        </w:r>
        <w:r>
          <w:rPr>
            <w:rStyle w:val="Hyperlink"/>
            <w:rFonts w:eastAsia="Calibri"/>
            <w:i/>
            <w:noProof/>
          </w:rPr>
          <w:t xml:space="preserve"> of thematic special instruments</w:t>
        </w:r>
        <w:r>
          <w:rPr>
            <w:noProof/>
            <w:webHidden/>
          </w:rPr>
          <w:tab/>
        </w:r>
        <w:r>
          <w:rPr>
            <w:noProof/>
            <w:webHidden/>
          </w:rPr>
          <w:fldChar w:fldCharType="begin"/>
        </w:r>
        <w:r>
          <w:rPr>
            <w:noProof/>
            <w:webHidden/>
          </w:rPr>
          <w:instrText xml:space="preserve"> PAGEREF _Toc56009534 \h </w:instrText>
        </w:r>
        <w:r>
          <w:rPr>
            <w:noProof/>
            <w:webHidden/>
          </w:rPr>
        </w:r>
        <w:r>
          <w:rPr>
            <w:noProof/>
            <w:webHidden/>
          </w:rPr>
          <w:fldChar w:fldCharType="separate"/>
        </w:r>
        <w:r>
          <w:rPr>
            <w:noProof/>
            <w:webHidden/>
          </w:rPr>
          <w:t>6</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35" w:history="1">
        <w:r>
          <w:rPr>
            <w:rStyle w:val="Hyperlink"/>
            <w:rFonts w:eastAsia="Calibri"/>
            <w:b/>
            <w:noProof/>
            <w:lang w:eastAsia="en-US"/>
          </w:rPr>
          <w:t xml:space="preserve">2.2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Adjustments resulting from the political agreement of 10 November 2020</w:t>
        </w:r>
        <w:r>
          <w:rPr>
            <w:noProof/>
            <w:webHidden/>
          </w:rPr>
          <w:tab/>
        </w:r>
        <w:r>
          <w:rPr>
            <w:noProof/>
            <w:webHidden/>
          </w:rPr>
          <w:fldChar w:fldCharType="begin"/>
        </w:r>
        <w:r>
          <w:rPr>
            <w:noProof/>
            <w:webHidden/>
          </w:rPr>
          <w:instrText xml:space="preserve"> PAGEREF _Toc56009535 \h </w:instrText>
        </w:r>
        <w:r>
          <w:rPr>
            <w:noProof/>
            <w:webHidden/>
          </w:rPr>
        </w:r>
        <w:r>
          <w:rPr>
            <w:noProof/>
            <w:webHidden/>
          </w:rPr>
          <w:fldChar w:fldCharType="separate"/>
        </w:r>
        <w:r>
          <w:rPr>
            <w:noProof/>
            <w:webHidden/>
          </w:rPr>
          <w:t>6</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36" w:history="1">
        <w:r>
          <w:rPr>
            <w:rStyle w:val="Hyperlink"/>
            <w:rFonts w:eastAsia="Calibri"/>
            <w:b/>
            <w:noProof/>
            <w:lang w:eastAsia="en-US"/>
          </w:rPr>
          <w:t xml:space="preserve">2.3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Updated needs for payments appropriations</w:t>
        </w:r>
        <w:r>
          <w:rPr>
            <w:noProof/>
            <w:webHidden/>
          </w:rPr>
          <w:tab/>
        </w:r>
        <w:r>
          <w:rPr>
            <w:noProof/>
            <w:webHidden/>
          </w:rPr>
          <w:fldChar w:fldCharType="begin"/>
        </w:r>
        <w:r>
          <w:rPr>
            <w:noProof/>
            <w:webHidden/>
          </w:rPr>
          <w:instrText xml:space="preserve"> PAGEREF _Toc56009536 \h </w:instrText>
        </w:r>
        <w:r>
          <w:rPr>
            <w:noProof/>
            <w:webHidden/>
          </w:rPr>
        </w:r>
        <w:r>
          <w:rPr>
            <w:noProof/>
            <w:webHidden/>
          </w:rPr>
          <w:fldChar w:fldCharType="separate"/>
        </w:r>
        <w:r>
          <w:rPr>
            <w:noProof/>
            <w:webHidden/>
          </w:rPr>
          <w:t>7</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37" w:history="1">
        <w:r>
          <w:rPr>
            <w:rStyle w:val="Hyperlink"/>
            <w:rFonts w:eastAsia="Calibri"/>
            <w:i/>
            <w:noProof/>
            <w:lang w:eastAsia="de-DE"/>
          </w:rPr>
          <w:t>2.3.1</w:t>
        </w:r>
        <w:r>
          <w:rPr>
            <w:rFonts w:asciiTheme="minorHAnsi" w:eastAsiaTheme="minorEastAsia" w:hAnsiTheme="minorHAnsi" w:cstheme="minorBidi"/>
            <w:smallCaps w:val="0"/>
            <w:noProof/>
            <w:sz w:val="22"/>
            <w:szCs w:val="22"/>
            <w:lang w:val="cs-CZ" w:eastAsia="cs-CZ"/>
          </w:rPr>
          <w:tab/>
        </w:r>
        <w:r>
          <w:rPr>
            <w:rStyle w:val="Hyperlink"/>
            <w:i/>
            <w:noProof/>
          </w:rPr>
          <w:t>Non-adoption</w:t>
        </w:r>
        <w:r>
          <w:rPr>
            <w:rStyle w:val="Hyperlink"/>
            <w:i/>
            <w:noProof/>
            <w:lang w:val="en-US"/>
          </w:rPr>
          <w:t xml:space="preserve"> of the “bridging solution” in 2020</w:t>
        </w:r>
        <w:r>
          <w:rPr>
            <w:noProof/>
            <w:webHidden/>
          </w:rPr>
          <w:tab/>
        </w:r>
        <w:r>
          <w:rPr>
            <w:noProof/>
            <w:webHidden/>
          </w:rPr>
          <w:fldChar w:fldCharType="begin"/>
        </w:r>
        <w:r>
          <w:rPr>
            <w:noProof/>
            <w:webHidden/>
          </w:rPr>
          <w:instrText xml:space="preserve"> PAGEREF _Toc56009537 \h </w:instrText>
        </w:r>
        <w:r>
          <w:rPr>
            <w:noProof/>
            <w:webHidden/>
          </w:rPr>
        </w:r>
        <w:r>
          <w:rPr>
            <w:noProof/>
            <w:webHidden/>
          </w:rPr>
          <w:fldChar w:fldCharType="separate"/>
        </w:r>
        <w:r>
          <w:rPr>
            <w:noProof/>
            <w:webHidden/>
          </w:rPr>
          <w:t>7</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38" w:history="1">
        <w:r>
          <w:rPr>
            <w:rStyle w:val="Hyperlink"/>
            <w:rFonts w:eastAsia="Calibri"/>
            <w:i/>
            <w:noProof/>
            <w:lang w:eastAsia="de-DE"/>
          </w:rPr>
          <w:t>2.3.2</w:t>
        </w:r>
        <w:r>
          <w:rPr>
            <w:rFonts w:asciiTheme="minorHAnsi" w:eastAsiaTheme="minorEastAsia" w:hAnsiTheme="minorHAnsi" w:cstheme="minorBidi"/>
            <w:smallCaps w:val="0"/>
            <w:noProof/>
            <w:sz w:val="22"/>
            <w:szCs w:val="22"/>
            <w:lang w:val="cs-CZ" w:eastAsia="cs-CZ"/>
          </w:rPr>
          <w:tab/>
        </w:r>
        <w:r>
          <w:rPr>
            <w:rStyle w:val="Hyperlink"/>
            <w:rFonts w:eastAsia="Calibri"/>
            <w:i/>
            <w:noProof/>
            <w:lang w:eastAsia="de-DE"/>
          </w:rPr>
          <w:t>Impact linked to Amending Budget No 6/2020 (vaccines strategy)</w:t>
        </w:r>
        <w:r>
          <w:rPr>
            <w:noProof/>
            <w:webHidden/>
          </w:rPr>
          <w:tab/>
        </w:r>
        <w:r>
          <w:rPr>
            <w:noProof/>
            <w:webHidden/>
          </w:rPr>
          <w:fldChar w:fldCharType="begin"/>
        </w:r>
        <w:r>
          <w:rPr>
            <w:noProof/>
            <w:webHidden/>
          </w:rPr>
          <w:instrText xml:space="preserve"> PAGEREF _Toc56009538 \h </w:instrText>
        </w:r>
        <w:r>
          <w:rPr>
            <w:noProof/>
            <w:webHidden/>
          </w:rPr>
        </w:r>
        <w:r>
          <w:rPr>
            <w:noProof/>
            <w:webHidden/>
          </w:rPr>
          <w:fldChar w:fldCharType="separate"/>
        </w:r>
        <w:r>
          <w:rPr>
            <w:noProof/>
            <w:webHidden/>
          </w:rPr>
          <w:t>8</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39" w:history="1">
        <w:r>
          <w:rPr>
            <w:rStyle w:val="Hyperlink"/>
            <w:rFonts w:eastAsia="Calibri"/>
            <w:i/>
            <w:noProof/>
            <w:lang w:eastAsia="de-DE"/>
          </w:rPr>
          <w:t>2.3.3</w:t>
        </w:r>
        <w:r>
          <w:rPr>
            <w:rFonts w:asciiTheme="minorHAnsi" w:eastAsiaTheme="minorEastAsia" w:hAnsiTheme="minorHAnsi" w:cstheme="minorBidi"/>
            <w:smallCaps w:val="0"/>
            <w:noProof/>
            <w:sz w:val="22"/>
            <w:szCs w:val="22"/>
            <w:lang w:val="cs-CZ" w:eastAsia="cs-CZ"/>
          </w:rPr>
          <w:tab/>
        </w:r>
        <w:r>
          <w:rPr>
            <w:rStyle w:val="Hyperlink"/>
            <w:rFonts w:eastAsia="Calibri"/>
            <w:i/>
            <w:noProof/>
            <w:lang w:eastAsia="de-DE"/>
          </w:rPr>
          <w:t>Changes to the pre-financing rates f</w:t>
        </w:r>
        <w:r>
          <w:rPr>
            <w:rStyle w:val="Hyperlink"/>
            <w:rFonts w:eastAsia="Calibri"/>
            <w:i/>
            <w:noProof/>
            <w:lang w:eastAsia="de-DE"/>
          </w:rPr>
          <w:t>or the European Structural Investment (ESI) funds 2014-2020</w:t>
        </w:r>
        <w:r>
          <w:rPr>
            <w:noProof/>
            <w:webHidden/>
          </w:rPr>
          <w:tab/>
        </w:r>
        <w:r>
          <w:rPr>
            <w:noProof/>
            <w:webHidden/>
          </w:rPr>
          <w:fldChar w:fldCharType="begin"/>
        </w:r>
        <w:r>
          <w:rPr>
            <w:noProof/>
            <w:webHidden/>
          </w:rPr>
          <w:instrText xml:space="preserve"> PAGEREF _Toc56009539 \h </w:instrText>
        </w:r>
        <w:r>
          <w:rPr>
            <w:noProof/>
            <w:webHidden/>
          </w:rPr>
        </w:r>
        <w:r>
          <w:rPr>
            <w:noProof/>
            <w:webHidden/>
          </w:rPr>
          <w:fldChar w:fldCharType="separate"/>
        </w:r>
        <w:r>
          <w:rPr>
            <w:noProof/>
            <w:webHidden/>
          </w:rPr>
          <w:t>8</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40" w:history="1">
        <w:r>
          <w:rPr>
            <w:rStyle w:val="Hyperlink"/>
            <w:rFonts w:eastAsia="Calibri"/>
            <w:i/>
            <w:noProof/>
            <w:lang w:eastAsia="de-DE"/>
          </w:rPr>
          <w:t>2.3.4</w:t>
        </w:r>
        <w:r>
          <w:rPr>
            <w:rFonts w:asciiTheme="minorHAnsi" w:eastAsiaTheme="minorEastAsia" w:hAnsiTheme="minorHAnsi" w:cstheme="minorBidi"/>
            <w:smallCaps w:val="0"/>
            <w:noProof/>
            <w:sz w:val="22"/>
            <w:szCs w:val="22"/>
            <w:lang w:val="cs-CZ" w:eastAsia="cs-CZ"/>
          </w:rPr>
          <w:tab/>
        </w:r>
        <w:r>
          <w:rPr>
            <w:rStyle w:val="Hyperlink"/>
            <w:rFonts w:eastAsia="Calibri"/>
            <w:i/>
            <w:noProof/>
            <w:lang w:eastAsia="de-DE"/>
          </w:rPr>
          <w:t>Other reassessment of payments</w:t>
        </w:r>
        <w:r>
          <w:rPr>
            <w:noProof/>
            <w:webHidden/>
          </w:rPr>
          <w:tab/>
        </w:r>
        <w:r>
          <w:rPr>
            <w:noProof/>
            <w:webHidden/>
          </w:rPr>
          <w:fldChar w:fldCharType="begin"/>
        </w:r>
        <w:r>
          <w:rPr>
            <w:noProof/>
            <w:webHidden/>
          </w:rPr>
          <w:instrText xml:space="preserve"> PAGEREF _Toc56009540 \h </w:instrText>
        </w:r>
        <w:r>
          <w:rPr>
            <w:noProof/>
            <w:webHidden/>
          </w:rPr>
        </w:r>
        <w:r>
          <w:rPr>
            <w:noProof/>
            <w:webHidden/>
          </w:rPr>
          <w:fldChar w:fldCharType="separate"/>
        </w:r>
        <w:r>
          <w:rPr>
            <w:noProof/>
            <w:webHidden/>
          </w:rPr>
          <w:t>8</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41" w:history="1">
        <w:r>
          <w:rPr>
            <w:rStyle w:val="Hyperlink"/>
            <w:rFonts w:eastAsia="Calibri"/>
            <w:b/>
            <w:noProof/>
            <w:lang w:eastAsia="en-US"/>
          </w:rPr>
          <w:t xml:space="preserve">2.4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Adjusted scope of MFF headings and impact on the nomenclature structure</w:t>
        </w:r>
        <w:r>
          <w:rPr>
            <w:noProof/>
            <w:webHidden/>
          </w:rPr>
          <w:tab/>
        </w:r>
        <w:r>
          <w:rPr>
            <w:noProof/>
            <w:webHidden/>
          </w:rPr>
          <w:fldChar w:fldCharType="begin"/>
        </w:r>
        <w:r>
          <w:rPr>
            <w:noProof/>
            <w:webHidden/>
          </w:rPr>
          <w:instrText xml:space="preserve"> PAGEREF _Toc56009541 \h </w:instrText>
        </w:r>
        <w:r>
          <w:rPr>
            <w:noProof/>
            <w:webHidden/>
          </w:rPr>
        </w:r>
        <w:r>
          <w:rPr>
            <w:noProof/>
            <w:webHidden/>
          </w:rPr>
          <w:fldChar w:fldCharType="separate"/>
        </w:r>
        <w:r>
          <w:rPr>
            <w:noProof/>
            <w:webHidden/>
          </w:rPr>
          <w:t>10</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42" w:history="1">
        <w:r>
          <w:rPr>
            <w:rStyle w:val="Hyperlink"/>
            <w:rFonts w:eastAsia="Calibri"/>
            <w:b/>
            <w:noProof/>
            <w:lang w:eastAsia="en-US"/>
          </w:rPr>
          <w:t xml:space="preserve">2.5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Revised distribution of “Next Generation EU” between grants and loans</w:t>
        </w:r>
        <w:r>
          <w:rPr>
            <w:noProof/>
            <w:webHidden/>
          </w:rPr>
          <w:tab/>
        </w:r>
        <w:r>
          <w:rPr>
            <w:noProof/>
            <w:webHidden/>
          </w:rPr>
          <w:fldChar w:fldCharType="begin"/>
        </w:r>
        <w:r>
          <w:rPr>
            <w:noProof/>
            <w:webHidden/>
          </w:rPr>
          <w:instrText xml:space="preserve"> PAGEREF _Toc56009542 \h </w:instrText>
        </w:r>
        <w:r>
          <w:rPr>
            <w:noProof/>
            <w:webHidden/>
          </w:rPr>
        </w:r>
        <w:r>
          <w:rPr>
            <w:noProof/>
            <w:webHidden/>
          </w:rPr>
          <w:fldChar w:fldCharType="separate"/>
        </w:r>
        <w:r>
          <w:rPr>
            <w:noProof/>
            <w:webHidden/>
          </w:rPr>
          <w:t>10</w:t>
        </w:r>
        <w:r>
          <w:rPr>
            <w:noProof/>
            <w:webHidden/>
          </w:rPr>
          <w:fldChar w:fldCharType="end"/>
        </w:r>
      </w:hyperlink>
    </w:p>
    <w:p w:rsidR="00E473EF" w:rsidRDefault="00CE451E">
      <w:pPr>
        <w:pStyle w:val="TOC1"/>
        <w:tabs>
          <w:tab w:val="left" w:pos="709"/>
          <w:tab w:val="right" w:leader="dot" w:pos="9061"/>
        </w:tabs>
        <w:spacing w:before="0" w:after="0"/>
        <w:rPr>
          <w:rFonts w:asciiTheme="minorHAnsi" w:eastAsiaTheme="minorEastAsia" w:hAnsiTheme="minorHAnsi" w:cstheme="minorBidi"/>
          <w:b w:val="0"/>
          <w:bCs w:val="0"/>
          <w:caps w:val="0"/>
          <w:noProof/>
          <w:sz w:val="22"/>
          <w:szCs w:val="22"/>
          <w:lang w:val="cs-CZ" w:eastAsia="cs-CZ"/>
        </w:rPr>
      </w:pPr>
      <w:hyperlink w:anchor="_Toc56009543" w:history="1">
        <w:r>
          <w:rPr>
            <w:rStyle w:val="Hyperlink"/>
            <w:noProof/>
          </w:rPr>
          <w:t>3.</w:t>
        </w:r>
        <w:r>
          <w:rPr>
            <w:rFonts w:asciiTheme="minorHAnsi" w:eastAsiaTheme="minorEastAsia" w:hAnsiTheme="minorHAnsi" w:cstheme="minorBidi"/>
            <w:b w:val="0"/>
            <w:bCs w:val="0"/>
            <w:caps w:val="0"/>
            <w:noProof/>
            <w:sz w:val="22"/>
            <w:szCs w:val="22"/>
            <w:lang w:val="cs-CZ" w:eastAsia="cs-CZ"/>
          </w:rPr>
          <w:tab/>
        </w:r>
        <w:r>
          <w:rPr>
            <w:rStyle w:val="Hyperlink"/>
            <w:noProof/>
          </w:rPr>
          <w:t>Participation of the Union in the capital increase of the European</w:t>
        </w:r>
        <w:r>
          <w:rPr>
            <w:rStyle w:val="Hyperlink"/>
            <w:rFonts w:eastAsia="Calibri"/>
            <w:noProof/>
            <w:lang w:eastAsia="en-US"/>
          </w:rPr>
          <w:t xml:space="preserve"> Investment Fund (EIF)</w:t>
        </w:r>
        <w:r>
          <w:rPr>
            <w:noProof/>
            <w:webHidden/>
          </w:rPr>
          <w:tab/>
        </w:r>
        <w:r>
          <w:rPr>
            <w:noProof/>
            <w:webHidden/>
          </w:rPr>
          <w:fldChar w:fldCharType="begin"/>
        </w:r>
        <w:r>
          <w:rPr>
            <w:noProof/>
            <w:webHidden/>
          </w:rPr>
          <w:instrText xml:space="preserve"> PAGEREF _Toc56009543 \h </w:instrText>
        </w:r>
        <w:r>
          <w:rPr>
            <w:noProof/>
            <w:webHidden/>
          </w:rPr>
        </w:r>
        <w:r>
          <w:rPr>
            <w:noProof/>
            <w:webHidden/>
          </w:rPr>
          <w:fldChar w:fldCharType="separate"/>
        </w:r>
        <w:r>
          <w:rPr>
            <w:noProof/>
            <w:webHidden/>
          </w:rPr>
          <w:t>11</w:t>
        </w:r>
        <w:r>
          <w:rPr>
            <w:noProof/>
            <w:webHidden/>
          </w:rPr>
          <w:fldChar w:fldCharType="end"/>
        </w:r>
      </w:hyperlink>
    </w:p>
    <w:p w:rsidR="00E473EF" w:rsidRDefault="00CE451E">
      <w:pPr>
        <w:pStyle w:val="TOC1"/>
        <w:tabs>
          <w:tab w:val="left" w:pos="709"/>
          <w:tab w:val="right" w:leader="dot" w:pos="9061"/>
        </w:tabs>
        <w:spacing w:before="0" w:after="0"/>
        <w:rPr>
          <w:rFonts w:asciiTheme="minorHAnsi" w:eastAsiaTheme="minorEastAsia" w:hAnsiTheme="minorHAnsi" w:cstheme="minorBidi"/>
          <w:b w:val="0"/>
          <w:bCs w:val="0"/>
          <w:caps w:val="0"/>
          <w:noProof/>
          <w:sz w:val="22"/>
          <w:szCs w:val="22"/>
          <w:lang w:val="cs-CZ" w:eastAsia="cs-CZ"/>
        </w:rPr>
      </w:pPr>
      <w:hyperlink w:anchor="_Toc56009544" w:history="1">
        <w:r>
          <w:rPr>
            <w:rStyle w:val="Hyperlink"/>
            <w:noProof/>
          </w:rPr>
          <w:t>4.</w:t>
        </w:r>
        <w:r>
          <w:rPr>
            <w:rFonts w:asciiTheme="minorHAnsi" w:eastAsiaTheme="minorEastAsia" w:hAnsiTheme="minorHAnsi" w:cstheme="minorBidi"/>
            <w:b w:val="0"/>
            <w:bCs w:val="0"/>
            <w:caps w:val="0"/>
            <w:noProof/>
            <w:sz w:val="22"/>
            <w:szCs w:val="22"/>
            <w:lang w:val="cs-CZ" w:eastAsia="cs-CZ"/>
          </w:rPr>
          <w:tab/>
        </w:r>
        <w:r>
          <w:rPr>
            <w:rStyle w:val="Hyperlink"/>
            <w:noProof/>
          </w:rPr>
          <w:t xml:space="preserve">European Agricultural Guarantee Fund </w:t>
        </w:r>
        <w:r>
          <w:rPr>
            <w:rStyle w:val="Hyperlink"/>
            <w:noProof/>
          </w:rPr>
          <w:t>(EAGF)</w:t>
        </w:r>
        <w:r>
          <w:rPr>
            <w:noProof/>
            <w:webHidden/>
          </w:rPr>
          <w:tab/>
        </w:r>
        <w:r>
          <w:rPr>
            <w:noProof/>
            <w:webHidden/>
          </w:rPr>
          <w:fldChar w:fldCharType="begin"/>
        </w:r>
        <w:r>
          <w:rPr>
            <w:noProof/>
            <w:webHidden/>
          </w:rPr>
          <w:instrText xml:space="preserve"> PAGEREF _Toc56009544 \h </w:instrText>
        </w:r>
        <w:r>
          <w:rPr>
            <w:noProof/>
            <w:webHidden/>
          </w:rPr>
        </w:r>
        <w:r>
          <w:rPr>
            <w:noProof/>
            <w:webHidden/>
          </w:rPr>
          <w:fldChar w:fldCharType="separate"/>
        </w:r>
        <w:r>
          <w:rPr>
            <w:noProof/>
            <w:webHidden/>
          </w:rPr>
          <w:t>12</w:t>
        </w:r>
        <w:r>
          <w:rPr>
            <w:noProof/>
            <w:webHidden/>
          </w:rPr>
          <w:fldChar w:fldCharType="end"/>
        </w:r>
      </w:hyperlink>
    </w:p>
    <w:p w:rsidR="00E473EF" w:rsidRDefault="00CE451E">
      <w:pPr>
        <w:pStyle w:val="TOC1"/>
        <w:tabs>
          <w:tab w:val="left" w:pos="709"/>
          <w:tab w:val="right" w:leader="dot" w:pos="9061"/>
        </w:tabs>
        <w:spacing w:before="0" w:after="0"/>
        <w:rPr>
          <w:rFonts w:asciiTheme="minorHAnsi" w:eastAsiaTheme="minorEastAsia" w:hAnsiTheme="minorHAnsi" w:cstheme="minorBidi"/>
          <w:b w:val="0"/>
          <w:bCs w:val="0"/>
          <w:caps w:val="0"/>
          <w:noProof/>
          <w:sz w:val="22"/>
          <w:szCs w:val="22"/>
          <w:lang w:val="cs-CZ" w:eastAsia="cs-CZ"/>
        </w:rPr>
      </w:pPr>
      <w:hyperlink w:anchor="_Toc56009545" w:history="1">
        <w:r>
          <w:rPr>
            <w:rStyle w:val="Hyperlink"/>
            <w:noProof/>
          </w:rPr>
          <w:t>5.</w:t>
        </w:r>
        <w:r>
          <w:rPr>
            <w:rFonts w:asciiTheme="minorHAnsi" w:eastAsiaTheme="minorEastAsia" w:hAnsiTheme="minorHAnsi" w:cstheme="minorBidi"/>
            <w:b w:val="0"/>
            <w:bCs w:val="0"/>
            <w:caps w:val="0"/>
            <w:noProof/>
            <w:sz w:val="22"/>
            <w:szCs w:val="22"/>
            <w:lang w:val="cs-CZ" w:eastAsia="cs-CZ"/>
          </w:rPr>
          <w:tab/>
        </w:r>
        <w:r>
          <w:rPr>
            <w:rStyle w:val="Hyperlink"/>
            <w:noProof/>
          </w:rPr>
          <w:t>Delegation package for the six executive agencies</w:t>
        </w:r>
        <w:r>
          <w:rPr>
            <w:noProof/>
            <w:webHidden/>
          </w:rPr>
          <w:tab/>
        </w:r>
        <w:r>
          <w:rPr>
            <w:noProof/>
            <w:webHidden/>
          </w:rPr>
          <w:fldChar w:fldCharType="begin"/>
        </w:r>
        <w:r>
          <w:rPr>
            <w:noProof/>
            <w:webHidden/>
          </w:rPr>
          <w:instrText xml:space="preserve"> PAGEREF _Toc56009545 \h </w:instrText>
        </w:r>
        <w:r>
          <w:rPr>
            <w:noProof/>
            <w:webHidden/>
          </w:rPr>
        </w:r>
        <w:r>
          <w:rPr>
            <w:noProof/>
            <w:webHidden/>
          </w:rPr>
          <w:fldChar w:fldCharType="separate"/>
        </w:r>
        <w:r>
          <w:rPr>
            <w:noProof/>
            <w:webHidden/>
          </w:rPr>
          <w:t>13</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46" w:history="1">
        <w:r>
          <w:rPr>
            <w:rStyle w:val="Hyperlink"/>
            <w:rFonts w:eastAsia="Calibri"/>
            <w:b/>
            <w:noProof/>
            <w:lang w:eastAsia="en-US"/>
          </w:rPr>
          <w:t xml:space="preserve">5.1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Submission to the Committee on Executive Agencies</w:t>
        </w:r>
        <w:r>
          <w:rPr>
            <w:noProof/>
            <w:webHidden/>
          </w:rPr>
          <w:tab/>
        </w:r>
        <w:r>
          <w:rPr>
            <w:noProof/>
            <w:webHidden/>
          </w:rPr>
          <w:fldChar w:fldCharType="begin"/>
        </w:r>
        <w:r>
          <w:rPr>
            <w:noProof/>
            <w:webHidden/>
          </w:rPr>
          <w:instrText xml:space="preserve"> PAGEREF _Toc56009546 \h </w:instrText>
        </w:r>
        <w:r>
          <w:rPr>
            <w:noProof/>
            <w:webHidden/>
          </w:rPr>
        </w:r>
        <w:r>
          <w:rPr>
            <w:noProof/>
            <w:webHidden/>
          </w:rPr>
          <w:fldChar w:fldCharType="separate"/>
        </w:r>
        <w:r>
          <w:rPr>
            <w:noProof/>
            <w:webHidden/>
          </w:rPr>
          <w:t>13</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47" w:history="1">
        <w:r>
          <w:rPr>
            <w:rStyle w:val="Hyperlink"/>
            <w:rFonts w:eastAsia="Calibri"/>
            <w:b/>
            <w:noProof/>
            <w:lang w:eastAsia="en-US"/>
          </w:rPr>
          <w:t xml:space="preserve">5.2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Proposed level of operational appropriations 2021-2027 to be delegated</w:t>
        </w:r>
        <w:r>
          <w:rPr>
            <w:noProof/>
            <w:webHidden/>
          </w:rPr>
          <w:tab/>
        </w:r>
        <w:r>
          <w:rPr>
            <w:noProof/>
            <w:webHidden/>
          </w:rPr>
          <w:fldChar w:fldCharType="begin"/>
        </w:r>
        <w:r>
          <w:rPr>
            <w:noProof/>
            <w:webHidden/>
          </w:rPr>
          <w:instrText xml:space="preserve"> PAGEREF _Toc56009547 \h </w:instrText>
        </w:r>
        <w:r>
          <w:rPr>
            <w:noProof/>
            <w:webHidden/>
          </w:rPr>
        </w:r>
        <w:r>
          <w:rPr>
            <w:noProof/>
            <w:webHidden/>
          </w:rPr>
          <w:fldChar w:fldCharType="separate"/>
        </w:r>
        <w:r>
          <w:rPr>
            <w:noProof/>
            <w:webHidden/>
          </w:rPr>
          <w:t>14</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48" w:history="1">
        <w:r>
          <w:rPr>
            <w:rStyle w:val="Hyperlink"/>
            <w:rFonts w:eastAsia="Calibri"/>
            <w:b/>
            <w:noProof/>
            <w:lang w:eastAsia="en-US"/>
          </w:rPr>
          <w:t xml:space="preserve">5.3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Impact on human and financial resources in the executive agencies in 2021</w:t>
        </w:r>
        <w:r>
          <w:rPr>
            <w:noProof/>
            <w:webHidden/>
          </w:rPr>
          <w:tab/>
        </w:r>
        <w:r>
          <w:rPr>
            <w:noProof/>
            <w:webHidden/>
          </w:rPr>
          <w:fldChar w:fldCharType="begin"/>
        </w:r>
        <w:r>
          <w:rPr>
            <w:noProof/>
            <w:webHidden/>
          </w:rPr>
          <w:instrText xml:space="preserve"> PAGEREF _Toc56009548 \h </w:instrText>
        </w:r>
        <w:r>
          <w:rPr>
            <w:noProof/>
            <w:webHidden/>
          </w:rPr>
        </w:r>
        <w:r>
          <w:rPr>
            <w:noProof/>
            <w:webHidden/>
          </w:rPr>
          <w:fldChar w:fldCharType="separate"/>
        </w:r>
        <w:r>
          <w:rPr>
            <w:noProof/>
            <w:webHidden/>
          </w:rPr>
          <w:t>14</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49" w:history="1">
        <w:r>
          <w:rPr>
            <w:rStyle w:val="Hyperlink"/>
            <w:rFonts w:eastAsia="Calibri"/>
            <w:b/>
            <w:noProof/>
            <w:lang w:eastAsia="en-US"/>
          </w:rPr>
          <w:t>5.4</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 xml:space="preserve"> Impact on human resources in the Commission</w:t>
        </w:r>
        <w:r>
          <w:rPr>
            <w:noProof/>
            <w:webHidden/>
          </w:rPr>
          <w:tab/>
        </w:r>
        <w:r>
          <w:rPr>
            <w:noProof/>
            <w:webHidden/>
          </w:rPr>
          <w:fldChar w:fldCharType="begin"/>
        </w:r>
        <w:r>
          <w:rPr>
            <w:noProof/>
            <w:webHidden/>
          </w:rPr>
          <w:instrText xml:space="preserve"> PAGEREF _Toc56009549 \h </w:instrText>
        </w:r>
        <w:r>
          <w:rPr>
            <w:noProof/>
            <w:webHidden/>
          </w:rPr>
        </w:r>
        <w:r>
          <w:rPr>
            <w:noProof/>
            <w:webHidden/>
          </w:rPr>
          <w:fldChar w:fldCharType="separate"/>
        </w:r>
        <w:r>
          <w:rPr>
            <w:noProof/>
            <w:webHidden/>
          </w:rPr>
          <w:t>15</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50" w:history="1">
        <w:r>
          <w:rPr>
            <w:rStyle w:val="Hyperlink"/>
            <w:rFonts w:eastAsia="Calibri"/>
            <w:b/>
            <w:noProof/>
            <w:lang w:eastAsia="en-US"/>
          </w:rPr>
          <w:t>5.5</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 xml:space="preserve"> Adjustments included in AL 1/</w:t>
        </w:r>
        <w:r>
          <w:rPr>
            <w:rStyle w:val="Hyperlink"/>
            <w:rFonts w:eastAsia="Calibri"/>
            <w:b/>
            <w:noProof/>
            <w:lang w:eastAsia="en-US"/>
          </w:rPr>
          <w:t>2021</w:t>
        </w:r>
        <w:r>
          <w:rPr>
            <w:noProof/>
            <w:webHidden/>
          </w:rPr>
          <w:tab/>
        </w:r>
        <w:r>
          <w:rPr>
            <w:noProof/>
            <w:webHidden/>
          </w:rPr>
          <w:fldChar w:fldCharType="begin"/>
        </w:r>
        <w:r>
          <w:rPr>
            <w:noProof/>
            <w:webHidden/>
          </w:rPr>
          <w:instrText xml:space="preserve"> PAGEREF _Toc56009550 \h </w:instrText>
        </w:r>
        <w:r>
          <w:rPr>
            <w:noProof/>
            <w:webHidden/>
          </w:rPr>
        </w:r>
        <w:r>
          <w:rPr>
            <w:noProof/>
            <w:webHidden/>
          </w:rPr>
          <w:fldChar w:fldCharType="separate"/>
        </w:r>
        <w:r>
          <w:rPr>
            <w:noProof/>
            <w:webHidden/>
          </w:rPr>
          <w:t>15</w:t>
        </w:r>
        <w:r>
          <w:rPr>
            <w:noProof/>
            <w:webHidden/>
          </w:rPr>
          <w:fldChar w:fldCharType="end"/>
        </w:r>
      </w:hyperlink>
    </w:p>
    <w:p w:rsidR="00E473EF" w:rsidRDefault="00CE451E">
      <w:pPr>
        <w:pStyle w:val="TOC1"/>
        <w:tabs>
          <w:tab w:val="left" w:pos="709"/>
          <w:tab w:val="right" w:leader="dot" w:pos="9061"/>
        </w:tabs>
        <w:spacing w:before="0" w:after="0"/>
        <w:rPr>
          <w:rFonts w:asciiTheme="minorHAnsi" w:eastAsiaTheme="minorEastAsia" w:hAnsiTheme="minorHAnsi" w:cstheme="minorBidi"/>
          <w:b w:val="0"/>
          <w:bCs w:val="0"/>
          <w:caps w:val="0"/>
          <w:noProof/>
          <w:sz w:val="22"/>
          <w:szCs w:val="22"/>
          <w:lang w:val="cs-CZ" w:eastAsia="cs-CZ"/>
        </w:rPr>
      </w:pPr>
      <w:hyperlink w:anchor="_Toc56009551" w:history="1">
        <w:r>
          <w:rPr>
            <w:rStyle w:val="Hyperlink"/>
            <w:noProof/>
          </w:rPr>
          <w:t>6.</w:t>
        </w:r>
        <w:r>
          <w:rPr>
            <w:rFonts w:asciiTheme="minorHAnsi" w:eastAsiaTheme="minorEastAsia" w:hAnsiTheme="minorHAnsi" w:cstheme="minorBidi"/>
            <w:b w:val="0"/>
            <w:bCs w:val="0"/>
            <w:caps w:val="0"/>
            <w:noProof/>
            <w:sz w:val="22"/>
            <w:szCs w:val="22"/>
            <w:lang w:val="cs-CZ" w:eastAsia="cs-CZ"/>
          </w:rPr>
          <w:tab/>
        </w:r>
        <w:r>
          <w:rPr>
            <w:rStyle w:val="Hyperlink"/>
            <w:noProof/>
          </w:rPr>
          <w:t>Decentralised agencies</w:t>
        </w:r>
        <w:r>
          <w:rPr>
            <w:noProof/>
            <w:webHidden/>
          </w:rPr>
          <w:tab/>
        </w:r>
        <w:r>
          <w:rPr>
            <w:noProof/>
            <w:webHidden/>
          </w:rPr>
          <w:fldChar w:fldCharType="begin"/>
        </w:r>
        <w:r>
          <w:rPr>
            <w:noProof/>
            <w:webHidden/>
          </w:rPr>
          <w:instrText xml:space="preserve"> PAGEREF _Toc56009551 \h </w:instrText>
        </w:r>
        <w:r>
          <w:rPr>
            <w:noProof/>
            <w:webHidden/>
          </w:rPr>
        </w:r>
        <w:r>
          <w:rPr>
            <w:noProof/>
            <w:webHidden/>
          </w:rPr>
          <w:fldChar w:fldCharType="separate"/>
        </w:r>
        <w:r>
          <w:rPr>
            <w:noProof/>
            <w:webHidden/>
          </w:rPr>
          <w:t>17</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52" w:history="1">
        <w:r>
          <w:rPr>
            <w:rStyle w:val="Hyperlink"/>
            <w:rFonts w:eastAsia="Calibri"/>
            <w:b/>
            <w:noProof/>
            <w:lang w:eastAsia="en-US"/>
          </w:rPr>
          <w:t xml:space="preserve">6.1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European Medicines Agency (EMA)</w:t>
        </w:r>
        <w:r>
          <w:rPr>
            <w:noProof/>
            <w:webHidden/>
          </w:rPr>
          <w:tab/>
        </w:r>
        <w:r>
          <w:rPr>
            <w:noProof/>
            <w:webHidden/>
          </w:rPr>
          <w:fldChar w:fldCharType="begin"/>
        </w:r>
        <w:r>
          <w:rPr>
            <w:noProof/>
            <w:webHidden/>
          </w:rPr>
          <w:instrText xml:space="preserve"> PAGEREF _Toc56009552 \h </w:instrText>
        </w:r>
        <w:r>
          <w:rPr>
            <w:noProof/>
            <w:webHidden/>
          </w:rPr>
        </w:r>
        <w:r>
          <w:rPr>
            <w:noProof/>
            <w:webHidden/>
          </w:rPr>
          <w:fldChar w:fldCharType="separate"/>
        </w:r>
        <w:r>
          <w:rPr>
            <w:noProof/>
            <w:webHidden/>
          </w:rPr>
          <w:t>17</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53" w:history="1">
        <w:r>
          <w:rPr>
            <w:rStyle w:val="Hyperlink"/>
            <w:rFonts w:eastAsia="Calibri"/>
            <w:b/>
            <w:noProof/>
            <w:lang w:eastAsia="en-US"/>
          </w:rPr>
          <w:t>6.2</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 xml:space="preserve"> European Centre for Disease Prevention and Control (ECDC)</w:t>
        </w:r>
        <w:r>
          <w:rPr>
            <w:noProof/>
            <w:webHidden/>
          </w:rPr>
          <w:tab/>
        </w:r>
        <w:r>
          <w:rPr>
            <w:noProof/>
            <w:webHidden/>
          </w:rPr>
          <w:fldChar w:fldCharType="begin"/>
        </w:r>
        <w:r>
          <w:rPr>
            <w:noProof/>
            <w:webHidden/>
          </w:rPr>
          <w:instrText xml:space="preserve"> PAGEREF _Toc56009553 \h </w:instrText>
        </w:r>
        <w:r>
          <w:rPr>
            <w:noProof/>
            <w:webHidden/>
          </w:rPr>
        </w:r>
        <w:r>
          <w:rPr>
            <w:noProof/>
            <w:webHidden/>
          </w:rPr>
          <w:fldChar w:fldCharType="separate"/>
        </w:r>
        <w:r>
          <w:rPr>
            <w:noProof/>
            <w:webHidden/>
          </w:rPr>
          <w:t>17</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54" w:history="1">
        <w:r>
          <w:rPr>
            <w:rStyle w:val="Hyperlink"/>
            <w:rFonts w:eastAsia="Calibri"/>
            <w:b/>
            <w:noProof/>
            <w:lang w:eastAsia="en-US"/>
          </w:rPr>
          <w:t xml:space="preserve">6.3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European Environmental Agency (EEA)</w:t>
        </w:r>
        <w:r>
          <w:rPr>
            <w:noProof/>
            <w:webHidden/>
          </w:rPr>
          <w:tab/>
        </w:r>
        <w:r>
          <w:rPr>
            <w:noProof/>
            <w:webHidden/>
          </w:rPr>
          <w:fldChar w:fldCharType="begin"/>
        </w:r>
        <w:r>
          <w:rPr>
            <w:noProof/>
            <w:webHidden/>
          </w:rPr>
          <w:instrText xml:space="preserve"> PAGEREF _Toc56009554 \h </w:instrText>
        </w:r>
        <w:r>
          <w:rPr>
            <w:noProof/>
            <w:webHidden/>
          </w:rPr>
        </w:r>
        <w:r>
          <w:rPr>
            <w:noProof/>
            <w:webHidden/>
          </w:rPr>
          <w:fldChar w:fldCharType="separate"/>
        </w:r>
        <w:r>
          <w:rPr>
            <w:noProof/>
            <w:webHidden/>
          </w:rPr>
          <w:t>18</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55" w:history="1">
        <w:r>
          <w:rPr>
            <w:rStyle w:val="Hyperlink"/>
            <w:rFonts w:eastAsia="Calibri"/>
            <w:b/>
            <w:noProof/>
            <w:lang w:eastAsia="en-US"/>
          </w:rPr>
          <w:t xml:space="preserve">6.4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European Chemicals Agency (ECHA)</w:t>
        </w:r>
        <w:r>
          <w:rPr>
            <w:noProof/>
            <w:webHidden/>
          </w:rPr>
          <w:tab/>
        </w:r>
        <w:r>
          <w:rPr>
            <w:noProof/>
            <w:webHidden/>
          </w:rPr>
          <w:fldChar w:fldCharType="begin"/>
        </w:r>
        <w:r>
          <w:rPr>
            <w:noProof/>
            <w:webHidden/>
          </w:rPr>
          <w:instrText xml:space="preserve"> PAGEREF _Toc56009555 \h </w:instrText>
        </w:r>
        <w:r>
          <w:rPr>
            <w:noProof/>
            <w:webHidden/>
          </w:rPr>
        </w:r>
        <w:r>
          <w:rPr>
            <w:noProof/>
            <w:webHidden/>
          </w:rPr>
          <w:fldChar w:fldCharType="separate"/>
        </w:r>
        <w:r>
          <w:rPr>
            <w:noProof/>
            <w:webHidden/>
          </w:rPr>
          <w:t>18</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56" w:history="1">
        <w:r>
          <w:rPr>
            <w:rStyle w:val="Hyperlink"/>
            <w:rFonts w:eastAsia="Calibri"/>
            <w:b/>
            <w:noProof/>
            <w:lang w:eastAsia="en-US"/>
          </w:rPr>
          <w:t xml:space="preserve">6.5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European Banking Authority (EBA)</w:t>
        </w:r>
        <w:r>
          <w:rPr>
            <w:noProof/>
            <w:webHidden/>
          </w:rPr>
          <w:tab/>
        </w:r>
        <w:r>
          <w:rPr>
            <w:noProof/>
            <w:webHidden/>
          </w:rPr>
          <w:fldChar w:fldCharType="begin"/>
        </w:r>
        <w:r>
          <w:rPr>
            <w:noProof/>
            <w:webHidden/>
          </w:rPr>
          <w:instrText xml:space="preserve"> PAGEREF _Toc56009556 \h </w:instrText>
        </w:r>
        <w:r>
          <w:rPr>
            <w:noProof/>
            <w:webHidden/>
          </w:rPr>
        </w:r>
        <w:r>
          <w:rPr>
            <w:noProof/>
            <w:webHidden/>
          </w:rPr>
          <w:fldChar w:fldCharType="separate"/>
        </w:r>
        <w:r>
          <w:rPr>
            <w:noProof/>
            <w:webHidden/>
          </w:rPr>
          <w:t>18</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57" w:history="1">
        <w:r>
          <w:rPr>
            <w:rStyle w:val="Hyperlink"/>
            <w:rFonts w:eastAsia="Calibri"/>
            <w:b/>
            <w:noProof/>
            <w:lang w:eastAsia="en-US"/>
          </w:rPr>
          <w:t xml:space="preserve">6.6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European Asylum Support Office (EASO)</w:t>
        </w:r>
        <w:r>
          <w:rPr>
            <w:noProof/>
            <w:webHidden/>
          </w:rPr>
          <w:tab/>
        </w:r>
        <w:r>
          <w:rPr>
            <w:noProof/>
            <w:webHidden/>
          </w:rPr>
          <w:fldChar w:fldCharType="begin"/>
        </w:r>
        <w:r>
          <w:rPr>
            <w:noProof/>
            <w:webHidden/>
          </w:rPr>
          <w:instrText xml:space="preserve"> PAGEREF _Toc56</w:instrText>
        </w:r>
        <w:r>
          <w:rPr>
            <w:noProof/>
            <w:webHidden/>
          </w:rPr>
          <w:instrText xml:space="preserve">009557 \h </w:instrText>
        </w:r>
        <w:r>
          <w:rPr>
            <w:noProof/>
            <w:webHidden/>
          </w:rPr>
        </w:r>
        <w:r>
          <w:rPr>
            <w:noProof/>
            <w:webHidden/>
          </w:rPr>
          <w:fldChar w:fldCharType="separate"/>
        </w:r>
        <w:r>
          <w:rPr>
            <w:noProof/>
            <w:webHidden/>
          </w:rPr>
          <w:t>18</w:t>
        </w:r>
        <w:r>
          <w:rPr>
            <w:noProof/>
            <w:webHidden/>
          </w:rPr>
          <w:fldChar w:fldCharType="end"/>
        </w:r>
      </w:hyperlink>
    </w:p>
    <w:p w:rsidR="00E473EF" w:rsidRDefault="00CE451E">
      <w:pPr>
        <w:pStyle w:val="TOC1"/>
        <w:tabs>
          <w:tab w:val="left" w:pos="709"/>
          <w:tab w:val="right" w:leader="dot" w:pos="9061"/>
        </w:tabs>
        <w:spacing w:before="0" w:after="0"/>
        <w:rPr>
          <w:rFonts w:asciiTheme="minorHAnsi" w:eastAsiaTheme="minorEastAsia" w:hAnsiTheme="minorHAnsi" w:cstheme="minorBidi"/>
          <w:b w:val="0"/>
          <w:bCs w:val="0"/>
          <w:caps w:val="0"/>
          <w:noProof/>
          <w:sz w:val="22"/>
          <w:szCs w:val="22"/>
          <w:lang w:val="cs-CZ" w:eastAsia="cs-CZ"/>
        </w:rPr>
      </w:pPr>
      <w:hyperlink w:anchor="_Toc56009558" w:history="1">
        <w:r>
          <w:rPr>
            <w:rStyle w:val="Hyperlink"/>
            <w:noProof/>
          </w:rPr>
          <w:t>7.</w:t>
        </w:r>
        <w:r>
          <w:rPr>
            <w:rFonts w:asciiTheme="minorHAnsi" w:eastAsiaTheme="minorEastAsia" w:hAnsiTheme="minorHAnsi" w:cstheme="minorBidi"/>
            <w:b w:val="0"/>
            <w:bCs w:val="0"/>
            <w:caps w:val="0"/>
            <w:noProof/>
            <w:sz w:val="22"/>
            <w:szCs w:val="22"/>
            <w:lang w:val="cs-CZ" w:eastAsia="cs-CZ"/>
          </w:rPr>
          <w:tab/>
        </w:r>
        <w:r>
          <w:rPr>
            <w:rStyle w:val="Hyperlink"/>
            <w:noProof/>
          </w:rPr>
          <w:t>Adjustments to the heading 7 “European Public Administration”</w:t>
        </w:r>
        <w:r>
          <w:rPr>
            <w:noProof/>
            <w:webHidden/>
          </w:rPr>
          <w:tab/>
        </w:r>
        <w:r>
          <w:rPr>
            <w:noProof/>
            <w:webHidden/>
          </w:rPr>
          <w:fldChar w:fldCharType="begin"/>
        </w:r>
        <w:r>
          <w:rPr>
            <w:noProof/>
            <w:webHidden/>
          </w:rPr>
          <w:instrText xml:space="preserve"> PAGEREF _Toc56009558 \h </w:instrText>
        </w:r>
        <w:r>
          <w:rPr>
            <w:noProof/>
            <w:webHidden/>
          </w:rPr>
        </w:r>
        <w:r>
          <w:rPr>
            <w:noProof/>
            <w:webHidden/>
          </w:rPr>
          <w:fldChar w:fldCharType="separate"/>
        </w:r>
        <w:r>
          <w:rPr>
            <w:noProof/>
            <w:webHidden/>
          </w:rPr>
          <w:t>18</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59" w:history="1">
        <w:r>
          <w:rPr>
            <w:rStyle w:val="Hyperlink"/>
            <w:rFonts w:eastAsia="Calibri"/>
            <w:b/>
            <w:noProof/>
            <w:lang w:eastAsia="en-US"/>
          </w:rPr>
          <w:t>7.1</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 xml:space="preserve"> Salary indexation as from 1 July 2020</w:t>
        </w:r>
        <w:r>
          <w:rPr>
            <w:noProof/>
            <w:webHidden/>
          </w:rPr>
          <w:tab/>
        </w:r>
        <w:r>
          <w:rPr>
            <w:noProof/>
            <w:webHidden/>
          </w:rPr>
          <w:fldChar w:fldCharType="begin"/>
        </w:r>
        <w:r>
          <w:rPr>
            <w:noProof/>
            <w:webHidden/>
          </w:rPr>
          <w:instrText xml:space="preserve"> PAGEREF _Toc56009559 \h </w:instrText>
        </w:r>
        <w:r>
          <w:rPr>
            <w:noProof/>
            <w:webHidden/>
          </w:rPr>
        </w:r>
        <w:r>
          <w:rPr>
            <w:noProof/>
            <w:webHidden/>
          </w:rPr>
          <w:fldChar w:fldCharType="separate"/>
        </w:r>
        <w:r>
          <w:rPr>
            <w:noProof/>
            <w:webHidden/>
          </w:rPr>
          <w:t>18</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60" w:history="1">
        <w:r>
          <w:rPr>
            <w:rStyle w:val="Hyperlink"/>
            <w:rFonts w:eastAsia="Calibri"/>
            <w:b/>
            <w:noProof/>
            <w:lang w:eastAsia="en-US"/>
          </w:rPr>
          <w:t>7.2</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 xml:space="preserve"> Reinforcement of the European Parliament</w:t>
        </w:r>
        <w:r>
          <w:rPr>
            <w:noProof/>
            <w:webHidden/>
          </w:rPr>
          <w:tab/>
        </w:r>
        <w:r>
          <w:rPr>
            <w:noProof/>
            <w:webHidden/>
          </w:rPr>
          <w:fldChar w:fldCharType="begin"/>
        </w:r>
        <w:r>
          <w:rPr>
            <w:noProof/>
            <w:webHidden/>
          </w:rPr>
          <w:instrText xml:space="preserve"> PAGEREF _Toc56009560 \h </w:instrText>
        </w:r>
        <w:r>
          <w:rPr>
            <w:noProof/>
            <w:webHidden/>
          </w:rPr>
        </w:r>
        <w:r>
          <w:rPr>
            <w:noProof/>
            <w:webHidden/>
          </w:rPr>
          <w:fldChar w:fldCharType="separate"/>
        </w:r>
        <w:r>
          <w:rPr>
            <w:noProof/>
            <w:webHidden/>
          </w:rPr>
          <w:t>19</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61" w:history="1">
        <w:r>
          <w:rPr>
            <w:rStyle w:val="Hyperlink"/>
            <w:rFonts w:eastAsia="Calibri"/>
            <w:b/>
            <w:noProof/>
            <w:lang w:eastAsia="en-US"/>
          </w:rPr>
          <w:t xml:space="preserve">7.4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Transfer of certain staff in Union Delegations from the Commission to</w:t>
        </w:r>
        <w:r>
          <w:rPr>
            <w:rStyle w:val="Hyperlink"/>
            <w:rFonts w:eastAsia="Calibri"/>
            <w:b/>
            <w:noProof/>
            <w:lang w:eastAsia="en-US"/>
          </w:rPr>
          <w:t xml:space="preserve"> the EEAS</w:t>
        </w:r>
        <w:r>
          <w:rPr>
            <w:noProof/>
            <w:webHidden/>
          </w:rPr>
          <w:tab/>
        </w:r>
        <w:r>
          <w:rPr>
            <w:noProof/>
            <w:webHidden/>
          </w:rPr>
          <w:fldChar w:fldCharType="begin"/>
        </w:r>
        <w:r>
          <w:rPr>
            <w:noProof/>
            <w:webHidden/>
          </w:rPr>
          <w:instrText xml:space="preserve"> PAGEREF _Toc56009561 \h </w:instrText>
        </w:r>
        <w:r>
          <w:rPr>
            <w:noProof/>
            <w:webHidden/>
          </w:rPr>
        </w:r>
        <w:r>
          <w:rPr>
            <w:noProof/>
            <w:webHidden/>
          </w:rPr>
          <w:fldChar w:fldCharType="separate"/>
        </w:r>
        <w:r>
          <w:rPr>
            <w:noProof/>
            <w:webHidden/>
          </w:rPr>
          <w:t>21</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62" w:history="1">
        <w:r>
          <w:rPr>
            <w:rStyle w:val="Hyperlink"/>
            <w:rFonts w:eastAsia="Calibri"/>
            <w:b/>
            <w:noProof/>
            <w:lang w:val="en-US" w:eastAsia="en-US"/>
          </w:rPr>
          <w:t xml:space="preserve">7.5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Transfer of the Central Library from the Commission to the Publications Office</w:t>
        </w:r>
        <w:r>
          <w:rPr>
            <w:noProof/>
            <w:webHidden/>
          </w:rPr>
          <w:tab/>
        </w:r>
        <w:r>
          <w:rPr>
            <w:noProof/>
            <w:webHidden/>
          </w:rPr>
          <w:fldChar w:fldCharType="begin"/>
        </w:r>
        <w:r>
          <w:rPr>
            <w:noProof/>
            <w:webHidden/>
          </w:rPr>
          <w:instrText xml:space="preserve"> PAGEREF _Toc56009562 \h </w:instrText>
        </w:r>
        <w:r>
          <w:rPr>
            <w:noProof/>
            <w:webHidden/>
          </w:rPr>
        </w:r>
        <w:r>
          <w:rPr>
            <w:noProof/>
            <w:webHidden/>
          </w:rPr>
          <w:fldChar w:fldCharType="separate"/>
        </w:r>
        <w:r>
          <w:rPr>
            <w:noProof/>
            <w:webHidden/>
          </w:rPr>
          <w:t>22</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63" w:history="1">
        <w:r>
          <w:rPr>
            <w:rStyle w:val="Hyperlink"/>
            <w:rFonts w:eastAsia="Calibri"/>
            <w:b/>
            <w:noProof/>
            <w:lang w:val="en-US" w:eastAsia="en-US"/>
          </w:rPr>
          <w:t xml:space="preserve">7.6 </w:t>
        </w:r>
        <w:r>
          <w:rPr>
            <w:rFonts w:asciiTheme="minorHAnsi" w:eastAsiaTheme="minorEastAsia" w:hAnsiTheme="minorHAnsi" w:cstheme="minorBidi"/>
            <w:smallCaps w:val="0"/>
            <w:noProof/>
            <w:sz w:val="22"/>
            <w:szCs w:val="22"/>
            <w:lang w:val="cs-CZ" w:eastAsia="cs-CZ"/>
          </w:rPr>
          <w:tab/>
        </w:r>
        <w:r>
          <w:rPr>
            <w:rStyle w:val="Hyperlink"/>
            <w:rFonts w:eastAsia="Calibri"/>
            <w:b/>
            <w:noProof/>
            <w:lang w:val="en-US" w:eastAsia="en-US"/>
          </w:rPr>
          <w:t>Transfer of 2 establishment plan posts from the European Parliament to the Commission</w:t>
        </w:r>
        <w:r>
          <w:rPr>
            <w:noProof/>
            <w:webHidden/>
          </w:rPr>
          <w:tab/>
        </w:r>
        <w:r>
          <w:rPr>
            <w:noProof/>
            <w:webHidden/>
          </w:rPr>
          <w:fldChar w:fldCharType="begin"/>
        </w:r>
        <w:r>
          <w:rPr>
            <w:noProof/>
            <w:webHidden/>
          </w:rPr>
          <w:instrText xml:space="preserve"> PAGEREF _Toc56009563 \h </w:instrText>
        </w:r>
        <w:r>
          <w:rPr>
            <w:noProof/>
            <w:webHidden/>
          </w:rPr>
        </w:r>
        <w:r>
          <w:rPr>
            <w:noProof/>
            <w:webHidden/>
          </w:rPr>
          <w:fldChar w:fldCharType="separate"/>
        </w:r>
        <w:r>
          <w:rPr>
            <w:noProof/>
            <w:webHidden/>
          </w:rPr>
          <w:t>22</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64" w:history="1">
        <w:r>
          <w:rPr>
            <w:rStyle w:val="Hyperlink"/>
            <w:rFonts w:eastAsia="Calibri"/>
            <w:b/>
            <w:noProof/>
            <w:lang w:val="en-US" w:eastAsia="en-US"/>
          </w:rPr>
          <w:t>7.7</w:t>
        </w:r>
        <w:r>
          <w:rPr>
            <w:rFonts w:asciiTheme="minorHAnsi" w:eastAsiaTheme="minorEastAsia" w:hAnsiTheme="minorHAnsi" w:cstheme="minorBidi"/>
            <w:smallCaps w:val="0"/>
            <w:noProof/>
            <w:sz w:val="22"/>
            <w:szCs w:val="22"/>
            <w:lang w:val="cs-CZ" w:eastAsia="cs-CZ"/>
          </w:rPr>
          <w:tab/>
        </w:r>
        <w:r>
          <w:rPr>
            <w:rStyle w:val="Hyperlink"/>
            <w:rFonts w:eastAsia="Calibri"/>
            <w:b/>
            <w:noProof/>
            <w:lang w:val="en-US" w:eastAsia="en-US"/>
          </w:rPr>
          <w:t>EEAS contribution for the provision of baseline services by PMO</w:t>
        </w:r>
        <w:r>
          <w:rPr>
            <w:noProof/>
            <w:webHidden/>
          </w:rPr>
          <w:tab/>
        </w:r>
        <w:r>
          <w:rPr>
            <w:noProof/>
            <w:webHidden/>
          </w:rPr>
          <w:fldChar w:fldCharType="begin"/>
        </w:r>
        <w:r>
          <w:rPr>
            <w:noProof/>
            <w:webHidden/>
          </w:rPr>
          <w:instrText xml:space="preserve"> PAGEREF _Toc56009564 \h </w:instrText>
        </w:r>
        <w:r>
          <w:rPr>
            <w:noProof/>
            <w:webHidden/>
          </w:rPr>
        </w:r>
        <w:r>
          <w:rPr>
            <w:noProof/>
            <w:webHidden/>
          </w:rPr>
          <w:fldChar w:fldCharType="separate"/>
        </w:r>
        <w:r>
          <w:rPr>
            <w:noProof/>
            <w:webHidden/>
          </w:rPr>
          <w:t>22</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65" w:history="1">
        <w:r>
          <w:rPr>
            <w:rStyle w:val="Hyperlink"/>
            <w:rFonts w:eastAsia="Calibri"/>
            <w:b/>
            <w:noProof/>
            <w:lang w:val="en-US" w:eastAsia="en-US"/>
          </w:rPr>
          <w:t>7.8</w:t>
        </w:r>
        <w:r>
          <w:rPr>
            <w:rFonts w:asciiTheme="minorHAnsi" w:eastAsiaTheme="minorEastAsia" w:hAnsiTheme="minorHAnsi" w:cstheme="minorBidi"/>
            <w:smallCaps w:val="0"/>
            <w:noProof/>
            <w:sz w:val="22"/>
            <w:szCs w:val="22"/>
            <w:lang w:val="cs-CZ" w:eastAsia="cs-CZ"/>
          </w:rPr>
          <w:tab/>
        </w:r>
        <w:r>
          <w:rPr>
            <w:rStyle w:val="Hyperlink"/>
            <w:rFonts w:eastAsia="Calibri"/>
            <w:b/>
            <w:noProof/>
            <w:lang w:val="en-US" w:eastAsia="en-US"/>
          </w:rPr>
          <w:t>Impact</w:t>
        </w:r>
        <w:r>
          <w:rPr>
            <w:rStyle w:val="Hyperlink"/>
            <w:rFonts w:eastAsia="Calibri"/>
            <w:b/>
            <w:noProof/>
            <w:lang w:val="en-US" w:eastAsia="en-US"/>
          </w:rPr>
          <w:t xml:space="preserve"> of the COVID-19 pandemic on the budget of the European Schools</w:t>
        </w:r>
        <w:r>
          <w:rPr>
            <w:noProof/>
            <w:webHidden/>
          </w:rPr>
          <w:tab/>
        </w:r>
        <w:r>
          <w:rPr>
            <w:noProof/>
            <w:webHidden/>
          </w:rPr>
          <w:fldChar w:fldCharType="begin"/>
        </w:r>
        <w:r>
          <w:rPr>
            <w:noProof/>
            <w:webHidden/>
          </w:rPr>
          <w:instrText xml:space="preserve"> PAGEREF _Toc56009565 \h </w:instrText>
        </w:r>
        <w:r>
          <w:rPr>
            <w:noProof/>
            <w:webHidden/>
          </w:rPr>
        </w:r>
        <w:r>
          <w:rPr>
            <w:noProof/>
            <w:webHidden/>
          </w:rPr>
          <w:fldChar w:fldCharType="separate"/>
        </w:r>
        <w:r>
          <w:rPr>
            <w:noProof/>
            <w:webHidden/>
          </w:rPr>
          <w:t>22</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66" w:history="1">
        <w:r>
          <w:rPr>
            <w:rStyle w:val="Hyperlink"/>
            <w:rFonts w:eastAsia="Calibri"/>
            <w:b/>
            <w:noProof/>
            <w:lang w:val="en-US" w:eastAsia="en-US"/>
          </w:rPr>
          <w:t xml:space="preserve">7.9 </w:t>
        </w:r>
        <w:r>
          <w:rPr>
            <w:rFonts w:asciiTheme="minorHAnsi" w:eastAsiaTheme="minorEastAsia" w:hAnsiTheme="minorHAnsi" w:cstheme="minorBidi"/>
            <w:smallCaps w:val="0"/>
            <w:noProof/>
            <w:sz w:val="22"/>
            <w:szCs w:val="22"/>
            <w:lang w:val="cs-CZ" w:eastAsia="cs-CZ"/>
          </w:rPr>
          <w:tab/>
        </w:r>
        <w:r>
          <w:rPr>
            <w:rStyle w:val="Hyperlink"/>
            <w:rFonts w:eastAsia="Calibri"/>
            <w:b/>
            <w:noProof/>
            <w:lang w:val="en-US" w:eastAsia="en-US"/>
          </w:rPr>
          <w:t>Impact of the relocation of the Ombudsman’s Brussels office</w:t>
        </w:r>
        <w:r>
          <w:rPr>
            <w:noProof/>
            <w:webHidden/>
          </w:rPr>
          <w:tab/>
        </w:r>
        <w:r>
          <w:rPr>
            <w:noProof/>
            <w:webHidden/>
          </w:rPr>
          <w:fldChar w:fldCharType="begin"/>
        </w:r>
        <w:r>
          <w:rPr>
            <w:noProof/>
            <w:webHidden/>
          </w:rPr>
          <w:instrText xml:space="preserve"> </w:instrText>
        </w:r>
        <w:r>
          <w:rPr>
            <w:noProof/>
            <w:webHidden/>
          </w:rPr>
          <w:instrText xml:space="preserve">PAGEREF _Toc56009566 \h </w:instrText>
        </w:r>
        <w:r>
          <w:rPr>
            <w:noProof/>
            <w:webHidden/>
          </w:rPr>
        </w:r>
        <w:r>
          <w:rPr>
            <w:noProof/>
            <w:webHidden/>
          </w:rPr>
          <w:fldChar w:fldCharType="separate"/>
        </w:r>
        <w:r>
          <w:rPr>
            <w:noProof/>
            <w:webHidden/>
          </w:rPr>
          <w:t>22</w:t>
        </w:r>
        <w:r>
          <w:rPr>
            <w:noProof/>
            <w:webHidden/>
          </w:rPr>
          <w:fldChar w:fldCharType="end"/>
        </w:r>
      </w:hyperlink>
    </w:p>
    <w:p w:rsidR="00E473EF" w:rsidRDefault="00CE451E">
      <w:pPr>
        <w:pStyle w:val="TOC1"/>
        <w:tabs>
          <w:tab w:val="left" w:pos="709"/>
          <w:tab w:val="right" w:leader="dot" w:pos="9061"/>
        </w:tabs>
        <w:spacing w:before="0" w:after="0"/>
        <w:rPr>
          <w:rFonts w:asciiTheme="minorHAnsi" w:eastAsiaTheme="minorEastAsia" w:hAnsiTheme="minorHAnsi" w:cstheme="minorBidi"/>
          <w:b w:val="0"/>
          <w:bCs w:val="0"/>
          <w:caps w:val="0"/>
          <w:noProof/>
          <w:sz w:val="22"/>
          <w:szCs w:val="22"/>
          <w:lang w:val="cs-CZ" w:eastAsia="cs-CZ"/>
        </w:rPr>
      </w:pPr>
      <w:hyperlink w:anchor="_Toc56009567" w:history="1">
        <w:r>
          <w:rPr>
            <w:rStyle w:val="Hyperlink"/>
            <w:noProof/>
          </w:rPr>
          <w:t>8.</w:t>
        </w:r>
        <w:r>
          <w:rPr>
            <w:rFonts w:asciiTheme="minorHAnsi" w:eastAsiaTheme="minorEastAsia" w:hAnsiTheme="minorHAnsi" w:cstheme="minorBidi"/>
            <w:b w:val="0"/>
            <w:bCs w:val="0"/>
            <w:caps w:val="0"/>
            <w:noProof/>
            <w:sz w:val="22"/>
            <w:szCs w:val="22"/>
            <w:lang w:val="cs-CZ" w:eastAsia="cs-CZ"/>
          </w:rPr>
          <w:tab/>
        </w:r>
        <w:r>
          <w:rPr>
            <w:rStyle w:val="Hyperlink"/>
            <w:noProof/>
          </w:rPr>
          <w:t>Other adjustments</w:t>
        </w:r>
        <w:r>
          <w:rPr>
            <w:noProof/>
            <w:webHidden/>
          </w:rPr>
          <w:tab/>
        </w:r>
        <w:r>
          <w:rPr>
            <w:noProof/>
            <w:webHidden/>
          </w:rPr>
          <w:fldChar w:fldCharType="begin"/>
        </w:r>
        <w:r>
          <w:rPr>
            <w:noProof/>
            <w:webHidden/>
          </w:rPr>
          <w:instrText xml:space="preserve"> PAGEREF _Toc56009567 \h </w:instrText>
        </w:r>
        <w:r>
          <w:rPr>
            <w:noProof/>
            <w:webHidden/>
          </w:rPr>
        </w:r>
        <w:r>
          <w:rPr>
            <w:noProof/>
            <w:webHidden/>
          </w:rPr>
          <w:fldChar w:fldCharType="separate"/>
        </w:r>
        <w:r>
          <w:rPr>
            <w:noProof/>
            <w:webHidden/>
          </w:rPr>
          <w:t>23</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68" w:history="1">
        <w:r>
          <w:rPr>
            <w:rStyle w:val="Hyperlink"/>
            <w:rFonts w:eastAsia="Calibri"/>
            <w:b/>
            <w:noProof/>
            <w:lang w:eastAsia="en-US"/>
          </w:rPr>
          <w:t xml:space="preserve">8.1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Targeted reinforcements</w:t>
        </w:r>
        <w:r>
          <w:rPr>
            <w:noProof/>
            <w:webHidden/>
          </w:rPr>
          <w:tab/>
        </w:r>
        <w:r>
          <w:rPr>
            <w:noProof/>
            <w:webHidden/>
          </w:rPr>
          <w:fldChar w:fldCharType="begin"/>
        </w:r>
        <w:r>
          <w:rPr>
            <w:noProof/>
            <w:webHidden/>
          </w:rPr>
          <w:instrText xml:space="preserve"> PAGEREF _Toc56009568 \h </w:instrText>
        </w:r>
        <w:r>
          <w:rPr>
            <w:noProof/>
            <w:webHidden/>
          </w:rPr>
        </w:r>
        <w:r>
          <w:rPr>
            <w:noProof/>
            <w:webHidden/>
          </w:rPr>
          <w:fldChar w:fldCharType="separate"/>
        </w:r>
        <w:r>
          <w:rPr>
            <w:noProof/>
            <w:webHidden/>
          </w:rPr>
          <w:t>23</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69" w:history="1">
        <w:r>
          <w:rPr>
            <w:rStyle w:val="Hyperlink"/>
            <w:rFonts w:eastAsia="Calibri"/>
            <w:i/>
            <w:noProof/>
            <w:lang w:eastAsia="de-DE"/>
          </w:rPr>
          <w:t>8.1.</w:t>
        </w:r>
        <w:r>
          <w:rPr>
            <w:rStyle w:val="Hyperlink"/>
            <w:rFonts w:eastAsia="Calibri"/>
            <w:i/>
            <w:noProof/>
            <w:lang w:eastAsia="de-DE"/>
          </w:rPr>
          <w:t xml:space="preserve">1 </w:t>
        </w:r>
        <w:r>
          <w:rPr>
            <w:rFonts w:asciiTheme="minorHAnsi" w:eastAsiaTheme="minorEastAsia" w:hAnsiTheme="minorHAnsi" w:cstheme="minorBidi"/>
            <w:smallCaps w:val="0"/>
            <w:noProof/>
            <w:sz w:val="22"/>
            <w:szCs w:val="22"/>
            <w:lang w:val="cs-CZ" w:eastAsia="cs-CZ"/>
          </w:rPr>
          <w:tab/>
        </w:r>
        <w:r>
          <w:rPr>
            <w:rStyle w:val="Hyperlink"/>
            <w:rFonts w:eastAsia="Calibri"/>
            <w:i/>
            <w:noProof/>
            <w:lang w:eastAsia="de-DE"/>
          </w:rPr>
          <w:t>Support to the Turkish-Cypriot Community</w:t>
        </w:r>
        <w:r>
          <w:rPr>
            <w:noProof/>
            <w:webHidden/>
          </w:rPr>
          <w:tab/>
        </w:r>
        <w:r>
          <w:rPr>
            <w:noProof/>
            <w:webHidden/>
          </w:rPr>
          <w:fldChar w:fldCharType="begin"/>
        </w:r>
        <w:r>
          <w:rPr>
            <w:noProof/>
            <w:webHidden/>
          </w:rPr>
          <w:instrText xml:space="preserve"> PAGEREF _Toc56009569 \h </w:instrText>
        </w:r>
        <w:r>
          <w:rPr>
            <w:noProof/>
            <w:webHidden/>
          </w:rPr>
        </w:r>
        <w:r>
          <w:rPr>
            <w:noProof/>
            <w:webHidden/>
          </w:rPr>
          <w:fldChar w:fldCharType="separate"/>
        </w:r>
        <w:r>
          <w:rPr>
            <w:noProof/>
            <w:webHidden/>
          </w:rPr>
          <w:t>23</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70" w:history="1">
        <w:r>
          <w:rPr>
            <w:rStyle w:val="Hyperlink"/>
            <w:rFonts w:eastAsia="Calibri"/>
            <w:i/>
            <w:noProof/>
            <w:lang w:val="en-US" w:eastAsia="de-DE"/>
          </w:rPr>
          <w:t xml:space="preserve">8.1.2 </w:t>
        </w:r>
        <w:r>
          <w:rPr>
            <w:rFonts w:asciiTheme="minorHAnsi" w:eastAsiaTheme="minorEastAsia" w:hAnsiTheme="minorHAnsi" w:cstheme="minorBidi"/>
            <w:smallCaps w:val="0"/>
            <w:noProof/>
            <w:sz w:val="22"/>
            <w:szCs w:val="22"/>
            <w:lang w:val="cs-CZ" w:eastAsia="cs-CZ"/>
          </w:rPr>
          <w:tab/>
        </w:r>
        <w:r>
          <w:rPr>
            <w:rStyle w:val="Hyperlink"/>
            <w:rFonts w:eastAsia="Calibri"/>
            <w:i/>
            <w:noProof/>
            <w:lang w:val="en-US" w:eastAsia="de-DE"/>
          </w:rPr>
          <w:t>Social dialogue</w:t>
        </w:r>
        <w:r>
          <w:rPr>
            <w:noProof/>
            <w:webHidden/>
          </w:rPr>
          <w:tab/>
        </w:r>
        <w:r>
          <w:rPr>
            <w:noProof/>
            <w:webHidden/>
          </w:rPr>
          <w:fldChar w:fldCharType="begin"/>
        </w:r>
        <w:r>
          <w:rPr>
            <w:noProof/>
            <w:webHidden/>
          </w:rPr>
          <w:instrText xml:space="preserve"> PAGEREF _Toc56009570 \h </w:instrText>
        </w:r>
        <w:r>
          <w:rPr>
            <w:noProof/>
            <w:webHidden/>
          </w:rPr>
        </w:r>
        <w:r>
          <w:rPr>
            <w:noProof/>
            <w:webHidden/>
          </w:rPr>
          <w:fldChar w:fldCharType="separate"/>
        </w:r>
        <w:r>
          <w:rPr>
            <w:noProof/>
            <w:webHidden/>
          </w:rPr>
          <w:t>23</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71" w:history="1">
        <w:r>
          <w:rPr>
            <w:rStyle w:val="Hyperlink"/>
            <w:rFonts w:eastAsia="Calibri"/>
            <w:b/>
            <w:noProof/>
            <w:lang w:eastAsia="en-US"/>
          </w:rPr>
          <w:t xml:space="preserve">8.2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en-US"/>
          </w:rPr>
          <w:t>Adaptation of the nomenclature</w:t>
        </w:r>
        <w:r>
          <w:rPr>
            <w:noProof/>
            <w:webHidden/>
          </w:rPr>
          <w:tab/>
        </w:r>
        <w:r>
          <w:rPr>
            <w:noProof/>
            <w:webHidden/>
          </w:rPr>
          <w:fldChar w:fldCharType="begin"/>
        </w:r>
        <w:r>
          <w:rPr>
            <w:noProof/>
            <w:webHidden/>
          </w:rPr>
          <w:instrText xml:space="preserve"> PAGEREF _Toc56009571 \h </w:instrText>
        </w:r>
        <w:r>
          <w:rPr>
            <w:noProof/>
            <w:webHidden/>
          </w:rPr>
        </w:r>
        <w:r>
          <w:rPr>
            <w:noProof/>
            <w:webHidden/>
          </w:rPr>
          <w:fldChar w:fldCharType="separate"/>
        </w:r>
        <w:r>
          <w:rPr>
            <w:noProof/>
            <w:webHidden/>
          </w:rPr>
          <w:t>23</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72" w:history="1">
        <w:r>
          <w:rPr>
            <w:rStyle w:val="Hyperlink"/>
            <w:rFonts w:eastAsia="Calibri"/>
            <w:i/>
            <w:noProof/>
            <w:lang w:eastAsia="de-DE"/>
          </w:rPr>
          <w:t xml:space="preserve">8.2.2 </w:t>
        </w:r>
        <w:r>
          <w:rPr>
            <w:rFonts w:asciiTheme="minorHAnsi" w:eastAsiaTheme="minorEastAsia" w:hAnsiTheme="minorHAnsi" w:cstheme="minorBidi"/>
            <w:smallCaps w:val="0"/>
            <w:noProof/>
            <w:sz w:val="22"/>
            <w:szCs w:val="22"/>
            <w:lang w:val="cs-CZ" w:eastAsia="cs-CZ"/>
          </w:rPr>
          <w:tab/>
        </w:r>
        <w:r>
          <w:rPr>
            <w:rStyle w:val="Hyperlink"/>
            <w:rFonts w:eastAsia="Calibri"/>
            <w:i/>
            <w:noProof/>
            <w:lang w:eastAsia="de-DE"/>
          </w:rPr>
          <w:t>Single Market Programme</w:t>
        </w:r>
        <w:r>
          <w:rPr>
            <w:noProof/>
            <w:webHidden/>
          </w:rPr>
          <w:tab/>
        </w:r>
        <w:r>
          <w:rPr>
            <w:noProof/>
            <w:webHidden/>
          </w:rPr>
          <w:fldChar w:fldCharType="begin"/>
        </w:r>
        <w:r>
          <w:rPr>
            <w:noProof/>
            <w:webHidden/>
          </w:rPr>
          <w:instrText xml:space="preserve"> PAGEREF _Toc56009572 \h </w:instrText>
        </w:r>
        <w:r>
          <w:rPr>
            <w:noProof/>
            <w:webHidden/>
          </w:rPr>
        </w:r>
        <w:r>
          <w:rPr>
            <w:noProof/>
            <w:webHidden/>
          </w:rPr>
          <w:fldChar w:fldCharType="separate"/>
        </w:r>
        <w:r>
          <w:rPr>
            <w:noProof/>
            <w:webHidden/>
          </w:rPr>
          <w:t>24</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73" w:history="1">
        <w:r>
          <w:rPr>
            <w:rStyle w:val="Hyperlink"/>
            <w:rFonts w:eastAsia="Calibri"/>
            <w:i/>
            <w:noProof/>
            <w:lang w:eastAsia="de-DE"/>
          </w:rPr>
          <w:t>8.</w:t>
        </w:r>
        <w:r>
          <w:rPr>
            <w:rStyle w:val="Hyperlink"/>
            <w:rFonts w:eastAsia="Calibri"/>
            <w:i/>
            <w:noProof/>
            <w:lang w:eastAsia="de-DE"/>
          </w:rPr>
          <w:t xml:space="preserve">2.3 </w:t>
        </w:r>
        <w:r>
          <w:rPr>
            <w:rFonts w:asciiTheme="minorHAnsi" w:eastAsiaTheme="minorEastAsia" w:hAnsiTheme="minorHAnsi" w:cstheme="minorBidi"/>
            <w:smallCaps w:val="0"/>
            <w:noProof/>
            <w:sz w:val="22"/>
            <w:szCs w:val="22"/>
            <w:lang w:val="cs-CZ" w:eastAsia="cs-CZ"/>
          </w:rPr>
          <w:tab/>
        </w:r>
        <w:r>
          <w:rPr>
            <w:rStyle w:val="Hyperlink"/>
            <w:rFonts w:eastAsia="Calibri"/>
            <w:i/>
            <w:noProof/>
            <w:lang w:eastAsia="de-DE"/>
          </w:rPr>
          <w:t>Social policy (including social dialogue)</w:t>
        </w:r>
        <w:r>
          <w:rPr>
            <w:noProof/>
            <w:webHidden/>
          </w:rPr>
          <w:tab/>
        </w:r>
        <w:r>
          <w:rPr>
            <w:noProof/>
            <w:webHidden/>
          </w:rPr>
          <w:fldChar w:fldCharType="begin"/>
        </w:r>
        <w:r>
          <w:rPr>
            <w:noProof/>
            <w:webHidden/>
          </w:rPr>
          <w:instrText xml:space="preserve"> PAGEREF _Toc56009573 \h </w:instrText>
        </w:r>
        <w:r>
          <w:rPr>
            <w:noProof/>
            <w:webHidden/>
          </w:rPr>
        </w:r>
        <w:r>
          <w:rPr>
            <w:noProof/>
            <w:webHidden/>
          </w:rPr>
          <w:fldChar w:fldCharType="separate"/>
        </w:r>
        <w:r>
          <w:rPr>
            <w:noProof/>
            <w:webHidden/>
          </w:rPr>
          <w:t>24</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74" w:history="1">
        <w:r>
          <w:rPr>
            <w:rStyle w:val="Hyperlink"/>
            <w:rFonts w:eastAsia="Calibri"/>
            <w:i/>
            <w:noProof/>
            <w:lang w:eastAsia="de-DE"/>
          </w:rPr>
          <w:t>8.2.4</w:t>
        </w:r>
        <w:r>
          <w:rPr>
            <w:rFonts w:asciiTheme="minorHAnsi" w:eastAsiaTheme="minorEastAsia" w:hAnsiTheme="minorHAnsi" w:cstheme="minorBidi"/>
            <w:smallCaps w:val="0"/>
            <w:noProof/>
            <w:sz w:val="22"/>
            <w:szCs w:val="22"/>
            <w:lang w:val="cs-CZ" w:eastAsia="cs-CZ"/>
          </w:rPr>
          <w:tab/>
        </w:r>
        <w:r>
          <w:rPr>
            <w:rStyle w:val="Hyperlink"/>
            <w:rFonts w:eastAsia="Calibri"/>
            <w:i/>
            <w:noProof/>
            <w:lang w:eastAsia="de-DE"/>
          </w:rPr>
          <w:t xml:space="preserve">Extension of the European High Performance Computing Joint Undertaking </w:t>
        </w:r>
        <w:r>
          <w:rPr>
            <w:rStyle w:val="Hyperlink"/>
            <w:rFonts w:eastAsia="Calibri"/>
            <w:i/>
            <w:noProof/>
            <w:lang w:eastAsia="de-DE"/>
          </w:rPr>
          <w:t>(EuroHPC)</w:t>
        </w:r>
        <w:r>
          <w:rPr>
            <w:noProof/>
            <w:webHidden/>
          </w:rPr>
          <w:tab/>
        </w:r>
        <w:r>
          <w:rPr>
            <w:noProof/>
            <w:webHidden/>
          </w:rPr>
          <w:fldChar w:fldCharType="begin"/>
        </w:r>
        <w:r>
          <w:rPr>
            <w:noProof/>
            <w:webHidden/>
          </w:rPr>
          <w:instrText xml:space="preserve"> PAGEREF _Toc56009574 \h </w:instrText>
        </w:r>
        <w:r>
          <w:rPr>
            <w:noProof/>
            <w:webHidden/>
          </w:rPr>
        </w:r>
        <w:r>
          <w:rPr>
            <w:noProof/>
            <w:webHidden/>
          </w:rPr>
          <w:fldChar w:fldCharType="separate"/>
        </w:r>
        <w:r>
          <w:rPr>
            <w:noProof/>
            <w:webHidden/>
          </w:rPr>
          <w:t>25</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75" w:history="1">
        <w:r>
          <w:rPr>
            <w:rStyle w:val="Hyperlink"/>
            <w:rFonts w:eastAsia="Calibri"/>
            <w:i/>
            <w:noProof/>
            <w:lang w:eastAsia="de-DE"/>
          </w:rPr>
          <w:t xml:space="preserve">8.2.5 </w:t>
        </w:r>
        <w:r>
          <w:rPr>
            <w:rFonts w:asciiTheme="minorHAnsi" w:eastAsiaTheme="minorEastAsia" w:hAnsiTheme="minorHAnsi" w:cstheme="minorBidi"/>
            <w:smallCaps w:val="0"/>
            <w:noProof/>
            <w:sz w:val="22"/>
            <w:szCs w:val="22"/>
            <w:lang w:val="cs-CZ" w:eastAsia="cs-CZ"/>
          </w:rPr>
          <w:tab/>
        </w:r>
        <w:r>
          <w:rPr>
            <w:rStyle w:val="Hyperlink"/>
            <w:rFonts w:eastAsia="Calibri"/>
            <w:i/>
            <w:noProof/>
            <w:lang w:eastAsia="de-DE"/>
          </w:rPr>
          <w:t>Creation of new budget lines for the two consultative bodies</w:t>
        </w:r>
        <w:r>
          <w:rPr>
            <w:noProof/>
            <w:webHidden/>
          </w:rPr>
          <w:tab/>
        </w:r>
        <w:r>
          <w:rPr>
            <w:noProof/>
            <w:webHidden/>
          </w:rPr>
          <w:fldChar w:fldCharType="begin"/>
        </w:r>
        <w:r>
          <w:rPr>
            <w:noProof/>
            <w:webHidden/>
          </w:rPr>
          <w:instrText xml:space="preserve"> PAGEREF _Toc56009575 \h </w:instrText>
        </w:r>
        <w:r>
          <w:rPr>
            <w:noProof/>
            <w:webHidden/>
          </w:rPr>
        </w:r>
        <w:r>
          <w:rPr>
            <w:noProof/>
            <w:webHidden/>
          </w:rPr>
          <w:fldChar w:fldCharType="separate"/>
        </w:r>
        <w:r>
          <w:rPr>
            <w:noProof/>
            <w:webHidden/>
          </w:rPr>
          <w:t>25</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76" w:history="1">
        <w:r>
          <w:rPr>
            <w:rStyle w:val="Hyperlink"/>
            <w:rFonts w:eastAsia="Calibri"/>
            <w:i/>
            <w:noProof/>
            <w:lang w:eastAsia="de-DE"/>
          </w:rPr>
          <w:t xml:space="preserve">8.2.6 </w:t>
        </w:r>
        <w:r>
          <w:rPr>
            <w:rFonts w:asciiTheme="minorHAnsi" w:eastAsiaTheme="minorEastAsia" w:hAnsiTheme="minorHAnsi" w:cstheme="minorBidi"/>
            <w:smallCaps w:val="0"/>
            <w:noProof/>
            <w:sz w:val="22"/>
            <w:szCs w:val="22"/>
            <w:lang w:val="cs-CZ" w:eastAsia="cs-CZ"/>
          </w:rPr>
          <w:tab/>
        </w:r>
        <w:r>
          <w:rPr>
            <w:rStyle w:val="Hyperlink"/>
            <w:rFonts w:eastAsia="Calibri"/>
            <w:i/>
            <w:noProof/>
            <w:lang w:eastAsia="de-DE"/>
          </w:rPr>
          <w:t>Deletion of budget lines in the section of the European Data Protection Supervisor</w:t>
        </w:r>
        <w:r>
          <w:rPr>
            <w:noProof/>
            <w:webHidden/>
          </w:rPr>
          <w:tab/>
        </w:r>
        <w:r>
          <w:rPr>
            <w:noProof/>
            <w:webHidden/>
          </w:rPr>
          <w:fldChar w:fldCharType="begin"/>
        </w:r>
        <w:r>
          <w:rPr>
            <w:noProof/>
            <w:webHidden/>
          </w:rPr>
          <w:instrText xml:space="preserve"> PAGEREF _Toc56009576 \h </w:instrText>
        </w:r>
        <w:r>
          <w:rPr>
            <w:noProof/>
            <w:webHidden/>
          </w:rPr>
        </w:r>
        <w:r>
          <w:rPr>
            <w:noProof/>
            <w:webHidden/>
          </w:rPr>
          <w:fldChar w:fldCharType="separate"/>
        </w:r>
        <w:r>
          <w:rPr>
            <w:noProof/>
            <w:webHidden/>
          </w:rPr>
          <w:t>25</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77" w:history="1">
        <w:r>
          <w:rPr>
            <w:rStyle w:val="Hyperlink"/>
            <w:rFonts w:eastAsia="Calibri"/>
            <w:b/>
            <w:noProof/>
            <w:lang w:val="en-US" w:eastAsia="en-US"/>
          </w:rPr>
          <w:t xml:space="preserve">8.3 </w:t>
        </w:r>
        <w:r>
          <w:rPr>
            <w:rFonts w:asciiTheme="minorHAnsi" w:eastAsiaTheme="minorEastAsia" w:hAnsiTheme="minorHAnsi" w:cstheme="minorBidi"/>
            <w:smallCaps w:val="0"/>
            <w:noProof/>
            <w:sz w:val="22"/>
            <w:szCs w:val="22"/>
            <w:lang w:val="cs-CZ" w:eastAsia="cs-CZ"/>
          </w:rPr>
          <w:tab/>
        </w:r>
        <w:r>
          <w:rPr>
            <w:rStyle w:val="Hyperlink"/>
            <w:rFonts w:eastAsia="Calibri"/>
            <w:b/>
            <w:noProof/>
            <w:lang w:val="en-US" w:eastAsia="en-US"/>
          </w:rPr>
          <w:t>Technical updates</w:t>
        </w:r>
        <w:r>
          <w:rPr>
            <w:noProof/>
            <w:webHidden/>
          </w:rPr>
          <w:tab/>
        </w:r>
        <w:r>
          <w:rPr>
            <w:noProof/>
            <w:webHidden/>
          </w:rPr>
          <w:fldChar w:fldCharType="begin"/>
        </w:r>
        <w:r>
          <w:rPr>
            <w:noProof/>
            <w:webHidden/>
          </w:rPr>
          <w:instrText xml:space="preserve"> PAGEREF _Toc56009577 \h </w:instrText>
        </w:r>
        <w:r>
          <w:rPr>
            <w:noProof/>
            <w:webHidden/>
          </w:rPr>
        </w:r>
        <w:r>
          <w:rPr>
            <w:noProof/>
            <w:webHidden/>
          </w:rPr>
          <w:fldChar w:fldCharType="separate"/>
        </w:r>
        <w:r>
          <w:rPr>
            <w:noProof/>
            <w:webHidden/>
          </w:rPr>
          <w:t>25</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78" w:history="1">
        <w:r>
          <w:rPr>
            <w:rStyle w:val="Hyperlink"/>
            <w:rFonts w:eastAsia="Calibri"/>
            <w:i/>
            <w:noProof/>
            <w:lang w:eastAsia="de-DE"/>
          </w:rPr>
          <w:t xml:space="preserve">8.3.1 </w:t>
        </w:r>
        <w:r>
          <w:rPr>
            <w:rFonts w:asciiTheme="minorHAnsi" w:eastAsiaTheme="minorEastAsia" w:hAnsiTheme="minorHAnsi" w:cstheme="minorBidi"/>
            <w:smallCaps w:val="0"/>
            <w:noProof/>
            <w:sz w:val="22"/>
            <w:szCs w:val="22"/>
            <w:lang w:val="cs-CZ" w:eastAsia="cs-CZ"/>
          </w:rPr>
          <w:tab/>
        </w:r>
        <w:r>
          <w:rPr>
            <w:rStyle w:val="Hyperlink"/>
            <w:rFonts w:eastAsia="Calibri"/>
            <w:i/>
            <w:noProof/>
            <w:lang w:eastAsia="de-DE"/>
          </w:rPr>
          <w:t>Modification of the establishment plans fur</w:t>
        </w:r>
        <w:r>
          <w:rPr>
            <w:rStyle w:val="Hyperlink"/>
            <w:rFonts w:eastAsia="Calibri"/>
            <w:i/>
            <w:noProof/>
            <w:lang w:eastAsia="de-DE"/>
          </w:rPr>
          <w:t>ther to the recourse to Article 53(1) of the Financial Regulation</w:t>
        </w:r>
        <w:r>
          <w:rPr>
            <w:noProof/>
            <w:webHidden/>
          </w:rPr>
          <w:tab/>
        </w:r>
        <w:r>
          <w:rPr>
            <w:noProof/>
            <w:webHidden/>
          </w:rPr>
          <w:fldChar w:fldCharType="begin"/>
        </w:r>
        <w:r>
          <w:rPr>
            <w:noProof/>
            <w:webHidden/>
          </w:rPr>
          <w:instrText xml:space="preserve"> PAGEREF _Toc56009578 \h </w:instrText>
        </w:r>
        <w:r>
          <w:rPr>
            <w:noProof/>
            <w:webHidden/>
          </w:rPr>
        </w:r>
        <w:r>
          <w:rPr>
            <w:noProof/>
            <w:webHidden/>
          </w:rPr>
          <w:fldChar w:fldCharType="separate"/>
        </w:r>
        <w:r>
          <w:rPr>
            <w:noProof/>
            <w:webHidden/>
          </w:rPr>
          <w:t>25</w:t>
        </w:r>
        <w:r>
          <w:rPr>
            <w:noProof/>
            <w:webHidden/>
          </w:rPr>
          <w:fldChar w:fldCharType="end"/>
        </w:r>
      </w:hyperlink>
    </w:p>
    <w:p w:rsidR="00E473EF" w:rsidRDefault="00CE451E">
      <w:pPr>
        <w:pStyle w:val="TOC2"/>
        <w:spacing w:before="0" w:after="0"/>
        <w:rPr>
          <w:rFonts w:asciiTheme="minorHAnsi" w:eastAsiaTheme="minorEastAsia" w:hAnsiTheme="minorHAnsi" w:cstheme="minorBidi"/>
          <w:smallCaps w:val="0"/>
          <w:noProof/>
          <w:sz w:val="22"/>
          <w:szCs w:val="22"/>
          <w:lang w:val="cs-CZ" w:eastAsia="cs-CZ"/>
        </w:rPr>
      </w:pPr>
      <w:hyperlink w:anchor="_Toc56009579" w:history="1">
        <w:r>
          <w:rPr>
            <w:rStyle w:val="Hyperlink"/>
            <w:rFonts w:eastAsia="Calibri"/>
            <w:i/>
            <w:noProof/>
            <w:lang w:eastAsia="de-DE"/>
          </w:rPr>
          <w:t>8.3.1</w:t>
        </w:r>
        <w:r>
          <w:rPr>
            <w:rFonts w:asciiTheme="minorHAnsi" w:eastAsiaTheme="minorEastAsia" w:hAnsiTheme="minorHAnsi" w:cstheme="minorBidi"/>
            <w:smallCaps w:val="0"/>
            <w:noProof/>
            <w:sz w:val="22"/>
            <w:szCs w:val="22"/>
            <w:lang w:val="cs-CZ" w:eastAsia="cs-CZ"/>
          </w:rPr>
          <w:tab/>
        </w:r>
        <w:r>
          <w:rPr>
            <w:rStyle w:val="Hyperlink"/>
            <w:rFonts w:eastAsia="Calibri"/>
            <w:i/>
            <w:noProof/>
            <w:lang w:eastAsia="de-DE"/>
          </w:rPr>
          <w:t>Modification of the text of some budget remarks</w:t>
        </w:r>
        <w:r>
          <w:rPr>
            <w:noProof/>
            <w:webHidden/>
          </w:rPr>
          <w:tab/>
        </w:r>
        <w:r>
          <w:rPr>
            <w:noProof/>
            <w:webHidden/>
          </w:rPr>
          <w:fldChar w:fldCharType="begin"/>
        </w:r>
        <w:r>
          <w:rPr>
            <w:noProof/>
            <w:webHidden/>
          </w:rPr>
          <w:instrText xml:space="preserve"> PAGEREF _</w:instrText>
        </w:r>
        <w:r>
          <w:rPr>
            <w:noProof/>
            <w:webHidden/>
          </w:rPr>
          <w:instrText xml:space="preserve">Toc56009579 \h </w:instrText>
        </w:r>
        <w:r>
          <w:rPr>
            <w:noProof/>
            <w:webHidden/>
          </w:rPr>
        </w:r>
        <w:r>
          <w:rPr>
            <w:noProof/>
            <w:webHidden/>
          </w:rPr>
          <w:fldChar w:fldCharType="separate"/>
        </w:r>
        <w:r>
          <w:rPr>
            <w:noProof/>
            <w:webHidden/>
          </w:rPr>
          <w:t>25</w:t>
        </w:r>
        <w:r>
          <w:rPr>
            <w:noProof/>
            <w:webHidden/>
          </w:rPr>
          <w:fldChar w:fldCharType="end"/>
        </w:r>
      </w:hyperlink>
    </w:p>
    <w:p w:rsidR="00E473EF" w:rsidRDefault="00CE451E">
      <w:pPr>
        <w:pStyle w:val="TOC1"/>
        <w:tabs>
          <w:tab w:val="left" w:pos="709"/>
          <w:tab w:val="right" w:leader="dot" w:pos="9061"/>
        </w:tabs>
        <w:spacing w:before="0" w:after="0"/>
        <w:rPr>
          <w:rFonts w:asciiTheme="minorHAnsi" w:eastAsiaTheme="minorEastAsia" w:hAnsiTheme="minorHAnsi" w:cstheme="minorBidi"/>
          <w:b w:val="0"/>
          <w:bCs w:val="0"/>
          <w:caps w:val="0"/>
          <w:noProof/>
          <w:sz w:val="22"/>
          <w:szCs w:val="22"/>
          <w:lang w:val="cs-CZ" w:eastAsia="cs-CZ"/>
        </w:rPr>
      </w:pPr>
      <w:hyperlink w:anchor="_Toc56009580" w:history="1">
        <w:r>
          <w:rPr>
            <w:rStyle w:val="Hyperlink"/>
            <w:noProof/>
          </w:rPr>
          <w:t>9.</w:t>
        </w:r>
        <w:r>
          <w:rPr>
            <w:rFonts w:asciiTheme="minorHAnsi" w:eastAsiaTheme="minorEastAsia" w:hAnsiTheme="minorHAnsi" w:cstheme="minorBidi"/>
            <w:b w:val="0"/>
            <w:bCs w:val="0"/>
            <w:caps w:val="0"/>
            <w:noProof/>
            <w:sz w:val="22"/>
            <w:szCs w:val="22"/>
            <w:lang w:val="cs-CZ" w:eastAsia="cs-CZ"/>
          </w:rPr>
          <w:tab/>
        </w:r>
        <w:r>
          <w:rPr>
            <w:rStyle w:val="Hyperlink"/>
            <w:noProof/>
          </w:rPr>
          <w:t>Summary Table by MFF Heading</w:t>
        </w:r>
        <w:r>
          <w:rPr>
            <w:noProof/>
            <w:webHidden/>
          </w:rPr>
          <w:tab/>
        </w:r>
        <w:r>
          <w:rPr>
            <w:noProof/>
            <w:webHidden/>
          </w:rPr>
          <w:fldChar w:fldCharType="begin"/>
        </w:r>
        <w:r>
          <w:rPr>
            <w:noProof/>
            <w:webHidden/>
          </w:rPr>
          <w:instrText xml:space="preserve"> PAGEREF _Toc56009580 \h </w:instrText>
        </w:r>
        <w:r>
          <w:rPr>
            <w:noProof/>
            <w:webHidden/>
          </w:rPr>
        </w:r>
        <w:r>
          <w:rPr>
            <w:noProof/>
            <w:webHidden/>
          </w:rPr>
          <w:fldChar w:fldCharType="separate"/>
        </w:r>
        <w:r>
          <w:rPr>
            <w:noProof/>
            <w:webHidden/>
          </w:rPr>
          <w:t>26</w:t>
        </w:r>
        <w:r>
          <w:rPr>
            <w:noProof/>
            <w:webHidden/>
          </w:rPr>
          <w:fldChar w:fldCharType="end"/>
        </w:r>
      </w:hyperlink>
    </w:p>
    <w:p w:rsidR="00E473EF" w:rsidRDefault="00CE451E">
      <w:pPr>
        <w:rPr>
          <w:noProof/>
          <w:sz w:val="18"/>
          <w:szCs w:val="18"/>
          <w:lang w:eastAsia="de-DE"/>
        </w:rPr>
        <w:sectPr w:rsidR="00E473EF">
          <w:headerReference w:type="even" r:id="rId22"/>
          <w:headerReference w:type="default" r:id="rId23"/>
          <w:footerReference w:type="even" r:id="rId24"/>
          <w:footerReference w:type="default" r:id="rId25"/>
          <w:headerReference w:type="first" r:id="rId26"/>
          <w:footerReference w:type="first" r:id="rId27"/>
          <w:pgSz w:w="11907" w:h="16839"/>
          <w:pgMar w:top="826" w:right="1418" w:bottom="1418" w:left="1418" w:header="284" w:footer="709" w:gutter="0"/>
          <w:cols w:space="720"/>
        </w:sectPr>
      </w:pPr>
      <w:r>
        <w:rPr>
          <w:rFonts w:ascii="10" w:hAnsi="10"/>
          <w:noProof/>
          <w:sz w:val="18"/>
          <w:szCs w:val="18"/>
        </w:rPr>
        <w:fldChar w:fldCharType="end"/>
      </w:r>
    </w:p>
    <w:p w:rsidR="00E473EF" w:rsidRDefault="00CE451E">
      <w:pPr>
        <w:pStyle w:val="ManualHeading1"/>
        <w:spacing w:before="240"/>
        <w:ind w:left="0" w:firstLine="0"/>
        <w:rPr>
          <w:noProof/>
        </w:rPr>
      </w:pPr>
      <w:bookmarkStart w:id="8" w:name="_Toc462410042"/>
      <w:bookmarkStart w:id="9" w:name="_Toc526753779"/>
      <w:bookmarkStart w:id="10" w:name="_Toc54770308"/>
      <w:bookmarkStart w:id="11" w:name="_Toc55807118"/>
      <w:bookmarkStart w:id="12" w:name="_Toc56009530"/>
      <w:bookmarkStart w:id="13" w:name="_Toc385506031"/>
      <w:bookmarkStart w:id="14" w:name="_Toc430865946"/>
      <w:bookmarkStart w:id="15" w:name="_Toc430867524"/>
      <w:bookmarkStart w:id="16" w:name="_Toc463264162"/>
      <w:bookmarkStart w:id="17" w:name="_Toc351469332"/>
      <w:bookmarkStart w:id="18" w:name="_Toc361649879"/>
      <w:r>
        <w:rPr>
          <w:noProof/>
        </w:rPr>
        <w:t>1.</w:t>
      </w:r>
      <w:r>
        <w:rPr>
          <w:noProof/>
        </w:rPr>
        <w:tab/>
      </w:r>
      <w:bookmarkEnd w:id="8"/>
      <w:bookmarkEnd w:id="9"/>
      <w:bookmarkEnd w:id="10"/>
      <w:bookmarkEnd w:id="11"/>
      <w:r>
        <w:rPr>
          <w:noProof/>
        </w:rPr>
        <w:t>Introduction</w:t>
      </w:r>
      <w:bookmarkEnd w:id="12"/>
    </w:p>
    <w:bookmarkEnd w:id="2"/>
    <w:bookmarkEnd w:id="3"/>
    <w:bookmarkEnd w:id="4"/>
    <w:bookmarkEnd w:id="5"/>
    <w:bookmarkEnd w:id="6"/>
    <w:bookmarkEnd w:id="7"/>
    <w:bookmarkEnd w:id="13"/>
    <w:bookmarkEnd w:id="14"/>
    <w:bookmarkEnd w:id="15"/>
    <w:bookmarkEnd w:id="16"/>
    <w:bookmarkEnd w:id="17"/>
    <w:bookmarkEnd w:id="18"/>
    <w:p w:rsidR="00E473EF" w:rsidRDefault="00CE451E">
      <w:pPr>
        <w:spacing w:before="120" w:after="120"/>
        <w:jc w:val="both"/>
        <w:rPr>
          <w:noProof/>
          <w:szCs w:val="20"/>
          <w:lang w:eastAsia="de-DE"/>
        </w:rPr>
      </w:pPr>
      <w:r>
        <w:rPr>
          <w:noProof/>
          <w:szCs w:val="20"/>
          <w:lang w:eastAsia="de-DE"/>
        </w:rPr>
        <w:t>Amending Letter No 1 (AL 1/2021) to the draft budget for the year 2021 (DB 2021) covers the following elements:</w:t>
      </w:r>
    </w:p>
    <w:p w:rsidR="00E473EF" w:rsidRDefault="00CE451E">
      <w:pPr>
        <w:numPr>
          <w:ilvl w:val="0"/>
          <w:numId w:val="10"/>
        </w:numPr>
        <w:spacing w:before="120" w:after="120"/>
        <w:jc w:val="both"/>
        <w:rPr>
          <w:noProof/>
          <w:szCs w:val="20"/>
          <w:lang w:eastAsia="de-DE"/>
        </w:rPr>
      </w:pPr>
      <w:r>
        <w:rPr>
          <w:noProof/>
          <w:szCs w:val="20"/>
          <w:lang w:eastAsia="de-DE"/>
        </w:rPr>
        <w:t xml:space="preserve">The incorporation of the agreement reached between the European Parliament and the Council on the next </w:t>
      </w:r>
      <w:r>
        <w:rPr>
          <w:noProof/>
          <w:szCs w:val="20"/>
          <w:lang w:eastAsia="de-DE"/>
        </w:rPr>
        <w:t>Multiannual Financial Framework 2021-2027 (“MFF”) in the trilogue on 10 November. This outcome builds on the agreement reached during the Special European Council (EUCO) of 17-21 July</w:t>
      </w:r>
      <w:r>
        <w:rPr>
          <w:rStyle w:val="FootnoteReference"/>
          <w:noProof/>
          <w:szCs w:val="20"/>
          <w:lang w:eastAsia="de-DE"/>
        </w:rPr>
        <w:footnoteReference w:id="4"/>
      </w:r>
      <w:r>
        <w:rPr>
          <w:noProof/>
          <w:szCs w:val="20"/>
          <w:lang w:eastAsia="de-DE"/>
        </w:rPr>
        <w:t xml:space="preserve"> and impacts a number of spending programmes and special instruments in </w:t>
      </w:r>
      <w:r>
        <w:rPr>
          <w:noProof/>
          <w:szCs w:val="20"/>
          <w:lang w:eastAsia="de-DE"/>
        </w:rPr>
        <w:t>terms of level of appropriations, structure of headings and nomenclature as well as the content of budget remarks (in particular as regards the contribution of the plan for European Recovery, “Next Generation EU”).</w:t>
      </w:r>
    </w:p>
    <w:p w:rsidR="00E473EF" w:rsidRDefault="00CE451E">
      <w:pPr>
        <w:numPr>
          <w:ilvl w:val="0"/>
          <w:numId w:val="10"/>
        </w:numPr>
        <w:spacing w:before="120" w:after="120"/>
        <w:jc w:val="both"/>
        <w:rPr>
          <w:noProof/>
          <w:szCs w:val="20"/>
          <w:lang w:eastAsia="de-DE"/>
        </w:rPr>
      </w:pPr>
      <w:r>
        <w:rPr>
          <w:noProof/>
        </w:rPr>
        <w:t>The updating of the estimated needs, assi</w:t>
      </w:r>
      <w:r>
        <w:rPr>
          <w:noProof/>
        </w:rPr>
        <w:t>gned revenue and appropriations for agricultural expenditure. In addition to changing market factors, AL 1/2021 also incorporates the impact of decisions in the agricultural sector since the DB 2021 was adopted in July 2020, as well as other proposals expe</w:t>
      </w:r>
      <w:r>
        <w:rPr>
          <w:noProof/>
        </w:rPr>
        <w:t>cted to have a significant effect during the budget year;</w:t>
      </w:r>
    </w:p>
    <w:p w:rsidR="00E473EF" w:rsidRDefault="00CE451E">
      <w:pPr>
        <w:numPr>
          <w:ilvl w:val="0"/>
          <w:numId w:val="10"/>
        </w:numPr>
        <w:spacing w:before="120" w:after="120"/>
        <w:jc w:val="both"/>
        <w:rPr>
          <w:noProof/>
          <w:szCs w:val="20"/>
          <w:lang w:eastAsia="de-DE"/>
        </w:rPr>
      </w:pPr>
      <w:r>
        <w:rPr>
          <w:noProof/>
          <w:szCs w:val="20"/>
          <w:lang w:eastAsia="de-DE"/>
        </w:rPr>
        <w:t xml:space="preserve">Adjustments resulting from the upcoming </w:t>
      </w:r>
      <w:r>
        <w:rPr>
          <w:noProof/>
          <w:szCs w:val="20"/>
        </w:rPr>
        <w:t>submission to the Committee on Executive Agencies</w:t>
      </w:r>
      <w:r>
        <w:rPr>
          <w:rStyle w:val="FootnoteReference"/>
          <w:noProof/>
          <w:szCs w:val="20"/>
        </w:rPr>
        <w:footnoteReference w:id="5"/>
      </w:r>
      <w:r>
        <w:rPr>
          <w:noProof/>
          <w:szCs w:val="20"/>
        </w:rPr>
        <w:t xml:space="preserve"> for opinion, and to the Council and European Parliament for a six week scrutiny, of the proposal of a singl</w:t>
      </w:r>
      <w:r>
        <w:rPr>
          <w:noProof/>
          <w:szCs w:val="20"/>
        </w:rPr>
        <w:t xml:space="preserve">e establishment act setting out the major components of the mandate and tasks entrusted to the new generation of executive agencies as from 2021. These adjustments, in terms of nomenclature, appropriations and establishment plans, are still based on the </w:t>
      </w:r>
      <w:r>
        <w:rPr>
          <w:noProof/>
          <w:szCs w:val="20"/>
          <w:lang w:eastAsia="de-DE"/>
        </w:rPr>
        <w:t>ag</w:t>
      </w:r>
      <w:r>
        <w:rPr>
          <w:noProof/>
          <w:szCs w:val="20"/>
          <w:lang w:eastAsia="de-DE"/>
        </w:rPr>
        <w:t>reement reached during the Special European Council (EUCO) of 17-21 July and will be further updated to reflect the political agreement on the next MFF once the single establishment act is finalised</w:t>
      </w:r>
      <w:r>
        <w:rPr>
          <w:rFonts w:ascii="Open Sans" w:hAnsi="Open Sans"/>
          <w:noProof/>
          <w:color w:val="003F59"/>
          <w:sz w:val="21"/>
          <w:szCs w:val="21"/>
        </w:rPr>
        <w:t>;</w:t>
      </w:r>
    </w:p>
    <w:p w:rsidR="00E473EF" w:rsidRDefault="00CE451E">
      <w:pPr>
        <w:numPr>
          <w:ilvl w:val="0"/>
          <w:numId w:val="10"/>
        </w:numPr>
        <w:spacing w:before="120" w:after="120"/>
        <w:jc w:val="both"/>
        <w:rPr>
          <w:noProof/>
          <w:szCs w:val="20"/>
          <w:lang w:eastAsia="de-DE"/>
        </w:rPr>
      </w:pPr>
      <w:r>
        <w:rPr>
          <w:noProof/>
          <w:szCs w:val="20"/>
          <w:lang w:eastAsia="de-DE"/>
        </w:rPr>
        <w:t xml:space="preserve">Adjustments to the level of appropriations and/or staff </w:t>
      </w:r>
      <w:r>
        <w:rPr>
          <w:noProof/>
          <w:szCs w:val="20"/>
          <w:lang w:eastAsia="de-DE"/>
        </w:rPr>
        <w:t xml:space="preserve">of some decentralised agencies (EMA, ECDC, ECHA, EEA, EBA and EASO) taking into account the latest legislative or political developments on their operations for 2021 and in particular the impact of the proposed “Health Package” tabled by the Commission on </w:t>
      </w:r>
      <w:r>
        <w:rPr>
          <w:noProof/>
          <w:szCs w:val="20"/>
          <w:lang w:eastAsia="de-DE"/>
        </w:rPr>
        <w:t>11 November;</w:t>
      </w:r>
    </w:p>
    <w:p w:rsidR="00E473EF" w:rsidRDefault="00CE451E">
      <w:pPr>
        <w:numPr>
          <w:ilvl w:val="0"/>
          <w:numId w:val="10"/>
        </w:numPr>
        <w:spacing w:before="120" w:after="120"/>
        <w:jc w:val="both"/>
        <w:rPr>
          <w:noProof/>
        </w:rPr>
      </w:pPr>
      <w:r>
        <w:rPr>
          <w:noProof/>
        </w:rPr>
        <w:t>Adjustments to the heading 7 “European Public Administration”, including the impact of the reduction of the salary update rate as of 1 July 2020 used for the DB 2021 from 0,9 % to 0,7 % and the reinforcement of the European External Action Ser</w:t>
      </w:r>
      <w:r>
        <w:rPr>
          <w:noProof/>
        </w:rPr>
        <w:t>vice (EEAS) for the governance of the off-budget European Peace Facility (EPF) as well as strengthening the consular services); and</w:t>
      </w:r>
    </w:p>
    <w:p w:rsidR="00E473EF" w:rsidRDefault="00CE451E">
      <w:pPr>
        <w:numPr>
          <w:ilvl w:val="0"/>
          <w:numId w:val="10"/>
        </w:numPr>
        <w:spacing w:before="120" w:after="120"/>
        <w:jc w:val="both"/>
        <w:rPr>
          <w:noProof/>
          <w:szCs w:val="20"/>
          <w:lang w:eastAsia="de-DE"/>
        </w:rPr>
      </w:pPr>
      <w:r>
        <w:rPr>
          <w:noProof/>
        </w:rPr>
        <w:t>Other adjustments and technical updates, including to the structure of the budget (nomenclature).</w:t>
      </w:r>
    </w:p>
    <w:p w:rsidR="00E473EF" w:rsidRDefault="00CE451E">
      <w:pPr>
        <w:spacing w:after="200"/>
        <w:jc w:val="both"/>
        <w:rPr>
          <w:noProof/>
          <w:szCs w:val="20"/>
          <w:lang w:eastAsia="de-DE"/>
        </w:rPr>
      </w:pPr>
      <w:bookmarkStart w:id="19" w:name="_Toc463264163"/>
      <w:r>
        <w:rPr>
          <w:noProof/>
          <w:szCs w:val="20"/>
          <w:lang w:eastAsia="de-DE"/>
        </w:rPr>
        <w:t>Overall, the net impact of</w:t>
      </w:r>
      <w:r>
        <w:rPr>
          <w:noProof/>
          <w:szCs w:val="20"/>
          <w:lang w:eastAsia="de-DE"/>
        </w:rPr>
        <w:t xml:space="preserve"> AL 1/2021 on expenditure in the DB 2021 is a decrease of EUR 2 608,8 million in commitment appropriations and an increase of EUR 2 609,3 million in payment appropriations, which can be broken down into the following components:</w:t>
      </w:r>
    </w:p>
    <w:tbl>
      <w:tblPr>
        <w:tblW w:w="9840" w:type="dxa"/>
        <w:tblInd w:w="108" w:type="dxa"/>
        <w:tblLook w:val="04A0" w:firstRow="1" w:lastRow="0" w:firstColumn="1" w:lastColumn="0" w:noHBand="0" w:noVBand="1"/>
      </w:tblPr>
      <w:tblGrid>
        <w:gridCol w:w="6360"/>
        <w:gridCol w:w="1780"/>
        <w:gridCol w:w="1700"/>
      </w:tblGrid>
      <w:tr w:rsidR="00E473EF">
        <w:trPr>
          <w:trHeight w:val="300"/>
          <w:tblHeader/>
        </w:trPr>
        <w:tc>
          <w:tcPr>
            <w:tcW w:w="6360" w:type="dxa"/>
            <w:tcBorders>
              <w:top w:val="nil"/>
              <w:left w:val="nil"/>
              <w:bottom w:val="nil"/>
              <w:right w:val="nil"/>
            </w:tcBorders>
            <w:shd w:val="clear" w:color="auto" w:fill="auto"/>
            <w:noWrap/>
            <w:vAlign w:val="center"/>
            <w:hideMark/>
          </w:tcPr>
          <w:p w:rsidR="00E473EF" w:rsidRDefault="00E473EF">
            <w:pPr>
              <w:rPr>
                <w:noProof/>
                <w:sz w:val="20"/>
                <w:szCs w:val="20"/>
                <w:lang w:val="en-US" w:eastAsia="en-US"/>
              </w:rPr>
            </w:pPr>
            <w:bookmarkStart w:id="20" w:name="_Toc526753780"/>
          </w:p>
        </w:tc>
        <w:tc>
          <w:tcPr>
            <w:tcW w:w="1780" w:type="dxa"/>
            <w:tcBorders>
              <w:top w:val="nil"/>
              <w:left w:val="nil"/>
              <w:bottom w:val="nil"/>
              <w:right w:val="nil"/>
            </w:tcBorders>
            <w:shd w:val="clear" w:color="auto" w:fill="auto"/>
            <w:noWrap/>
            <w:vAlign w:val="center"/>
            <w:hideMark/>
          </w:tcPr>
          <w:p w:rsidR="00E473EF" w:rsidRDefault="00E473EF">
            <w:pPr>
              <w:rPr>
                <w:noProof/>
                <w:sz w:val="20"/>
                <w:szCs w:val="20"/>
                <w:lang w:val="en-US" w:eastAsia="en-US"/>
              </w:rPr>
            </w:pPr>
          </w:p>
        </w:tc>
        <w:tc>
          <w:tcPr>
            <w:tcW w:w="1700" w:type="dxa"/>
            <w:tcBorders>
              <w:top w:val="nil"/>
              <w:left w:val="nil"/>
              <w:bottom w:val="nil"/>
              <w:right w:val="nil"/>
            </w:tcBorders>
            <w:shd w:val="clear" w:color="auto" w:fill="auto"/>
            <w:noWrap/>
            <w:vAlign w:val="center"/>
            <w:hideMark/>
          </w:tcPr>
          <w:p w:rsidR="00E473EF" w:rsidRDefault="00CE451E">
            <w:pPr>
              <w:jc w:val="right"/>
              <w:rPr>
                <w:i/>
                <w:iCs/>
                <w:noProof/>
                <w:color w:val="000000"/>
                <w:sz w:val="16"/>
                <w:szCs w:val="16"/>
                <w:lang w:val="en-US" w:eastAsia="en-US"/>
              </w:rPr>
            </w:pPr>
            <w:r>
              <w:rPr>
                <w:i/>
                <w:iCs/>
                <w:noProof/>
                <w:color w:val="000000"/>
                <w:sz w:val="16"/>
                <w:szCs w:val="16"/>
                <w:lang w:val="en-US" w:eastAsia="en-US"/>
              </w:rPr>
              <w:t>(In EUR million)</w:t>
            </w:r>
          </w:p>
        </w:tc>
      </w:tr>
      <w:tr w:rsidR="00E473EF">
        <w:trPr>
          <w:trHeight w:val="300"/>
          <w:tblHeader/>
        </w:trPr>
        <w:tc>
          <w:tcPr>
            <w:tcW w:w="6360" w:type="dxa"/>
            <w:tcBorders>
              <w:top w:val="single" w:sz="4" w:space="0" w:color="auto"/>
              <w:left w:val="single" w:sz="4" w:space="0" w:color="auto"/>
              <w:bottom w:val="nil"/>
              <w:right w:val="single" w:sz="4" w:space="0" w:color="auto"/>
            </w:tcBorders>
            <w:shd w:val="clear" w:color="000000" w:fill="D9D9D9"/>
            <w:vAlign w:val="center"/>
            <w:hideMark/>
          </w:tcPr>
          <w:p w:rsidR="00E473EF" w:rsidRDefault="00CE451E">
            <w:pPr>
              <w:jc w:val="center"/>
              <w:rPr>
                <w:b/>
                <w:bCs/>
                <w:noProof/>
                <w:color w:val="000000"/>
                <w:sz w:val="22"/>
                <w:szCs w:val="22"/>
                <w:lang w:val="en-US" w:eastAsia="en-US"/>
              </w:rPr>
            </w:pPr>
            <w:r>
              <w:rPr>
                <w:b/>
                <w:bCs/>
                <w:noProof/>
                <w:color w:val="000000"/>
                <w:sz w:val="22"/>
                <w:szCs w:val="22"/>
                <w:lang w:val="en-US" w:eastAsia="en-US"/>
              </w:rPr>
              <w:t>Programme</w:t>
            </w:r>
          </w:p>
        </w:tc>
        <w:tc>
          <w:tcPr>
            <w:tcW w:w="1780" w:type="dxa"/>
            <w:tcBorders>
              <w:top w:val="single" w:sz="4" w:space="0" w:color="auto"/>
              <w:left w:val="nil"/>
              <w:bottom w:val="nil"/>
              <w:right w:val="single" w:sz="4" w:space="0" w:color="auto"/>
            </w:tcBorders>
            <w:shd w:val="clear" w:color="000000" w:fill="D9D9D9"/>
            <w:vAlign w:val="center"/>
            <w:hideMark/>
          </w:tcPr>
          <w:p w:rsidR="00E473EF" w:rsidRDefault="00CE451E">
            <w:pPr>
              <w:jc w:val="center"/>
              <w:rPr>
                <w:b/>
                <w:bCs/>
                <w:noProof/>
                <w:color w:val="000000"/>
                <w:sz w:val="22"/>
                <w:szCs w:val="22"/>
                <w:lang w:val="en-US" w:eastAsia="en-US"/>
              </w:rPr>
            </w:pPr>
            <w:r>
              <w:rPr>
                <w:b/>
                <w:bCs/>
                <w:noProof/>
                <w:color w:val="000000"/>
                <w:sz w:val="22"/>
                <w:szCs w:val="22"/>
                <w:lang w:val="en-US" w:eastAsia="en-US"/>
              </w:rPr>
              <w:t>Commitment appropriations</w:t>
            </w:r>
          </w:p>
        </w:tc>
        <w:tc>
          <w:tcPr>
            <w:tcW w:w="1700" w:type="dxa"/>
            <w:tcBorders>
              <w:top w:val="single" w:sz="4" w:space="0" w:color="auto"/>
              <w:left w:val="nil"/>
              <w:bottom w:val="nil"/>
              <w:right w:val="single" w:sz="4" w:space="0" w:color="auto"/>
            </w:tcBorders>
            <w:shd w:val="clear" w:color="000000" w:fill="D9D9D9"/>
            <w:vAlign w:val="center"/>
            <w:hideMark/>
          </w:tcPr>
          <w:p w:rsidR="00E473EF" w:rsidRDefault="00CE451E">
            <w:pPr>
              <w:jc w:val="center"/>
              <w:rPr>
                <w:b/>
                <w:bCs/>
                <w:noProof/>
                <w:color w:val="000000"/>
                <w:sz w:val="22"/>
                <w:szCs w:val="22"/>
                <w:lang w:val="en-US" w:eastAsia="en-US"/>
              </w:rPr>
            </w:pPr>
            <w:r>
              <w:rPr>
                <w:b/>
                <w:bCs/>
                <w:noProof/>
                <w:color w:val="000000"/>
                <w:sz w:val="22"/>
                <w:szCs w:val="22"/>
                <w:lang w:val="en-US" w:eastAsia="en-US"/>
              </w:rPr>
              <w:t>Payment appropriations</w:t>
            </w:r>
          </w:p>
        </w:tc>
      </w:tr>
      <w:tr w:rsidR="00E473EF">
        <w:trPr>
          <w:trHeight w:val="300"/>
        </w:trPr>
        <w:tc>
          <w:tcPr>
            <w:tcW w:w="6360" w:type="dxa"/>
            <w:tcBorders>
              <w:top w:val="single" w:sz="4" w:space="0" w:color="auto"/>
              <w:left w:val="single" w:sz="4" w:space="0" w:color="auto"/>
              <w:bottom w:val="nil"/>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Adjustments resulting from the EUCO agreement of July 2020</w:t>
            </w:r>
          </w:p>
        </w:tc>
        <w:tc>
          <w:tcPr>
            <w:tcW w:w="1780" w:type="dxa"/>
            <w:tcBorders>
              <w:top w:val="single" w:sz="4" w:space="0" w:color="auto"/>
              <w:left w:val="nil"/>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 </w:t>
            </w:r>
          </w:p>
        </w:tc>
        <w:tc>
          <w:tcPr>
            <w:tcW w:w="1700" w:type="dxa"/>
            <w:tcBorders>
              <w:top w:val="single" w:sz="4" w:space="0" w:color="auto"/>
              <w:left w:val="nil"/>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 </w:t>
            </w:r>
          </w:p>
        </w:tc>
      </w:tr>
      <w:tr w:rsidR="00E473EF">
        <w:trPr>
          <w:trHeight w:val="300"/>
        </w:trPr>
        <w:tc>
          <w:tcPr>
            <w:tcW w:w="6360" w:type="dxa"/>
            <w:tcBorders>
              <w:top w:val="nil"/>
              <w:left w:val="single" w:sz="4" w:space="0" w:color="auto"/>
              <w:bottom w:val="nil"/>
              <w:right w:val="single" w:sz="4" w:space="0" w:color="auto"/>
            </w:tcBorders>
            <w:shd w:val="clear" w:color="auto" w:fill="auto"/>
            <w:vAlign w:val="center"/>
            <w:hideMark/>
          </w:tcPr>
          <w:p w:rsidR="00E473EF" w:rsidRDefault="00CE451E">
            <w:pPr>
              <w:ind w:firstLineChars="200" w:firstLine="440"/>
              <w:rPr>
                <w:noProof/>
                <w:color w:val="000000"/>
                <w:sz w:val="22"/>
                <w:szCs w:val="22"/>
                <w:lang w:val="en-US" w:eastAsia="en-US"/>
              </w:rPr>
            </w:pPr>
            <w:r>
              <w:rPr>
                <w:noProof/>
                <w:color w:val="000000"/>
                <w:sz w:val="22"/>
                <w:szCs w:val="22"/>
                <w:lang w:val="en-US" w:eastAsia="en-US"/>
              </w:rPr>
              <w:t>On spending programmes</w:t>
            </w:r>
          </w:p>
        </w:tc>
        <w:tc>
          <w:tcPr>
            <w:tcW w:w="178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-749,4</w:t>
            </w:r>
          </w:p>
        </w:tc>
        <w:tc>
          <w:tcPr>
            <w:tcW w:w="170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189,9</w:t>
            </w:r>
          </w:p>
        </w:tc>
      </w:tr>
      <w:tr w:rsidR="00E473EF">
        <w:trPr>
          <w:trHeight w:val="300"/>
        </w:trPr>
        <w:tc>
          <w:tcPr>
            <w:tcW w:w="6360" w:type="dxa"/>
            <w:tcBorders>
              <w:top w:val="nil"/>
              <w:left w:val="single" w:sz="4" w:space="0" w:color="auto"/>
              <w:bottom w:val="nil"/>
              <w:right w:val="single" w:sz="4" w:space="0" w:color="auto"/>
            </w:tcBorders>
            <w:shd w:val="clear" w:color="auto" w:fill="auto"/>
            <w:vAlign w:val="center"/>
            <w:hideMark/>
          </w:tcPr>
          <w:p w:rsidR="00E473EF" w:rsidRDefault="00CE451E">
            <w:pPr>
              <w:ind w:firstLineChars="200" w:firstLine="440"/>
              <w:rPr>
                <w:noProof/>
                <w:color w:val="000000"/>
                <w:sz w:val="22"/>
                <w:szCs w:val="22"/>
                <w:lang w:val="en-US" w:eastAsia="en-US"/>
              </w:rPr>
            </w:pPr>
            <w:r>
              <w:rPr>
                <w:noProof/>
                <w:color w:val="000000"/>
                <w:sz w:val="22"/>
                <w:szCs w:val="22"/>
                <w:lang w:val="en-US" w:eastAsia="en-US"/>
              </w:rPr>
              <w:t>On thematic special instruments</w:t>
            </w:r>
          </w:p>
        </w:tc>
        <w:tc>
          <w:tcPr>
            <w:tcW w:w="178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-2 172,4</w:t>
            </w:r>
          </w:p>
        </w:tc>
        <w:tc>
          <w:tcPr>
            <w:tcW w:w="170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-368,4</w:t>
            </w:r>
          </w:p>
        </w:tc>
      </w:tr>
      <w:tr w:rsidR="00E473EF">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 xml:space="preserve">Adjustments resulting from the political </w:t>
            </w:r>
            <w:r>
              <w:rPr>
                <w:noProof/>
                <w:color w:val="000000"/>
                <w:sz w:val="22"/>
                <w:szCs w:val="22"/>
                <w:lang w:val="en-US" w:eastAsia="en-US"/>
              </w:rPr>
              <w:t>agreement of 10 November 2020</w:t>
            </w:r>
          </w:p>
        </w:tc>
        <w:tc>
          <w:tcPr>
            <w:tcW w:w="178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249,4</w:t>
            </w:r>
          </w:p>
        </w:tc>
        <w:tc>
          <w:tcPr>
            <w:tcW w:w="170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151,3</w:t>
            </w:r>
          </w:p>
        </w:tc>
      </w:tr>
      <w:tr w:rsidR="00E473EF">
        <w:trPr>
          <w:trHeight w:val="300"/>
        </w:trPr>
        <w:tc>
          <w:tcPr>
            <w:tcW w:w="6360" w:type="dxa"/>
            <w:tcBorders>
              <w:top w:val="nil"/>
              <w:left w:val="single" w:sz="4" w:space="0" w:color="auto"/>
              <w:bottom w:val="nil"/>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Changes to the pre-financing rates for the European Structural Investment (ESI) funds 2014-2020</w:t>
            </w:r>
          </w:p>
        </w:tc>
        <w:tc>
          <w:tcPr>
            <w:tcW w:w="178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w:t>
            </w:r>
          </w:p>
        </w:tc>
        <w:tc>
          <w:tcPr>
            <w:tcW w:w="170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3 605,6</w:t>
            </w:r>
          </w:p>
        </w:tc>
      </w:tr>
      <w:tr w:rsidR="00E473EF">
        <w:trPr>
          <w:trHeight w:val="300"/>
        </w:trPr>
        <w:tc>
          <w:tcPr>
            <w:tcW w:w="6360" w:type="dxa"/>
            <w:tcBorders>
              <w:top w:val="nil"/>
              <w:left w:val="single" w:sz="4" w:space="0" w:color="auto"/>
              <w:bottom w:val="nil"/>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Non-adoption of the “bridging solution” in 2020</w:t>
            </w:r>
          </w:p>
        </w:tc>
        <w:tc>
          <w:tcPr>
            <w:tcW w:w="178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w:t>
            </w:r>
          </w:p>
        </w:tc>
        <w:tc>
          <w:tcPr>
            <w:tcW w:w="170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-775,0</w:t>
            </w:r>
          </w:p>
        </w:tc>
      </w:tr>
      <w:tr w:rsidR="00E473EF">
        <w:trPr>
          <w:trHeight w:val="300"/>
        </w:trPr>
        <w:tc>
          <w:tcPr>
            <w:tcW w:w="6360" w:type="dxa"/>
            <w:tcBorders>
              <w:top w:val="nil"/>
              <w:left w:val="single" w:sz="4" w:space="0" w:color="auto"/>
              <w:bottom w:val="nil"/>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Impact linked to AB No6/2020 (DAB No8/2020 - ESI</w:t>
            </w:r>
            <w:r>
              <w:rPr>
                <w:noProof/>
                <w:color w:val="000000"/>
                <w:sz w:val="22"/>
                <w:szCs w:val="22"/>
                <w:lang w:val="en-US" w:eastAsia="en-US"/>
              </w:rPr>
              <w:t xml:space="preserve"> - vaccines strategy)</w:t>
            </w:r>
          </w:p>
        </w:tc>
        <w:tc>
          <w:tcPr>
            <w:tcW w:w="178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w:t>
            </w:r>
          </w:p>
        </w:tc>
        <w:tc>
          <w:tcPr>
            <w:tcW w:w="170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-700,0</w:t>
            </w:r>
          </w:p>
        </w:tc>
      </w:tr>
      <w:tr w:rsidR="00E473EF">
        <w:trPr>
          <w:trHeight w:val="300"/>
        </w:trPr>
        <w:tc>
          <w:tcPr>
            <w:tcW w:w="6360" w:type="dxa"/>
            <w:tcBorders>
              <w:top w:val="nil"/>
              <w:left w:val="single" w:sz="4" w:space="0" w:color="auto"/>
              <w:bottom w:val="nil"/>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Reassessment of payment needs (including for completion of outstanding commitments)</w:t>
            </w:r>
          </w:p>
        </w:tc>
        <w:tc>
          <w:tcPr>
            <w:tcW w:w="178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w:t>
            </w:r>
          </w:p>
        </w:tc>
        <w:tc>
          <w:tcPr>
            <w:tcW w:w="170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448,8</w:t>
            </w:r>
          </w:p>
        </w:tc>
      </w:tr>
      <w:tr w:rsidR="00E473EF">
        <w:trPr>
          <w:trHeight w:val="300"/>
        </w:trPr>
        <w:tc>
          <w:tcPr>
            <w:tcW w:w="6360" w:type="dxa"/>
            <w:tcBorders>
              <w:top w:val="nil"/>
              <w:left w:val="single" w:sz="4" w:space="0" w:color="auto"/>
              <w:bottom w:val="nil"/>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Updates for decentralised agencies (new initiatives)</w:t>
            </w:r>
          </w:p>
        </w:tc>
        <w:tc>
          <w:tcPr>
            <w:tcW w:w="178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46,8</w:t>
            </w:r>
          </w:p>
        </w:tc>
        <w:tc>
          <w:tcPr>
            <w:tcW w:w="170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46,8</w:t>
            </w:r>
          </w:p>
        </w:tc>
      </w:tr>
      <w:tr w:rsidR="00E473EF">
        <w:trPr>
          <w:trHeight w:val="300"/>
        </w:trPr>
        <w:tc>
          <w:tcPr>
            <w:tcW w:w="6360" w:type="dxa"/>
            <w:tcBorders>
              <w:top w:val="nil"/>
              <w:left w:val="single" w:sz="4" w:space="0" w:color="auto"/>
              <w:bottom w:val="nil"/>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Adjustments under heading 7</w:t>
            </w:r>
          </w:p>
        </w:tc>
        <w:tc>
          <w:tcPr>
            <w:tcW w:w="178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5,9</w:t>
            </w:r>
          </w:p>
        </w:tc>
        <w:tc>
          <w:tcPr>
            <w:tcW w:w="170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5,9</w:t>
            </w:r>
          </w:p>
        </w:tc>
      </w:tr>
      <w:tr w:rsidR="00E473EF">
        <w:trPr>
          <w:trHeight w:val="300"/>
        </w:trPr>
        <w:tc>
          <w:tcPr>
            <w:tcW w:w="6360"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Other adjustments</w:t>
            </w:r>
          </w:p>
        </w:tc>
        <w:tc>
          <w:tcPr>
            <w:tcW w:w="178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11,0</w:t>
            </w:r>
          </w:p>
        </w:tc>
        <w:tc>
          <w:tcPr>
            <w:tcW w:w="170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4,4</w:t>
            </w:r>
          </w:p>
        </w:tc>
      </w:tr>
      <w:tr w:rsidR="00E473EF">
        <w:trPr>
          <w:trHeight w:val="300"/>
        </w:trPr>
        <w:tc>
          <w:tcPr>
            <w:tcW w:w="6360" w:type="dxa"/>
            <w:tcBorders>
              <w:top w:val="nil"/>
              <w:left w:val="single" w:sz="4" w:space="0" w:color="auto"/>
              <w:bottom w:val="single" w:sz="4" w:space="0" w:color="auto"/>
              <w:right w:val="nil"/>
            </w:tcBorders>
            <w:shd w:val="clear" w:color="auto" w:fill="auto"/>
            <w:noWrap/>
            <w:vAlign w:val="center"/>
            <w:hideMark/>
          </w:tcPr>
          <w:p w:rsidR="00E473EF" w:rsidRDefault="00CE451E">
            <w:pPr>
              <w:rPr>
                <w:b/>
                <w:bCs/>
                <w:noProof/>
                <w:color w:val="000000"/>
                <w:sz w:val="22"/>
                <w:szCs w:val="22"/>
                <w:lang w:val="en-US" w:eastAsia="en-US"/>
              </w:rPr>
            </w:pPr>
            <w:r>
              <w:rPr>
                <w:b/>
                <w:bCs/>
                <w:noProof/>
                <w:color w:val="000000"/>
                <w:sz w:val="22"/>
                <w:szCs w:val="22"/>
                <w:lang w:val="en-US" w:eastAsia="en-US"/>
              </w:rPr>
              <w:t>Total</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E473EF" w:rsidRDefault="00CE451E">
            <w:pPr>
              <w:jc w:val="right"/>
              <w:rPr>
                <w:b/>
                <w:bCs/>
                <w:noProof/>
                <w:color w:val="000000"/>
                <w:sz w:val="22"/>
                <w:szCs w:val="22"/>
                <w:lang w:val="en-US" w:eastAsia="en-US"/>
              </w:rPr>
            </w:pPr>
            <w:r>
              <w:rPr>
                <w:b/>
                <w:bCs/>
                <w:noProof/>
                <w:color w:val="000000"/>
                <w:sz w:val="22"/>
                <w:szCs w:val="22"/>
                <w:lang w:val="en-US" w:eastAsia="en-US"/>
              </w:rPr>
              <w:t>-2 608,8</w:t>
            </w:r>
          </w:p>
        </w:tc>
        <w:tc>
          <w:tcPr>
            <w:tcW w:w="170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b/>
                <w:bCs/>
                <w:noProof/>
                <w:color w:val="000000"/>
                <w:sz w:val="22"/>
                <w:szCs w:val="22"/>
                <w:lang w:val="en-US" w:eastAsia="en-US"/>
              </w:rPr>
            </w:pPr>
            <w:r>
              <w:rPr>
                <w:b/>
                <w:bCs/>
                <w:noProof/>
                <w:color w:val="000000"/>
                <w:sz w:val="22"/>
                <w:szCs w:val="22"/>
                <w:lang w:val="en-US" w:eastAsia="en-US"/>
              </w:rPr>
              <w:t>2 609,3</w:t>
            </w:r>
          </w:p>
        </w:tc>
      </w:tr>
    </w:tbl>
    <w:p w:rsidR="00E473EF" w:rsidRDefault="00CE451E">
      <w:pPr>
        <w:spacing w:before="120" w:after="120"/>
        <w:jc w:val="both"/>
        <w:rPr>
          <w:noProof/>
          <w:szCs w:val="20"/>
          <w:lang w:eastAsia="de-DE"/>
        </w:rPr>
      </w:pPr>
      <w:r>
        <w:rPr>
          <w:noProof/>
          <w:szCs w:val="20"/>
          <w:lang w:eastAsia="de-DE"/>
        </w:rPr>
        <w:t xml:space="preserve">More information on each component is provided in the following sections. </w:t>
      </w:r>
    </w:p>
    <w:p w:rsidR="00E473EF" w:rsidRDefault="00CE451E">
      <w:pPr>
        <w:spacing w:before="120" w:after="120"/>
        <w:jc w:val="both"/>
        <w:rPr>
          <w:noProof/>
          <w:szCs w:val="20"/>
          <w:lang w:eastAsia="de-DE"/>
        </w:rPr>
      </w:pPr>
      <w:r>
        <w:rPr>
          <w:noProof/>
          <w:szCs w:val="20"/>
          <w:lang w:eastAsia="de-DE"/>
        </w:rPr>
        <w:t xml:space="preserve">The relevant budget lines and staff establishment plans are detailed in the budgetary annex, together with the update of the revenue resulting from the </w:t>
      </w:r>
      <w:r>
        <w:rPr>
          <w:noProof/>
          <w:szCs w:val="20"/>
          <w:lang w:eastAsia="de-DE"/>
        </w:rPr>
        <w:t>expenditure changes included in this Amending letter.</w:t>
      </w:r>
    </w:p>
    <w:p w:rsidR="00E473EF" w:rsidRDefault="00CE451E">
      <w:pPr>
        <w:pStyle w:val="ManualHeading1"/>
        <w:spacing w:before="240"/>
        <w:ind w:left="0" w:firstLine="0"/>
        <w:rPr>
          <w:noProof/>
        </w:rPr>
      </w:pPr>
      <w:bookmarkStart w:id="21" w:name="_Toc54770309"/>
      <w:bookmarkStart w:id="22" w:name="_Toc55807119"/>
      <w:bookmarkStart w:id="23" w:name="_Toc56009531"/>
      <w:r>
        <w:rPr>
          <w:noProof/>
        </w:rPr>
        <w:t>2.</w:t>
      </w:r>
      <w:r>
        <w:rPr>
          <w:noProof/>
        </w:rPr>
        <w:tab/>
        <w:t>Impact of the agreement on the next MFF on the draft budget 2021</w:t>
      </w:r>
      <w:bookmarkEnd w:id="21"/>
      <w:bookmarkEnd w:id="22"/>
      <w:bookmarkEnd w:id="23"/>
      <w:r>
        <w:rPr>
          <w:noProof/>
        </w:rPr>
        <w:t xml:space="preserve"> </w:t>
      </w:r>
    </w:p>
    <w:p w:rsidR="00E473EF" w:rsidRDefault="00CE451E">
      <w:pPr>
        <w:keepNext/>
        <w:tabs>
          <w:tab w:val="left" w:pos="850"/>
        </w:tabs>
        <w:spacing w:before="360" w:after="120"/>
        <w:ind w:left="840" w:hanging="840"/>
        <w:jc w:val="both"/>
        <w:outlineLvl w:val="1"/>
        <w:rPr>
          <w:rFonts w:eastAsia="Calibri"/>
          <w:b/>
          <w:noProof/>
          <w:lang w:eastAsia="en-US"/>
        </w:rPr>
      </w:pPr>
      <w:bookmarkStart w:id="24" w:name="_Toc54770310"/>
      <w:bookmarkStart w:id="25" w:name="_Toc56009532"/>
      <w:bookmarkStart w:id="26" w:name="_Toc55807120"/>
      <w:r>
        <w:rPr>
          <w:rFonts w:eastAsia="Calibri"/>
          <w:b/>
          <w:noProof/>
          <w:lang w:eastAsia="en-US"/>
        </w:rPr>
        <w:t xml:space="preserve">2.1 </w:t>
      </w:r>
      <w:r>
        <w:rPr>
          <w:rFonts w:eastAsia="Calibri"/>
          <w:b/>
          <w:noProof/>
          <w:lang w:eastAsia="en-US"/>
        </w:rPr>
        <w:tab/>
      </w:r>
      <w:bookmarkEnd w:id="24"/>
      <w:r>
        <w:rPr>
          <w:rFonts w:eastAsia="Calibri"/>
          <w:b/>
          <w:noProof/>
          <w:lang w:eastAsia="en-US"/>
        </w:rPr>
        <w:t>Adjustments resulting from the EUCO agreement of July 2020</w:t>
      </w:r>
      <w:bookmarkEnd w:id="25"/>
    </w:p>
    <w:p w:rsidR="00E473EF" w:rsidRDefault="00CE451E">
      <w:pPr>
        <w:keepNext/>
        <w:tabs>
          <w:tab w:val="left" w:pos="850"/>
        </w:tabs>
        <w:spacing w:before="360" w:after="120"/>
        <w:ind w:left="840" w:hanging="840"/>
        <w:jc w:val="both"/>
        <w:outlineLvl w:val="1"/>
        <w:rPr>
          <w:rFonts w:eastAsia="Calibri"/>
          <w:b/>
          <w:noProof/>
          <w:lang w:eastAsia="en-US"/>
        </w:rPr>
      </w:pPr>
      <w:bookmarkStart w:id="27" w:name="_Toc56009533"/>
      <w:r>
        <w:rPr>
          <w:rFonts w:eastAsia="Calibri"/>
          <w:i/>
          <w:noProof/>
          <w:lang w:eastAsia="de-DE"/>
        </w:rPr>
        <w:t xml:space="preserve">2.1.1 </w:t>
      </w:r>
      <w:r>
        <w:rPr>
          <w:rFonts w:eastAsia="Calibri"/>
          <w:i/>
          <w:noProof/>
          <w:lang w:eastAsia="de-DE"/>
        </w:rPr>
        <w:tab/>
        <w:t>Envelopes</w:t>
      </w:r>
      <w:r>
        <w:rPr>
          <w:rFonts w:eastAsia="Calibri"/>
          <w:i/>
          <w:noProof/>
        </w:rPr>
        <w:t xml:space="preserve"> of spending programmes</w:t>
      </w:r>
      <w:bookmarkEnd w:id="26"/>
      <w:bookmarkEnd w:id="27"/>
    </w:p>
    <w:p w:rsidR="00E473EF" w:rsidRDefault="00CE451E">
      <w:pPr>
        <w:spacing w:before="120" w:after="120"/>
        <w:jc w:val="both"/>
        <w:rPr>
          <w:noProof/>
          <w:lang w:eastAsia="de-DE"/>
        </w:rPr>
      </w:pPr>
      <w:r w:rsidRPr="00CE451E">
        <w:rPr>
          <w:rFonts w:eastAsia="Calibri"/>
          <w:noProof/>
          <w:lang w:eastAsia="en-US"/>
        </w:rPr>
        <w:t xml:space="preserve">The envelopes of 20 spending </w:t>
      </w:r>
      <w:r w:rsidRPr="00CE451E">
        <w:rPr>
          <w:rFonts w:eastAsia="Calibri"/>
          <w:noProof/>
          <w:lang w:eastAsia="en-US"/>
        </w:rPr>
        <w:t>programmes, listed in the table below, have first been adjusted to reflect the EUCO agreement of July 2020. A</w:t>
      </w:r>
      <w:r>
        <w:rPr>
          <w:noProof/>
          <w:lang w:eastAsia="de-DE"/>
        </w:rPr>
        <w:t>djustments were applied proportionately, for both commitments and payments, to the level of appropriations requested in the DB 2021 for each budget</w:t>
      </w:r>
      <w:r>
        <w:rPr>
          <w:noProof/>
          <w:lang w:eastAsia="de-DE"/>
        </w:rPr>
        <w:t xml:space="preserve"> line</w:t>
      </w:r>
      <w:r>
        <w:rPr>
          <w:rStyle w:val="FootnoteReference"/>
          <w:noProof/>
          <w:lang w:eastAsia="de-DE"/>
        </w:rPr>
        <w:footnoteReference w:id="6"/>
      </w:r>
      <w:r>
        <w:rPr>
          <w:noProof/>
          <w:lang w:eastAsia="de-DE"/>
        </w:rPr>
        <w:t>, with the exception of the following programmes:</w:t>
      </w:r>
    </w:p>
    <w:p w:rsidR="00E473EF" w:rsidRPr="00CE451E" w:rsidRDefault="00CE451E">
      <w:pPr>
        <w:pStyle w:val="ListParagraph"/>
        <w:numPr>
          <w:ilvl w:val="0"/>
          <w:numId w:val="28"/>
        </w:numPr>
        <w:spacing w:before="120" w:after="120" w:line="240" w:lineRule="auto"/>
        <w:ind w:left="360"/>
        <w:contextualSpacing w:val="0"/>
        <w:jc w:val="both"/>
        <w:rPr>
          <w:rFonts w:ascii="Times New Roman" w:eastAsia="Calibri" w:hAnsi="Times New Roman"/>
          <w:noProof/>
          <w:sz w:val="24"/>
          <w:szCs w:val="24"/>
          <w:lang w:val="en-GB" w:eastAsia="en-US"/>
        </w:rPr>
      </w:pPr>
      <w:r w:rsidRPr="00CE451E">
        <w:rPr>
          <w:rFonts w:ascii="Times New Roman" w:eastAsia="Calibri" w:hAnsi="Times New Roman"/>
          <w:noProof/>
          <w:sz w:val="24"/>
          <w:szCs w:val="24"/>
          <w:lang w:val="en-GB" w:eastAsia="en-US"/>
        </w:rPr>
        <w:t xml:space="preserve">For InvestEU, the adjustment takes into account the capital increase of the European Investment Fund (EIF) in which the Union should participate in 2021 to maintain its overall share. This operation is presented in more details under section 3 below; </w:t>
      </w:r>
    </w:p>
    <w:p w:rsidR="00E473EF" w:rsidRPr="00CE451E" w:rsidRDefault="00CE451E">
      <w:pPr>
        <w:pStyle w:val="ListParagraph"/>
        <w:numPr>
          <w:ilvl w:val="0"/>
          <w:numId w:val="28"/>
        </w:numPr>
        <w:spacing w:before="120" w:after="120" w:line="240" w:lineRule="auto"/>
        <w:ind w:left="360"/>
        <w:contextualSpacing w:val="0"/>
        <w:jc w:val="both"/>
        <w:rPr>
          <w:rFonts w:ascii="Times New Roman" w:eastAsia="Calibri" w:hAnsi="Times New Roman"/>
          <w:noProof/>
          <w:sz w:val="24"/>
          <w:szCs w:val="24"/>
          <w:lang w:val="en-GB" w:eastAsia="en-US"/>
        </w:rPr>
      </w:pPr>
      <w:r w:rsidRPr="00CE451E">
        <w:rPr>
          <w:rFonts w:ascii="Times New Roman" w:eastAsia="Calibri" w:hAnsi="Times New Roman"/>
          <w:noProof/>
          <w:sz w:val="24"/>
          <w:szCs w:val="24"/>
          <w:lang w:val="en-GB" w:eastAsia="en-US"/>
        </w:rPr>
        <w:t xml:space="preserve">For </w:t>
      </w:r>
      <w:r w:rsidRPr="00CE451E">
        <w:rPr>
          <w:rFonts w:ascii="Times New Roman" w:eastAsia="Calibri" w:hAnsi="Times New Roman"/>
          <w:noProof/>
          <w:sz w:val="24"/>
          <w:szCs w:val="24"/>
          <w:lang w:val="en-GB" w:eastAsia="en-US"/>
        </w:rPr>
        <w:t>the European Agricultural Guarantee Fund (EAGF), the adjustment considers the most up-to-date economic data and legislative framework as described in section 4 below;</w:t>
      </w:r>
    </w:p>
    <w:p w:rsidR="00E473EF" w:rsidRDefault="00CE451E">
      <w:pPr>
        <w:pStyle w:val="ListParagraph"/>
        <w:numPr>
          <w:ilvl w:val="0"/>
          <w:numId w:val="28"/>
        </w:numPr>
        <w:spacing w:before="120" w:after="120" w:line="240" w:lineRule="auto"/>
        <w:ind w:left="360"/>
        <w:contextualSpacing w:val="0"/>
        <w:jc w:val="both"/>
        <w:rPr>
          <w:rFonts w:ascii="Times New Roman" w:hAnsi="Times New Roman"/>
          <w:noProof/>
          <w:sz w:val="24"/>
          <w:szCs w:val="24"/>
          <w:lang w:val="en-GB"/>
        </w:rPr>
      </w:pPr>
      <w:r w:rsidRPr="00CE451E">
        <w:rPr>
          <w:rFonts w:ascii="Times New Roman" w:eastAsia="Calibri" w:hAnsi="Times New Roman"/>
          <w:noProof/>
          <w:sz w:val="24"/>
          <w:szCs w:val="24"/>
          <w:lang w:val="en-GB" w:eastAsia="en-US"/>
        </w:rPr>
        <w:t>For the European Agricultural Fund for Rural Development (EAFRD), the adjustment consider</w:t>
      </w:r>
      <w:r w:rsidRPr="00CE451E">
        <w:rPr>
          <w:rFonts w:ascii="Times New Roman" w:eastAsia="Calibri" w:hAnsi="Times New Roman"/>
          <w:noProof/>
          <w:sz w:val="24"/>
          <w:szCs w:val="24"/>
          <w:lang w:val="en-GB" w:eastAsia="en-US"/>
        </w:rPr>
        <w:t>s (a) the agreement between Council and European Parliament for a two-year transitional period including the implementation of Next Generation EU as of 2021, (b) the revised amounts for the transfers between the EAGF and EAFRD following the notifications r</w:t>
      </w:r>
      <w:r w:rsidRPr="00CE451E">
        <w:rPr>
          <w:rFonts w:ascii="Times New Roman" w:eastAsia="Calibri" w:hAnsi="Times New Roman"/>
          <w:noProof/>
          <w:sz w:val="24"/>
          <w:szCs w:val="24"/>
          <w:lang w:val="en-GB" w:eastAsia="en-US"/>
        </w:rPr>
        <w:t>eceived from Member States and (c) the financial impact of the decision of the co-legislators increasing the lump-sum exceptional support that Member States can provide to farmers in response to COVID-19</w:t>
      </w:r>
      <w:r>
        <w:rPr>
          <w:rStyle w:val="FootnoteReference"/>
          <w:rFonts w:ascii="Times New Roman" w:eastAsia="Calibri" w:hAnsi="Times New Roman"/>
          <w:noProof/>
          <w:sz w:val="24"/>
          <w:szCs w:val="24"/>
          <w:lang w:eastAsia="en-US"/>
        </w:rPr>
        <w:footnoteReference w:id="7"/>
      </w:r>
      <w:r w:rsidRPr="00CE451E">
        <w:rPr>
          <w:rFonts w:ascii="Times New Roman" w:eastAsia="Calibri" w:hAnsi="Times New Roman"/>
          <w:noProof/>
          <w:sz w:val="24"/>
          <w:szCs w:val="24"/>
          <w:lang w:val="en-GB" w:eastAsia="en-US"/>
        </w:rPr>
        <w:t xml:space="preserve"> as well as the estimated needs based on the most re</w:t>
      </w:r>
      <w:r w:rsidRPr="00CE451E">
        <w:rPr>
          <w:rFonts w:ascii="Times New Roman" w:eastAsia="Calibri" w:hAnsi="Times New Roman"/>
          <w:noProof/>
          <w:sz w:val="24"/>
          <w:szCs w:val="24"/>
          <w:lang w:val="en-GB" w:eastAsia="en-US"/>
        </w:rPr>
        <w:t>cent Member States’ forecasts;</w:t>
      </w:r>
    </w:p>
    <w:p w:rsidR="00E473EF" w:rsidRDefault="00CE451E">
      <w:pPr>
        <w:pStyle w:val="ListParagraph"/>
        <w:numPr>
          <w:ilvl w:val="0"/>
          <w:numId w:val="28"/>
        </w:numPr>
        <w:spacing w:before="120" w:after="120" w:line="240" w:lineRule="auto"/>
        <w:ind w:left="360"/>
        <w:contextualSpacing w:val="0"/>
        <w:jc w:val="both"/>
        <w:rPr>
          <w:rFonts w:ascii="Times New Roman" w:hAnsi="Times New Roman"/>
          <w:noProof/>
          <w:sz w:val="24"/>
          <w:szCs w:val="24"/>
          <w:lang w:val="en-GB"/>
        </w:rPr>
      </w:pPr>
      <w:r>
        <w:rPr>
          <w:rFonts w:ascii="Times New Roman" w:hAnsi="Times New Roman"/>
          <w:noProof/>
          <w:sz w:val="24"/>
          <w:szCs w:val="24"/>
          <w:lang w:val="en-GB"/>
        </w:rPr>
        <w:t>For the Asylum and Migration Fund (AMF), the Instrument for financial support for border management and visa (BMVI, within the Border Management Fund) and the Internal Security Fund (ISF), the adjustment includes an increased</w:t>
      </w:r>
      <w:r>
        <w:rPr>
          <w:rFonts w:ascii="Times New Roman" w:hAnsi="Times New Roman"/>
          <w:noProof/>
          <w:sz w:val="24"/>
          <w:szCs w:val="24"/>
          <w:lang w:val="en-GB"/>
        </w:rPr>
        <w:t xml:space="preserve"> level of pre-financing of 5 %;</w:t>
      </w:r>
    </w:p>
    <w:p w:rsidR="00E473EF" w:rsidRDefault="00CE451E">
      <w:pPr>
        <w:spacing w:after="200" w:line="276" w:lineRule="auto"/>
        <w:rPr>
          <w:rFonts w:eastAsia="MS Mincho"/>
          <w:noProof/>
          <w:lang w:eastAsia="de-DE"/>
        </w:rPr>
      </w:pPr>
      <w:r>
        <w:rPr>
          <w:noProof/>
        </w:rPr>
        <w:br w:type="page"/>
      </w:r>
    </w:p>
    <w:p w:rsidR="00E473EF" w:rsidRDefault="00CE451E">
      <w:pPr>
        <w:pStyle w:val="ListParagraph"/>
        <w:numPr>
          <w:ilvl w:val="0"/>
          <w:numId w:val="28"/>
        </w:numPr>
        <w:spacing w:before="120" w:after="120" w:line="240" w:lineRule="auto"/>
        <w:ind w:left="360"/>
        <w:contextualSpacing w:val="0"/>
        <w:jc w:val="both"/>
        <w:rPr>
          <w:rFonts w:ascii="Times New Roman" w:hAnsi="Times New Roman"/>
          <w:noProof/>
          <w:sz w:val="24"/>
          <w:szCs w:val="24"/>
          <w:lang w:val="en-GB"/>
        </w:rPr>
      </w:pPr>
      <w:r>
        <w:rPr>
          <w:rFonts w:ascii="Times New Roman" w:hAnsi="Times New Roman"/>
          <w:noProof/>
          <w:sz w:val="24"/>
          <w:szCs w:val="24"/>
          <w:lang w:val="en-GB"/>
        </w:rPr>
        <w:t>For the Neighbourhood, Development and International Cooperation Instrument (NDICI) and the instrument for Pre-Accession Assistance (IPA III), further adjustments are considered in relation to:</w:t>
      </w:r>
    </w:p>
    <w:p w:rsidR="00E473EF" w:rsidRDefault="00CE451E">
      <w:pPr>
        <w:pStyle w:val="ListParagraph"/>
        <w:numPr>
          <w:ilvl w:val="1"/>
          <w:numId w:val="28"/>
        </w:numPr>
        <w:spacing w:before="120" w:after="120" w:line="240" w:lineRule="auto"/>
        <w:ind w:left="720"/>
        <w:contextualSpacing w:val="0"/>
        <w:jc w:val="both"/>
        <w:rPr>
          <w:noProof/>
          <w:lang w:val="en-GB"/>
        </w:rPr>
      </w:pPr>
      <w:r>
        <w:rPr>
          <w:rFonts w:ascii="Times New Roman" w:hAnsi="Times New Roman"/>
          <w:noProof/>
          <w:sz w:val="24"/>
          <w:szCs w:val="24"/>
          <w:lang w:val="en-GB"/>
        </w:rPr>
        <w:t>The Erasmus+ contribution: a</w:t>
      </w:r>
      <w:r>
        <w:rPr>
          <w:rFonts w:ascii="Times New Roman" w:hAnsi="Times New Roman"/>
          <w:noProof/>
          <w:sz w:val="24"/>
          <w:szCs w:val="24"/>
          <w:lang w:val="en-GB"/>
        </w:rPr>
        <w:t>s a result of the delay in the adoption of the sectoral legislation there will be no international student exchanges under Erasmus+ in 2021. For both programmes combined, EUR 23,5 million in commitment appropriations and EUR 5,3 million in payment appropri</w:t>
      </w:r>
      <w:r>
        <w:rPr>
          <w:rFonts w:ascii="Times New Roman" w:hAnsi="Times New Roman"/>
          <w:noProof/>
          <w:sz w:val="24"/>
          <w:szCs w:val="24"/>
          <w:lang w:val="en-GB"/>
        </w:rPr>
        <w:t>ations are proposed to cover actions linked to Capacity Building in the field of Youth and Virtual Exchanges, which do not follow the academic year calendar. Compared to the DB 2021, this represents a total decrease of -EUR 281,6 million in commitment appr</w:t>
      </w:r>
      <w:r>
        <w:rPr>
          <w:rFonts w:ascii="Times New Roman" w:hAnsi="Times New Roman"/>
          <w:noProof/>
          <w:sz w:val="24"/>
          <w:szCs w:val="24"/>
          <w:lang w:val="en-GB"/>
        </w:rPr>
        <w:t>opriations</w:t>
      </w:r>
      <w:r>
        <w:rPr>
          <w:rStyle w:val="FootnoteReference"/>
          <w:rFonts w:ascii="Times New Roman" w:hAnsi="Times New Roman"/>
          <w:noProof/>
          <w:sz w:val="24"/>
          <w:szCs w:val="24"/>
          <w:lang w:val="en-GB"/>
        </w:rPr>
        <w:footnoteReference w:id="8"/>
      </w:r>
      <w:r>
        <w:rPr>
          <w:rFonts w:ascii="Times New Roman" w:hAnsi="Times New Roman"/>
          <w:noProof/>
          <w:sz w:val="24"/>
          <w:szCs w:val="24"/>
          <w:lang w:val="en-GB"/>
        </w:rPr>
        <w:t xml:space="preserve"> and -EUR 152 million in  payment appropriations</w:t>
      </w:r>
      <w:r w:rsidRPr="00CE451E">
        <w:rPr>
          <w:rFonts w:ascii="Times New Roman" w:hAnsi="Times New Roman"/>
          <w:noProof/>
          <w:sz w:val="24"/>
          <w:szCs w:val="24"/>
          <w:lang w:val="en-GB"/>
        </w:rPr>
        <w:t>;</w:t>
      </w:r>
    </w:p>
    <w:p w:rsidR="00E473EF" w:rsidRDefault="00CE451E">
      <w:pPr>
        <w:pStyle w:val="ListParagraph"/>
        <w:numPr>
          <w:ilvl w:val="1"/>
          <w:numId w:val="28"/>
        </w:numPr>
        <w:spacing w:before="120" w:after="120" w:line="240" w:lineRule="auto"/>
        <w:ind w:left="720"/>
        <w:contextualSpacing w:val="0"/>
        <w:jc w:val="both"/>
        <w:rPr>
          <w:noProof/>
          <w:lang w:val="en-GB"/>
        </w:rPr>
      </w:pPr>
      <w:r>
        <w:rPr>
          <w:rFonts w:ascii="Times New Roman" w:hAnsi="Times New Roman"/>
          <w:noProof/>
          <w:sz w:val="24"/>
          <w:szCs w:val="24"/>
          <w:lang w:val="en-GB"/>
        </w:rPr>
        <w:t>The continued application of the provisioning rules in the Guarantee Fund Regulation 480/2009 for the current budgetary guarantees and financial assistance (mainly the External Lending Mandate an</w:t>
      </w:r>
      <w:r>
        <w:rPr>
          <w:rFonts w:ascii="Times New Roman" w:hAnsi="Times New Roman"/>
          <w:noProof/>
          <w:sz w:val="24"/>
          <w:szCs w:val="24"/>
          <w:lang w:val="en-GB"/>
        </w:rPr>
        <w:t>d Macro-Financial Assistance Decisions) is neutral in commitment appropriations at the level of the programmes</w:t>
      </w:r>
      <w:r>
        <w:rPr>
          <w:rStyle w:val="FootnoteReference"/>
          <w:rFonts w:ascii="Times New Roman" w:hAnsi="Times New Roman"/>
          <w:noProof/>
          <w:sz w:val="24"/>
          <w:szCs w:val="24"/>
          <w:lang w:val="en-GB"/>
        </w:rPr>
        <w:footnoteReference w:id="9"/>
      </w:r>
      <w:r>
        <w:rPr>
          <w:rFonts w:ascii="Times New Roman" w:hAnsi="Times New Roman"/>
          <w:noProof/>
          <w:sz w:val="24"/>
          <w:szCs w:val="24"/>
          <w:lang w:val="en-GB"/>
        </w:rPr>
        <w:t xml:space="preserve"> but results in an increase in payment appropriations of EUR 42,3 million;</w:t>
      </w:r>
    </w:p>
    <w:p w:rsidR="00E473EF" w:rsidRDefault="00CE451E">
      <w:pPr>
        <w:pStyle w:val="ListParagraph"/>
        <w:numPr>
          <w:ilvl w:val="1"/>
          <w:numId w:val="28"/>
        </w:numPr>
        <w:spacing w:before="120" w:after="120" w:line="240" w:lineRule="auto"/>
        <w:ind w:left="720"/>
        <w:contextualSpacing w:val="0"/>
        <w:jc w:val="both"/>
        <w:rPr>
          <w:noProof/>
          <w:lang w:val="en-GB"/>
        </w:rPr>
      </w:pPr>
      <w:r>
        <w:rPr>
          <w:rFonts w:ascii="Times New Roman" w:hAnsi="Times New Roman"/>
          <w:noProof/>
          <w:sz w:val="24"/>
          <w:szCs w:val="24"/>
          <w:lang w:val="en-GB"/>
        </w:rPr>
        <w:t>The transfer of certain staff in Union delegations to the EEAS results</w:t>
      </w:r>
      <w:r>
        <w:rPr>
          <w:rFonts w:ascii="Times New Roman" w:hAnsi="Times New Roman"/>
          <w:noProof/>
          <w:sz w:val="24"/>
          <w:szCs w:val="24"/>
          <w:lang w:val="en-GB"/>
        </w:rPr>
        <w:t xml:space="preserve"> in an overall decrease of EUR 16 million and EUR 2,1 million in commitment and payment appropriations respectively for NDICI and IPA III, but fully offset by a corresponding increase within the section of the EEAS, under heading 7 (see section 7.4 below f</w:t>
      </w:r>
      <w:r>
        <w:rPr>
          <w:rFonts w:ascii="Times New Roman" w:hAnsi="Times New Roman"/>
          <w:noProof/>
          <w:sz w:val="24"/>
          <w:szCs w:val="24"/>
          <w:lang w:val="en-GB"/>
        </w:rPr>
        <w:t>or more details);</w:t>
      </w:r>
    </w:p>
    <w:p w:rsidR="00E473EF" w:rsidRDefault="00CE451E">
      <w:pPr>
        <w:pStyle w:val="ListParagraph"/>
        <w:numPr>
          <w:ilvl w:val="1"/>
          <w:numId w:val="28"/>
        </w:numPr>
        <w:spacing w:before="120" w:after="120" w:line="240" w:lineRule="auto"/>
        <w:ind w:left="720"/>
        <w:contextualSpacing w:val="0"/>
        <w:jc w:val="both"/>
        <w:rPr>
          <w:rFonts w:ascii="Times New Roman" w:hAnsi="Times New Roman"/>
          <w:noProof/>
          <w:sz w:val="24"/>
          <w:szCs w:val="24"/>
          <w:lang w:val="en-GB"/>
        </w:rPr>
      </w:pPr>
      <w:r>
        <w:rPr>
          <w:rFonts w:ascii="Times New Roman" w:hAnsi="Times New Roman"/>
          <w:noProof/>
          <w:sz w:val="24"/>
          <w:szCs w:val="24"/>
          <w:lang w:val="en-GB"/>
        </w:rPr>
        <w:t xml:space="preserve">The original proposal for the European Fund for Sustainable Development (EFSD) in </w:t>
      </w:r>
      <w:r w:rsidRPr="00CE451E">
        <w:rPr>
          <w:rFonts w:ascii="Times New Roman" w:hAnsi="Times New Roman"/>
          <w:noProof/>
          <w:sz w:val="24"/>
          <w:lang w:val="en-GB"/>
        </w:rPr>
        <w:t xml:space="preserve">Draft Amending </w:t>
      </w:r>
      <w:r w:rsidRPr="00CE451E">
        <w:rPr>
          <w:rFonts w:ascii="Times New Roman" w:hAnsi="Times New Roman"/>
          <w:noProof/>
          <w:sz w:val="24"/>
          <w:szCs w:val="24"/>
          <w:lang w:val="en-GB"/>
        </w:rPr>
        <w:t>Budget No6/2020</w:t>
      </w:r>
      <w:r>
        <w:rPr>
          <w:rStyle w:val="FootnoteReference"/>
          <w:noProof/>
        </w:rPr>
        <w:footnoteReference w:id="10"/>
      </w:r>
      <w:r>
        <w:rPr>
          <w:rFonts w:ascii="Times New Roman" w:hAnsi="Times New Roman"/>
          <w:noProof/>
          <w:sz w:val="24"/>
          <w:szCs w:val="24"/>
          <w:lang w:val="en-GB"/>
        </w:rPr>
        <w:t xml:space="preserve"> included an exceptional top-up of EUR 1,04 billion for 2020. This exceptional top-up was accompanied, in the DB 2021, by 10 additional full-time equivalents (FTEs) of external staff to work on the EFSD, paid by NDICI and IPA III administrative support lin</w:t>
      </w:r>
      <w:r>
        <w:rPr>
          <w:rFonts w:ascii="Times New Roman" w:hAnsi="Times New Roman"/>
          <w:noProof/>
          <w:sz w:val="24"/>
          <w:szCs w:val="24"/>
          <w:lang w:val="en-GB"/>
        </w:rPr>
        <w:t>es in delegations. As the exceptional top-up of EFSD was not part of the EUCO agreement of July 2020, the increase of external staff has become unnecessary. The administrative support lines of NDICI and IPA III have been decreased accordingly (EUR 1,5 mill</w:t>
      </w:r>
      <w:r>
        <w:rPr>
          <w:rFonts w:ascii="Times New Roman" w:hAnsi="Times New Roman"/>
          <w:noProof/>
          <w:sz w:val="24"/>
          <w:szCs w:val="24"/>
          <w:lang w:val="en-GB"/>
        </w:rPr>
        <w:t>ion) with a corresponding additional allocation to the operational lines;</w:t>
      </w:r>
    </w:p>
    <w:p w:rsidR="00E473EF" w:rsidRPr="00CE451E" w:rsidRDefault="00CE451E">
      <w:pPr>
        <w:pStyle w:val="ListParagraph"/>
        <w:numPr>
          <w:ilvl w:val="1"/>
          <w:numId w:val="28"/>
        </w:numPr>
        <w:spacing w:before="120" w:after="120" w:line="240" w:lineRule="auto"/>
        <w:ind w:left="720"/>
        <w:contextualSpacing w:val="0"/>
        <w:jc w:val="both"/>
        <w:rPr>
          <w:noProof/>
          <w:lang w:val="en-GB"/>
        </w:rPr>
      </w:pPr>
      <w:r>
        <w:rPr>
          <w:rFonts w:ascii="Times New Roman" w:hAnsi="Times New Roman"/>
          <w:noProof/>
          <w:sz w:val="24"/>
          <w:szCs w:val="24"/>
          <w:lang w:val="en-GB"/>
        </w:rPr>
        <w:t>The external staff working for the current European Development Fund – the activities of which were integrated into the NDICI with the DB 2021. A total of 6,25 FTEs of these external</w:t>
      </w:r>
      <w:r>
        <w:rPr>
          <w:rFonts w:ascii="Times New Roman" w:hAnsi="Times New Roman"/>
          <w:noProof/>
          <w:sz w:val="24"/>
          <w:szCs w:val="24"/>
          <w:lang w:val="en-GB"/>
        </w:rPr>
        <w:t xml:space="preserve"> staff in headquarters and in delegations working for the African Peace Facility will, as from 2021, be transferred to the off-budget European Peace Facility. The administrative support line of NDICI has been decreased accordingly (EUR 0,4 million) with a </w:t>
      </w:r>
      <w:r>
        <w:rPr>
          <w:rFonts w:ascii="Times New Roman" w:hAnsi="Times New Roman"/>
          <w:noProof/>
          <w:sz w:val="24"/>
          <w:szCs w:val="24"/>
          <w:lang w:val="en-GB"/>
        </w:rPr>
        <w:t>corresponding additional allocation to the operational lines.</w:t>
      </w:r>
    </w:p>
    <w:tbl>
      <w:tblPr>
        <w:tblW w:w="9840" w:type="dxa"/>
        <w:tblInd w:w="108" w:type="dxa"/>
        <w:tblLook w:val="04A0" w:firstRow="1" w:lastRow="0" w:firstColumn="1" w:lastColumn="0" w:noHBand="0" w:noVBand="1"/>
      </w:tblPr>
      <w:tblGrid>
        <w:gridCol w:w="6360"/>
        <w:gridCol w:w="1780"/>
        <w:gridCol w:w="1700"/>
      </w:tblGrid>
      <w:tr w:rsidR="00E473EF">
        <w:trPr>
          <w:trHeight w:val="300"/>
          <w:tblHeader/>
        </w:trPr>
        <w:tc>
          <w:tcPr>
            <w:tcW w:w="6360" w:type="dxa"/>
            <w:tcBorders>
              <w:top w:val="nil"/>
              <w:left w:val="nil"/>
              <w:bottom w:val="nil"/>
              <w:right w:val="nil"/>
            </w:tcBorders>
            <w:shd w:val="clear" w:color="auto" w:fill="auto"/>
            <w:noWrap/>
            <w:vAlign w:val="bottom"/>
            <w:hideMark/>
          </w:tcPr>
          <w:p w:rsidR="00E473EF" w:rsidRDefault="00E473EF">
            <w:pPr>
              <w:rPr>
                <w:noProof/>
                <w:sz w:val="20"/>
                <w:szCs w:val="20"/>
                <w:lang w:val="en-US" w:eastAsia="en-US"/>
              </w:rPr>
            </w:pPr>
          </w:p>
        </w:tc>
        <w:tc>
          <w:tcPr>
            <w:tcW w:w="1780" w:type="dxa"/>
            <w:tcBorders>
              <w:top w:val="nil"/>
              <w:left w:val="nil"/>
              <w:bottom w:val="nil"/>
              <w:right w:val="nil"/>
            </w:tcBorders>
            <w:shd w:val="clear" w:color="auto" w:fill="auto"/>
            <w:noWrap/>
            <w:vAlign w:val="bottom"/>
            <w:hideMark/>
          </w:tcPr>
          <w:p w:rsidR="00E473EF" w:rsidRDefault="00E473EF">
            <w:pPr>
              <w:rPr>
                <w:noProof/>
                <w:sz w:val="20"/>
                <w:szCs w:val="20"/>
                <w:lang w:val="en-US" w:eastAsia="en-US"/>
              </w:rPr>
            </w:pPr>
          </w:p>
        </w:tc>
        <w:tc>
          <w:tcPr>
            <w:tcW w:w="1700" w:type="dxa"/>
            <w:tcBorders>
              <w:top w:val="nil"/>
              <w:left w:val="nil"/>
              <w:bottom w:val="nil"/>
              <w:right w:val="nil"/>
            </w:tcBorders>
            <w:shd w:val="clear" w:color="auto" w:fill="auto"/>
            <w:noWrap/>
            <w:vAlign w:val="center"/>
            <w:hideMark/>
          </w:tcPr>
          <w:p w:rsidR="00E473EF" w:rsidRDefault="00CE451E">
            <w:pPr>
              <w:jc w:val="right"/>
              <w:rPr>
                <w:i/>
                <w:iCs/>
                <w:noProof/>
                <w:color w:val="000000"/>
                <w:sz w:val="16"/>
                <w:szCs w:val="16"/>
                <w:lang w:val="en-US" w:eastAsia="en-US"/>
              </w:rPr>
            </w:pPr>
            <w:r>
              <w:rPr>
                <w:i/>
                <w:iCs/>
                <w:noProof/>
                <w:color w:val="000000"/>
                <w:sz w:val="16"/>
                <w:szCs w:val="16"/>
                <w:lang w:val="en-US" w:eastAsia="en-US"/>
              </w:rPr>
              <w:t>(In EUR million)</w:t>
            </w:r>
          </w:p>
        </w:tc>
      </w:tr>
      <w:tr w:rsidR="00E473EF">
        <w:trPr>
          <w:trHeight w:val="300"/>
          <w:tblHeader/>
        </w:trPr>
        <w:tc>
          <w:tcPr>
            <w:tcW w:w="6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22"/>
                <w:szCs w:val="22"/>
                <w:lang w:val="en-US" w:eastAsia="en-US"/>
              </w:rPr>
            </w:pPr>
            <w:r>
              <w:rPr>
                <w:b/>
                <w:bCs/>
                <w:noProof/>
                <w:color w:val="000000"/>
                <w:sz w:val="22"/>
                <w:szCs w:val="22"/>
                <w:lang w:val="en-US" w:eastAsia="en-US"/>
              </w:rPr>
              <w:t>Programme</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22"/>
                <w:szCs w:val="22"/>
                <w:lang w:val="en-US" w:eastAsia="en-US"/>
              </w:rPr>
            </w:pPr>
            <w:r>
              <w:rPr>
                <w:b/>
                <w:bCs/>
                <w:noProof/>
                <w:color w:val="000000"/>
                <w:sz w:val="22"/>
                <w:szCs w:val="22"/>
                <w:lang w:val="en-US" w:eastAsia="en-US"/>
              </w:rPr>
              <w:t>Commitment appropriations</w:t>
            </w:r>
          </w:p>
        </w:tc>
        <w:tc>
          <w:tcPr>
            <w:tcW w:w="1700" w:type="dxa"/>
            <w:tcBorders>
              <w:top w:val="single" w:sz="4" w:space="0" w:color="auto"/>
              <w:left w:val="nil"/>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22"/>
                <w:szCs w:val="22"/>
                <w:lang w:val="en-US" w:eastAsia="en-US"/>
              </w:rPr>
            </w:pPr>
            <w:r>
              <w:rPr>
                <w:b/>
                <w:bCs/>
                <w:noProof/>
                <w:color w:val="000000"/>
                <w:sz w:val="22"/>
                <w:szCs w:val="22"/>
                <w:lang w:val="en-US" w:eastAsia="en-US"/>
              </w:rPr>
              <w:t>Payment appropriations</w:t>
            </w:r>
          </w:p>
        </w:tc>
      </w:tr>
      <w:tr w:rsidR="00E473EF">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Horizon Europe</w:t>
            </w:r>
          </w:p>
        </w:tc>
        <w:tc>
          <w:tcPr>
            <w:tcW w:w="1780" w:type="dxa"/>
            <w:tcBorders>
              <w:top w:val="nil"/>
              <w:left w:val="nil"/>
              <w:bottom w:val="nil"/>
              <w:right w:val="single" w:sz="4" w:space="0" w:color="auto"/>
            </w:tcBorders>
            <w:shd w:val="clear" w:color="000000" w:fill="FFFFFF"/>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-758,0</w:t>
            </w:r>
          </w:p>
        </w:tc>
        <w:tc>
          <w:tcPr>
            <w:tcW w:w="1700" w:type="dxa"/>
            <w:tcBorders>
              <w:top w:val="nil"/>
              <w:left w:val="nil"/>
              <w:bottom w:val="nil"/>
              <w:right w:val="single" w:sz="4" w:space="0" w:color="auto"/>
            </w:tcBorders>
            <w:shd w:val="clear" w:color="000000" w:fill="FFFFFF"/>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-87,9</w:t>
            </w:r>
          </w:p>
        </w:tc>
      </w:tr>
      <w:tr w:rsidR="00E473EF">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InvestEU Fund (including completion of EFSI)</w:t>
            </w:r>
          </w:p>
        </w:tc>
        <w:tc>
          <w:tcPr>
            <w:tcW w:w="1780" w:type="dxa"/>
            <w:tcBorders>
              <w:top w:val="nil"/>
              <w:left w:val="nil"/>
              <w:bottom w:val="nil"/>
              <w:right w:val="single" w:sz="4" w:space="0" w:color="auto"/>
            </w:tcBorders>
            <w:shd w:val="clear" w:color="000000" w:fill="FFFFFF"/>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551,0</w:t>
            </w:r>
          </w:p>
        </w:tc>
        <w:tc>
          <w:tcPr>
            <w:tcW w:w="1700" w:type="dxa"/>
            <w:tcBorders>
              <w:top w:val="nil"/>
              <w:left w:val="nil"/>
              <w:bottom w:val="nil"/>
              <w:right w:val="single" w:sz="4" w:space="0" w:color="auto"/>
            </w:tcBorders>
            <w:shd w:val="clear" w:color="000000" w:fill="FFFFFF"/>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243,2</w:t>
            </w:r>
          </w:p>
        </w:tc>
      </w:tr>
      <w:tr w:rsidR="00E473EF">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 xml:space="preserve">Connecting Europe Facility </w:t>
            </w:r>
            <w:r>
              <w:rPr>
                <w:noProof/>
                <w:color w:val="000000"/>
                <w:sz w:val="22"/>
                <w:szCs w:val="22"/>
                <w:lang w:val="en-US" w:eastAsia="en-US"/>
              </w:rPr>
              <w:t>—Transport</w:t>
            </w:r>
          </w:p>
        </w:tc>
        <w:tc>
          <w:tcPr>
            <w:tcW w:w="1780" w:type="dxa"/>
            <w:tcBorders>
              <w:top w:val="nil"/>
              <w:left w:val="nil"/>
              <w:bottom w:val="nil"/>
              <w:right w:val="single" w:sz="4" w:space="0" w:color="auto"/>
            </w:tcBorders>
            <w:shd w:val="clear" w:color="000000" w:fill="FFFFFF"/>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-227,3</w:t>
            </w:r>
          </w:p>
        </w:tc>
        <w:tc>
          <w:tcPr>
            <w:tcW w:w="1700" w:type="dxa"/>
            <w:tcBorders>
              <w:top w:val="nil"/>
              <w:left w:val="nil"/>
              <w:bottom w:val="nil"/>
              <w:right w:val="single" w:sz="4" w:space="0" w:color="auto"/>
            </w:tcBorders>
            <w:shd w:val="clear" w:color="000000" w:fill="FFFFFF"/>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-5,8</w:t>
            </w:r>
          </w:p>
        </w:tc>
      </w:tr>
      <w:tr w:rsidR="00E473EF">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Digital Europe Programme</w:t>
            </w:r>
          </w:p>
        </w:tc>
        <w:tc>
          <w:tcPr>
            <w:tcW w:w="1780" w:type="dxa"/>
            <w:tcBorders>
              <w:top w:val="nil"/>
              <w:left w:val="nil"/>
              <w:bottom w:val="nil"/>
              <w:right w:val="single" w:sz="4" w:space="0" w:color="auto"/>
            </w:tcBorders>
            <w:shd w:val="clear" w:color="000000" w:fill="FFFFFF"/>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-234,1</w:t>
            </w:r>
          </w:p>
        </w:tc>
        <w:tc>
          <w:tcPr>
            <w:tcW w:w="1700" w:type="dxa"/>
            <w:tcBorders>
              <w:top w:val="nil"/>
              <w:left w:val="nil"/>
              <w:bottom w:val="nil"/>
              <w:right w:val="single" w:sz="4" w:space="0" w:color="auto"/>
            </w:tcBorders>
            <w:shd w:val="clear" w:color="000000" w:fill="FFFFFF"/>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-21,8</w:t>
            </w:r>
          </w:p>
        </w:tc>
      </w:tr>
      <w:tr w:rsidR="00E473EF">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European Regional Development Fund (ERDF)</w:t>
            </w:r>
          </w:p>
        </w:tc>
        <w:tc>
          <w:tcPr>
            <w:tcW w:w="178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497,5</w:t>
            </w:r>
          </w:p>
        </w:tc>
        <w:tc>
          <w:tcPr>
            <w:tcW w:w="170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21,7</w:t>
            </w:r>
          </w:p>
        </w:tc>
      </w:tr>
      <w:tr w:rsidR="00E473EF">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Cohesion Fund (CF)</w:t>
            </w:r>
          </w:p>
        </w:tc>
        <w:tc>
          <w:tcPr>
            <w:tcW w:w="178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284,1</w:t>
            </w:r>
          </w:p>
        </w:tc>
        <w:tc>
          <w:tcPr>
            <w:tcW w:w="170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11,8</w:t>
            </w:r>
          </w:p>
        </w:tc>
      </w:tr>
      <w:tr w:rsidR="00E473EF">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Financing cost of the European Union Recovery Instrument (EURI)</w:t>
            </w:r>
          </w:p>
        </w:tc>
        <w:tc>
          <w:tcPr>
            <w:tcW w:w="178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-108,7</w:t>
            </w:r>
          </w:p>
        </w:tc>
        <w:tc>
          <w:tcPr>
            <w:tcW w:w="170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-108,7</w:t>
            </w:r>
          </w:p>
        </w:tc>
      </w:tr>
      <w:tr w:rsidR="00E473EF">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EU4Health</w:t>
            </w:r>
          </w:p>
        </w:tc>
        <w:tc>
          <w:tcPr>
            <w:tcW w:w="178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232,0</w:t>
            </w:r>
          </w:p>
        </w:tc>
        <w:tc>
          <w:tcPr>
            <w:tcW w:w="170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55,9</w:t>
            </w:r>
          </w:p>
        </w:tc>
      </w:tr>
      <w:tr w:rsidR="00E473EF">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European Social Fund (ESF)</w:t>
            </w:r>
          </w:p>
        </w:tc>
        <w:tc>
          <w:tcPr>
            <w:tcW w:w="178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259,5</w:t>
            </w:r>
          </w:p>
        </w:tc>
        <w:tc>
          <w:tcPr>
            <w:tcW w:w="170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10,4</w:t>
            </w:r>
          </w:p>
        </w:tc>
      </w:tr>
      <w:tr w:rsidR="00E473EF">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Erasmus+</w:t>
            </w:r>
          </w:p>
        </w:tc>
        <w:tc>
          <w:tcPr>
            <w:tcW w:w="178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-397,9</w:t>
            </w:r>
          </w:p>
        </w:tc>
        <w:tc>
          <w:tcPr>
            <w:tcW w:w="170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-304,1</w:t>
            </w:r>
          </w:p>
        </w:tc>
      </w:tr>
      <w:tr w:rsidR="00E473EF">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European Agricultural Guarantee Fund (EAGF)</w:t>
            </w:r>
          </w:p>
        </w:tc>
        <w:tc>
          <w:tcPr>
            <w:tcW w:w="178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188,9</w:t>
            </w:r>
          </w:p>
        </w:tc>
        <w:tc>
          <w:tcPr>
            <w:tcW w:w="170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188,9</w:t>
            </w:r>
          </w:p>
        </w:tc>
      </w:tr>
      <w:tr w:rsidR="00E473EF">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European Agricultural Fund for Rural Development (EAFRD)</w:t>
            </w:r>
          </w:p>
        </w:tc>
        <w:tc>
          <w:tcPr>
            <w:tcW w:w="178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342,1</w:t>
            </w:r>
          </w:p>
        </w:tc>
        <w:tc>
          <w:tcPr>
            <w:tcW w:w="170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307,1</w:t>
            </w:r>
          </w:p>
        </w:tc>
      </w:tr>
      <w:tr w:rsidR="00E473EF">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European Maritime and Fisheries Fund (EMFF)</w:t>
            </w:r>
          </w:p>
        </w:tc>
        <w:tc>
          <w:tcPr>
            <w:tcW w:w="178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-70,3</w:t>
            </w:r>
          </w:p>
        </w:tc>
        <w:tc>
          <w:tcPr>
            <w:tcW w:w="170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-0,5</w:t>
            </w:r>
          </w:p>
        </w:tc>
      </w:tr>
      <w:tr w:rsidR="00E473EF">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 xml:space="preserve">Just </w:t>
            </w:r>
            <w:r>
              <w:rPr>
                <w:noProof/>
                <w:color w:val="000000"/>
                <w:sz w:val="22"/>
                <w:szCs w:val="22"/>
                <w:lang w:val="en-US" w:eastAsia="en-US"/>
              </w:rPr>
              <w:t>Transition Fund</w:t>
            </w:r>
          </w:p>
        </w:tc>
        <w:tc>
          <w:tcPr>
            <w:tcW w:w="178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-379,0</w:t>
            </w:r>
          </w:p>
        </w:tc>
        <w:tc>
          <w:tcPr>
            <w:tcW w:w="170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0,0</w:t>
            </w:r>
          </w:p>
        </w:tc>
      </w:tr>
      <w:tr w:rsidR="00E473EF">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Asylum and Migration Fund (AMF)</w:t>
            </w:r>
          </w:p>
        </w:tc>
        <w:tc>
          <w:tcPr>
            <w:tcW w:w="178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-230,2</w:t>
            </w:r>
          </w:p>
        </w:tc>
        <w:tc>
          <w:tcPr>
            <w:tcW w:w="170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74,6</w:t>
            </w:r>
          </w:p>
        </w:tc>
      </w:tr>
      <w:tr w:rsidR="00E473EF">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Integrated Border Management Fund (IBMF)</w:t>
            </w:r>
          </w:p>
        </w:tc>
        <w:tc>
          <w:tcPr>
            <w:tcW w:w="178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-491,3</w:t>
            </w:r>
          </w:p>
        </w:tc>
        <w:tc>
          <w:tcPr>
            <w:tcW w:w="170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-51,3</w:t>
            </w:r>
          </w:p>
        </w:tc>
      </w:tr>
      <w:tr w:rsidR="00E473EF">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Internal Security Fund (ISF)</w:t>
            </w:r>
          </w:p>
        </w:tc>
        <w:tc>
          <w:tcPr>
            <w:tcW w:w="178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-52,5</w:t>
            </w:r>
          </w:p>
        </w:tc>
        <w:tc>
          <w:tcPr>
            <w:tcW w:w="170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-9,3</w:t>
            </w:r>
          </w:p>
        </w:tc>
      </w:tr>
      <w:tr w:rsidR="00E473EF">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European Defence Fund</w:t>
            </w:r>
          </w:p>
        </w:tc>
        <w:tc>
          <w:tcPr>
            <w:tcW w:w="178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-101,7</w:t>
            </w:r>
          </w:p>
        </w:tc>
        <w:tc>
          <w:tcPr>
            <w:tcW w:w="170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-3,0</w:t>
            </w:r>
          </w:p>
        </w:tc>
      </w:tr>
      <w:tr w:rsidR="00E473EF">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 xml:space="preserve">Neighbourhood, Development and International </w:t>
            </w:r>
            <w:r>
              <w:rPr>
                <w:noProof/>
                <w:color w:val="000000"/>
                <w:sz w:val="22"/>
                <w:szCs w:val="22"/>
                <w:lang w:val="en-US" w:eastAsia="en-US"/>
              </w:rPr>
              <w:t>Cooperation Instrument (NDICI)</w:t>
            </w:r>
          </w:p>
        </w:tc>
        <w:tc>
          <w:tcPr>
            <w:tcW w:w="178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-5,8</w:t>
            </w:r>
          </w:p>
        </w:tc>
        <w:tc>
          <w:tcPr>
            <w:tcW w:w="170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-113,0</w:t>
            </w:r>
          </w:p>
        </w:tc>
      </w:tr>
      <w:tr w:rsidR="00E473EF">
        <w:trPr>
          <w:trHeight w:val="300"/>
        </w:trPr>
        <w:tc>
          <w:tcPr>
            <w:tcW w:w="6360" w:type="dxa"/>
            <w:tcBorders>
              <w:top w:val="nil"/>
              <w:left w:val="single" w:sz="4" w:space="0" w:color="auto"/>
              <w:bottom w:val="single" w:sz="4" w:space="0" w:color="auto"/>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Instrument for Pre-Accession Assistance (IPA III)</w:t>
            </w:r>
          </w:p>
        </w:tc>
        <w:tc>
          <w:tcPr>
            <w:tcW w:w="178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-47,6</w:t>
            </w:r>
          </w:p>
        </w:tc>
        <w:tc>
          <w:tcPr>
            <w:tcW w:w="170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-18,4</w:t>
            </w:r>
          </w:p>
        </w:tc>
      </w:tr>
      <w:tr w:rsidR="00E473EF">
        <w:trPr>
          <w:trHeight w:val="300"/>
        </w:trPr>
        <w:tc>
          <w:tcPr>
            <w:tcW w:w="6360" w:type="dxa"/>
            <w:tcBorders>
              <w:top w:val="nil"/>
              <w:left w:val="single" w:sz="4" w:space="0" w:color="auto"/>
              <w:bottom w:val="single" w:sz="4" w:space="0" w:color="auto"/>
              <w:right w:val="single" w:sz="4" w:space="0" w:color="auto"/>
            </w:tcBorders>
            <w:shd w:val="clear" w:color="auto" w:fill="auto"/>
            <w:noWrap/>
            <w:vAlign w:val="center"/>
            <w:hideMark/>
          </w:tcPr>
          <w:p w:rsidR="00E473EF" w:rsidRDefault="00CE451E">
            <w:pPr>
              <w:rPr>
                <w:b/>
                <w:bCs/>
                <w:noProof/>
                <w:color w:val="000000"/>
                <w:sz w:val="22"/>
                <w:szCs w:val="22"/>
                <w:lang w:val="en-US" w:eastAsia="en-US"/>
              </w:rPr>
            </w:pPr>
            <w:r>
              <w:rPr>
                <w:b/>
                <w:bCs/>
                <w:noProof/>
                <w:color w:val="000000"/>
                <w:sz w:val="22"/>
                <w:szCs w:val="22"/>
                <w:lang w:val="en-US" w:eastAsia="en-US"/>
              </w:rPr>
              <w:t>Total</w:t>
            </w:r>
          </w:p>
        </w:tc>
        <w:tc>
          <w:tcPr>
            <w:tcW w:w="178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b/>
                <w:bCs/>
                <w:noProof/>
                <w:color w:val="000000"/>
                <w:sz w:val="22"/>
                <w:szCs w:val="22"/>
                <w:lang w:val="en-US" w:eastAsia="en-US"/>
              </w:rPr>
            </w:pPr>
            <w:r>
              <w:rPr>
                <w:b/>
                <w:bCs/>
                <w:noProof/>
                <w:color w:val="000000"/>
                <w:sz w:val="22"/>
                <w:szCs w:val="22"/>
                <w:lang w:val="en-US" w:eastAsia="en-US"/>
              </w:rPr>
              <w:t>-749,4</w:t>
            </w:r>
          </w:p>
        </w:tc>
        <w:tc>
          <w:tcPr>
            <w:tcW w:w="170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b/>
                <w:bCs/>
                <w:noProof/>
                <w:color w:val="000000"/>
                <w:sz w:val="22"/>
                <w:szCs w:val="22"/>
                <w:lang w:val="en-US" w:eastAsia="en-US"/>
              </w:rPr>
            </w:pPr>
            <w:r>
              <w:rPr>
                <w:b/>
                <w:bCs/>
                <w:noProof/>
                <w:color w:val="000000"/>
                <w:sz w:val="22"/>
                <w:szCs w:val="22"/>
                <w:lang w:val="en-US" w:eastAsia="en-US"/>
              </w:rPr>
              <w:t>189,9</w:t>
            </w:r>
          </w:p>
        </w:tc>
      </w:tr>
    </w:tbl>
    <w:p w:rsidR="00E473EF" w:rsidRDefault="00CE451E">
      <w:pPr>
        <w:keepNext/>
        <w:tabs>
          <w:tab w:val="left" w:pos="850"/>
        </w:tabs>
        <w:spacing w:before="360" w:after="120"/>
        <w:ind w:left="840" w:hanging="840"/>
        <w:jc w:val="both"/>
        <w:outlineLvl w:val="1"/>
        <w:rPr>
          <w:rFonts w:eastAsia="Calibri"/>
          <w:b/>
          <w:noProof/>
          <w:lang w:eastAsia="en-US"/>
        </w:rPr>
      </w:pPr>
      <w:bookmarkStart w:id="28" w:name="_Toc54770311"/>
      <w:bookmarkStart w:id="29" w:name="_Toc55807121"/>
      <w:bookmarkStart w:id="30" w:name="_Toc56009534"/>
      <w:r>
        <w:rPr>
          <w:rFonts w:eastAsia="Calibri"/>
          <w:i/>
          <w:noProof/>
        </w:rPr>
        <w:t>2.</w:t>
      </w:r>
      <w:r>
        <w:rPr>
          <w:rFonts w:eastAsia="Calibri"/>
          <w:i/>
          <w:noProof/>
          <w:lang w:eastAsia="de-DE"/>
        </w:rPr>
        <w:t xml:space="preserve">1.1 </w:t>
      </w:r>
      <w:r>
        <w:rPr>
          <w:rFonts w:eastAsia="Calibri"/>
          <w:i/>
          <w:noProof/>
          <w:lang w:eastAsia="de-DE"/>
        </w:rPr>
        <w:tab/>
        <w:t>Envelopes</w:t>
      </w:r>
      <w:r>
        <w:rPr>
          <w:rFonts w:eastAsia="Calibri"/>
          <w:i/>
          <w:noProof/>
        </w:rPr>
        <w:t xml:space="preserve"> of thematic special instruments</w:t>
      </w:r>
      <w:bookmarkEnd w:id="28"/>
      <w:bookmarkEnd w:id="29"/>
      <w:bookmarkEnd w:id="30"/>
    </w:p>
    <w:p w:rsidR="00E473EF" w:rsidRDefault="00CE451E">
      <w:pPr>
        <w:spacing w:before="120" w:after="120"/>
        <w:jc w:val="both"/>
        <w:rPr>
          <w:noProof/>
          <w:szCs w:val="20"/>
          <w:lang w:eastAsia="de-DE"/>
        </w:rPr>
      </w:pPr>
      <w:r>
        <w:rPr>
          <w:noProof/>
          <w:szCs w:val="20"/>
          <w:lang w:eastAsia="de-DE"/>
        </w:rPr>
        <w:t>The changes to the envelopes of the thematic special instruments comprise:</w:t>
      </w:r>
    </w:p>
    <w:p w:rsidR="00E473EF" w:rsidRPr="00CE451E" w:rsidRDefault="00CE451E">
      <w:pPr>
        <w:pStyle w:val="ListParagraph"/>
        <w:numPr>
          <w:ilvl w:val="0"/>
          <w:numId w:val="33"/>
        </w:numPr>
        <w:spacing w:before="120" w:after="120" w:line="240" w:lineRule="auto"/>
        <w:contextualSpacing w:val="0"/>
        <w:jc w:val="both"/>
        <w:rPr>
          <w:noProof/>
          <w:lang w:val="en-GB"/>
        </w:rPr>
      </w:pPr>
      <w:r w:rsidRPr="00CE451E">
        <w:rPr>
          <w:rFonts w:ascii="Times New Roman" w:hAnsi="Times New Roman"/>
          <w:noProof/>
          <w:sz w:val="24"/>
          <w:szCs w:val="24"/>
          <w:lang w:val="en-GB"/>
        </w:rPr>
        <w:t xml:space="preserve">The adjustment of the annual envelope of the </w:t>
      </w:r>
      <w:r w:rsidRPr="00CE451E">
        <w:rPr>
          <w:rFonts w:ascii="Times New Roman" w:eastAsia="Calibri" w:hAnsi="Times New Roman"/>
          <w:noProof/>
          <w:sz w:val="24"/>
          <w:szCs w:val="24"/>
          <w:lang w:val="en-GB"/>
        </w:rPr>
        <w:t>Solidarity and Emergency Aid Reserve (SEAR) to</w:t>
      </w:r>
      <w:r w:rsidRPr="00CE451E">
        <w:rPr>
          <w:rFonts w:ascii="Times New Roman" w:hAnsi="Times New Roman"/>
          <w:noProof/>
          <w:sz w:val="24"/>
          <w:szCs w:val="24"/>
          <w:lang w:val="en-GB"/>
        </w:rPr>
        <w:t xml:space="preserve"> EUR  1 273,5 million (corresponding to EUR 1 200 million, in 2018 prices), both in commitment and payment appropriations;</w:t>
      </w:r>
    </w:p>
    <w:p w:rsidR="00E473EF" w:rsidRPr="00CE451E" w:rsidRDefault="00CE451E">
      <w:pPr>
        <w:pStyle w:val="ListParagraph"/>
        <w:numPr>
          <w:ilvl w:val="0"/>
          <w:numId w:val="33"/>
        </w:numPr>
        <w:spacing w:before="120" w:after="120" w:line="240" w:lineRule="auto"/>
        <w:contextualSpacing w:val="0"/>
        <w:jc w:val="both"/>
        <w:rPr>
          <w:noProof/>
          <w:lang w:val="en-GB"/>
        </w:rPr>
      </w:pPr>
      <w:r w:rsidRPr="00CE451E">
        <w:rPr>
          <w:rFonts w:ascii="Times New Roman" w:hAnsi="Times New Roman"/>
          <w:noProof/>
          <w:sz w:val="24"/>
          <w:szCs w:val="24"/>
          <w:lang w:val="en-GB"/>
        </w:rPr>
        <w:t xml:space="preserve">The adjustment of the annual envelope of </w:t>
      </w:r>
      <w:r w:rsidRPr="00CE451E">
        <w:rPr>
          <w:rFonts w:ascii="Times New Roman" w:hAnsi="Times New Roman"/>
          <w:noProof/>
          <w:sz w:val="24"/>
          <w:szCs w:val="24"/>
          <w:lang w:val="en-GB"/>
        </w:rPr>
        <w:t>the European Globalisation Adjustment Fund (EGF) to EUR 197,4 million (corresponding to EUR 186 million, in 2018 prices) in commitment appropriations with no change to the level of payment appropriations compared to the DB 2021;</w:t>
      </w:r>
    </w:p>
    <w:p w:rsidR="00E473EF" w:rsidRPr="00CE451E" w:rsidRDefault="00CE451E">
      <w:pPr>
        <w:pStyle w:val="ListParagraph"/>
        <w:numPr>
          <w:ilvl w:val="0"/>
          <w:numId w:val="33"/>
        </w:numPr>
        <w:spacing w:before="120" w:after="120" w:line="240" w:lineRule="auto"/>
        <w:contextualSpacing w:val="0"/>
        <w:jc w:val="both"/>
        <w:rPr>
          <w:noProof/>
          <w:lang w:val="en-GB"/>
        </w:rPr>
      </w:pPr>
      <w:r w:rsidRPr="00CE451E">
        <w:rPr>
          <w:rFonts w:ascii="Times New Roman" w:hAnsi="Times New Roman"/>
          <w:noProof/>
          <w:sz w:val="24"/>
          <w:szCs w:val="24"/>
          <w:lang w:val="en-GB"/>
        </w:rPr>
        <w:t>The creation of two</w:t>
      </w:r>
      <w:r w:rsidRPr="00CE451E">
        <w:rPr>
          <w:rFonts w:ascii="Times New Roman" w:hAnsi="Times New Roman"/>
          <w:noProof/>
          <w:sz w:val="24"/>
          <w:lang w:val="en-GB"/>
        </w:rPr>
        <w:t xml:space="preserve"> new spe</w:t>
      </w:r>
      <w:r w:rsidRPr="00CE451E">
        <w:rPr>
          <w:rFonts w:ascii="Times New Roman" w:hAnsi="Times New Roman"/>
          <w:noProof/>
          <w:sz w:val="24"/>
          <w:lang w:val="en-GB"/>
        </w:rPr>
        <w:t>cific budget lines</w:t>
      </w:r>
      <w:r>
        <w:rPr>
          <w:rStyle w:val="FootnoteReference"/>
          <w:rFonts w:ascii="Times New Roman" w:hAnsi="Times New Roman"/>
          <w:noProof/>
          <w:sz w:val="24"/>
          <w:szCs w:val="24"/>
        </w:rPr>
        <w:footnoteReference w:id="11"/>
      </w:r>
      <w:r w:rsidRPr="00CE451E">
        <w:rPr>
          <w:rFonts w:ascii="Times New Roman" w:hAnsi="Times New Roman"/>
          <w:noProof/>
          <w:sz w:val="24"/>
          <w:lang w:val="en-GB"/>
        </w:rPr>
        <w:t xml:space="preserve"> for the Brexit Adjustment Reserve (BAR) but without appropriations – pending the proposal that the Commission is expected to table in the course of November 2020.</w:t>
      </w:r>
    </w:p>
    <w:p w:rsidR="00E473EF" w:rsidRDefault="00CE451E">
      <w:pPr>
        <w:keepNext/>
        <w:tabs>
          <w:tab w:val="left" w:pos="850"/>
        </w:tabs>
        <w:spacing w:before="120" w:after="120"/>
        <w:ind w:left="357" w:hanging="357"/>
        <w:jc w:val="both"/>
        <w:outlineLvl w:val="1"/>
        <w:rPr>
          <w:rFonts w:eastAsia="Calibri"/>
          <w:b/>
          <w:noProof/>
          <w:lang w:eastAsia="en-US"/>
        </w:rPr>
      </w:pPr>
      <w:bookmarkStart w:id="31" w:name="_Toc56009535"/>
      <w:bookmarkStart w:id="32" w:name="_Toc54770312"/>
      <w:r>
        <w:rPr>
          <w:rFonts w:eastAsia="Calibri"/>
          <w:b/>
          <w:noProof/>
          <w:lang w:eastAsia="en-US"/>
        </w:rPr>
        <w:t xml:space="preserve">2.2 </w:t>
      </w:r>
      <w:r>
        <w:rPr>
          <w:rFonts w:eastAsia="Calibri"/>
          <w:b/>
          <w:noProof/>
          <w:lang w:eastAsia="en-US"/>
        </w:rPr>
        <w:tab/>
        <w:t>Adjustments resulting from the political agreement of 10 November 20</w:t>
      </w:r>
      <w:r>
        <w:rPr>
          <w:rFonts w:eastAsia="Calibri"/>
          <w:b/>
          <w:noProof/>
          <w:lang w:eastAsia="en-US"/>
        </w:rPr>
        <w:t>20</w:t>
      </w:r>
      <w:bookmarkEnd w:id="31"/>
    </w:p>
    <w:p w:rsidR="00E473EF" w:rsidRDefault="00CE451E">
      <w:pPr>
        <w:spacing w:before="120" w:after="120"/>
        <w:jc w:val="both"/>
        <w:rPr>
          <w:noProof/>
          <w:szCs w:val="20"/>
          <w:lang w:eastAsia="de-DE"/>
        </w:rPr>
      </w:pPr>
      <w:r>
        <w:rPr>
          <w:noProof/>
          <w:szCs w:val="20"/>
          <w:lang w:eastAsia="de-DE"/>
        </w:rPr>
        <w:t xml:space="preserve">In their political agreement of 10 November 2020 on the next MFF, the European Parliament and the Council agreed, amongst others, on targeted reinforcements of Union programmes, including Horizon Europe, EU4Health and Erasmus. </w:t>
      </w:r>
    </w:p>
    <w:p w:rsidR="00E473EF" w:rsidRDefault="00CE451E">
      <w:pPr>
        <w:spacing w:before="120" w:after="120"/>
        <w:jc w:val="both"/>
        <w:rPr>
          <w:noProof/>
          <w:szCs w:val="20"/>
          <w:lang w:eastAsia="de-DE"/>
        </w:rPr>
      </w:pPr>
      <w:r>
        <w:rPr>
          <w:noProof/>
          <w:szCs w:val="20"/>
          <w:lang w:eastAsia="de-DE"/>
        </w:rPr>
        <w:t>For these three programme</w:t>
      </w:r>
      <w:r>
        <w:rPr>
          <w:noProof/>
          <w:szCs w:val="20"/>
          <w:lang w:eastAsia="de-DE"/>
        </w:rPr>
        <w:t>s, the following reinforcements are incorporated in AL 1/2021:</w:t>
      </w:r>
    </w:p>
    <w:tbl>
      <w:tblPr>
        <w:tblW w:w="9840" w:type="dxa"/>
        <w:tblInd w:w="108" w:type="dxa"/>
        <w:tblLook w:val="04A0" w:firstRow="1" w:lastRow="0" w:firstColumn="1" w:lastColumn="0" w:noHBand="0" w:noVBand="1"/>
      </w:tblPr>
      <w:tblGrid>
        <w:gridCol w:w="6360"/>
        <w:gridCol w:w="1820"/>
        <w:gridCol w:w="1660"/>
      </w:tblGrid>
      <w:tr w:rsidR="00E473EF">
        <w:trPr>
          <w:trHeight w:val="300"/>
        </w:trPr>
        <w:tc>
          <w:tcPr>
            <w:tcW w:w="6360" w:type="dxa"/>
            <w:tcBorders>
              <w:top w:val="nil"/>
              <w:left w:val="nil"/>
              <w:bottom w:val="nil"/>
              <w:right w:val="nil"/>
            </w:tcBorders>
            <w:shd w:val="clear" w:color="auto" w:fill="auto"/>
            <w:noWrap/>
            <w:vAlign w:val="center"/>
            <w:hideMark/>
          </w:tcPr>
          <w:p w:rsidR="00E473EF" w:rsidRDefault="00E473EF">
            <w:pPr>
              <w:rPr>
                <w:noProof/>
                <w:sz w:val="20"/>
                <w:szCs w:val="20"/>
                <w:lang w:val="en-US" w:eastAsia="en-US"/>
              </w:rPr>
            </w:pPr>
          </w:p>
        </w:tc>
        <w:tc>
          <w:tcPr>
            <w:tcW w:w="1820" w:type="dxa"/>
            <w:tcBorders>
              <w:top w:val="nil"/>
              <w:left w:val="nil"/>
              <w:bottom w:val="nil"/>
              <w:right w:val="nil"/>
            </w:tcBorders>
            <w:shd w:val="clear" w:color="auto" w:fill="auto"/>
            <w:noWrap/>
            <w:vAlign w:val="center"/>
            <w:hideMark/>
          </w:tcPr>
          <w:p w:rsidR="00E473EF" w:rsidRDefault="00E473EF">
            <w:pPr>
              <w:rPr>
                <w:noProof/>
                <w:sz w:val="20"/>
                <w:szCs w:val="20"/>
                <w:lang w:val="en-US" w:eastAsia="en-US"/>
              </w:rPr>
            </w:pPr>
          </w:p>
        </w:tc>
        <w:tc>
          <w:tcPr>
            <w:tcW w:w="1660" w:type="dxa"/>
            <w:tcBorders>
              <w:top w:val="nil"/>
              <w:left w:val="nil"/>
              <w:bottom w:val="nil"/>
              <w:right w:val="nil"/>
            </w:tcBorders>
            <w:shd w:val="clear" w:color="auto" w:fill="auto"/>
            <w:noWrap/>
            <w:vAlign w:val="center"/>
            <w:hideMark/>
          </w:tcPr>
          <w:p w:rsidR="00E473EF" w:rsidRDefault="00CE451E">
            <w:pPr>
              <w:jc w:val="right"/>
              <w:rPr>
                <w:i/>
                <w:iCs/>
                <w:noProof/>
                <w:color w:val="000000"/>
                <w:sz w:val="16"/>
                <w:szCs w:val="16"/>
                <w:lang w:val="en-US" w:eastAsia="en-US"/>
              </w:rPr>
            </w:pPr>
            <w:r>
              <w:rPr>
                <w:i/>
                <w:iCs/>
                <w:noProof/>
                <w:color w:val="000000"/>
                <w:sz w:val="16"/>
                <w:szCs w:val="16"/>
                <w:lang w:val="en-US" w:eastAsia="en-US"/>
              </w:rPr>
              <w:t>(In EUR million)</w:t>
            </w:r>
          </w:p>
        </w:tc>
      </w:tr>
      <w:tr w:rsidR="00E473EF">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22"/>
                <w:szCs w:val="22"/>
                <w:lang w:val="en-US" w:eastAsia="en-US"/>
              </w:rPr>
            </w:pPr>
            <w:r>
              <w:rPr>
                <w:b/>
                <w:bCs/>
                <w:noProof/>
                <w:color w:val="000000"/>
                <w:sz w:val="22"/>
                <w:szCs w:val="22"/>
                <w:lang w:val="en-US" w:eastAsia="en-US"/>
              </w:rPr>
              <w:t>Programme</w:t>
            </w:r>
          </w:p>
        </w:tc>
        <w:tc>
          <w:tcPr>
            <w:tcW w:w="1820" w:type="dxa"/>
            <w:tcBorders>
              <w:top w:val="single" w:sz="4" w:space="0" w:color="auto"/>
              <w:left w:val="nil"/>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22"/>
                <w:szCs w:val="22"/>
                <w:lang w:val="en-US" w:eastAsia="en-US"/>
              </w:rPr>
            </w:pPr>
            <w:r>
              <w:rPr>
                <w:b/>
                <w:bCs/>
                <w:noProof/>
                <w:color w:val="000000"/>
                <w:sz w:val="22"/>
                <w:szCs w:val="22"/>
                <w:lang w:val="en-US" w:eastAsia="en-US"/>
              </w:rPr>
              <w:t>Commitment appropriations</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22"/>
                <w:szCs w:val="22"/>
                <w:lang w:val="en-US" w:eastAsia="en-US"/>
              </w:rPr>
            </w:pPr>
            <w:r>
              <w:rPr>
                <w:b/>
                <w:bCs/>
                <w:noProof/>
                <w:color w:val="000000"/>
                <w:sz w:val="22"/>
                <w:szCs w:val="22"/>
                <w:lang w:val="en-US" w:eastAsia="en-US"/>
              </w:rPr>
              <w:t>Payment appropriations</w:t>
            </w:r>
          </w:p>
        </w:tc>
      </w:tr>
      <w:tr w:rsidR="00E473EF">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Horizon Europe</w:t>
            </w:r>
          </w:p>
        </w:tc>
        <w:tc>
          <w:tcPr>
            <w:tcW w:w="182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75,8</w:t>
            </w:r>
          </w:p>
        </w:tc>
        <w:tc>
          <w:tcPr>
            <w:tcW w:w="166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3,0</w:t>
            </w:r>
          </w:p>
        </w:tc>
      </w:tr>
      <w:tr w:rsidR="00E473EF">
        <w:trPr>
          <w:trHeight w:val="300"/>
        </w:trPr>
        <w:tc>
          <w:tcPr>
            <w:tcW w:w="6360" w:type="dxa"/>
            <w:tcBorders>
              <w:top w:val="nil"/>
              <w:left w:val="single" w:sz="4" w:space="0" w:color="auto"/>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EU4Health</w:t>
            </w:r>
          </w:p>
        </w:tc>
        <w:tc>
          <w:tcPr>
            <w:tcW w:w="182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74,3</w:t>
            </w:r>
          </w:p>
        </w:tc>
        <w:tc>
          <w:tcPr>
            <w:tcW w:w="166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15,3</w:t>
            </w:r>
          </w:p>
        </w:tc>
      </w:tr>
      <w:tr w:rsidR="00E473EF">
        <w:trPr>
          <w:trHeight w:val="300"/>
        </w:trPr>
        <w:tc>
          <w:tcPr>
            <w:tcW w:w="6360" w:type="dxa"/>
            <w:tcBorders>
              <w:top w:val="nil"/>
              <w:left w:val="single" w:sz="4" w:space="0" w:color="auto"/>
              <w:bottom w:val="single" w:sz="4" w:space="0" w:color="auto"/>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Erasmus+</w:t>
            </w:r>
          </w:p>
        </w:tc>
        <w:tc>
          <w:tcPr>
            <w:tcW w:w="182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175,1</w:t>
            </w:r>
          </w:p>
        </w:tc>
        <w:tc>
          <w:tcPr>
            <w:tcW w:w="166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133,1</w:t>
            </w:r>
          </w:p>
        </w:tc>
      </w:tr>
      <w:tr w:rsidR="00E473EF">
        <w:trPr>
          <w:trHeight w:val="300"/>
        </w:trPr>
        <w:tc>
          <w:tcPr>
            <w:tcW w:w="6360" w:type="dxa"/>
            <w:tcBorders>
              <w:top w:val="nil"/>
              <w:left w:val="single" w:sz="4" w:space="0" w:color="auto"/>
              <w:bottom w:val="single" w:sz="4" w:space="0" w:color="auto"/>
              <w:right w:val="single" w:sz="4" w:space="0" w:color="auto"/>
            </w:tcBorders>
            <w:shd w:val="clear" w:color="auto" w:fill="auto"/>
            <w:noWrap/>
            <w:vAlign w:val="center"/>
            <w:hideMark/>
          </w:tcPr>
          <w:p w:rsidR="00E473EF" w:rsidRDefault="00CE451E">
            <w:pPr>
              <w:rPr>
                <w:b/>
                <w:bCs/>
                <w:noProof/>
                <w:color w:val="000000"/>
                <w:sz w:val="22"/>
                <w:szCs w:val="22"/>
                <w:lang w:val="en-US" w:eastAsia="en-US"/>
              </w:rPr>
            </w:pPr>
            <w:r>
              <w:rPr>
                <w:b/>
                <w:bCs/>
                <w:noProof/>
                <w:color w:val="000000"/>
                <w:sz w:val="22"/>
                <w:szCs w:val="22"/>
                <w:lang w:val="en-US" w:eastAsia="en-US"/>
              </w:rPr>
              <w:t>Total</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E473EF" w:rsidRDefault="00CE451E">
            <w:pPr>
              <w:jc w:val="right"/>
              <w:rPr>
                <w:b/>
                <w:bCs/>
                <w:noProof/>
                <w:color w:val="000000"/>
                <w:sz w:val="22"/>
                <w:szCs w:val="22"/>
                <w:lang w:val="en-US" w:eastAsia="en-US"/>
              </w:rPr>
            </w:pPr>
            <w:r>
              <w:rPr>
                <w:b/>
                <w:bCs/>
                <w:noProof/>
                <w:color w:val="000000"/>
                <w:sz w:val="22"/>
                <w:szCs w:val="22"/>
                <w:lang w:val="en-US" w:eastAsia="en-US"/>
              </w:rPr>
              <w:t>325,2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473EF" w:rsidRDefault="00CE451E">
            <w:pPr>
              <w:jc w:val="right"/>
              <w:rPr>
                <w:b/>
                <w:bCs/>
                <w:noProof/>
                <w:color w:val="000000"/>
                <w:sz w:val="22"/>
                <w:szCs w:val="22"/>
                <w:lang w:val="en-US" w:eastAsia="en-US"/>
              </w:rPr>
            </w:pPr>
            <w:r>
              <w:rPr>
                <w:b/>
                <w:bCs/>
                <w:noProof/>
                <w:color w:val="000000"/>
                <w:sz w:val="22"/>
                <w:szCs w:val="22"/>
                <w:lang w:val="en-US" w:eastAsia="en-US"/>
              </w:rPr>
              <w:t>151,3</w:t>
            </w:r>
          </w:p>
        </w:tc>
      </w:tr>
    </w:tbl>
    <w:p w:rsidR="00E473EF" w:rsidRDefault="00CE451E">
      <w:pPr>
        <w:spacing w:before="120" w:after="120"/>
        <w:jc w:val="both"/>
        <w:rPr>
          <w:noProof/>
          <w:szCs w:val="20"/>
          <w:lang w:eastAsia="de-DE"/>
        </w:rPr>
      </w:pPr>
      <w:r>
        <w:rPr>
          <w:noProof/>
          <w:szCs w:val="20"/>
          <w:lang w:eastAsia="de-DE"/>
        </w:rPr>
        <w:t xml:space="preserve">For Horizon Europe the additional EUR 75,8 million in commitment appropriations will be made available again through the recourse to the Article 15.3 of the Financial Regulation as a result of total or partial non-implementation of past research projects. </w:t>
      </w:r>
    </w:p>
    <w:p w:rsidR="00E473EF" w:rsidRDefault="00CE451E">
      <w:pPr>
        <w:spacing w:after="200" w:line="276" w:lineRule="auto"/>
        <w:rPr>
          <w:noProof/>
          <w:szCs w:val="20"/>
          <w:lang w:eastAsia="de-DE"/>
        </w:rPr>
      </w:pPr>
      <w:r>
        <w:rPr>
          <w:noProof/>
          <w:szCs w:val="20"/>
          <w:lang w:eastAsia="de-DE"/>
        </w:rPr>
        <w:br w:type="page"/>
      </w:r>
    </w:p>
    <w:p w:rsidR="00E473EF" w:rsidRDefault="00CE451E">
      <w:pPr>
        <w:spacing w:before="120" w:after="120"/>
        <w:jc w:val="both"/>
        <w:rPr>
          <w:noProof/>
          <w:szCs w:val="20"/>
          <w:lang w:eastAsia="de-DE"/>
        </w:rPr>
      </w:pPr>
      <w:r>
        <w:rPr>
          <w:noProof/>
          <w:szCs w:val="20"/>
          <w:lang w:eastAsia="de-DE"/>
        </w:rPr>
        <w:t>The following budget lines will be reinforced and the budgetary remarks adjusted accordingly:</w:t>
      </w:r>
    </w:p>
    <w:tbl>
      <w:tblPr>
        <w:tblW w:w="9782" w:type="dxa"/>
        <w:tblInd w:w="108" w:type="dxa"/>
        <w:tblLook w:val="04A0" w:firstRow="1" w:lastRow="0" w:firstColumn="1" w:lastColumn="0" w:noHBand="0" w:noVBand="1"/>
      </w:tblPr>
      <w:tblGrid>
        <w:gridCol w:w="1440"/>
        <w:gridCol w:w="6720"/>
        <w:gridCol w:w="1622"/>
      </w:tblGrid>
      <w:tr w:rsidR="00E473EF">
        <w:trPr>
          <w:trHeight w:val="260"/>
        </w:trPr>
        <w:tc>
          <w:tcPr>
            <w:tcW w:w="1440" w:type="dxa"/>
            <w:tcBorders>
              <w:top w:val="nil"/>
              <w:left w:val="nil"/>
              <w:bottom w:val="nil"/>
              <w:right w:val="nil"/>
            </w:tcBorders>
            <w:shd w:val="clear" w:color="auto" w:fill="auto"/>
            <w:vAlign w:val="center"/>
            <w:hideMark/>
          </w:tcPr>
          <w:p w:rsidR="00E473EF" w:rsidRDefault="00E473EF">
            <w:pPr>
              <w:rPr>
                <w:noProof/>
                <w:sz w:val="20"/>
                <w:szCs w:val="20"/>
                <w:lang w:val="en-US" w:eastAsia="en-US"/>
              </w:rPr>
            </w:pPr>
          </w:p>
        </w:tc>
        <w:tc>
          <w:tcPr>
            <w:tcW w:w="6720" w:type="dxa"/>
            <w:tcBorders>
              <w:top w:val="nil"/>
              <w:left w:val="nil"/>
              <w:bottom w:val="nil"/>
              <w:right w:val="nil"/>
            </w:tcBorders>
            <w:shd w:val="clear" w:color="auto" w:fill="auto"/>
            <w:vAlign w:val="center"/>
            <w:hideMark/>
          </w:tcPr>
          <w:p w:rsidR="00E473EF" w:rsidRDefault="00E473EF">
            <w:pPr>
              <w:rPr>
                <w:noProof/>
                <w:sz w:val="20"/>
                <w:szCs w:val="20"/>
                <w:lang w:val="en-US" w:eastAsia="en-US"/>
              </w:rPr>
            </w:pPr>
          </w:p>
        </w:tc>
        <w:tc>
          <w:tcPr>
            <w:tcW w:w="1622" w:type="dxa"/>
            <w:tcBorders>
              <w:top w:val="nil"/>
              <w:left w:val="nil"/>
              <w:bottom w:val="nil"/>
              <w:right w:val="nil"/>
            </w:tcBorders>
            <w:shd w:val="clear" w:color="auto" w:fill="auto"/>
            <w:vAlign w:val="center"/>
            <w:hideMark/>
          </w:tcPr>
          <w:p w:rsidR="00E473EF" w:rsidRDefault="00CE451E">
            <w:pPr>
              <w:jc w:val="right"/>
              <w:rPr>
                <w:i/>
                <w:iCs/>
                <w:noProof/>
                <w:color w:val="000000"/>
                <w:sz w:val="20"/>
                <w:szCs w:val="20"/>
                <w:lang w:val="en-US" w:eastAsia="en-US"/>
              </w:rPr>
            </w:pPr>
            <w:r>
              <w:rPr>
                <w:i/>
                <w:iCs/>
                <w:noProof/>
                <w:color w:val="000000"/>
                <w:sz w:val="20"/>
                <w:szCs w:val="20"/>
                <w:lang w:val="en-US" w:eastAsia="en-US"/>
              </w:rPr>
              <w:t>(in Eur)</w:t>
            </w:r>
          </w:p>
        </w:tc>
      </w:tr>
      <w:tr w:rsidR="00E473EF">
        <w:trPr>
          <w:trHeight w:val="519"/>
        </w:trPr>
        <w:tc>
          <w:tcPr>
            <w:tcW w:w="816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E473EF" w:rsidRDefault="00CE451E">
            <w:pPr>
              <w:jc w:val="center"/>
              <w:rPr>
                <w:b/>
                <w:bCs/>
                <w:noProof/>
                <w:color w:val="000000"/>
                <w:sz w:val="22"/>
                <w:szCs w:val="22"/>
                <w:lang w:val="en-US" w:eastAsia="en-US"/>
              </w:rPr>
            </w:pPr>
            <w:r>
              <w:rPr>
                <w:b/>
                <w:bCs/>
                <w:noProof/>
                <w:color w:val="000000"/>
                <w:sz w:val="22"/>
                <w:szCs w:val="22"/>
                <w:lang w:eastAsia="en-US"/>
              </w:rPr>
              <w:t>Budget lines</w:t>
            </w:r>
          </w:p>
        </w:tc>
        <w:tc>
          <w:tcPr>
            <w:tcW w:w="1622" w:type="dxa"/>
            <w:tcBorders>
              <w:top w:val="single" w:sz="4" w:space="0" w:color="auto"/>
              <w:left w:val="nil"/>
              <w:bottom w:val="single" w:sz="4" w:space="0" w:color="auto"/>
              <w:right w:val="single" w:sz="4" w:space="0" w:color="auto"/>
            </w:tcBorders>
            <w:shd w:val="clear" w:color="000000" w:fill="BFBFBF"/>
            <w:vAlign w:val="bottom"/>
            <w:hideMark/>
          </w:tcPr>
          <w:p w:rsidR="00E473EF" w:rsidRDefault="00CE451E">
            <w:pPr>
              <w:jc w:val="center"/>
              <w:rPr>
                <w:b/>
                <w:bCs/>
                <w:noProof/>
                <w:color w:val="000000"/>
                <w:sz w:val="22"/>
                <w:szCs w:val="22"/>
                <w:lang w:val="en-US" w:eastAsia="en-US"/>
              </w:rPr>
            </w:pPr>
            <w:r>
              <w:rPr>
                <w:b/>
                <w:bCs/>
                <w:noProof/>
                <w:color w:val="000000"/>
                <w:sz w:val="22"/>
                <w:szCs w:val="22"/>
                <w:lang w:val="en-US" w:eastAsia="en-US"/>
              </w:rPr>
              <w:t>Commitment appropriations</w:t>
            </w:r>
          </w:p>
        </w:tc>
      </w:tr>
      <w:tr w:rsidR="00E473EF">
        <w:trPr>
          <w:cantSplit/>
          <w:trHeight w:val="260"/>
        </w:trPr>
        <w:tc>
          <w:tcPr>
            <w:tcW w:w="1440" w:type="dxa"/>
            <w:tcBorders>
              <w:top w:val="nil"/>
              <w:left w:val="single" w:sz="4" w:space="0" w:color="auto"/>
              <w:bottom w:val="nil"/>
              <w:right w:val="nil"/>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eastAsia="en-US"/>
              </w:rPr>
              <w:t>01 02 02 10</w:t>
            </w:r>
          </w:p>
        </w:tc>
        <w:tc>
          <w:tcPr>
            <w:tcW w:w="6720" w:type="dxa"/>
            <w:tcBorders>
              <w:top w:val="nil"/>
              <w:left w:val="nil"/>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eastAsia="en-US"/>
              </w:rPr>
              <w:t>Cluster Health</w:t>
            </w:r>
          </w:p>
        </w:tc>
        <w:tc>
          <w:tcPr>
            <w:tcW w:w="1622"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12 886 000</w:t>
            </w:r>
          </w:p>
        </w:tc>
      </w:tr>
      <w:tr w:rsidR="00E473EF">
        <w:trPr>
          <w:cantSplit/>
          <w:trHeight w:val="260"/>
        </w:trPr>
        <w:tc>
          <w:tcPr>
            <w:tcW w:w="1440" w:type="dxa"/>
            <w:tcBorders>
              <w:top w:val="nil"/>
              <w:left w:val="single" w:sz="4" w:space="0" w:color="auto"/>
              <w:bottom w:val="nil"/>
              <w:right w:val="nil"/>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eastAsia="en-US"/>
              </w:rPr>
              <w:t>01 02 02 40</w:t>
            </w:r>
          </w:p>
        </w:tc>
        <w:tc>
          <w:tcPr>
            <w:tcW w:w="6720" w:type="dxa"/>
            <w:tcBorders>
              <w:top w:val="nil"/>
              <w:left w:val="nil"/>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eastAsia="en-US"/>
              </w:rPr>
              <w:t>Cluster Digital, Industry and Space</w:t>
            </w:r>
          </w:p>
        </w:tc>
        <w:tc>
          <w:tcPr>
            <w:tcW w:w="1622"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12 886 000</w:t>
            </w:r>
          </w:p>
        </w:tc>
      </w:tr>
      <w:tr w:rsidR="00E473EF">
        <w:trPr>
          <w:cantSplit/>
          <w:trHeight w:val="260"/>
        </w:trPr>
        <w:tc>
          <w:tcPr>
            <w:tcW w:w="1440" w:type="dxa"/>
            <w:tcBorders>
              <w:top w:val="nil"/>
              <w:left w:val="single" w:sz="4" w:space="0" w:color="auto"/>
              <w:bottom w:val="nil"/>
              <w:right w:val="nil"/>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eastAsia="en-US"/>
              </w:rPr>
              <w:t>01 02 02</w:t>
            </w:r>
            <w:r>
              <w:rPr>
                <w:noProof/>
                <w:color w:val="000000"/>
                <w:sz w:val="22"/>
                <w:szCs w:val="22"/>
                <w:lang w:eastAsia="en-US"/>
              </w:rPr>
              <w:t xml:space="preserve"> 50</w:t>
            </w:r>
          </w:p>
        </w:tc>
        <w:tc>
          <w:tcPr>
            <w:tcW w:w="6720" w:type="dxa"/>
            <w:tcBorders>
              <w:top w:val="nil"/>
              <w:left w:val="nil"/>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eastAsia="en-US"/>
              </w:rPr>
              <w:t>Cluster Climate, Energy and Mobility</w:t>
            </w:r>
          </w:p>
        </w:tc>
        <w:tc>
          <w:tcPr>
            <w:tcW w:w="1622"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25 014 000</w:t>
            </w:r>
          </w:p>
        </w:tc>
      </w:tr>
      <w:tr w:rsidR="00E473EF">
        <w:trPr>
          <w:trHeight w:val="260"/>
        </w:trPr>
        <w:tc>
          <w:tcPr>
            <w:tcW w:w="1440" w:type="dxa"/>
            <w:tcBorders>
              <w:top w:val="nil"/>
              <w:left w:val="single" w:sz="4" w:space="0" w:color="auto"/>
              <w:bottom w:val="nil"/>
              <w:right w:val="nil"/>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eastAsia="en-US"/>
              </w:rPr>
              <w:t>01 02 02 60</w:t>
            </w:r>
          </w:p>
        </w:tc>
        <w:tc>
          <w:tcPr>
            <w:tcW w:w="6720" w:type="dxa"/>
            <w:tcBorders>
              <w:top w:val="nil"/>
              <w:left w:val="nil"/>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eastAsia="en-US"/>
              </w:rPr>
              <w:t>Cluster Food, Bioeconomy, Natural Resources, Agriculture and Environment</w:t>
            </w:r>
          </w:p>
        </w:tc>
        <w:tc>
          <w:tcPr>
            <w:tcW w:w="1622"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25 014 000</w:t>
            </w:r>
          </w:p>
        </w:tc>
      </w:tr>
      <w:tr w:rsidR="00E473EF">
        <w:trPr>
          <w:trHeight w:val="260"/>
        </w:trPr>
        <w:tc>
          <w:tcPr>
            <w:tcW w:w="1440" w:type="dxa"/>
            <w:tcBorders>
              <w:top w:val="single" w:sz="4" w:space="0" w:color="auto"/>
              <w:left w:val="single" w:sz="4" w:space="0" w:color="auto"/>
              <w:bottom w:val="single" w:sz="4" w:space="0" w:color="auto"/>
              <w:right w:val="nil"/>
            </w:tcBorders>
            <w:shd w:val="clear" w:color="000000" w:fill="D9D9D9"/>
            <w:noWrap/>
            <w:vAlign w:val="center"/>
            <w:hideMark/>
          </w:tcPr>
          <w:p w:rsidR="00E473EF" w:rsidRDefault="00CE451E">
            <w:pPr>
              <w:rPr>
                <w:b/>
                <w:bCs/>
                <w:noProof/>
                <w:color w:val="000000"/>
                <w:sz w:val="22"/>
                <w:szCs w:val="22"/>
                <w:lang w:val="en-US" w:eastAsia="en-US"/>
              </w:rPr>
            </w:pPr>
            <w:r>
              <w:rPr>
                <w:b/>
                <w:bCs/>
                <w:noProof/>
                <w:color w:val="000000"/>
                <w:sz w:val="22"/>
                <w:szCs w:val="22"/>
                <w:lang w:eastAsia="en-US"/>
              </w:rPr>
              <w:t>Total</w:t>
            </w:r>
          </w:p>
        </w:tc>
        <w:tc>
          <w:tcPr>
            <w:tcW w:w="6720" w:type="dxa"/>
            <w:tcBorders>
              <w:top w:val="single" w:sz="4" w:space="0" w:color="auto"/>
              <w:left w:val="nil"/>
              <w:bottom w:val="single" w:sz="4" w:space="0" w:color="auto"/>
              <w:right w:val="single" w:sz="4" w:space="0" w:color="auto"/>
            </w:tcBorders>
            <w:shd w:val="clear" w:color="000000" w:fill="D9D9D9"/>
            <w:noWrap/>
            <w:vAlign w:val="center"/>
            <w:hideMark/>
          </w:tcPr>
          <w:p w:rsidR="00E473EF" w:rsidRDefault="00CE451E">
            <w:pPr>
              <w:jc w:val="right"/>
              <w:rPr>
                <w:b/>
                <w:bCs/>
                <w:noProof/>
                <w:color w:val="000000"/>
                <w:sz w:val="22"/>
                <w:szCs w:val="22"/>
                <w:lang w:val="en-US" w:eastAsia="en-US"/>
              </w:rPr>
            </w:pPr>
            <w:r>
              <w:rPr>
                <w:b/>
                <w:bCs/>
                <w:noProof/>
                <w:color w:val="000000"/>
                <w:sz w:val="22"/>
                <w:szCs w:val="22"/>
                <w:lang w:val="en-US" w:eastAsia="en-US"/>
              </w:rPr>
              <w:t> </w:t>
            </w:r>
          </w:p>
        </w:tc>
        <w:tc>
          <w:tcPr>
            <w:tcW w:w="1622" w:type="dxa"/>
            <w:tcBorders>
              <w:top w:val="single" w:sz="4" w:space="0" w:color="auto"/>
              <w:left w:val="nil"/>
              <w:bottom w:val="single" w:sz="4" w:space="0" w:color="auto"/>
              <w:right w:val="single" w:sz="4" w:space="0" w:color="auto"/>
            </w:tcBorders>
            <w:shd w:val="clear" w:color="000000" w:fill="D9D9D9"/>
            <w:noWrap/>
            <w:vAlign w:val="center"/>
            <w:hideMark/>
          </w:tcPr>
          <w:p w:rsidR="00E473EF" w:rsidRDefault="00CE451E">
            <w:pPr>
              <w:jc w:val="right"/>
              <w:rPr>
                <w:b/>
                <w:bCs/>
                <w:noProof/>
                <w:color w:val="000000"/>
                <w:sz w:val="22"/>
                <w:szCs w:val="22"/>
                <w:lang w:val="en-US" w:eastAsia="en-US"/>
              </w:rPr>
            </w:pPr>
            <w:r>
              <w:rPr>
                <w:b/>
                <w:bCs/>
                <w:noProof/>
                <w:color w:val="000000"/>
                <w:sz w:val="22"/>
                <w:szCs w:val="22"/>
                <w:lang w:val="en-US" w:eastAsia="en-US"/>
              </w:rPr>
              <w:t>75 800 000</w:t>
            </w:r>
          </w:p>
        </w:tc>
      </w:tr>
    </w:tbl>
    <w:p w:rsidR="00E473EF" w:rsidRDefault="00CE451E">
      <w:pPr>
        <w:spacing w:before="120" w:after="120"/>
        <w:jc w:val="both"/>
        <w:rPr>
          <w:noProof/>
          <w:szCs w:val="20"/>
          <w:lang w:eastAsia="de-DE"/>
        </w:rPr>
      </w:pPr>
      <w:r>
        <w:rPr>
          <w:noProof/>
          <w:szCs w:val="20"/>
          <w:lang w:eastAsia="de-DE"/>
        </w:rPr>
        <w:t xml:space="preserve">With the reinforcements of EU4Health and Eramus+ (EUR 249,4 million), the total appropriations requested under heading 2b </w:t>
      </w:r>
      <w:r>
        <w:rPr>
          <w:i/>
          <w:noProof/>
          <w:szCs w:val="20"/>
          <w:lang w:eastAsia="de-DE"/>
        </w:rPr>
        <w:t xml:space="preserve">Resilience and Values in 2021 </w:t>
      </w:r>
      <w:r>
        <w:rPr>
          <w:noProof/>
          <w:szCs w:val="20"/>
          <w:lang w:eastAsia="de-DE"/>
        </w:rPr>
        <w:t xml:space="preserve">exceed the ceiling agreed by EUR 97,8 million. The Flexibility Instrument is therefore proposed to be mobilised for this amount.  </w:t>
      </w:r>
    </w:p>
    <w:p w:rsidR="00E473EF" w:rsidRDefault="00CE451E">
      <w:pPr>
        <w:keepNext/>
        <w:tabs>
          <w:tab w:val="left" w:pos="850"/>
        </w:tabs>
        <w:spacing w:before="120" w:after="120"/>
        <w:ind w:left="357" w:hanging="357"/>
        <w:jc w:val="both"/>
        <w:outlineLvl w:val="1"/>
        <w:rPr>
          <w:rFonts w:eastAsia="Calibri"/>
          <w:b/>
          <w:noProof/>
          <w:lang w:eastAsia="en-US"/>
        </w:rPr>
      </w:pPr>
      <w:bookmarkStart w:id="33" w:name="_Toc55807122"/>
      <w:bookmarkStart w:id="34" w:name="_Toc56009536"/>
      <w:r>
        <w:rPr>
          <w:rFonts w:eastAsia="Calibri"/>
          <w:b/>
          <w:noProof/>
          <w:lang w:eastAsia="en-US"/>
        </w:rPr>
        <w:t xml:space="preserve">2.3 </w:t>
      </w:r>
      <w:r>
        <w:rPr>
          <w:rFonts w:eastAsia="Calibri"/>
          <w:b/>
          <w:noProof/>
          <w:lang w:eastAsia="en-US"/>
        </w:rPr>
        <w:tab/>
        <w:t xml:space="preserve">Updated needs for payments </w:t>
      </w:r>
      <w:bookmarkEnd w:id="32"/>
      <w:r>
        <w:rPr>
          <w:rFonts w:eastAsia="Calibri"/>
          <w:b/>
          <w:noProof/>
          <w:lang w:eastAsia="en-US"/>
        </w:rPr>
        <w:t>appropriations</w:t>
      </w:r>
      <w:bookmarkEnd w:id="33"/>
      <w:bookmarkEnd w:id="34"/>
    </w:p>
    <w:p w:rsidR="00E473EF" w:rsidRDefault="00CE451E">
      <w:pPr>
        <w:keepNext/>
        <w:tabs>
          <w:tab w:val="left" w:pos="850"/>
        </w:tabs>
        <w:spacing w:before="240" w:after="120"/>
        <w:ind w:left="850" w:hanging="850"/>
        <w:jc w:val="both"/>
        <w:outlineLvl w:val="1"/>
        <w:rPr>
          <w:i/>
          <w:noProof/>
          <w:lang w:val="en-US"/>
        </w:rPr>
      </w:pPr>
      <w:bookmarkStart w:id="35" w:name="_Toc54770313"/>
      <w:bookmarkStart w:id="36" w:name="_Toc55807123"/>
      <w:bookmarkStart w:id="37" w:name="_Toc56009537"/>
      <w:bookmarkStart w:id="38" w:name="_Toc52372351"/>
      <w:bookmarkStart w:id="39" w:name="_Toc52346056"/>
      <w:r>
        <w:rPr>
          <w:rFonts w:eastAsia="Calibri"/>
          <w:i/>
          <w:noProof/>
          <w:lang w:eastAsia="de-DE"/>
        </w:rPr>
        <w:t>2.3.1</w:t>
      </w:r>
      <w:r>
        <w:rPr>
          <w:rFonts w:eastAsia="Calibri"/>
          <w:i/>
          <w:noProof/>
          <w:lang w:eastAsia="de-DE"/>
        </w:rPr>
        <w:tab/>
      </w:r>
      <w:r>
        <w:rPr>
          <w:i/>
          <w:noProof/>
        </w:rPr>
        <w:t>Non-adoption</w:t>
      </w:r>
      <w:r>
        <w:rPr>
          <w:i/>
          <w:noProof/>
          <w:lang w:val="en-US"/>
        </w:rPr>
        <w:t xml:space="preserve"> of the “bridging solution” in 2020</w:t>
      </w:r>
      <w:bookmarkEnd w:id="35"/>
      <w:bookmarkEnd w:id="36"/>
      <w:bookmarkEnd w:id="37"/>
    </w:p>
    <w:p w:rsidR="00E473EF" w:rsidRDefault="00CE451E">
      <w:pPr>
        <w:spacing w:before="120" w:after="120"/>
        <w:jc w:val="both"/>
        <w:rPr>
          <w:noProof/>
          <w:lang w:eastAsia="de-DE"/>
        </w:rPr>
      </w:pPr>
      <w:r>
        <w:rPr>
          <w:noProof/>
          <w:szCs w:val="20"/>
          <w:lang w:eastAsia="de-DE"/>
        </w:rPr>
        <w:t>On 3 June 2020, the Comm</w:t>
      </w:r>
      <w:r>
        <w:rPr>
          <w:noProof/>
          <w:szCs w:val="20"/>
          <w:lang w:eastAsia="de-DE"/>
        </w:rPr>
        <w:t xml:space="preserve">ission proposed in </w:t>
      </w:r>
      <w:r>
        <w:rPr>
          <w:noProof/>
          <w:lang w:eastAsia="de-DE"/>
        </w:rPr>
        <w:t xml:space="preserve">DAB No 6/2020 </w:t>
      </w:r>
      <w:r>
        <w:rPr>
          <w:noProof/>
          <w:szCs w:val="20"/>
          <w:lang w:eastAsia="de-DE"/>
        </w:rPr>
        <w:t xml:space="preserve">to </w:t>
      </w:r>
      <w:r>
        <w:rPr>
          <w:noProof/>
          <w:lang w:eastAsia="de-DE"/>
        </w:rPr>
        <w:t>reflect in the budget 2020 the impact of the legislative proposals adopted by the Commission on 27, 28 and 29 May in the framework of the European Union economic recovery package</w:t>
      </w:r>
      <w:r>
        <w:rPr>
          <w:rStyle w:val="FootnoteReference"/>
          <w:noProof/>
          <w:lang w:eastAsia="de-DE"/>
        </w:rPr>
        <w:footnoteReference w:id="12"/>
      </w:r>
      <w:r>
        <w:rPr>
          <w:noProof/>
          <w:lang w:eastAsia="de-DE"/>
        </w:rPr>
        <w:t xml:space="preserve">. DAB No 6/2020 accompanied the proposal </w:t>
      </w:r>
      <w:r>
        <w:rPr>
          <w:noProof/>
          <w:lang w:eastAsia="de-DE"/>
        </w:rPr>
        <w:t>to revise the Multiannual Financial Framework Regulation for 2020</w:t>
      </w:r>
      <w:r>
        <w:rPr>
          <w:rStyle w:val="FootnoteReference"/>
          <w:noProof/>
          <w:lang w:eastAsia="de-DE"/>
        </w:rPr>
        <w:footnoteReference w:id="13"/>
      </w:r>
      <w:r>
        <w:rPr>
          <w:noProof/>
          <w:lang w:eastAsia="de-DE"/>
        </w:rPr>
        <w:t>.</w:t>
      </w:r>
    </w:p>
    <w:p w:rsidR="00E473EF" w:rsidRDefault="00CE451E">
      <w:pPr>
        <w:spacing w:before="120" w:after="120"/>
        <w:jc w:val="both"/>
        <w:rPr>
          <w:noProof/>
          <w:lang w:eastAsia="de-DE"/>
        </w:rPr>
      </w:pPr>
      <w:r>
        <w:rPr>
          <w:noProof/>
          <w:lang w:eastAsia="de-DE"/>
        </w:rPr>
        <w:t>As this initiative, referred to as the “bridging solution”, has become obsolete, its impact on the level of payment appropriations for 2021 (EUR 775 million) is proposed to be cancelled in</w:t>
      </w:r>
      <w:r>
        <w:rPr>
          <w:noProof/>
          <w:lang w:eastAsia="de-DE"/>
        </w:rPr>
        <w:t xml:space="preserve"> AL 1/2021.</w:t>
      </w:r>
    </w:p>
    <w:p w:rsidR="00E473EF" w:rsidRDefault="00CE451E">
      <w:pPr>
        <w:spacing w:after="200" w:line="276" w:lineRule="auto"/>
        <w:rPr>
          <w:noProof/>
          <w:lang w:eastAsia="de-DE"/>
        </w:rPr>
      </w:pPr>
      <w:r>
        <w:rPr>
          <w:noProof/>
          <w:lang w:eastAsia="de-DE"/>
        </w:rPr>
        <w:t>This reduction concerns the following programmes:</w:t>
      </w:r>
    </w:p>
    <w:p w:rsidR="00E473EF" w:rsidRDefault="00CE451E">
      <w:pPr>
        <w:pStyle w:val="ListParagraph"/>
        <w:numPr>
          <w:ilvl w:val="0"/>
          <w:numId w:val="28"/>
        </w:numPr>
        <w:spacing w:before="120" w:after="120" w:line="240" w:lineRule="auto"/>
        <w:ind w:left="360"/>
        <w:contextualSpacing w:val="0"/>
        <w:jc w:val="both"/>
        <w:rPr>
          <w:rFonts w:ascii="Times New Roman" w:hAnsi="Times New Roman"/>
          <w:noProof/>
          <w:sz w:val="24"/>
          <w:szCs w:val="24"/>
          <w:lang w:val="en-GB"/>
        </w:rPr>
      </w:pPr>
      <w:r>
        <w:rPr>
          <w:rFonts w:ascii="Times New Roman" w:hAnsi="Times New Roman"/>
          <w:noProof/>
          <w:sz w:val="24"/>
          <w:szCs w:val="24"/>
          <w:lang w:val="en-GB"/>
        </w:rPr>
        <w:t xml:space="preserve">The InvestEU programme in which the completion payments of the current European Fund for Strategic Investment (EFSI) will be incorporated as from 2021. The “bridging solution” foresaw the </w:t>
      </w:r>
      <w:r>
        <w:rPr>
          <w:rFonts w:ascii="Times New Roman" w:hAnsi="Times New Roman"/>
          <w:noProof/>
          <w:sz w:val="24"/>
          <w:szCs w:val="24"/>
          <w:lang w:val="en-GB"/>
        </w:rPr>
        <w:t>creation, within EFSI, of a specific window for the Solvency Support Instrument, for which payment appropriations for an amount of EUR 500 million were included in the DB 2021.</w:t>
      </w:r>
    </w:p>
    <w:p w:rsidR="00E473EF" w:rsidRDefault="00CE451E">
      <w:pPr>
        <w:pStyle w:val="ListParagraph"/>
        <w:numPr>
          <w:ilvl w:val="0"/>
          <w:numId w:val="28"/>
        </w:numPr>
        <w:spacing w:before="120" w:after="120" w:line="240" w:lineRule="auto"/>
        <w:ind w:left="360"/>
        <w:contextualSpacing w:val="0"/>
        <w:jc w:val="both"/>
        <w:rPr>
          <w:rFonts w:ascii="Times New Roman" w:hAnsi="Times New Roman"/>
          <w:noProof/>
          <w:sz w:val="24"/>
          <w:szCs w:val="24"/>
          <w:lang w:val="en-GB"/>
        </w:rPr>
      </w:pPr>
      <w:r>
        <w:rPr>
          <w:rFonts w:ascii="Times New Roman" w:hAnsi="Times New Roman"/>
          <w:noProof/>
          <w:sz w:val="24"/>
          <w:szCs w:val="24"/>
          <w:lang w:val="en-GB"/>
        </w:rPr>
        <w:t>The European Regional Development Fund (ERDF) and the European Social Fund (ESF</w:t>
      </w:r>
      <w:r>
        <w:rPr>
          <w:rFonts w:ascii="Times New Roman" w:hAnsi="Times New Roman"/>
          <w:noProof/>
          <w:sz w:val="24"/>
          <w:szCs w:val="24"/>
          <w:lang w:val="en-GB"/>
        </w:rPr>
        <w:t xml:space="preserve">), for which payment appropriations for a total of EUR 275 million were included in the DB 2021 in the framework of the </w:t>
      </w:r>
      <w:r w:rsidRPr="00CE451E">
        <w:rPr>
          <w:rFonts w:ascii="Times New Roman" w:hAnsi="Times New Roman"/>
          <w:noProof/>
          <w:color w:val="000000"/>
          <w:sz w:val="24"/>
          <w:szCs w:val="24"/>
          <w:lang w:val="en-GB" w:eastAsia="en-GB"/>
        </w:rPr>
        <w:t>REACT-EU initiative</w:t>
      </w:r>
      <w:r>
        <w:rPr>
          <w:rStyle w:val="FootnoteReference"/>
          <w:rFonts w:ascii="Times New Roman" w:eastAsia="Times New Roman" w:hAnsi="Times New Roman"/>
          <w:noProof/>
          <w:sz w:val="24"/>
          <w:szCs w:val="24"/>
          <w:lang w:eastAsia="en-GB"/>
        </w:rPr>
        <w:footnoteReference w:id="14"/>
      </w:r>
      <w:r w:rsidRPr="00CE451E">
        <w:rPr>
          <w:rFonts w:ascii="Times New Roman" w:hAnsi="Times New Roman"/>
          <w:noProof/>
          <w:color w:val="000000"/>
          <w:sz w:val="24"/>
          <w:szCs w:val="24"/>
          <w:lang w:val="en-GB" w:eastAsia="en-GB"/>
        </w:rPr>
        <w:t xml:space="preserve">, </w:t>
      </w:r>
      <w:r>
        <w:rPr>
          <w:rFonts w:ascii="Times New Roman" w:hAnsi="Times New Roman"/>
          <w:noProof/>
          <w:sz w:val="24"/>
          <w:szCs w:val="24"/>
          <w:lang w:val="en-GB"/>
        </w:rPr>
        <w:t>also part of the “bridging solution”.</w:t>
      </w:r>
    </w:p>
    <w:p w:rsidR="00E473EF" w:rsidRDefault="00CE451E">
      <w:pPr>
        <w:spacing w:before="120" w:after="120"/>
        <w:jc w:val="both"/>
        <w:rPr>
          <w:noProof/>
        </w:rPr>
      </w:pPr>
      <w:r>
        <w:rPr>
          <w:noProof/>
        </w:rPr>
        <w:t>DAB No 6/2020 also included the creation of new budget lines in the budget 2</w:t>
      </w:r>
      <w:r>
        <w:rPr>
          <w:noProof/>
        </w:rPr>
        <w:t>020, some of them continuing in 2021. As a consequence of the non-adoption of the ‘bridging solution’ the budget nomenclature needs to be adapted and some budget lines be deleted or transferred as shown in the table below:</w:t>
      </w:r>
    </w:p>
    <w:tbl>
      <w:tblPr>
        <w:tblW w:w="9835" w:type="dxa"/>
        <w:tblInd w:w="113" w:type="dxa"/>
        <w:tblLook w:val="04A0" w:firstRow="1" w:lastRow="0" w:firstColumn="1" w:lastColumn="0" w:noHBand="0" w:noVBand="1"/>
      </w:tblPr>
      <w:tblGrid>
        <w:gridCol w:w="1195"/>
        <w:gridCol w:w="3720"/>
        <w:gridCol w:w="1320"/>
        <w:gridCol w:w="3600"/>
      </w:tblGrid>
      <w:tr w:rsidR="00E473EF">
        <w:trPr>
          <w:trHeight w:val="274"/>
        </w:trPr>
        <w:tc>
          <w:tcPr>
            <w:tcW w:w="4915" w:type="dxa"/>
            <w:gridSpan w:val="2"/>
            <w:tcBorders>
              <w:top w:val="single" w:sz="4" w:space="0" w:color="auto"/>
              <w:left w:val="single" w:sz="4" w:space="0" w:color="auto"/>
              <w:bottom w:val="single" w:sz="4" w:space="0" w:color="auto"/>
              <w:right w:val="nil"/>
            </w:tcBorders>
            <w:shd w:val="clear" w:color="000000" w:fill="D9D9D9"/>
            <w:vAlign w:val="center"/>
            <w:hideMark/>
          </w:tcPr>
          <w:p w:rsidR="00E473EF" w:rsidRDefault="00CE451E">
            <w:pPr>
              <w:jc w:val="center"/>
              <w:rPr>
                <w:noProof/>
                <w:color w:val="000000"/>
                <w:sz w:val="20"/>
                <w:szCs w:val="20"/>
                <w:lang w:val="en-US" w:eastAsia="en-US"/>
              </w:rPr>
            </w:pPr>
            <w:r>
              <w:rPr>
                <w:noProof/>
                <w:color w:val="000000"/>
                <w:sz w:val="20"/>
                <w:szCs w:val="20"/>
                <w:lang w:val="en-US" w:eastAsia="en-US"/>
              </w:rPr>
              <w:t>Nomenclature in DB 2021</w:t>
            </w:r>
          </w:p>
        </w:tc>
        <w:tc>
          <w:tcPr>
            <w:tcW w:w="492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E473EF" w:rsidRDefault="00CE451E">
            <w:pPr>
              <w:jc w:val="center"/>
              <w:rPr>
                <w:noProof/>
                <w:color w:val="000000"/>
                <w:sz w:val="20"/>
                <w:szCs w:val="20"/>
                <w:lang w:val="en-US" w:eastAsia="en-US"/>
              </w:rPr>
            </w:pPr>
            <w:r>
              <w:rPr>
                <w:noProof/>
                <w:color w:val="000000"/>
                <w:sz w:val="20"/>
                <w:szCs w:val="20"/>
                <w:lang w:val="en-US" w:eastAsia="en-US"/>
              </w:rPr>
              <w:t>Nomenclature in AL 1/2021</w:t>
            </w:r>
          </w:p>
        </w:tc>
      </w:tr>
      <w:tr w:rsidR="00E473EF">
        <w:trPr>
          <w:trHeight w:val="350"/>
        </w:trPr>
        <w:tc>
          <w:tcPr>
            <w:tcW w:w="1195" w:type="dxa"/>
            <w:tcBorders>
              <w:top w:val="nil"/>
              <w:left w:val="single" w:sz="4" w:space="0" w:color="auto"/>
              <w:bottom w:val="nil"/>
              <w:right w:val="nil"/>
            </w:tcBorders>
            <w:shd w:val="clear" w:color="auto" w:fill="auto"/>
            <w:vAlign w:val="center"/>
            <w:hideMark/>
          </w:tcPr>
          <w:p w:rsidR="00E473EF" w:rsidRDefault="00CE451E">
            <w:pPr>
              <w:rPr>
                <w:noProof/>
                <w:color w:val="000000"/>
                <w:sz w:val="20"/>
                <w:szCs w:val="20"/>
                <w:lang w:val="en-US" w:eastAsia="en-US"/>
              </w:rPr>
            </w:pPr>
            <w:r>
              <w:rPr>
                <w:noProof/>
                <w:color w:val="000000"/>
                <w:sz w:val="20"/>
                <w:szCs w:val="20"/>
                <w:lang w:val="en-US" w:eastAsia="en-US"/>
              </w:rPr>
              <w:t>02 01 04</w:t>
            </w:r>
          </w:p>
        </w:tc>
        <w:tc>
          <w:tcPr>
            <w:tcW w:w="3720" w:type="dxa"/>
            <w:tcBorders>
              <w:top w:val="nil"/>
              <w:left w:val="nil"/>
              <w:bottom w:val="nil"/>
              <w:right w:val="single" w:sz="4" w:space="0" w:color="auto"/>
            </w:tcBorders>
            <w:shd w:val="clear" w:color="auto" w:fill="auto"/>
            <w:vAlign w:val="center"/>
            <w:hideMark/>
          </w:tcPr>
          <w:p w:rsidR="00E473EF" w:rsidRDefault="00CE451E">
            <w:pPr>
              <w:rPr>
                <w:noProof/>
                <w:color w:val="000000"/>
                <w:sz w:val="20"/>
                <w:szCs w:val="20"/>
                <w:lang w:val="en-US" w:eastAsia="en-US"/>
              </w:rPr>
            </w:pPr>
            <w:r>
              <w:rPr>
                <w:noProof/>
                <w:color w:val="000000"/>
                <w:sz w:val="20"/>
                <w:szCs w:val="20"/>
                <w:lang w:val="en-US" w:eastAsia="en-US"/>
              </w:rPr>
              <w:t>Support expenditure for the "European Fund for Strategic Investments"</w:t>
            </w:r>
          </w:p>
        </w:tc>
        <w:tc>
          <w:tcPr>
            <w:tcW w:w="1320" w:type="dxa"/>
            <w:tcBorders>
              <w:top w:val="nil"/>
              <w:left w:val="nil"/>
              <w:bottom w:val="nil"/>
              <w:right w:val="nil"/>
            </w:tcBorders>
            <w:shd w:val="clear" w:color="auto" w:fill="F2F2F2" w:themeFill="background1" w:themeFillShade="F2"/>
            <w:vAlign w:val="center"/>
            <w:hideMark/>
          </w:tcPr>
          <w:p w:rsidR="00E473EF" w:rsidRDefault="00CE451E">
            <w:pPr>
              <w:rPr>
                <w:i/>
                <w:noProof/>
                <w:color w:val="000000"/>
                <w:sz w:val="20"/>
                <w:szCs w:val="20"/>
                <w:lang w:val="en-US" w:eastAsia="en-US"/>
              </w:rPr>
            </w:pPr>
            <w:r>
              <w:rPr>
                <w:i/>
                <w:noProof/>
                <w:color w:val="000000"/>
                <w:sz w:val="20"/>
                <w:szCs w:val="20"/>
                <w:lang w:val="en-US" w:eastAsia="en-US"/>
              </w:rPr>
              <w:t>deleted</w:t>
            </w:r>
          </w:p>
        </w:tc>
        <w:tc>
          <w:tcPr>
            <w:tcW w:w="3600" w:type="dxa"/>
            <w:tcBorders>
              <w:top w:val="nil"/>
              <w:left w:val="nil"/>
              <w:bottom w:val="nil"/>
              <w:right w:val="single" w:sz="4" w:space="0" w:color="auto"/>
            </w:tcBorders>
            <w:shd w:val="clear" w:color="auto" w:fill="F2F2F2" w:themeFill="background1" w:themeFillShade="F2"/>
            <w:vAlign w:val="center"/>
            <w:hideMark/>
          </w:tcPr>
          <w:p w:rsidR="00E473EF" w:rsidRDefault="00CE451E">
            <w:pPr>
              <w:rPr>
                <w:i/>
                <w:noProof/>
                <w:color w:val="000000"/>
                <w:sz w:val="20"/>
                <w:szCs w:val="20"/>
                <w:lang w:val="en-US" w:eastAsia="en-US"/>
              </w:rPr>
            </w:pPr>
            <w:r>
              <w:rPr>
                <w:i/>
                <w:noProof/>
                <w:color w:val="000000"/>
                <w:sz w:val="20"/>
                <w:szCs w:val="20"/>
                <w:lang w:val="en-US" w:eastAsia="en-US"/>
              </w:rPr>
              <w:t> </w:t>
            </w:r>
          </w:p>
        </w:tc>
      </w:tr>
      <w:tr w:rsidR="00E473EF">
        <w:trPr>
          <w:trHeight w:val="552"/>
        </w:trPr>
        <w:tc>
          <w:tcPr>
            <w:tcW w:w="1195" w:type="dxa"/>
            <w:tcBorders>
              <w:top w:val="nil"/>
              <w:left w:val="single" w:sz="4" w:space="0" w:color="auto"/>
              <w:bottom w:val="nil"/>
              <w:right w:val="nil"/>
            </w:tcBorders>
            <w:shd w:val="clear" w:color="auto" w:fill="auto"/>
            <w:vAlign w:val="center"/>
            <w:hideMark/>
          </w:tcPr>
          <w:p w:rsidR="00E473EF" w:rsidRDefault="00CE451E">
            <w:pPr>
              <w:rPr>
                <w:noProof/>
                <w:color w:val="000000"/>
                <w:sz w:val="20"/>
                <w:szCs w:val="20"/>
                <w:lang w:val="en-US" w:eastAsia="en-US"/>
              </w:rPr>
            </w:pPr>
            <w:r>
              <w:rPr>
                <w:noProof/>
                <w:color w:val="000000"/>
                <w:sz w:val="20"/>
                <w:szCs w:val="20"/>
                <w:lang w:val="en-US" w:eastAsia="en-US"/>
              </w:rPr>
              <w:t>02 05 02 01</w:t>
            </w:r>
          </w:p>
        </w:tc>
        <w:tc>
          <w:tcPr>
            <w:tcW w:w="3720" w:type="dxa"/>
            <w:tcBorders>
              <w:top w:val="nil"/>
              <w:left w:val="nil"/>
              <w:bottom w:val="nil"/>
              <w:right w:val="single" w:sz="4" w:space="0" w:color="auto"/>
            </w:tcBorders>
            <w:shd w:val="clear" w:color="auto" w:fill="auto"/>
            <w:vAlign w:val="center"/>
            <w:hideMark/>
          </w:tcPr>
          <w:p w:rsidR="00E473EF" w:rsidRDefault="00CE451E">
            <w:pPr>
              <w:rPr>
                <w:noProof/>
                <w:color w:val="000000"/>
                <w:sz w:val="20"/>
                <w:szCs w:val="20"/>
                <w:lang w:val="en-US" w:eastAsia="en-US"/>
              </w:rPr>
            </w:pPr>
            <w:r>
              <w:rPr>
                <w:noProof/>
                <w:color w:val="000000"/>
                <w:sz w:val="20"/>
                <w:szCs w:val="20"/>
                <w:lang w:val="en-US" w:eastAsia="en-US"/>
              </w:rPr>
              <w:t>EFSI Guarantee — Infrastructure and Innovation Window (IIW) and SME Window (SMEW)</w:t>
            </w:r>
          </w:p>
        </w:tc>
        <w:tc>
          <w:tcPr>
            <w:tcW w:w="1320" w:type="dxa"/>
            <w:tcBorders>
              <w:top w:val="nil"/>
              <w:left w:val="nil"/>
              <w:bottom w:val="nil"/>
              <w:right w:val="nil"/>
            </w:tcBorders>
            <w:shd w:val="clear" w:color="auto" w:fill="F2F2F2" w:themeFill="background1" w:themeFillShade="F2"/>
            <w:vAlign w:val="center"/>
            <w:hideMark/>
          </w:tcPr>
          <w:p w:rsidR="00E473EF" w:rsidRDefault="00CE451E">
            <w:pPr>
              <w:rPr>
                <w:i/>
                <w:noProof/>
                <w:sz w:val="20"/>
                <w:szCs w:val="20"/>
                <w:lang w:val="en-US" w:eastAsia="en-US"/>
              </w:rPr>
            </w:pPr>
            <w:r>
              <w:rPr>
                <w:i/>
                <w:noProof/>
                <w:sz w:val="20"/>
                <w:szCs w:val="20"/>
                <w:lang w:val="en-US" w:eastAsia="en-US"/>
              </w:rPr>
              <w:t>02 02 99 12</w:t>
            </w:r>
          </w:p>
          <w:p w:rsidR="00E473EF" w:rsidRDefault="00CE451E">
            <w:pPr>
              <w:rPr>
                <w:i/>
                <w:noProof/>
                <w:sz w:val="20"/>
                <w:szCs w:val="20"/>
                <w:lang w:val="en-US" w:eastAsia="en-US"/>
              </w:rPr>
            </w:pPr>
            <w:r>
              <w:rPr>
                <w:i/>
                <w:noProof/>
                <w:sz w:val="20"/>
                <w:szCs w:val="20"/>
                <w:lang w:val="en-US" w:eastAsia="en-US"/>
              </w:rPr>
              <w:t>(new)</w:t>
            </w:r>
          </w:p>
        </w:tc>
        <w:tc>
          <w:tcPr>
            <w:tcW w:w="3600" w:type="dxa"/>
            <w:tcBorders>
              <w:top w:val="nil"/>
              <w:left w:val="nil"/>
              <w:bottom w:val="nil"/>
              <w:right w:val="single" w:sz="4" w:space="0" w:color="auto"/>
            </w:tcBorders>
            <w:shd w:val="clear" w:color="auto" w:fill="F2F2F2" w:themeFill="background1" w:themeFillShade="F2"/>
            <w:vAlign w:val="center"/>
            <w:hideMark/>
          </w:tcPr>
          <w:p w:rsidR="00E473EF" w:rsidRDefault="00CE451E">
            <w:pPr>
              <w:rPr>
                <w:i/>
                <w:noProof/>
                <w:sz w:val="20"/>
                <w:szCs w:val="20"/>
                <w:lang w:val="en-US" w:eastAsia="en-US"/>
              </w:rPr>
            </w:pPr>
            <w:r>
              <w:rPr>
                <w:i/>
                <w:noProof/>
                <w:sz w:val="20"/>
                <w:szCs w:val="20"/>
                <w:lang w:val="en-US" w:eastAsia="en-US"/>
              </w:rPr>
              <w:t>Completion of the "European</w:t>
            </w:r>
            <w:r>
              <w:rPr>
                <w:i/>
                <w:noProof/>
                <w:sz w:val="20"/>
                <w:szCs w:val="20"/>
                <w:lang w:val="en-US" w:eastAsia="en-US"/>
              </w:rPr>
              <w:t xml:space="preserve"> Fund for Strategic Investments (EFSI)"</w:t>
            </w:r>
          </w:p>
        </w:tc>
      </w:tr>
      <w:tr w:rsidR="00E473EF">
        <w:trPr>
          <w:trHeight w:val="348"/>
        </w:trPr>
        <w:tc>
          <w:tcPr>
            <w:tcW w:w="1195" w:type="dxa"/>
            <w:tcBorders>
              <w:top w:val="nil"/>
              <w:left w:val="single" w:sz="4" w:space="0" w:color="auto"/>
              <w:bottom w:val="nil"/>
              <w:right w:val="nil"/>
            </w:tcBorders>
            <w:shd w:val="clear" w:color="auto" w:fill="auto"/>
            <w:vAlign w:val="center"/>
            <w:hideMark/>
          </w:tcPr>
          <w:p w:rsidR="00E473EF" w:rsidRDefault="00CE451E">
            <w:pPr>
              <w:rPr>
                <w:noProof/>
                <w:color w:val="000000"/>
                <w:sz w:val="20"/>
                <w:szCs w:val="20"/>
                <w:lang w:val="en-US" w:eastAsia="en-US"/>
              </w:rPr>
            </w:pPr>
            <w:r>
              <w:rPr>
                <w:noProof/>
                <w:color w:val="000000"/>
                <w:sz w:val="20"/>
                <w:szCs w:val="20"/>
                <w:lang w:val="en-US" w:eastAsia="en-US"/>
              </w:rPr>
              <w:t>02 05 02 02</w:t>
            </w:r>
          </w:p>
        </w:tc>
        <w:tc>
          <w:tcPr>
            <w:tcW w:w="3720" w:type="dxa"/>
            <w:tcBorders>
              <w:top w:val="nil"/>
              <w:left w:val="nil"/>
              <w:bottom w:val="nil"/>
              <w:right w:val="single" w:sz="4" w:space="0" w:color="auto"/>
            </w:tcBorders>
            <w:shd w:val="clear" w:color="auto" w:fill="auto"/>
            <w:vAlign w:val="center"/>
            <w:hideMark/>
          </w:tcPr>
          <w:p w:rsidR="00E473EF" w:rsidRDefault="00CE451E">
            <w:pPr>
              <w:rPr>
                <w:noProof/>
                <w:color w:val="000000"/>
                <w:sz w:val="20"/>
                <w:szCs w:val="20"/>
                <w:lang w:val="en-US" w:eastAsia="en-US"/>
              </w:rPr>
            </w:pPr>
            <w:r>
              <w:rPr>
                <w:noProof/>
                <w:color w:val="000000"/>
                <w:sz w:val="20"/>
                <w:szCs w:val="20"/>
                <w:lang w:val="en-US" w:eastAsia="en-US"/>
              </w:rPr>
              <w:t xml:space="preserve"> EFSI Guarantee — Solvency Support Instrument Window</w:t>
            </w:r>
          </w:p>
        </w:tc>
        <w:tc>
          <w:tcPr>
            <w:tcW w:w="1320" w:type="dxa"/>
            <w:tcBorders>
              <w:top w:val="nil"/>
              <w:left w:val="nil"/>
              <w:bottom w:val="nil"/>
              <w:right w:val="nil"/>
            </w:tcBorders>
            <w:shd w:val="clear" w:color="auto" w:fill="F2F2F2" w:themeFill="background1" w:themeFillShade="F2"/>
            <w:vAlign w:val="center"/>
            <w:hideMark/>
          </w:tcPr>
          <w:p w:rsidR="00E473EF" w:rsidRDefault="00CE451E">
            <w:pPr>
              <w:rPr>
                <w:i/>
                <w:noProof/>
                <w:color w:val="000000"/>
                <w:sz w:val="20"/>
                <w:szCs w:val="20"/>
                <w:lang w:val="en-US" w:eastAsia="en-US"/>
              </w:rPr>
            </w:pPr>
            <w:r>
              <w:rPr>
                <w:i/>
                <w:noProof/>
                <w:color w:val="000000"/>
                <w:sz w:val="20"/>
                <w:szCs w:val="20"/>
                <w:lang w:val="en-US" w:eastAsia="en-US"/>
              </w:rPr>
              <w:t>deleted</w:t>
            </w:r>
          </w:p>
        </w:tc>
        <w:tc>
          <w:tcPr>
            <w:tcW w:w="3600" w:type="dxa"/>
            <w:tcBorders>
              <w:top w:val="nil"/>
              <w:left w:val="nil"/>
              <w:bottom w:val="nil"/>
              <w:right w:val="single" w:sz="4" w:space="0" w:color="auto"/>
            </w:tcBorders>
            <w:shd w:val="clear" w:color="auto" w:fill="F2F2F2" w:themeFill="background1" w:themeFillShade="F2"/>
            <w:vAlign w:val="center"/>
            <w:hideMark/>
          </w:tcPr>
          <w:p w:rsidR="00E473EF" w:rsidRDefault="00CE451E">
            <w:pPr>
              <w:rPr>
                <w:i/>
                <w:noProof/>
                <w:color w:val="000000"/>
                <w:sz w:val="20"/>
                <w:szCs w:val="20"/>
                <w:lang w:val="en-US" w:eastAsia="en-US"/>
              </w:rPr>
            </w:pPr>
            <w:r>
              <w:rPr>
                <w:i/>
                <w:noProof/>
                <w:color w:val="000000"/>
                <w:sz w:val="20"/>
                <w:szCs w:val="20"/>
                <w:lang w:val="en-US" w:eastAsia="en-US"/>
              </w:rPr>
              <w:t> </w:t>
            </w:r>
          </w:p>
        </w:tc>
      </w:tr>
      <w:tr w:rsidR="00E473EF">
        <w:trPr>
          <w:trHeight w:val="612"/>
        </w:trPr>
        <w:tc>
          <w:tcPr>
            <w:tcW w:w="1195" w:type="dxa"/>
            <w:tcBorders>
              <w:top w:val="nil"/>
              <w:left w:val="single" w:sz="4" w:space="0" w:color="auto"/>
              <w:bottom w:val="nil"/>
              <w:right w:val="nil"/>
            </w:tcBorders>
            <w:shd w:val="clear" w:color="auto" w:fill="auto"/>
            <w:vAlign w:val="center"/>
            <w:hideMark/>
          </w:tcPr>
          <w:p w:rsidR="00E473EF" w:rsidRDefault="00CE451E">
            <w:pPr>
              <w:rPr>
                <w:noProof/>
                <w:color w:val="000000"/>
                <w:sz w:val="20"/>
                <w:szCs w:val="20"/>
                <w:lang w:val="en-US" w:eastAsia="en-US"/>
              </w:rPr>
            </w:pPr>
            <w:r>
              <w:rPr>
                <w:noProof/>
                <w:color w:val="000000"/>
                <w:sz w:val="20"/>
                <w:szCs w:val="20"/>
                <w:lang w:val="en-US" w:eastAsia="en-US"/>
              </w:rPr>
              <w:t>02 05 03 01</w:t>
            </w:r>
          </w:p>
        </w:tc>
        <w:tc>
          <w:tcPr>
            <w:tcW w:w="3720" w:type="dxa"/>
            <w:tcBorders>
              <w:top w:val="nil"/>
              <w:left w:val="nil"/>
              <w:bottom w:val="nil"/>
              <w:right w:val="single" w:sz="4" w:space="0" w:color="auto"/>
            </w:tcBorders>
            <w:shd w:val="clear" w:color="auto" w:fill="auto"/>
            <w:vAlign w:val="center"/>
            <w:hideMark/>
          </w:tcPr>
          <w:p w:rsidR="00E473EF" w:rsidRDefault="00CE451E">
            <w:pPr>
              <w:rPr>
                <w:noProof/>
                <w:color w:val="000000"/>
                <w:sz w:val="20"/>
                <w:szCs w:val="20"/>
                <w:lang w:val="en-US" w:eastAsia="en-US"/>
              </w:rPr>
            </w:pPr>
            <w:r>
              <w:rPr>
                <w:noProof/>
                <w:color w:val="000000"/>
                <w:sz w:val="20"/>
                <w:szCs w:val="20"/>
                <w:lang w:val="en-US" w:eastAsia="en-US"/>
              </w:rPr>
              <w:t>EIAH and EIPP — Infrastructure and Innovation Window (IIW) and SME Window (SMEW)</w:t>
            </w:r>
          </w:p>
        </w:tc>
        <w:tc>
          <w:tcPr>
            <w:tcW w:w="1320" w:type="dxa"/>
            <w:tcBorders>
              <w:top w:val="nil"/>
              <w:left w:val="nil"/>
              <w:bottom w:val="nil"/>
              <w:right w:val="nil"/>
            </w:tcBorders>
            <w:shd w:val="clear" w:color="auto" w:fill="F2F2F2" w:themeFill="background1" w:themeFillShade="F2"/>
            <w:vAlign w:val="center"/>
            <w:hideMark/>
          </w:tcPr>
          <w:p w:rsidR="00E473EF" w:rsidRDefault="00CE451E">
            <w:pPr>
              <w:rPr>
                <w:i/>
                <w:noProof/>
                <w:sz w:val="20"/>
                <w:szCs w:val="20"/>
                <w:lang w:val="en-US" w:eastAsia="en-US"/>
              </w:rPr>
            </w:pPr>
            <w:r>
              <w:rPr>
                <w:i/>
                <w:noProof/>
                <w:sz w:val="20"/>
                <w:szCs w:val="20"/>
                <w:lang w:val="en-US" w:eastAsia="en-US"/>
              </w:rPr>
              <w:t>02 02 99 12</w:t>
            </w:r>
          </w:p>
          <w:p w:rsidR="00E473EF" w:rsidRDefault="00CE451E">
            <w:pPr>
              <w:rPr>
                <w:i/>
                <w:noProof/>
                <w:color w:val="FF0000"/>
                <w:sz w:val="20"/>
                <w:szCs w:val="20"/>
                <w:lang w:val="en-US" w:eastAsia="en-US"/>
              </w:rPr>
            </w:pPr>
            <w:r>
              <w:rPr>
                <w:i/>
                <w:noProof/>
                <w:sz w:val="20"/>
                <w:szCs w:val="20"/>
                <w:lang w:val="en-US" w:eastAsia="en-US"/>
              </w:rPr>
              <w:t>(new)</w:t>
            </w:r>
          </w:p>
        </w:tc>
        <w:tc>
          <w:tcPr>
            <w:tcW w:w="3600" w:type="dxa"/>
            <w:tcBorders>
              <w:top w:val="nil"/>
              <w:left w:val="nil"/>
              <w:bottom w:val="nil"/>
              <w:right w:val="single" w:sz="4" w:space="0" w:color="auto"/>
            </w:tcBorders>
            <w:shd w:val="clear" w:color="auto" w:fill="F2F2F2" w:themeFill="background1" w:themeFillShade="F2"/>
            <w:vAlign w:val="center"/>
            <w:hideMark/>
          </w:tcPr>
          <w:p w:rsidR="00E473EF" w:rsidRDefault="00CE451E">
            <w:pPr>
              <w:rPr>
                <w:i/>
                <w:noProof/>
                <w:color w:val="FF0000"/>
                <w:sz w:val="20"/>
                <w:szCs w:val="20"/>
                <w:lang w:val="en-US" w:eastAsia="en-US"/>
              </w:rPr>
            </w:pPr>
            <w:r>
              <w:rPr>
                <w:i/>
                <w:noProof/>
                <w:sz w:val="20"/>
                <w:szCs w:val="20"/>
                <w:lang w:val="en-US" w:eastAsia="en-US"/>
              </w:rPr>
              <w:t xml:space="preserve">Completion of the "European </w:t>
            </w:r>
            <w:r>
              <w:rPr>
                <w:i/>
                <w:noProof/>
                <w:sz w:val="20"/>
                <w:szCs w:val="20"/>
                <w:lang w:val="en-US" w:eastAsia="en-US"/>
              </w:rPr>
              <w:t>Fund for Strategic Investments (EFSI)"</w:t>
            </w:r>
          </w:p>
        </w:tc>
      </w:tr>
      <w:tr w:rsidR="00E473EF">
        <w:trPr>
          <w:trHeight w:val="288"/>
        </w:trPr>
        <w:tc>
          <w:tcPr>
            <w:tcW w:w="1195" w:type="dxa"/>
            <w:tcBorders>
              <w:top w:val="nil"/>
              <w:left w:val="single" w:sz="4" w:space="0" w:color="auto"/>
              <w:bottom w:val="single" w:sz="4" w:space="0" w:color="auto"/>
              <w:right w:val="nil"/>
            </w:tcBorders>
            <w:shd w:val="clear" w:color="auto" w:fill="auto"/>
            <w:vAlign w:val="center"/>
            <w:hideMark/>
          </w:tcPr>
          <w:p w:rsidR="00E473EF" w:rsidRDefault="00CE451E">
            <w:pPr>
              <w:rPr>
                <w:noProof/>
                <w:color w:val="000000"/>
                <w:sz w:val="20"/>
                <w:szCs w:val="20"/>
                <w:lang w:val="en-US" w:eastAsia="en-US"/>
              </w:rPr>
            </w:pPr>
            <w:r>
              <w:rPr>
                <w:noProof/>
                <w:color w:val="000000"/>
                <w:sz w:val="20"/>
                <w:szCs w:val="20"/>
                <w:lang w:val="en-US" w:eastAsia="en-US"/>
              </w:rPr>
              <w:t>02 05 03 02</w:t>
            </w:r>
          </w:p>
        </w:tc>
        <w:tc>
          <w:tcPr>
            <w:tcW w:w="3720" w:type="dxa"/>
            <w:tcBorders>
              <w:top w:val="nil"/>
              <w:left w:val="nil"/>
              <w:bottom w:val="single" w:sz="4" w:space="0" w:color="auto"/>
              <w:right w:val="single" w:sz="4" w:space="0" w:color="auto"/>
            </w:tcBorders>
            <w:shd w:val="clear" w:color="auto" w:fill="auto"/>
            <w:vAlign w:val="center"/>
            <w:hideMark/>
          </w:tcPr>
          <w:p w:rsidR="00E473EF" w:rsidRDefault="00CE451E">
            <w:pPr>
              <w:rPr>
                <w:noProof/>
                <w:color w:val="000000"/>
                <w:sz w:val="20"/>
                <w:szCs w:val="20"/>
                <w:lang w:val="en-US" w:eastAsia="en-US"/>
              </w:rPr>
            </w:pPr>
            <w:r>
              <w:rPr>
                <w:noProof/>
                <w:color w:val="000000"/>
                <w:sz w:val="20"/>
                <w:szCs w:val="20"/>
                <w:lang w:val="en-US" w:eastAsia="en-US"/>
              </w:rPr>
              <w:t>EIAH and EIPP — Solvency Support Instrument Window</w:t>
            </w:r>
          </w:p>
        </w:tc>
        <w:tc>
          <w:tcPr>
            <w:tcW w:w="1320" w:type="dxa"/>
            <w:tcBorders>
              <w:top w:val="nil"/>
              <w:left w:val="nil"/>
              <w:bottom w:val="single" w:sz="4" w:space="0" w:color="auto"/>
              <w:right w:val="nil"/>
            </w:tcBorders>
            <w:shd w:val="clear" w:color="auto" w:fill="F2F2F2" w:themeFill="background1" w:themeFillShade="F2"/>
            <w:vAlign w:val="center"/>
            <w:hideMark/>
          </w:tcPr>
          <w:p w:rsidR="00E473EF" w:rsidRDefault="00CE451E">
            <w:pPr>
              <w:rPr>
                <w:i/>
                <w:noProof/>
                <w:color w:val="000000"/>
                <w:sz w:val="20"/>
                <w:szCs w:val="20"/>
                <w:lang w:val="en-US" w:eastAsia="en-US"/>
              </w:rPr>
            </w:pPr>
            <w:r>
              <w:rPr>
                <w:i/>
                <w:noProof/>
                <w:color w:val="000000"/>
                <w:sz w:val="20"/>
                <w:szCs w:val="20"/>
                <w:lang w:val="en-US" w:eastAsia="en-US"/>
              </w:rPr>
              <w:t>deleted</w:t>
            </w:r>
          </w:p>
        </w:tc>
        <w:tc>
          <w:tcPr>
            <w:tcW w:w="3600"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color w:val="000000"/>
                <w:sz w:val="20"/>
                <w:szCs w:val="20"/>
                <w:lang w:val="en-US" w:eastAsia="en-US"/>
              </w:rPr>
            </w:pPr>
            <w:r>
              <w:rPr>
                <w:i/>
                <w:noProof/>
                <w:color w:val="000000"/>
                <w:sz w:val="20"/>
                <w:szCs w:val="20"/>
                <w:lang w:val="en-US" w:eastAsia="en-US"/>
              </w:rPr>
              <w:t> </w:t>
            </w:r>
          </w:p>
        </w:tc>
      </w:tr>
    </w:tbl>
    <w:p w:rsidR="00E473EF" w:rsidRDefault="00CE451E">
      <w:pPr>
        <w:keepNext/>
        <w:tabs>
          <w:tab w:val="left" w:pos="850"/>
        </w:tabs>
        <w:spacing w:before="240" w:after="120"/>
        <w:ind w:left="850" w:hanging="850"/>
        <w:jc w:val="both"/>
        <w:outlineLvl w:val="1"/>
        <w:rPr>
          <w:rFonts w:eastAsia="Calibri"/>
          <w:i/>
          <w:noProof/>
          <w:lang w:eastAsia="de-DE"/>
        </w:rPr>
      </w:pPr>
      <w:bookmarkStart w:id="40" w:name="_Toc54770314"/>
      <w:bookmarkStart w:id="41" w:name="_Toc55807124"/>
      <w:bookmarkStart w:id="42" w:name="_Toc56009538"/>
      <w:r>
        <w:rPr>
          <w:rFonts w:eastAsia="Calibri"/>
          <w:i/>
          <w:noProof/>
          <w:lang w:eastAsia="de-DE"/>
        </w:rPr>
        <w:t>2.3.2</w:t>
      </w:r>
      <w:r>
        <w:rPr>
          <w:rFonts w:eastAsia="Calibri"/>
          <w:i/>
          <w:noProof/>
          <w:lang w:eastAsia="de-DE"/>
        </w:rPr>
        <w:tab/>
        <w:t>Impact linked to Amending Budget No 6/2020 (vaccines strategy)</w:t>
      </w:r>
      <w:bookmarkEnd w:id="40"/>
      <w:bookmarkEnd w:id="41"/>
      <w:bookmarkEnd w:id="42"/>
    </w:p>
    <w:p w:rsidR="00E473EF" w:rsidRDefault="00CE451E">
      <w:pPr>
        <w:spacing w:before="120" w:after="120"/>
        <w:jc w:val="both"/>
        <w:rPr>
          <w:noProof/>
          <w:szCs w:val="20"/>
          <w:lang w:eastAsia="de-DE"/>
        </w:rPr>
      </w:pPr>
      <w:r>
        <w:rPr>
          <w:noProof/>
          <w:szCs w:val="20"/>
          <w:lang w:eastAsia="de-DE"/>
        </w:rPr>
        <w:t>Amending Budget No 6/2020</w:t>
      </w:r>
      <w:r>
        <w:rPr>
          <w:rStyle w:val="FootnoteReference"/>
          <w:noProof/>
          <w:szCs w:val="20"/>
          <w:lang w:eastAsia="de-DE"/>
        </w:rPr>
        <w:footnoteReference w:id="15"/>
      </w:r>
      <w:r>
        <w:rPr>
          <w:noProof/>
          <w:szCs w:val="20"/>
          <w:lang w:eastAsia="de-DE"/>
        </w:rPr>
        <w:t xml:space="preserve"> increased the level of payment appropriations in 2020 for the Emergency Support Instrument (ESI) by EUR 1 090 million in order for the COVID-19 vaccines strategy to reach a total of EUR 2 610 million, while the total commitments were set at EUR 2 700 mill</w:t>
      </w:r>
      <w:r>
        <w:rPr>
          <w:noProof/>
          <w:szCs w:val="20"/>
          <w:lang w:eastAsia="de-DE"/>
        </w:rPr>
        <w:t>ion in 2020 in Amending Budget No 2/2020</w:t>
      </w:r>
      <w:r>
        <w:rPr>
          <w:rStyle w:val="FootnoteReference"/>
          <w:noProof/>
          <w:szCs w:val="20"/>
          <w:lang w:eastAsia="de-DE"/>
        </w:rPr>
        <w:footnoteReference w:id="16"/>
      </w:r>
      <w:r>
        <w:rPr>
          <w:noProof/>
          <w:szCs w:val="20"/>
          <w:lang w:eastAsia="de-DE"/>
        </w:rPr>
        <w:t xml:space="preserve">. </w:t>
      </w:r>
    </w:p>
    <w:p w:rsidR="00E473EF" w:rsidRDefault="00CE451E">
      <w:pPr>
        <w:spacing w:before="120" w:after="120"/>
        <w:jc w:val="both"/>
        <w:rPr>
          <w:noProof/>
          <w:szCs w:val="20"/>
          <w:lang w:eastAsia="de-DE"/>
        </w:rPr>
      </w:pPr>
      <w:r>
        <w:rPr>
          <w:noProof/>
          <w:szCs w:val="20"/>
          <w:lang w:eastAsia="de-DE"/>
        </w:rPr>
        <w:t>As a result, the level of payment appropriations for 2021 needs to be reduced to EUR 90 million. This represents a decrease of EUR 700 million compared to the DB 2021, which was based on a longer payment profile,</w:t>
      </w:r>
      <w:r>
        <w:rPr>
          <w:noProof/>
          <w:szCs w:val="20"/>
          <w:lang w:eastAsia="de-DE"/>
        </w:rPr>
        <w:t xml:space="preserve"> i.e. EUR 790 million in 2021 and EUR 265 million in both 2022 and 2023.</w:t>
      </w:r>
    </w:p>
    <w:p w:rsidR="00E473EF" w:rsidRDefault="00CE451E">
      <w:pPr>
        <w:keepNext/>
        <w:tabs>
          <w:tab w:val="left" w:pos="850"/>
        </w:tabs>
        <w:spacing w:before="240" w:after="120"/>
        <w:ind w:left="850" w:hanging="850"/>
        <w:jc w:val="both"/>
        <w:outlineLvl w:val="1"/>
        <w:rPr>
          <w:rFonts w:eastAsia="Calibri"/>
          <w:i/>
          <w:noProof/>
          <w:lang w:eastAsia="de-DE"/>
        </w:rPr>
      </w:pPr>
      <w:bookmarkStart w:id="43" w:name="_Toc54770315"/>
      <w:bookmarkStart w:id="44" w:name="_Toc55807125"/>
      <w:bookmarkStart w:id="45" w:name="_Toc56009539"/>
      <w:r>
        <w:rPr>
          <w:rFonts w:eastAsia="Calibri"/>
          <w:i/>
          <w:noProof/>
          <w:lang w:eastAsia="de-DE"/>
        </w:rPr>
        <w:t>2.3.3</w:t>
      </w:r>
      <w:r>
        <w:rPr>
          <w:rFonts w:eastAsia="Calibri"/>
          <w:i/>
          <w:noProof/>
          <w:lang w:eastAsia="de-DE"/>
        </w:rPr>
        <w:tab/>
        <w:t>Changes to the pre-financing rates for the European Structural Investment (ESI) funds 2014-2020</w:t>
      </w:r>
      <w:bookmarkEnd w:id="43"/>
      <w:bookmarkEnd w:id="44"/>
      <w:bookmarkEnd w:id="45"/>
    </w:p>
    <w:p w:rsidR="00E473EF" w:rsidRDefault="00CE451E">
      <w:pPr>
        <w:spacing w:before="120" w:after="120"/>
        <w:jc w:val="both"/>
        <w:rPr>
          <w:noProof/>
          <w:szCs w:val="20"/>
          <w:lang w:eastAsia="de-DE"/>
        </w:rPr>
      </w:pPr>
      <w:r>
        <w:rPr>
          <w:noProof/>
          <w:szCs w:val="20"/>
          <w:lang w:eastAsia="de-DE"/>
        </w:rPr>
        <w:t>In 2018, the Commission proposed</w:t>
      </w:r>
      <w:r>
        <w:rPr>
          <w:rStyle w:val="FootnoteReference"/>
          <w:noProof/>
        </w:rPr>
        <w:footnoteReference w:id="17"/>
      </w:r>
      <w:r>
        <w:rPr>
          <w:noProof/>
          <w:szCs w:val="20"/>
          <w:lang w:eastAsia="de-DE"/>
        </w:rPr>
        <w:t xml:space="preserve"> to amend Regulation (EU) No 1303/2013 (the Comm</w:t>
      </w:r>
      <w:r>
        <w:rPr>
          <w:noProof/>
          <w:szCs w:val="20"/>
          <w:lang w:eastAsia="de-DE"/>
        </w:rPr>
        <w:t>on Provisions Regulation) and to reduce the annual pre-financing for years 2021-2023 from 3 % to 1 % of the total support provided by the European Regional Development Fund (ERDF), the Cohesion Fund (CF), the European Social Fund (ESF) and the European Mar</w:t>
      </w:r>
      <w:r>
        <w:rPr>
          <w:noProof/>
          <w:szCs w:val="20"/>
          <w:lang w:eastAsia="de-DE"/>
        </w:rPr>
        <w:t>itime and Fisheries Fund (EMFF). The budgetary effect of this proposal was included in the DB 2021.</w:t>
      </w:r>
    </w:p>
    <w:p w:rsidR="00E473EF" w:rsidRDefault="00CE451E">
      <w:pPr>
        <w:spacing w:before="120" w:after="120"/>
        <w:jc w:val="both"/>
        <w:rPr>
          <w:noProof/>
        </w:rPr>
      </w:pPr>
      <w:r>
        <w:rPr>
          <w:noProof/>
        </w:rPr>
        <w:t xml:space="preserve">On 4 April 2019, the European Parliament adopted its legislative resolution that amended the Commission’s proposal by setting the annual pre-financing rate </w:t>
      </w:r>
      <w:r>
        <w:rPr>
          <w:noProof/>
        </w:rPr>
        <w:t xml:space="preserve">at 2 % for the period 2021-23. The </w:t>
      </w:r>
      <w:r w:rsidRPr="00CE451E">
        <w:rPr>
          <w:rFonts w:eastAsia="Calibri"/>
          <w:noProof/>
          <w:lang w:eastAsia="en-US"/>
        </w:rPr>
        <w:t>EUCO agreement of July 2020 also retained the same percentage</w:t>
      </w:r>
      <w:r>
        <w:rPr>
          <w:noProof/>
        </w:rPr>
        <w:t>.</w:t>
      </w:r>
    </w:p>
    <w:p w:rsidR="00E473EF" w:rsidRDefault="00CE451E">
      <w:pPr>
        <w:spacing w:before="120" w:after="120"/>
        <w:jc w:val="both"/>
        <w:rPr>
          <w:noProof/>
        </w:rPr>
      </w:pPr>
      <w:r>
        <w:rPr>
          <w:noProof/>
        </w:rPr>
        <w:t>As a result, an overall increase of EUR 3,6 billion in payment appropriations is included in AL 1/2021 for the ESI Funds, which is equivalent to 1 % of the to</w:t>
      </w:r>
      <w:r>
        <w:rPr>
          <w:noProof/>
        </w:rPr>
        <w:t>tal 2021-27 allocation for the ERDF, the CF, the ESF and the EMFF.</w:t>
      </w:r>
    </w:p>
    <w:tbl>
      <w:tblPr>
        <w:tblW w:w="9880" w:type="dxa"/>
        <w:tblInd w:w="108" w:type="dxa"/>
        <w:tblLook w:val="04A0" w:firstRow="1" w:lastRow="0" w:firstColumn="1" w:lastColumn="0" w:noHBand="0" w:noVBand="1"/>
      </w:tblPr>
      <w:tblGrid>
        <w:gridCol w:w="6240"/>
        <w:gridCol w:w="1820"/>
        <w:gridCol w:w="1820"/>
      </w:tblGrid>
      <w:tr w:rsidR="00E473EF">
        <w:trPr>
          <w:trHeight w:val="288"/>
        </w:trPr>
        <w:tc>
          <w:tcPr>
            <w:tcW w:w="6240" w:type="dxa"/>
            <w:tcBorders>
              <w:top w:val="nil"/>
              <w:left w:val="nil"/>
              <w:bottom w:val="nil"/>
              <w:right w:val="nil"/>
            </w:tcBorders>
            <w:shd w:val="clear" w:color="auto" w:fill="auto"/>
            <w:noWrap/>
            <w:vAlign w:val="bottom"/>
            <w:hideMark/>
          </w:tcPr>
          <w:p w:rsidR="00E473EF" w:rsidRDefault="00E473EF">
            <w:pPr>
              <w:rPr>
                <w:noProof/>
                <w:sz w:val="20"/>
                <w:szCs w:val="20"/>
                <w:lang w:val="en-US" w:eastAsia="en-US"/>
              </w:rPr>
            </w:pPr>
          </w:p>
        </w:tc>
        <w:tc>
          <w:tcPr>
            <w:tcW w:w="1820" w:type="dxa"/>
            <w:tcBorders>
              <w:top w:val="nil"/>
              <w:left w:val="nil"/>
              <w:bottom w:val="nil"/>
              <w:right w:val="nil"/>
            </w:tcBorders>
            <w:shd w:val="clear" w:color="auto" w:fill="auto"/>
            <w:noWrap/>
            <w:vAlign w:val="bottom"/>
            <w:hideMark/>
          </w:tcPr>
          <w:p w:rsidR="00E473EF" w:rsidRDefault="00E473EF">
            <w:pPr>
              <w:rPr>
                <w:noProof/>
                <w:sz w:val="20"/>
                <w:szCs w:val="20"/>
                <w:lang w:val="en-US" w:eastAsia="en-US"/>
              </w:rPr>
            </w:pPr>
          </w:p>
        </w:tc>
        <w:tc>
          <w:tcPr>
            <w:tcW w:w="1820" w:type="dxa"/>
            <w:tcBorders>
              <w:top w:val="nil"/>
              <w:left w:val="nil"/>
              <w:bottom w:val="nil"/>
              <w:right w:val="nil"/>
            </w:tcBorders>
            <w:shd w:val="clear" w:color="auto" w:fill="auto"/>
            <w:noWrap/>
            <w:vAlign w:val="center"/>
            <w:hideMark/>
          </w:tcPr>
          <w:p w:rsidR="00E473EF" w:rsidRDefault="00CE451E">
            <w:pPr>
              <w:jc w:val="right"/>
              <w:rPr>
                <w:i/>
                <w:iCs/>
                <w:noProof/>
                <w:color w:val="000000"/>
                <w:sz w:val="16"/>
                <w:szCs w:val="16"/>
                <w:lang w:val="en-US" w:eastAsia="en-US"/>
              </w:rPr>
            </w:pPr>
            <w:r>
              <w:rPr>
                <w:i/>
                <w:iCs/>
                <w:noProof/>
                <w:color w:val="000000"/>
                <w:sz w:val="16"/>
                <w:szCs w:val="16"/>
                <w:lang w:val="en-US" w:eastAsia="en-US"/>
              </w:rPr>
              <w:t>(In EUR million)</w:t>
            </w:r>
          </w:p>
        </w:tc>
      </w:tr>
      <w:tr w:rsidR="00E473EF">
        <w:trPr>
          <w:trHeight w:val="548"/>
        </w:trPr>
        <w:tc>
          <w:tcPr>
            <w:tcW w:w="62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22"/>
                <w:szCs w:val="22"/>
                <w:lang w:val="en-US" w:eastAsia="en-US"/>
              </w:rPr>
            </w:pPr>
            <w:r>
              <w:rPr>
                <w:b/>
                <w:bCs/>
                <w:noProof/>
                <w:color w:val="000000"/>
                <w:sz w:val="22"/>
                <w:szCs w:val="22"/>
                <w:lang w:val="en-US" w:eastAsia="en-US"/>
              </w:rPr>
              <w:t>Programme</w:t>
            </w:r>
          </w:p>
        </w:tc>
        <w:tc>
          <w:tcPr>
            <w:tcW w:w="1820" w:type="dxa"/>
            <w:tcBorders>
              <w:top w:val="single" w:sz="4" w:space="0" w:color="auto"/>
              <w:left w:val="nil"/>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22"/>
                <w:szCs w:val="22"/>
                <w:lang w:val="en-US" w:eastAsia="en-US"/>
              </w:rPr>
            </w:pPr>
            <w:r>
              <w:rPr>
                <w:b/>
                <w:bCs/>
                <w:noProof/>
                <w:color w:val="000000"/>
                <w:sz w:val="22"/>
                <w:szCs w:val="22"/>
                <w:lang w:val="en-US" w:eastAsia="en-US"/>
              </w:rPr>
              <w:t>Commitment appropriations</w:t>
            </w:r>
          </w:p>
        </w:tc>
        <w:tc>
          <w:tcPr>
            <w:tcW w:w="1820" w:type="dxa"/>
            <w:tcBorders>
              <w:top w:val="single" w:sz="4" w:space="0" w:color="auto"/>
              <w:left w:val="nil"/>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22"/>
                <w:szCs w:val="22"/>
                <w:lang w:val="en-US" w:eastAsia="en-US"/>
              </w:rPr>
            </w:pPr>
            <w:r>
              <w:rPr>
                <w:b/>
                <w:bCs/>
                <w:noProof/>
                <w:color w:val="000000"/>
                <w:sz w:val="22"/>
                <w:szCs w:val="22"/>
                <w:lang w:val="en-US" w:eastAsia="en-US"/>
              </w:rPr>
              <w:t>Payment appropriations</w:t>
            </w:r>
          </w:p>
        </w:tc>
      </w:tr>
      <w:tr w:rsidR="00E473EF">
        <w:trPr>
          <w:trHeight w:val="288"/>
        </w:trPr>
        <w:tc>
          <w:tcPr>
            <w:tcW w:w="6240" w:type="dxa"/>
            <w:tcBorders>
              <w:top w:val="nil"/>
              <w:left w:val="single" w:sz="4" w:space="0" w:color="auto"/>
              <w:bottom w:val="nil"/>
              <w:right w:val="single" w:sz="4" w:space="0" w:color="auto"/>
            </w:tcBorders>
            <w:shd w:val="clear" w:color="auto" w:fill="auto"/>
            <w:noWrap/>
            <w:vAlign w:val="bottom"/>
            <w:hideMark/>
          </w:tcPr>
          <w:p w:rsidR="00E473EF" w:rsidRDefault="00CE451E">
            <w:pPr>
              <w:rPr>
                <w:noProof/>
                <w:color w:val="000000"/>
                <w:sz w:val="22"/>
                <w:szCs w:val="22"/>
                <w:lang w:val="en-US" w:eastAsia="en-US"/>
              </w:rPr>
            </w:pPr>
            <w:r>
              <w:rPr>
                <w:noProof/>
                <w:color w:val="000000"/>
                <w:sz w:val="22"/>
                <w:szCs w:val="22"/>
                <w:lang w:val="en-US" w:eastAsia="en-US"/>
              </w:rPr>
              <w:t>European Regional Development Fund (ERDF)</w:t>
            </w:r>
          </w:p>
        </w:tc>
        <w:tc>
          <w:tcPr>
            <w:tcW w:w="1820" w:type="dxa"/>
            <w:tcBorders>
              <w:top w:val="nil"/>
              <w:left w:val="nil"/>
              <w:bottom w:val="nil"/>
              <w:right w:val="single" w:sz="4" w:space="0" w:color="auto"/>
            </w:tcBorders>
            <w:shd w:val="clear" w:color="auto" w:fill="auto"/>
            <w:noWrap/>
            <w:vAlign w:val="bottom"/>
            <w:hideMark/>
          </w:tcPr>
          <w:p w:rsidR="00E473EF" w:rsidRDefault="00CE451E">
            <w:pPr>
              <w:jc w:val="right"/>
              <w:rPr>
                <w:noProof/>
                <w:color w:val="000000"/>
                <w:sz w:val="22"/>
                <w:szCs w:val="22"/>
                <w:lang w:val="en-US" w:eastAsia="en-US"/>
              </w:rPr>
            </w:pPr>
            <w:r>
              <w:rPr>
                <w:noProof/>
                <w:color w:val="000000"/>
                <w:sz w:val="22"/>
                <w:szCs w:val="22"/>
                <w:lang w:val="en-US" w:eastAsia="en-US"/>
              </w:rPr>
              <w:t>-</w:t>
            </w:r>
          </w:p>
        </w:tc>
        <w:tc>
          <w:tcPr>
            <w:tcW w:w="1820" w:type="dxa"/>
            <w:tcBorders>
              <w:top w:val="nil"/>
              <w:left w:val="nil"/>
              <w:bottom w:val="nil"/>
              <w:right w:val="single" w:sz="4" w:space="0" w:color="auto"/>
            </w:tcBorders>
            <w:shd w:val="clear" w:color="auto" w:fill="auto"/>
            <w:noWrap/>
            <w:vAlign w:val="bottom"/>
            <w:hideMark/>
          </w:tcPr>
          <w:p w:rsidR="00E473EF" w:rsidRDefault="00CE451E">
            <w:pPr>
              <w:jc w:val="right"/>
              <w:rPr>
                <w:noProof/>
                <w:color w:val="000000"/>
                <w:sz w:val="22"/>
                <w:szCs w:val="22"/>
                <w:lang w:val="en-US" w:eastAsia="en-US"/>
              </w:rPr>
            </w:pPr>
            <w:r>
              <w:rPr>
                <w:noProof/>
                <w:color w:val="000000"/>
                <w:sz w:val="22"/>
                <w:szCs w:val="22"/>
                <w:lang w:val="en-US" w:eastAsia="en-US"/>
              </w:rPr>
              <w:t>1 996,6</w:t>
            </w:r>
          </w:p>
        </w:tc>
      </w:tr>
      <w:tr w:rsidR="00E473EF">
        <w:trPr>
          <w:trHeight w:val="288"/>
        </w:trPr>
        <w:tc>
          <w:tcPr>
            <w:tcW w:w="6240" w:type="dxa"/>
            <w:tcBorders>
              <w:top w:val="nil"/>
              <w:left w:val="single" w:sz="4" w:space="0" w:color="auto"/>
              <w:bottom w:val="nil"/>
              <w:right w:val="single" w:sz="4" w:space="0" w:color="auto"/>
            </w:tcBorders>
            <w:shd w:val="clear" w:color="auto" w:fill="auto"/>
            <w:noWrap/>
            <w:vAlign w:val="bottom"/>
            <w:hideMark/>
          </w:tcPr>
          <w:p w:rsidR="00E473EF" w:rsidRDefault="00CE451E">
            <w:pPr>
              <w:rPr>
                <w:noProof/>
                <w:color w:val="000000"/>
                <w:sz w:val="22"/>
                <w:szCs w:val="22"/>
                <w:lang w:val="en-US" w:eastAsia="en-US"/>
              </w:rPr>
            </w:pPr>
            <w:r>
              <w:rPr>
                <w:noProof/>
                <w:color w:val="000000"/>
                <w:sz w:val="22"/>
                <w:szCs w:val="22"/>
                <w:lang w:val="en-US" w:eastAsia="en-US"/>
              </w:rPr>
              <w:t>Cohesion Fund (CF)</w:t>
            </w:r>
          </w:p>
        </w:tc>
        <w:tc>
          <w:tcPr>
            <w:tcW w:w="1820" w:type="dxa"/>
            <w:tcBorders>
              <w:top w:val="nil"/>
              <w:left w:val="nil"/>
              <w:bottom w:val="nil"/>
              <w:right w:val="single" w:sz="4" w:space="0" w:color="auto"/>
            </w:tcBorders>
            <w:shd w:val="clear" w:color="auto" w:fill="auto"/>
            <w:noWrap/>
            <w:vAlign w:val="bottom"/>
            <w:hideMark/>
          </w:tcPr>
          <w:p w:rsidR="00E473EF" w:rsidRDefault="00CE451E">
            <w:pPr>
              <w:jc w:val="right"/>
              <w:rPr>
                <w:noProof/>
                <w:color w:val="000000"/>
                <w:sz w:val="22"/>
                <w:szCs w:val="22"/>
                <w:lang w:val="en-US" w:eastAsia="en-US"/>
              </w:rPr>
            </w:pPr>
            <w:r>
              <w:rPr>
                <w:noProof/>
                <w:color w:val="000000"/>
                <w:sz w:val="22"/>
                <w:szCs w:val="22"/>
                <w:lang w:val="en-US" w:eastAsia="en-US"/>
              </w:rPr>
              <w:t>-</w:t>
            </w:r>
          </w:p>
        </w:tc>
        <w:tc>
          <w:tcPr>
            <w:tcW w:w="1820" w:type="dxa"/>
            <w:tcBorders>
              <w:top w:val="nil"/>
              <w:left w:val="nil"/>
              <w:bottom w:val="nil"/>
              <w:right w:val="single" w:sz="4" w:space="0" w:color="auto"/>
            </w:tcBorders>
            <w:shd w:val="clear" w:color="auto" w:fill="auto"/>
            <w:noWrap/>
            <w:vAlign w:val="bottom"/>
            <w:hideMark/>
          </w:tcPr>
          <w:p w:rsidR="00E473EF" w:rsidRDefault="00CE451E">
            <w:pPr>
              <w:jc w:val="right"/>
              <w:rPr>
                <w:noProof/>
                <w:color w:val="000000"/>
                <w:sz w:val="22"/>
                <w:szCs w:val="22"/>
                <w:lang w:val="en-US" w:eastAsia="en-US"/>
              </w:rPr>
            </w:pPr>
            <w:r>
              <w:rPr>
                <w:noProof/>
                <w:color w:val="000000"/>
                <w:sz w:val="22"/>
                <w:szCs w:val="22"/>
                <w:lang w:val="en-US" w:eastAsia="en-US"/>
              </w:rPr>
              <w:t>622,2</w:t>
            </w:r>
          </w:p>
        </w:tc>
      </w:tr>
      <w:tr w:rsidR="00E473EF">
        <w:trPr>
          <w:trHeight w:val="288"/>
        </w:trPr>
        <w:tc>
          <w:tcPr>
            <w:tcW w:w="6240" w:type="dxa"/>
            <w:tcBorders>
              <w:top w:val="nil"/>
              <w:left w:val="single" w:sz="4" w:space="0" w:color="auto"/>
              <w:bottom w:val="nil"/>
              <w:right w:val="single" w:sz="4" w:space="0" w:color="auto"/>
            </w:tcBorders>
            <w:shd w:val="clear" w:color="auto" w:fill="auto"/>
            <w:noWrap/>
            <w:vAlign w:val="bottom"/>
            <w:hideMark/>
          </w:tcPr>
          <w:p w:rsidR="00E473EF" w:rsidRDefault="00CE451E">
            <w:pPr>
              <w:rPr>
                <w:noProof/>
                <w:color w:val="000000"/>
                <w:sz w:val="22"/>
                <w:szCs w:val="22"/>
                <w:lang w:val="en-US" w:eastAsia="en-US"/>
              </w:rPr>
            </w:pPr>
            <w:r>
              <w:rPr>
                <w:noProof/>
                <w:color w:val="000000"/>
                <w:sz w:val="22"/>
                <w:szCs w:val="22"/>
                <w:lang w:val="en-US" w:eastAsia="en-US"/>
              </w:rPr>
              <w:t>European Social Fund (ESF)</w:t>
            </w:r>
          </w:p>
        </w:tc>
        <w:tc>
          <w:tcPr>
            <w:tcW w:w="1820" w:type="dxa"/>
            <w:tcBorders>
              <w:top w:val="nil"/>
              <w:left w:val="nil"/>
              <w:bottom w:val="nil"/>
              <w:right w:val="single" w:sz="4" w:space="0" w:color="auto"/>
            </w:tcBorders>
            <w:shd w:val="clear" w:color="auto" w:fill="auto"/>
            <w:noWrap/>
            <w:vAlign w:val="bottom"/>
            <w:hideMark/>
          </w:tcPr>
          <w:p w:rsidR="00E473EF" w:rsidRDefault="00CE451E">
            <w:pPr>
              <w:jc w:val="right"/>
              <w:rPr>
                <w:noProof/>
                <w:color w:val="000000"/>
                <w:sz w:val="22"/>
                <w:szCs w:val="22"/>
                <w:lang w:val="en-US" w:eastAsia="en-US"/>
              </w:rPr>
            </w:pPr>
            <w:r>
              <w:rPr>
                <w:noProof/>
                <w:color w:val="000000"/>
                <w:sz w:val="22"/>
                <w:szCs w:val="22"/>
                <w:lang w:val="en-US" w:eastAsia="en-US"/>
              </w:rPr>
              <w:t>-</w:t>
            </w:r>
          </w:p>
        </w:tc>
        <w:tc>
          <w:tcPr>
            <w:tcW w:w="1820" w:type="dxa"/>
            <w:tcBorders>
              <w:top w:val="nil"/>
              <w:left w:val="nil"/>
              <w:bottom w:val="nil"/>
              <w:right w:val="single" w:sz="4" w:space="0" w:color="auto"/>
            </w:tcBorders>
            <w:shd w:val="clear" w:color="auto" w:fill="auto"/>
            <w:noWrap/>
            <w:vAlign w:val="bottom"/>
            <w:hideMark/>
          </w:tcPr>
          <w:p w:rsidR="00E473EF" w:rsidRDefault="00CE451E">
            <w:pPr>
              <w:jc w:val="right"/>
              <w:rPr>
                <w:noProof/>
                <w:color w:val="000000"/>
                <w:sz w:val="22"/>
                <w:szCs w:val="22"/>
                <w:lang w:val="en-US" w:eastAsia="en-US"/>
              </w:rPr>
            </w:pPr>
            <w:r>
              <w:rPr>
                <w:noProof/>
                <w:color w:val="000000"/>
                <w:sz w:val="22"/>
                <w:szCs w:val="22"/>
                <w:lang w:val="en-US" w:eastAsia="en-US"/>
              </w:rPr>
              <w:t>929,9</w:t>
            </w:r>
          </w:p>
        </w:tc>
      </w:tr>
      <w:tr w:rsidR="00E473EF">
        <w:trPr>
          <w:trHeight w:val="288"/>
        </w:trPr>
        <w:tc>
          <w:tcPr>
            <w:tcW w:w="6240" w:type="dxa"/>
            <w:tcBorders>
              <w:top w:val="nil"/>
              <w:left w:val="single" w:sz="4" w:space="0" w:color="auto"/>
              <w:bottom w:val="nil"/>
              <w:right w:val="single" w:sz="4" w:space="0" w:color="auto"/>
            </w:tcBorders>
            <w:shd w:val="clear" w:color="auto" w:fill="auto"/>
            <w:noWrap/>
            <w:vAlign w:val="bottom"/>
            <w:hideMark/>
          </w:tcPr>
          <w:p w:rsidR="00E473EF" w:rsidRDefault="00CE451E">
            <w:pPr>
              <w:rPr>
                <w:noProof/>
                <w:color w:val="000000"/>
                <w:sz w:val="22"/>
                <w:szCs w:val="22"/>
                <w:lang w:val="en-US" w:eastAsia="en-US"/>
              </w:rPr>
            </w:pPr>
            <w:r>
              <w:rPr>
                <w:noProof/>
                <w:color w:val="000000"/>
                <w:sz w:val="22"/>
                <w:szCs w:val="22"/>
                <w:lang w:val="en-US" w:eastAsia="en-US"/>
              </w:rPr>
              <w:t>European Maritime and Fisheries Fund (EMFF)</w:t>
            </w:r>
          </w:p>
        </w:tc>
        <w:tc>
          <w:tcPr>
            <w:tcW w:w="1820" w:type="dxa"/>
            <w:tcBorders>
              <w:top w:val="nil"/>
              <w:left w:val="nil"/>
              <w:bottom w:val="nil"/>
              <w:right w:val="single" w:sz="4" w:space="0" w:color="auto"/>
            </w:tcBorders>
            <w:shd w:val="clear" w:color="auto" w:fill="auto"/>
            <w:noWrap/>
            <w:vAlign w:val="bottom"/>
            <w:hideMark/>
          </w:tcPr>
          <w:p w:rsidR="00E473EF" w:rsidRDefault="00CE451E">
            <w:pPr>
              <w:jc w:val="right"/>
              <w:rPr>
                <w:noProof/>
                <w:color w:val="000000"/>
                <w:sz w:val="22"/>
                <w:szCs w:val="22"/>
                <w:lang w:val="en-US" w:eastAsia="en-US"/>
              </w:rPr>
            </w:pPr>
            <w:r>
              <w:rPr>
                <w:noProof/>
                <w:color w:val="000000"/>
                <w:sz w:val="22"/>
                <w:szCs w:val="22"/>
                <w:lang w:val="en-US" w:eastAsia="en-US"/>
              </w:rPr>
              <w:t>-</w:t>
            </w:r>
          </w:p>
        </w:tc>
        <w:tc>
          <w:tcPr>
            <w:tcW w:w="1820" w:type="dxa"/>
            <w:tcBorders>
              <w:top w:val="nil"/>
              <w:left w:val="nil"/>
              <w:bottom w:val="nil"/>
              <w:right w:val="single" w:sz="4" w:space="0" w:color="auto"/>
            </w:tcBorders>
            <w:shd w:val="clear" w:color="auto" w:fill="auto"/>
            <w:noWrap/>
            <w:vAlign w:val="bottom"/>
            <w:hideMark/>
          </w:tcPr>
          <w:p w:rsidR="00E473EF" w:rsidRDefault="00CE451E">
            <w:pPr>
              <w:jc w:val="right"/>
              <w:rPr>
                <w:noProof/>
                <w:color w:val="000000"/>
                <w:sz w:val="22"/>
                <w:szCs w:val="22"/>
                <w:lang w:val="en-US" w:eastAsia="en-US"/>
              </w:rPr>
            </w:pPr>
            <w:r>
              <w:rPr>
                <w:noProof/>
                <w:color w:val="000000"/>
                <w:sz w:val="22"/>
                <w:szCs w:val="22"/>
                <w:lang w:val="en-US" w:eastAsia="en-US"/>
              </w:rPr>
              <w:t>56,9</w:t>
            </w:r>
          </w:p>
        </w:tc>
      </w:tr>
      <w:tr w:rsidR="00E473EF">
        <w:trPr>
          <w:trHeight w:val="288"/>
        </w:trPr>
        <w:tc>
          <w:tcPr>
            <w:tcW w:w="6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3EF" w:rsidRDefault="00CE451E">
            <w:pPr>
              <w:rPr>
                <w:b/>
                <w:bCs/>
                <w:noProof/>
                <w:color w:val="000000"/>
                <w:sz w:val="22"/>
                <w:szCs w:val="22"/>
                <w:lang w:val="en-US" w:eastAsia="en-US"/>
              </w:rPr>
            </w:pPr>
            <w:r>
              <w:rPr>
                <w:b/>
                <w:bCs/>
                <w:noProof/>
                <w:color w:val="000000"/>
                <w:sz w:val="22"/>
                <w:szCs w:val="22"/>
                <w:lang w:val="en-US" w:eastAsia="en-US"/>
              </w:rPr>
              <w:t>Total</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E473EF" w:rsidRDefault="00CE451E">
            <w:pPr>
              <w:jc w:val="right"/>
              <w:rPr>
                <w:b/>
                <w:bCs/>
                <w:noProof/>
                <w:color w:val="000000"/>
                <w:sz w:val="22"/>
                <w:szCs w:val="22"/>
                <w:lang w:val="en-US" w:eastAsia="en-US"/>
              </w:rPr>
            </w:pPr>
            <w:r>
              <w:rPr>
                <w:b/>
                <w:bCs/>
                <w:noProof/>
                <w:color w:val="000000"/>
                <w:sz w:val="22"/>
                <w:szCs w:val="22"/>
                <w:lang w:val="en-US" w:eastAsia="en-US"/>
              </w:rPr>
              <w:t>0,0</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E473EF" w:rsidRDefault="00CE451E">
            <w:pPr>
              <w:jc w:val="right"/>
              <w:rPr>
                <w:b/>
                <w:bCs/>
                <w:noProof/>
                <w:color w:val="000000"/>
                <w:sz w:val="22"/>
                <w:szCs w:val="22"/>
                <w:lang w:val="en-US" w:eastAsia="en-US"/>
              </w:rPr>
            </w:pPr>
            <w:r>
              <w:rPr>
                <w:b/>
                <w:bCs/>
                <w:noProof/>
                <w:color w:val="000000"/>
                <w:sz w:val="22"/>
                <w:szCs w:val="22"/>
                <w:lang w:val="en-US" w:eastAsia="en-US"/>
              </w:rPr>
              <w:t>3 605,6</w:t>
            </w:r>
          </w:p>
        </w:tc>
      </w:tr>
    </w:tbl>
    <w:p w:rsidR="00E473EF" w:rsidRDefault="00CE451E">
      <w:pPr>
        <w:keepNext/>
        <w:tabs>
          <w:tab w:val="left" w:pos="850"/>
        </w:tabs>
        <w:spacing w:before="240" w:after="120"/>
        <w:ind w:left="850" w:hanging="850"/>
        <w:jc w:val="both"/>
        <w:outlineLvl w:val="1"/>
        <w:rPr>
          <w:rFonts w:eastAsia="Calibri"/>
          <w:i/>
          <w:noProof/>
          <w:lang w:eastAsia="de-DE"/>
        </w:rPr>
      </w:pPr>
      <w:bookmarkStart w:id="46" w:name="_Toc54770316"/>
      <w:bookmarkStart w:id="47" w:name="_Toc55807126"/>
      <w:bookmarkStart w:id="48" w:name="_Toc56009540"/>
      <w:bookmarkEnd w:id="38"/>
      <w:bookmarkEnd w:id="39"/>
      <w:r>
        <w:rPr>
          <w:rFonts w:eastAsia="Calibri"/>
          <w:i/>
          <w:noProof/>
          <w:lang w:eastAsia="de-DE"/>
        </w:rPr>
        <w:t>2.3.4</w:t>
      </w:r>
      <w:r>
        <w:rPr>
          <w:rFonts w:eastAsia="Calibri"/>
          <w:i/>
          <w:noProof/>
          <w:lang w:eastAsia="de-DE"/>
        </w:rPr>
        <w:tab/>
        <w:t xml:space="preserve">Other reassessment of </w:t>
      </w:r>
      <w:bookmarkEnd w:id="46"/>
      <w:r>
        <w:rPr>
          <w:rFonts w:eastAsia="Calibri"/>
          <w:i/>
          <w:noProof/>
          <w:lang w:eastAsia="de-DE"/>
        </w:rPr>
        <w:t>payments</w:t>
      </w:r>
      <w:bookmarkEnd w:id="47"/>
      <w:bookmarkEnd w:id="48"/>
    </w:p>
    <w:p w:rsidR="00E473EF" w:rsidRDefault="00CE451E">
      <w:pPr>
        <w:spacing w:before="120" w:after="120"/>
        <w:jc w:val="both"/>
        <w:rPr>
          <w:noProof/>
          <w:szCs w:val="20"/>
          <w:lang w:eastAsia="de-DE"/>
        </w:rPr>
      </w:pPr>
      <w:r>
        <w:rPr>
          <w:noProof/>
          <w:szCs w:val="20"/>
          <w:lang w:eastAsia="de-DE"/>
        </w:rPr>
        <w:t xml:space="preserve">The Commission has reassessed the needs in payment appropriations (on top of the updates resulting from the adjusted envelopes mentioned </w:t>
      </w:r>
      <w:r>
        <w:rPr>
          <w:noProof/>
          <w:szCs w:val="20"/>
          <w:lang w:eastAsia="de-DE"/>
        </w:rPr>
        <w:t>above). The following seven programmes are concerned by a total net increase of EUR 448,8 million and, except for the Justice, Rights &amp; Values  programme (for which the minor increase is a technical correction), the reassessment relates to payments for the</w:t>
      </w:r>
      <w:r>
        <w:rPr>
          <w:noProof/>
          <w:szCs w:val="20"/>
          <w:lang w:eastAsia="de-DE"/>
        </w:rPr>
        <w:t xml:space="preserve"> completion of outstanding commitments.</w:t>
      </w:r>
    </w:p>
    <w:tbl>
      <w:tblPr>
        <w:tblW w:w="9720" w:type="dxa"/>
        <w:tblInd w:w="108" w:type="dxa"/>
        <w:tblLook w:val="04A0" w:firstRow="1" w:lastRow="0" w:firstColumn="1" w:lastColumn="0" w:noHBand="0" w:noVBand="1"/>
      </w:tblPr>
      <w:tblGrid>
        <w:gridCol w:w="6240"/>
        <w:gridCol w:w="1820"/>
        <w:gridCol w:w="1660"/>
      </w:tblGrid>
      <w:tr w:rsidR="00E473EF">
        <w:trPr>
          <w:trHeight w:val="288"/>
          <w:tblHeader/>
        </w:trPr>
        <w:tc>
          <w:tcPr>
            <w:tcW w:w="6240" w:type="dxa"/>
            <w:tcBorders>
              <w:top w:val="nil"/>
              <w:left w:val="nil"/>
              <w:bottom w:val="nil"/>
              <w:right w:val="nil"/>
            </w:tcBorders>
            <w:shd w:val="clear" w:color="auto" w:fill="auto"/>
            <w:noWrap/>
            <w:vAlign w:val="center"/>
            <w:hideMark/>
          </w:tcPr>
          <w:p w:rsidR="00E473EF" w:rsidRDefault="00E473EF">
            <w:pPr>
              <w:rPr>
                <w:noProof/>
                <w:sz w:val="20"/>
                <w:szCs w:val="20"/>
                <w:lang w:val="en-US" w:eastAsia="en-US"/>
              </w:rPr>
            </w:pPr>
          </w:p>
        </w:tc>
        <w:tc>
          <w:tcPr>
            <w:tcW w:w="1820" w:type="dxa"/>
            <w:tcBorders>
              <w:top w:val="nil"/>
              <w:left w:val="nil"/>
              <w:bottom w:val="nil"/>
              <w:right w:val="nil"/>
            </w:tcBorders>
            <w:shd w:val="clear" w:color="auto" w:fill="auto"/>
            <w:noWrap/>
            <w:vAlign w:val="center"/>
            <w:hideMark/>
          </w:tcPr>
          <w:p w:rsidR="00E473EF" w:rsidRDefault="00E473EF">
            <w:pPr>
              <w:rPr>
                <w:noProof/>
                <w:sz w:val="20"/>
                <w:szCs w:val="20"/>
                <w:lang w:val="en-US" w:eastAsia="en-US"/>
              </w:rPr>
            </w:pPr>
          </w:p>
        </w:tc>
        <w:tc>
          <w:tcPr>
            <w:tcW w:w="1660" w:type="dxa"/>
            <w:tcBorders>
              <w:top w:val="nil"/>
              <w:left w:val="nil"/>
              <w:bottom w:val="nil"/>
              <w:right w:val="nil"/>
            </w:tcBorders>
            <w:shd w:val="clear" w:color="auto" w:fill="auto"/>
            <w:noWrap/>
            <w:vAlign w:val="center"/>
            <w:hideMark/>
          </w:tcPr>
          <w:p w:rsidR="00E473EF" w:rsidRDefault="00CE451E">
            <w:pPr>
              <w:jc w:val="right"/>
              <w:rPr>
                <w:i/>
                <w:iCs/>
                <w:noProof/>
                <w:color w:val="000000"/>
                <w:sz w:val="16"/>
                <w:szCs w:val="16"/>
                <w:lang w:val="en-US" w:eastAsia="en-US"/>
              </w:rPr>
            </w:pPr>
            <w:r>
              <w:rPr>
                <w:i/>
                <w:iCs/>
                <w:noProof/>
                <w:color w:val="000000"/>
                <w:sz w:val="16"/>
                <w:szCs w:val="16"/>
                <w:lang w:val="en-US" w:eastAsia="en-US"/>
              </w:rPr>
              <w:t>(In EUR million)</w:t>
            </w:r>
          </w:p>
        </w:tc>
      </w:tr>
      <w:tr w:rsidR="00E473EF">
        <w:trPr>
          <w:trHeight w:val="548"/>
          <w:tblHeader/>
        </w:trPr>
        <w:tc>
          <w:tcPr>
            <w:tcW w:w="62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22"/>
                <w:szCs w:val="22"/>
                <w:lang w:val="en-US" w:eastAsia="en-US"/>
              </w:rPr>
            </w:pPr>
            <w:r>
              <w:rPr>
                <w:b/>
                <w:bCs/>
                <w:noProof/>
                <w:color w:val="000000"/>
                <w:sz w:val="22"/>
                <w:szCs w:val="22"/>
                <w:lang w:val="en-US" w:eastAsia="en-US"/>
              </w:rPr>
              <w:t>Programme</w:t>
            </w:r>
          </w:p>
        </w:tc>
        <w:tc>
          <w:tcPr>
            <w:tcW w:w="1820" w:type="dxa"/>
            <w:tcBorders>
              <w:top w:val="single" w:sz="4" w:space="0" w:color="auto"/>
              <w:left w:val="nil"/>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22"/>
                <w:szCs w:val="22"/>
                <w:lang w:val="en-US" w:eastAsia="en-US"/>
              </w:rPr>
            </w:pPr>
            <w:r>
              <w:rPr>
                <w:b/>
                <w:bCs/>
                <w:noProof/>
                <w:color w:val="000000"/>
                <w:sz w:val="22"/>
                <w:szCs w:val="22"/>
                <w:lang w:val="en-US" w:eastAsia="en-US"/>
              </w:rPr>
              <w:t>Commitment appropriations</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22"/>
                <w:szCs w:val="22"/>
                <w:lang w:val="en-US" w:eastAsia="en-US"/>
              </w:rPr>
            </w:pPr>
            <w:r>
              <w:rPr>
                <w:b/>
                <w:bCs/>
                <w:noProof/>
                <w:color w:val="000000"/>
                <w:sz w:val="22"/>
                <w:szCs w:val="22"/>
                <w:lang w:val="en-US" w:eastAsia="en-US"/>
              </w:rPr>
              <w:t>Payment appropriations</w:t>
            </w:r>
          </w:p>
        </w:tc>
      </w:tr>
      <w:tr w:rsidR="00E473EF">
        <w:trPr>
          <w:trHeight w:val="288"/>
        </w:trPr>
        <w:tc>
          <w:tcPr>
            <w:tcW w:w="6240" w:type="dxa"/>
            <w:tcBorders>
              <w:top w:val="nil"/>
              <w:left w:val="single" w:sz="4" w:space="0" w:color="auto"/>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Neighbourhood, Development and International Cooperation Instrument (NDICI)</w:t>
            </w:r>
          </w:p>
        </w:tc>
        <w:tc>
          <w:tcPr>
            <w:tcW w:w="182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w:t>
            </w:r>
          </w:p>
        </w:tc>
        <w:tc>
          <w:tcPr>
            <w:tcW w:w="166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372,0</w:t>
            </w:r>
          </w:p>
        </w:tc>
      </w:tr>
      <w:tr w:rsidR="00E473EF">
        <w:trPr>
          <w:trHeight w:val="288"/>
        </w:trPr>
        <w:tc>
          <w:tcPr>
            <w:tcW w:w="6240" w:type="dxa"/>
            <w:tcBorders>
              <w:top w:val="nil"/>
              <w:left w:val="single" w:sz="4" w:space="0" w:color="auto"/>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Instrument for Pre-Accession Assistance (IPA III)</w:t>
            </w:r>
          </w:p>
        </w:tc>
        <w:tc>
          <w:tcPr>
            <w:tcW w:w="182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w:t>
            </w:r>
          </w:p>
        </w:tc>
        <w:tc>
          <w:tcPr>
            <w:tcW w:w="166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120,0</w:t>
            </w:r>
          </w:p>
        </w:tc>
      </w:tr>
      <w:tr w:rsidR="00E473EF">
        <w:trPr>
          <w:trHeight w:val="288"/>
        </w:trPr>
        <w:tc>
          <w:tcPr>
            <w:tcW w:w="6240" w:type="dxa"/>
            <w:tcBorders>
              <w:top w:val="nil"/>
              <w:left w:val="single" w:sz="4" w:space="0" w:color="auto"/>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Union Civil Protection Mechanism (RescEU)</w:t>
            </w:r>
          </w:p>
        </w:tc>
        <w:tc>
          <w:tcPr>
            <w:tcW w:w="182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w:t>
            </w:r>
          </w:p>
        </w:tc>
        <w:tc>
          <w:tcPr>
            <w:tcW w:w="166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131,8</w:t>
            </w:r>
          </w:p>
        </w:tc>
      </w:tr>
      <w:tr w:rsidR="00E473EF">
        <w:trPr>
          <w:trHeight w:val="288"/>
        </w:trPr>
        <w:tc>
          <w:tcPr>
            <w:tcW w:w="6240" w:type="dxa"/>
            <w:tcBorders>
              <w:top w:val="nil"/>
              <w:left w:val="single" w:sz="4" w:space="0" w:color="auto"/>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Support to the Turkish-Cypriot Community</w:t>
            </w:r>
          </w:p>
        </w:tc>
        <w:tc>
          <w:tcPr>
            <w:tcW w:w="182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w:t>
            </w:r>
          </w:p>
        </w:tc>
        <w:tc>
          <w:tcPr>
            <w:tcW w:w="166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7,0</w:t>
            </w:r>
          </w:p>
        </w:tc>
      </w:tr>
      <w:tr w:rsidR="00E473EF">
        <w:trPr>
          <w:trHeight w:val="288"/>
        </w:trPr>
        <w:tc>
          <w:tcPr>
            <w:tcW w:w="6240" w:type="dxa"/>
            <w:tcBorders>
              <w:top w:val="nil"/>
              <w:left w:val="single" w:sz="4" w:space="0" w:color="auto"/>
              <w:bottom w:val="nil"/>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Justice, Rights &amp; Values</w:t>
            </w:r>
          </w:p>
        </w:tc>
        <w:tc>
          <w:tcPr>
            <w:tcW w:w="182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w:t>
            </w:r>
          </w:p>
        </w:tc>
        <w:tc>
          <w:tcPr>
            <w:tcW w:w="166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6,8</w:t>
            </w:r>
          </w:p>
        </w:tc>
      </w:tr>
      <w:tr w:rsidR="00E473EF">
        <w:trPr>
          <w:trHeight w:val="576"/>
        </w:trPr>
        <w:tc>
          <w:tcPr>
            <w:tcW w:w="6240" w:type="dxa"/>
            <w:tcBorders>
              <w:top w:val="nil"/>
              <w:left w:val="single" w:sz="4" w:space="0" w:color="auto"/>
              <w:bottom w:val="nil"/>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Connecting Europe Facility —Transport (incl. contribution from the Cohesion Fund and Military mobility)</w:t>
            </w:r>
          </w:p>
        </w:tc>
        <w:tc>
          <w:tcPr>
            <w:tcW w:w="182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w:t>
            </w:r>
          </w:p>
        </w:tc>
        <w:tc>
          <w:tcPr>
            <w:tcW w:w="1660" w:type="dxa"/>
            <w:tcBorders>
              <w:top w:val="nil"/>
              <w:left w:val="nil"/>
              <w:bottom w:val="nil"/>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-155,0</w:t>
            </w:r>
          </w:p>
        </w:tc>
      </w:tr>
      <w:tr w:rsidR="00E473EF">
        <w:trPr>
          <w:trHeight w:val="288"/>
        </w:trPr>
        <w:tc>
          <w:tcPr>
            <w:tcW w:w="6240" w:type="dxa"/>
            <w:tcBorders>
              <w:top w:val="nil"/>
              <w:left w:val="single" w:sz="4" w:space="0" w:color="auto"/>
              <w:bottom w:val="single" w:sz="4" w:space="0" w:color="auto"/>
              <w:right w:val="single" w:sz="4" w:space="0" w:color="auto"/>
            </w:tcBorders>
            <w:shd w:val="clear" w:color="auto" w:fill="auto"/>
            <w:noWrap/>
            <w:vAlign w:val="center"/>
            <w:hideMark/>
          </w:tcPr>
          <w:p w:rsidR="00E473EF" w:rsidRDefault="00CE451E">
            <w:pPr>
              <w:rPr>
                <w:noProof/>
                <w:color w:val="000000"/>
                <w:sz w:val="22"/>
                <w:szCs w:val="22"/>
                <w:lang w:val="en-US" w:eastAsia="en-US"/>
              </w:rPr>
            </w:pPr>
            <w:r>
              <w:rPr>
                <w:noProof/>
                <w:color w:val="000000"/>
                <w:sz w:val="22"/>
                <w:szCs w:val="22"/>
                <w:lang w:val="en-US" w:eastAsia="en-US"/>
              </w:rPr>
              <w:t>InvestEU</w:t>
            </w:r>
          </w:p>
        </w:tc>
        <w:tc>
          <w:tcPr>
            <w:tcW w:w="182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w:t>
            </w:r>
          </w:p>
        </w:tc>
        <w:tc>
          <w:tcPr>
            <w:tcW w:w="1660" w:type="dxa"/>
            <w:tcBorders>
              <w:top w:val="nil"/>
              <w:left w:val="nil"/>
              <w:bottom w:val="nil"/>
              <w:right w:val="single" w:sz="4" w:space="0" w:color="auto"/>
            </w:tcBorders>
            <w:shd w:val="clear" w:color="000000" w:fill="FFFFFF"/>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-33,7</w:t>
            </w:r>
          </w:p>
        </w:tc>
      </w:tr>
      <w:tr w:rsidR="00E473EF">
        <w:trPr>
          <w:trHeight w:val="288"/>
        </w:trPr>
        <w:tc>
          <w:tcPr>
            <w:tcW w:w="6240" w:type="dxa"/>
            <w:tcBorders>
              <w:top w:val="nil"/>
              <w:left w:val="single" w:sz="4" w:space="0" w:color="auto"/>
              <w:bottom w:val="single" w:sz="4" w:space="0" w:color="auto"/>
              <w:right w:val="single" w:sz="4" w:space="0" w:color="auto"/>
            </w:tcBorders>
            <w:shd w:val="clear" w:color="auto" w:fill="auto"/>
            <w:noWrap/>
            <w:vAlign w:val="center"/>
            <w:hideMark/>
          </w:tcPr>
          <w:p w:rsidR="00E473EF" w:rsidRDefault="00CE451E">
            <w:pPr>
              <w:rPr>
                <w:b/>
                <w:bCs/>
                <w:noProof/>
                <w:color w:val="000000"/>
                <w:sz w:val="22"/>
                <w:szCs w:val="22"/>
                <w:lang w:val="en-US" w:eastAsia="en-US"/>
              </w:rPr>
            </w:pPr>
            <w:r>
              <w:rPr>
                <w:b/>
                <w:bCs/>
                <w:noProof/>
                <w:color w:val="000000"/>
                <w:sz w:val="22"/>
                <w:szCs w:val="22"/>
                <w:lang w:val="en-US" w:eastAsia="en-US"/>
              </w:rPr>
              <w:t>Total</w:t>
            </w:r>
          </w:p>
        </w:tc>
        <w:tc>
          <w:tcPr>
            <w:tcW w:w="182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b/>
                <w:bCs/>
                <w:noProof/>
                <w:color w:val="000000"/>
                <w:sz w:val="22"/>
                <w:szCs w:val="22"/>
                <w:lang w:val="en-US" w:eastAsia="en-US"/>
              </w:rPr>
            </w:pPr>
            <w:r>
              <w:rPr>
                <w:b/>
                <w:bCs/>
                <w:noProof/>
                <w:color w:val="000000"/>
                <w:sz w:val="22"/>
                <w:szCs w:val="22"/>
                <w:lang w:val="en-US" w:eastAsia="en-US"/>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473EF" w:rsidRDefault="00CE451E">
            <w:pPr>
              <w:jc w:val="right"/>
              <w:rPr>
                <w:b/>
                <w:bCs/>
                <w:noProof/>
                <w:color w:val="000000"/>
                <w:sz w:val="22"/>
                <w:szCs w:val="22"/>
                <w:lang w:val="en-US" w:eastAsia="en-US"/>
              </w:rPr>
            </w:pPr>
            <w:r>
              <w:rPr>
                <w:b/>
                <w:bCs/>
                <w:noProof/>
                <w:color w:val="000000"/>
                <w:sz w:val="22"/>
                <w:szCs w:val="22"/>
                <w:lang w:val="en-US" w:eastAsia="en-US"/>
              </w:rPr>
              <w:t>448,8</w:t>
            </w:r>
          </w:p>
        </w:tc>
      </w:tr>
    </w:tbl>
    <w:p w:rsidR="00E473EF" w:rsidRDefault="00CE451E">
      <w:pPr>
        <w:pStyle w:val="ListParagraph"/>
        <w:numPr>
          <w:ilvl w:val="0"/>
          <w:numId w:val="28"/>
        </w:numPr>
        <w:spacing w:before="240" w:after="120" w:line="240" w:lineRule="auto"/>
        <w:ind w:left="360"/>
        <w:contextualSpacing w:val="0"/>
        <w:jc w:val="both"/>
        <w:rPr>
          <w:rFonts w:ascii="Times New Roman" w:hAnsi="Times New Roman"/>
          <w:noProof/>
          <w:sz w:val="24"/>
          <w:szCs w:val="24"/>
          <w:lang w:val="en-GB"/>
        </w:rPr>
      </w:pPr>
      <w:r>
        <w:rPr>
          <w:rFonts w:ascii="Times New Roman" w:hAnsi="Times New Roman"/>
          <w:noProof/>
          <w:sz w:val="24"/>
          <w:szCs w:val="24"/>
          <w:u w:val="single"/>
          <w:lang w:val="en-GB"/>
        </w:rPr>
        <w:t>NDICI and IPA III</w:t>
      </w:r>
      <w:r>
        <w:rPr>
          <w:rFonts w:ascii="Times New Roman" w:hAnsi="Times New Roman"/>
          <w:noProof/>
          <w:sz w:val="24"/>
          <w:szCs w:val="24"/>
          <w:lang w:val="en-GB"/>
        </w:rPr>
        <w:t>: Following the publication of the Joint Communication on the Global EU Response to Covid-19</w:t>
      </w:r>
      <w:r>
        <w:rPr>
          <w:rStyle w:val="FootnoteReference"/>
          <w:rFonts w:eastAsia="Times New Roman"/>
          <w:noProof/>
          <w:lang w:eastAsia="en-GB"/>
        </w:rPr>
        <w:footnoteReference w:id="18"/>
      </w:r>
      <w:r>
        <w:rPr>
          <w:rFonts w:ascii="Times New Roman" w:hAnsi="Times New Roman"/>
          <w:noProof/>
          <w:sz w:val="24"/>
          <w:szCs w:val="24"/>
          <w:lang w:val="en-GB"/>
        </w:rPr>
        <w:t xml:space="preserve">, in which the Union expressed solidarity and commitment to help partner countries deal with the health, </w:t>
      </w:r>
      <w:r>
        <w:rPr>
          <w:rFonts w:ascii="Times New Roman" w:hAnsi="Times New Roman"/>
          <w:noProof/>
          <w:sz w:val="24"/>
          <w:szCs w:val="24"/>
          <w:lang w:val="en-GB"/>
        </w:rPr>
        <w:t xml:space="preserve">economic and social consequences of the COVID-19 crisis as part of the Team Europe efforts, reprogramming has taken place and the implementation of the assistance to third countries accelerated, which will continue in 2021. Taking into account the Union’s </w:t>
      </w:r>
      <w:r>
        <w:rPr>
          <w:rFonts w:ascii="Times New Roman" w:hAnsi="Times New Roman"/>
          <w:noProof/>
          <w:sz w:val="24"/>
          <w:szCs w:val="24"/>
          <w:lang w:val="en-GB"/>
        </w:rPr>
        <w:t>political commitments to third countries and contractual obligations such as payments deadlines, an increased need for payment appropriations of EUR 492 million has been identified due to modified modalities for budget support disbursements, increased pre-</w:t>
      </w:r>
      <w:r>
        <w:rPr>
          <w:rFonts w:ascii="Times New Roman" w:hAnsi="Times New Roman"/>
          <w:noProof/>
          <w:sz w:val="24"/>
          <w:szCs w:val="24"/>
          <w:lang w:val="en-GB"/>
        </w:rPr>
        <w:t>financing and faster implementation under indirect management.</w:t>
      </w:r>
    </w:p>
    <w:p w:rsidR="00E473EF" w:rsidRPr="00CE451E" w:rsidRDefault="00CE451E">
      <w:pPr>
        <w:pStyle w:val="ListParagraph"/>
        <w:numPr>
          <w:ilvl w:val="0"/>
          <w:numId w:val="28"/>
        </w:numPr>
        <w:spacing w:before="120" w:line="240" w:lineRule="auto"/>
        <w:ind w:left="360"/>
        <w:contextualSpacing w:val="0"/>
        <w:jc w:val="both"/>
        <w:rPr>
          <w:noProof/>
          <w:u w:val="single"/>
          <w:lang w:val="en-GB"/>
        </w:rPr>
      </w:pPr>
      <w:r w:rsidRPr="00CE451E">
        <w:rPr>
          <w:noProof/>
          <w:u w:val="single"/>
          <w:lang w:val="en-GB"/>
        </w:rPr>
        <w:t>RescEU</w:t>
      </w:r>
      <w:r>
        <w:rPr>
          <w:rFonts w:ascii="Times New Roman" w:hAnsi="Times New Roman"/>
          <w:noProof/>
          <w:sz w:val="24"/>
          <w:szCs w:val="24"/>
          <w:lang w:val="en-GB"/>
        </w:rPr>
        <w:t>: Amending budgets No1 and No2/2020 have significantly increased the resources available in the Union Civil Protection programme to face COVID-19 related urgent needs (namely, medical sto</w:t>
      </w:r>
      <w:r>
        <w:rPr>
          <w:rFonts w:ascii="Times New Roman" w:hAnsi="Times New Roman"/>
          <w:noProof/>
          <w:sz w:val="24"/>
          <w:szCs w:val="24"/>
          <w:lang w:val="en-GB"/>
        </w:rPr>
        <w:t>ckpiling and repatriation). This represents in total a reinforcement of EUR 415 million in commitment appropriations. Less than half of these appropriations have been covered by payment appropriations in 2020 and revised estimates indicate that approximate</w:t>
      </w:r>
      <w:r>
        <w:rPr>
          <w:rFonts w:ascii="Times New Roman" w:hAnsi="Times New Roman"/>
          <w:noProof/>
          <w:sz w:val="24"/>
          <w:szCs w:val="24"/>
          <w:lang w:val="en-GB"/>
        </w:rPr>
        <w:t>ly EUR 132 million will be necessary in 2021 to complete these measures. Most of the payments will cover reimbursements to Member States for measures already implemented.</w:t>
      </w:r>
    </w:p>
    <w:p w:rsidR="00E473EF" w:rsidRDefault="00CE451E">
      <w:pPr>
        <w:pStyle w:val="ListParagraph"/>
        <w:numPr>
          <w:ilvl w:val="0"/>
          <w:numId w:val="28"/>
        </w:numPr>
        <w:spacing w:before="120" w:after="120" w:line="240" w:lineRule="auto"/>
        <w:ind w:left="426" w:hanging="426"/>
        <w:contextualSpacing w:val="0"/>
        <w:jc w:val="both"/>
        <w:rPr>
          <w:rFonts w:ascii="Times New Roman" w:hAnsi="Times New Roman"/>
          <w:noProof/>
          <w:sz w:val="24"/>
          <w:szCs w:val="24"/>
          <w:lang w:val="en-GB"/>
        </w:rPr>
      </w:pPr>
      <w:r>
        <w:rPr>
          <w:rFonts w:ascii="Times New Roman" w:hAnsi="Times New Roman"/>
          <w:noProof/>
          <w:sz w:val="24"/>
          <w:szCs w:val="24"/>
          <w:u w:val="single"/>
          <w:lang w:val="en-GB"/>
        </w:rPr>
        <w:t>Support to the Turkish-Cypriot Community</w:t>
      </w:r>
      <w:r>
        <w:rPr>
          <w:rFonts w:ascii="Times New Roman" w:hAnsi="Times New Roman"/>
          <w:noProof/>
          <w:sz w:val="24"/>
          <w:szCs w:val="24"/>
          <w:lang w:val="en-GB"/>
        </w:rPr>
        <w:t xml:space="preserve">: as a consequence of the COVID-19 crisis, </w:t>
      </w:r>
      <w:r>
        <w:rPr>
          <w:rFonts w:ascii="Times New Roman" w:hAnsi="Times New Roman"/>
          <w:noProof/>
          <w:sz w:val="24"/>
          <w:szCs w:val="24"/>
          <w:lang w:val="en-GB"/>
        </w:rPr>
        <w:t>the United Nations Development Programme – Local Infrastructure Facility (UNDP LIF) has been providing increased technical assistance in the identification of emergency response needs leading to increased payments compared to the forecast. On top of the in</w:t>
      </w:r>
      <w:r>
        <w:rPr>
          <w:rFonts w:ascii="Times New Roman" w:hAnsi="Times New Roman"/>
          <w:noProof/>
          <w:sz w:val="24"/>
          <w:szCs w:val="24"/>
          <w:lang w:val="en-GB"/>
        </w:rPr>
        <w:t>crease resulting from the targeted reinforcement described under section 8.1.1 below (EUR 3 million), further payments appropriations of EUR 4 million are needed for the completion of operations such as the Scholarship programme, the International Bank for</w:t>
      </w:r>
      <w:r>
        <w:rPr>
          <w:rFonts w:ascii="Times New Roman" w:hAnsi="Times New Roman"/>
          <w:noProof/>
          <w:sz w:val="24"/>
          <w:szCs w:val="24"/>
          <w:lang w:val="en-GB"/>
        </w:rPr>
        <w:t xml:space="preserve"> Reconstruction and Development’s Economic Analysis Programme for Growth and Sustainable Development, micro business support and the project 'Construction of the new Northern Nicosia Trunk Sewer – NNTS’.</w:t>
      </w:r>
    </w:p>
    <w:p w:rsidR="00E473EF" w:rsidRDefault="00CE451E">
      <w:pPr>
        <w:pStyle w:val="ListParagraph"/>
        <w:numPr>
          <w:ilvl w:val="0"/>
          <w:numId w:val="28"/>
        </w:numPr>
        <w:spacing w:before="120" w:after="120" w:line="240" w:lineRule="auto"/>
        <w:ind w:left="360"/>
        <w:contextualSpacing w:val="0"/>
        <w:jc w:val="both"/>
        <w:rPr>
          <w:rFonts w:ascii="Times New Roman" w:hAnsi="Times New Roman"/>
          <w:noProof/>
          <w:sz w:val="24"/>
          <w:szCs w:val="24"/>
          <w:lang w:val="en-GB"/>
        </w:rPr>
      </w:pPr>
      <w:r>
        <w:rPr>
          <w:rFonts w:ascii="Times New Roman" w:hAnsi="Times New Roman"/>
          <w:noProof/>
          <w:sz w:val="24"/>
          <w:szCs w:val="24"/>
          <w:u w:val="single"/>
          <w:lang w:val="en-GB"/>
        </w:rPr>
        <w:t>CEF — Transport (including the contribution from the</w:t>
      </w:r>
      <w:r>
        <w:rPr>
          <w:rFonts w:ascii="Times New Roman" w:hAnsi="Times New Roman"/>
          <w:noProof/>
          <w:sz w:val="24"/>
          <w:szCs w:val="24"/>
          <w:u w:val="single"/>
          <w:lang w:val="en-GB"/>
        </w:rPr>
        <w:t xml:space="preserve"> Cohesion Fund and the military mobility)</w:t>
      </w:r>
      <w:r>
        <w:rPr>
          <w:rFonts w:ascii="Times New Roman" w:hAnsi="Times New Roman"/>
          <w:noProof/>
          <w:sz w:val="24"/>
          <w:szCs w:val="24"/>
          <w:lang w:val="en-GB"/>
        </w:rPr>
        <w:t>: the overall decrease of -EUR 155 million results from the following combined two elements:</w:t>
      </w:r>
    </w:p>
    <w:p w:rsidR="00E473EF" w:rsidRDefault="00CE451E">
      <w:pPr>
        <w:pStyle w:val="ListParagraph"/>
        <w:numPr>
          <w:ilvl w:val="1"/>
          <w:numId w:val="28"/>
        </w:numPr>
        <w:spacing w:before="120" w:after="120" w:line="240" w:lineRule="auto"/>
        <w:ind w:left="720"/>
        <w:contextualSpacing w:val="0"/>
        <w:jc w:val="both"/>
        <w:rPr>
          <w:rFonts w:ascii="Times New Roman" w:hAnsi="Times New Roman"/>
          <w:noProof/>
          <w:sz w:val="24"/>
          <w:szCs w:val="24"/>
          <w:lang w:val="en-GB"/>
        </w:rPr>
      </w:pPr>
      <w:r>
        <w:rPr>
          <w:rFonts w:ascii="Times New Roman" w:hAnsi="Times New Roman"/>
          <w:noProof/>
          <w:sz w:val="24"/>
          <w:szCs w:val="24"/>
          <w:lang w:val="en-GB"/>
        </w:rPr>
        <w:t>-EUR 100</w:t>
      </w:r>
      <w:r>
        <w:rPr>
          <w:rFonts w:ascii="Times New Roman" w:hAnsi="Times New Roman"/>
          <w:noProof/>
          <w:lang w:val="en-GB"/>
        </w:rPr>
        <w:t> million</w:t>
      </w:r>
      <w:r>
        <w:rPr>
          <w:rFonts w:ascii="Times New Roman" w:hAnsi="Times New Roman"/>
          <w:noProof/>
          <w:sz w:val="24"/>
          <w:szCs w:val="24"/>
          <w:lang w:val="en-GB"/>
        </w:rPr>
        <w:t xml:space="preserve"> corresponding to payments that will be done in 2020 while initially forecast in 2021. These payments are linked to the voluntary claims sent by several large beneficiaries and for which a reinforcement was proposed by the Commission in DAB No10/2020;</w:t>
      </w:r>
    </w:p>
    <w:p w:rsidR="00E473EF" w:rsidRDefault="00CE451E">
      <w:pPr>
        <w:pStyle w:val="ListParagraph"/>
        <w:numPr>
          <w:ilvl w:val="1"/>
          <w:numId w:val="28"/>
        </w:numPr>
        <w:spacing w:before="120" w:after="120" w:line="240" w:lineRule="auto"/>
        <w:ind w:left="720"/>
        <w:contextualSpacing w:val="0"/>
        <w:jc w:val="both"/>
        <w:rPr>
          <w:rFonts w:ascii="Times New Roman" w:hAnsi="Times New Roman"/>
          <w:noProof/>
          <w:sz w:val="24"/>
          <w:szCs w:val="24"/>
          <w:lang w:val="en-IE" w:eastAsia="en-US"/>
        </w:rPr>
      </w:pPr>
      <w:r>
        <w:rPr>
          <w:rFonts w:ascii="Times New Roman" w:hAnsi="Times New Roman"/>
          <w:noProof/>
          <w:sz w:val="24"/>
          <w:szCs w:val="24"/>
          <w:lang w:val="en-IE" w:eastAsia="en-US"/>
        </w:rPr>
        <w:t>A do</w:t>
      </w:r>
      <w:r>
        <w:rPr>
          <w:rFonts w:ascii="Times New Roman" w:hAnsi="Times New Roman"/>
          <w:noProof/>
          <w:sz w:val="24"/>
          <w:szCs w:val="24"/>
          <w:lang w:val="en-IE" w:eastAsia="en-US"/>
        </w:rPr>
        <w:t>wnwards reassessment of the payment needs for all components of CEF</w:t>
      </w:r>
      <w:r>
        <w:rPr>
          <w:rFonts w:ascii="Times New Roman" w:hAnsi="Times New Roman"/>
          <w:noProof/>
          <w:sz w:val="24"/>
          <w:szCs w:val="24"/>
          <w:lang w:val="en-GB"/>
        </w:rPr>
        <w:t>— Transport for a total amount of -EUR 55 million (of which -EUR 37 million for the contribution from the Cohesion Fund and -EUR 13,4 million fo the military mobility). C</w:t>
      </w:r>
      <w:r>
        <w:rPr>
          <w:rFonts w:ascii="Times New Roman" w:hAnsi="Times New Roman"/>
          <w:noProof/>
          <w:sz w:val="24"/>
          <w:szCs w:val="24"/>
          <w:lang w:val="en-IE" w:eastAsia="en-US"/>
        </w:rPr>
        <w:t>onsidering the curr</w:t>
      </w:r>
      <w:r>
        <w:rPr>
          <w:rFonts w:ascii="Times New Roman" w:hAnsi="Times New Roman"/>
          <w:noProof/>
          <w:sz w:val="24"/>
          <w:szCs w:val="24"/>
          <w:lang w:val="en-IE" w:eastAsia="en-US"/>
        </w:rPr>
        <w:t>ent timeframe for the publication of the first CEF</w:t>
      </w:r>
      <w:r>
        <w:rPr>
          <w:rFonts w:ascii="Times New Roman" w:hAnsi="Times New Roman"/>
          <w:noProof/>
          <w:sz w:val="24"/>
          <w:szCs w:val="24"/>
          <w:lang w:val="en-GB"/>
        </w:rPr>
        <w:t>— Transport</w:t>
      </w:r>
      <w:r>
        <w:rPr>
          <w:rFonts w:ascii="Times New Roman" w:hAnsi="Times New Roman"/>
          <w:noProof/>
          <w:sz w:val="24"/>
          <w:szCs w:val="24"/>
          <w:lang w:val="en-IE" w:eastAsia="en-US"/>
        </w:rPr>
        <w:t xml:space="preserve"> call for proposals in 2021, the Commission considers that only a minor part of Grant Agreements will be signed (and hence pre-financing payments disbursed) in 2021.</w:t>
      </w:r>
    </w:p>
    <w:p w:rsidR="00E473EF" w:rsidRDefault="00CE451E">
      <w:pPr>
        <w:spacing w:after="200" w:line="276" w:lineRule="auto"/>
        <w:rPr>
          <w:rFonts w:eastAsia="MS Mincho"/>
          <w:noProof/>
          <w:u w:val="single"/>
          <w:lang w:eastAsia="de-DE"/>
        </w:rPr>
      </w:pPr>
      <w:r>
        <w:rPr>
          <w:noProof/>
          <w:u w:val="single"/>
        </w:rPr>
        <w:br w:type="page"/>
      </w:r>
    </w:p>
    <w:p w:rsidR="00E473EF" w:rsidRDefault="00CE451E">
      <w:pPr>
        <w:pStyle w:val="ListParagraph"/>
        <w:numPr>
          <w:ilvl w:val="0"/>
          <w:numId w:val="28"/>
        </w:numPr>
        <w:spacing w:before="120" w:after="120" w:line="240" w:lineRule="auto"/>
        <w:ind w:left="426" w:hanging="426"/>
        <w:contextualSpacing w:val="0"/>
        <w:jc w:val="both"/>
        <w:rPr>
          <w:rFonts w:ascii="Times New Roman" w:hAnsi="Times New Roman"/>
          <w:noProof/>
          <w:sz w:val="24"/>
          <w:szCs w:val="24"/>
          <w:lang w:val="en-GB"/>
        </w:rPr>
      </w:pPr>
      <w:r>
        <w:rPr>
          <w:rFonts w:ascii="Times New Roman" w:hAnsi="Times New Roman"/>
          <w:noProof/>
          <w:sz w:val="24"/>
          <w:szCs w:val="24"/>
          <w:u w:val="single"/>
          <w:lang w:val="en-GB"/>
        </w:rPr>
        <w:t>InvestEU</w:t>
      </w:r>
      <w:r>
        <w:rPr>
          <w:rFonts w:ascii="Times New Roman" w:hAnsi="Times New Roman"/>
          <w:noProof/>
          <w:sz w:val="24"/>
          <w:szCs w:val="24"/>
          <w:lang w:val="en-GB"/>
        </w:rPr>
        <w:t>: the decrease in p</w:t>
      </w:r>
      <w:r>
        <w:rPr>
          <w:rFonts w:ascii="Times New Roman" w:hAnsi="Times New Roman"/>
          <w:noProof/>
          <w:sz w:val="24"/>
          <w:szCs w:val="24"/>
          <w:lang w:val="en-GB"/>
        </w:rPr>
        <w:t>ayments needs for the Connecting Europe Facility Debt Instrument (CEF-DI) corresponds to payments that will be done in 2020 while initially forecasted in 2021 (appearing under InvestEU completion lines) and therefore need to be frontloaded. By end of 2020,</w:t>
      </w:r>
      <w:r>
        <w:rPr>
          <w:rFonts w:ascii="Times New Roman" w:hAnsi="Times New Roman"/>
          <w:noProof/>
          <w:sz w:val="24"/>
          <w:szCs w:val="24"/>
          <w:lang w:val="en-GB"/>
        </w:rPr>
        <w:t xml:space="preserve"> the EIB is expected to finalise the signature of a range of projects that include operations linked to the deployment of electric vehicles charging points, hydrogen refuelling points, hydrogen fuel-cell electric buses and electric trucks for freight mobil</w:t>
      </w:r>
      <w:r>
        <w:rPr>
          <w:rFonts w:ascii="Times New Roman" w:hAnsi="Times New Roman"/>
          <w:noProof/>
          <w:sz w:val="24"/>
          <w:szCs w:val="24"/>
          <w:lang w:val="en-GB"/>
        </w:rPr>
        <w:t>ity, that advanced at a faster pace than expected.</w:t>
      </w:r>
    </w:p>
    <w:p w:rsidR="00E473EF" w:rsidRDefault="00CE451E">
      <w:pPr>
        <w:keepNext/>
        <w:tabs>
          <w:tab w:val="left" w:pos="850"/>
        </w:tabs>
        <w:spacing w:before="360" w:after="120"/>
        <w:ind w:left="357" w:hanging="357"/>
        <w:jc w:val="both"/>
        <w:outlineLvl w:val="1"/>
        <w:rPr>
          <w:rFonts w:eastAsia="Calibri"/>
          <w:b/>
          <w:noProof/>
          <w:lang w:eastAsia="en-US"/>
        </w:rPr>
      </w:pPr>
      <w:bookmarkStart w:id="49" w:name="_Toc54770317"/>
      <w:bookmarkStart w:id="50" w:name="_Toc55807127"/>
      <w:bookmarkStart w:id="51" w:name="_Toc56009541"/>
      <w:r>
        <w:rPr>
          <w:rFonts w:eastAsia="Calibri"/>
          <w:b/>
          <w:noProof/>
          <w:lang w:eastAsia="en-US"/>
        </w:rPr>
        <w:t xml:space="preserve">2.4 </w:t>
      </w:r>
      <w:r>
        <w:rPr>
          <w:rFonts w:eastAsia="Calibri"/>
          <w:b/>
          <w:noProof/>
          <w:lang w:eastAsia="en-US"/>
        </w:rPr>
        <w:tab/>
        <w:t>Adjusted scope of MFF headings and impact on the nomenclature structure</w:t>
      </w:r>
      <w:bookmarkEnd w:id="49"/>
      <w:bookmarkEnd w:id="50"/>
      <w:bookmarkEnd w:id="51"/>
    </w:p>
    <w:p w:rsidR="00E473EF" w:rsidRDefault="00CE451E">
      <w:pPr>
        <w:spacing w:after="240"/>
        <w:jc w:val="both"/>
        <w:rPr>
          <w:noProof/>
        </w:rPr>
      </w:pPr>
      <w:r>
        <w:rPr>
          <w:noProof/>
          <w:lang w:val="en-IE"/>
        </w:rPr>
        <w:t>In line with the EUCO agreement of July 2020 and confirmed in the political agreement of November 2020 between the European Parl</w:t>
      </w:r>
      <w:r>
        <w:rPr>
          <w:noProof/>
          <w:lang w:val="en-IE"/>
        </w:rPr>
        <w:t>iament and the Council, the programmes (and the other elements) included in the DB 2021 under the new budget title 14 “</w:t>
      </w:r>
      <w:r>
        <w:rPr>
          <w:noProof/>
        </w:rPr>
        <w:t>Resilience and Crisis Response” (and which was included in heading 5 “Resilience, Security and Defence”), are transferred to the new budg</w:t>
      </w:r>
      <w:r>
        <w:rPr>
          <w:noProof/>
        </w:rPr>
        <w:t>et title 06 “Recovery and Resilience” (included in heading 2b “Resilience and Values”).</w:t>
      </w:r>
    </w:p>
    <w:p w:rsidR="00E473EF" w:rsidRDefault="00CE451E">
      <w:pPr>
        <w:spacing w:after="240"/>
        <w:jc w:val="both"/>
        <w:rPr>
          <w:noProof/>
          <w:lang w:val="en-IE"/>
        </w:rPr>
      </w:pPr>
      <w:r>
        <w:rPr>
          <w:noProof/>
          <w:lang w:val="en-IE"/>
        </w:rPr>
        <w:t xml:space="preserve">This transfer will require the technical re-numbering of the titles 15 “External Action”, 16 “Pre-Accession Assistance” and 17 “Expenditure outside the annual ceilings </w:t>
      </w:r>
      <w:r>
        <w:rPr>
          <w:noProof/>
          <w:lang w:val="en-IE"/>
        </w:rPr>
        <w:t>set out in the Multiannual Financial Framework”. This technical re-numbering will be implemented in the publication of the budget 2021, after its adoption.</w:t>
      </w:r>
    </w:p>
    <w:p w:rsidR="00E473EF" w:rsidRDefault="00CE451E">
      <w:pPr>
        <w:keepNext/>
        <w:tabs>
          <w:tab w:val="left" w:pos="850"/>
        </w:tabs>
        <w:spacing w:before="360" w:after="120"/>
        <w:ind w:left="357" w:hanging="357"/>
        <w:jc w:val="both"/>
        <w:outlineLvl w:val="1"/>
        <w:rPr>
          <w:rFonts w:eastAsia="Calibri"/>
          <w:b/>
          <w:noProof/>
          <w:lang w:eastAsia="en-US"/>
        </w:rPr>
      </w:pPr>
      <w:bookmarkStart w:id="52" w:name="_Toc54770318"/>
      <w:bookmarkStart w:id="53" w:name="_Toc55807128"/>
      <w:bookmarkStart w:id="54" w:name="_Toc56009542"/>
      <w:r>
        <w:rPr>
          <w:rFonts w:eastAsia="Calibri"/>
          <w:b/>
          <w:noProof/>
          <w:lang w:eastAsia="en-US"/>
        </w:rPr>
        <w:t xml:space="preserve">2.5 </w:t>
      </w:r>
      <w:r>
        <w:rPr>
          <w:rFonts w:eastAsia="Calibri"/>
          <w:b/>
          <w:noProof/>
          <w:lang w:eastAsia="en-US"/>
        </w:rPr>
        <w:tab/>
        <w:t>Revised distribution of “Next Generation EU” between grants and loans</w:t>
      </w:r>
      <w:bookmarkEnd w:id="52"/>
      <w:bookmarkEnd w:id="53"/>
      <w:bookmarkEnd w:id="54"/>
    </w:p>
    <w:p w:rsidR="00E473EF" w:rsidRDefault="00CE451E">
      <w:pPr>
        <w:spacing w:after="240"/>
        <w:jc w:val="both"/>
        <w:rPr>
          <w:noProof/>
          <w:lang w:val="en-IE"/>
        </w:rPr>
      </w:pPr>
      <w:r>
        <w:rPr>
          <w:noProof/>
        </w:rPr>
        <w:t>As confirmed i</w:t>
      </w:r>
      <w:r>
        <w:rPr>
          <w:noProof/>
          <w:lang w:val="en-IE"/>
        </w:rPr>
        <w:t>n the polit</w:t>
      </w:r>
      <w:r>
        <w:rPr>
          <w:noProof/>
          <w:lang w:val="en-IE"/>
        </w:rPr>
        <w:t>ical agreement of November 2020 between the European Parliament and the Council, the grant part of the “Next Generation EU” (NGEU) funds (EUR 750 billion in 2018 prices) that will support Union programmes has been reduced both in amount (from EUR 500 billi</w:t>
      </w:r>
      <w:r>
        <w:rPr>
          <w:noProof/>
          <w:lang w:val="en-IE"/>
        </w:rPr>
        <w:t>on to EUR 390 billion) and in scope.</w:t>
      </w:r>
    </w:p>
    <w:p w:rsidR="00E473EF" w:rsidRDefault="00CE451E">
      <w:pPr>
        <w:spacing w:after="240"/>
        <w:jc w:val="both"/>
        <w:rPr>
          <w:rFonts w:eastAsia="Calibri"/>
          <w:noProof/>
          <w:lang w:eastAsia="en-US"/>
        </w:rPr>
      </w:pPr>
      <w:r>
        <w:rPr>
          <w:noProof/>
          <w:lang w:val="en-IE"/>
        </w:rPr>
        <w:t>As a result, the budget remarks of the concerned budget lines have been adapted accordingly in AL 1/2021. Also, as regards the EAFRD,</w:t>
      </w:r>
      <w:r>
        <w:rPr>
          <w:rFonts w:eastAsia="Calibri"/>
          <w:noProof/>
          <w:lang w:eastAsia="en-US"/>
        </w:rPr>
        <w:t xml:space="preserve"> the two-year transitional period already agreed by the Council and the European Parliament will include the implementation of the NGEU contribution as of 2021. A new budget line has been created for that purpose in AL 1/2021.</w:t>
      </w:r>
    </w:p>
    <w:p w:rsidR="00E473EF" w:rsidRDefault="00CE451E">
      <w:pPr>
        <w:spacing w:after="240"/>
        <w:jc w:val="both"/>
        <w:rPr>
          <w:noProof/>
          <w:lang w:val="en-IE"/>
        </w:rPr>
      </w:pPr>
      <w:r>
        <w:rPr>
          <w:noProof/>
          <w:lang w:val="en-IE"/>
        </w:rPr>
        <w:t>The planned amounts from NGEU</w:t>
      </w:r>
      <w:r>
        <w:rPr>
          <w:noProof/>
          <w:lang w:val="en-IE"/>
        </w:rPr>
        <w:t xml:space="preserve"> for 2021, by programme and budget line, are shown in the table below:</w:t>
      </w:r>
    </w:p>
    <w:tbl>
      <w:tblPr>
        <w:tblW w:w="9912" w:type="dxa"/>
        <w:tblInd w:w="113" w:type="dxa"/>
        <w:tblLook w:val="04A0" w:firstRow="1" w:lastRow="0" w:firstColumn="1" w:lastColumn="0" w:noHBand="0" w:noVBand="1"/>
      </w:tblPr>
      <w:tblGrid>
        <w:gridCol w:w="6715"/>
        <w:gridCol w:w="1560"/>
        <w:gridCol w:w="1622"/>
        <w:gridCol w:w="15"/>
      </w:tblGrid>
      <w:tr w:rsidR="00E473EF">
        <w:trPr>
          <w:trHeight w:val="300"/>
          <w:tblHeader/>
        </w:trPr>
        <w:tc>
          <w:tcPr>
            <w:tcW w:w="671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473EF" w:rsidRDefault="00CE451E">
            <w:pPr>
              <w:jc w:val="center"/>
              <w:rPr>
                <w:b/>
                <w:bCs/>
                <w:noProof/>
                <w:color w:val="000000"/>
                <w:sz w:val="22"/>
                <w:szCs w:val="22"/>
                <w:lang w:val="en-US" w:eastAsia="en-US"/>
              </w:rPr>
            </w:pPr>
            <w:r>
              <w:rPr>
                <w:b/>
                <w:bCs/>
                <w:noProof/>
                <w:color w:val="000000"/>
                <w:sz w:val="22"/>
                <w:szCs w:val="22"/>
                <w:lang w:val="en-US" w:eastAsia="en-US"/>
              </w:rPr>
              <w:t>Programme / Budget line</w:t>
            </w:r>
          </w:p>
        </w:tc>
        <w:tc>
          <w:tcPr>
            <w:tcW w:w="3197"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E473EF" w:rsidRDefault="00CE451E">
            <w:pPr>
              <w:jc w:val="center"/>
              <w:rPr>
                <w:b/>
                <w:bCs/>
                <w:noProof/>
                <w:color w:val="000000"/>
                <w:sz w:val="22"/>
                <w:szCs w:val="22"/>
                <w:lang w:val="en-US" w:eastAsia="en-US"/>
              </w:rPr>
            </w:pPr>
            <w:r>
              <w:rPr>
                <w:b/>
                <w:bCs/>
                <w:noProof/>
                <w:color w:val="000000"/>
                <w:sz w:val="22"/>
                <w:szCs w:val="22"/>
                <w:lang w:val="en-US" w:eastAsia="en-US"/>
              </w:rPr>
              <w:t xml:space="preserve">Contribution from Next Generation EU </w:t>
            </w:r>
            <w:r>
              <w:rPr>
                <w:i/>
                <w:iCs/>
                <w:noProof/>
                <w:color w:val="000000"/>
                <w:sz w:val="22"/>
                <w:szCs w:val="22"/>
                <w:lang w:val="en-US" w:eastAsia="en-US"/>
              </w:rPr>
              <w:t>(in EUR millon)</w:t>
            </w:r>
          </w:p>
        </w:tc>
      </w:tr>
      <w:tr w:rsidR="00E473EF">
        <w:trPr>
          <w:gridAfter w:val="1"/>
          <w:wAfter w:w="15" w:type="dxa"/>
          <w:trHeight w:val="300"/>
          <w:tblHeader/>
        </w:trPr>
        <w:tc>
          <w:tcPr>
            <w:tcW w:w="6715" w:type="dxa"/>
            <w:vMerge/>
            <w:tcBorders>
              <w:top w:val="single" w:sz="4" w:space="0" w:color="auto"/>
              <w:left w:val="single" w:sz="4" w:space="0" w:color="auto"/>
              <w:bottom w:val="single" w:sz="4" w:space="0" w:color="auto"/>
              <w:right w:val="single" w:sz="4" w:space="0" w:color="auto"/>
            </w:tcBorders>
            <w:vAlign w:val="center"/>
            <w:hideMark/>
          </w:tcPr>
          <w:p w:rsidR="00E473EF" w:rsidRDefault="00E473EF">
            <w:pPr>
              <w:rPr>
                <w:b/>
                <w:bCs/>
                <w:noProof/>
                <w:color w:val="000000"/>
                <w:sz w:val="22"/>
                <w:szCs w:val="22"/>
                <w:lang w:val="en-US" w:eastAsia="en-US"/>
              </w:rPr>
            </w:pPr>
          </w:p>
        </w:tc>
        <w:tc>
          <w:tcPr>
            <w:tcW w:w="1560" w:type="dxa"/>
            <w:tcBorders>
              <w:top w:val="nil"/>
              <w:left w:val="nil"/>
              <w:bottom w:val="single" w:sz="4" w:space="0" w:color="auto"/>
              <w:right w:val="single" w:sz="4" w:space="0" w:color="auto"/>
            </w:tcBorders>
            <w:shd w:val="clear" w:color="000000" w:fill="BFBFBF"/>
            <w:vAlign w:val="center"/>
            <w:hideMark/>
          </w:tcPr>
          <w:p w:rsidR="00E473EF" w:rsidRDefault="00CE451E">
            <w:pPr>
              <w:jc w:val="center"/>
              <w:rPr>
                <w:b/>
                <w:bCs/>
                <w:noProof/>
                <w:color w:val="000000"/>
                <w:sz w:val="22"/>
                <w:szCs w:val="22"/>
                <w:lang w:val="en-US" w:eastAsia="en-US"/>
              </w:rPr>
            </w:pPr>
            <w:r>
              <w:rPr>
                <w:b/>
                <w:bCs/>
                <w:noProof/>
                <w:color w:val="000000"/>
                <w:sz w:val="22"/>
                <w:szCs w:val="22"/>
                <w:lang w:val="en-US" w:eastAsia="en-US"/>
              </w:rPr>
              <w:t>Budget commitments</w:t>
            </w:r>
          </w:p>
        </w:tc>
        <w:tc>
          <w:tcPr>
            <w:tcW w:w="1622" w:type="dxa"/>
            <w:tcBorders>
              <w:top w:val="nil"/>
              <w:left w:val="nil"/>
              <w:bottom w:val="single" w:sz="4" w:space="0" w:color="auto"/>
              <w:right w:val="single" w:sz="4" w:space="0" w:color="auto"/>
            </w:tcBorders>
            <w:shd w:val="clear" w:color="000000" w:fill="BFBFBF"/>
            <w:vAlign w:val="center"/>
            <w:hideMark/>
          </w:tcPr>
          <w:p w:rsidR="00E473EF" w:rsidRDefault="00CE451E">
            <w:pPr>
              <w:jc w:val="center"/>
              <w:rPr>
                <w:b/>
                <w:bCs/>
                <w:noProof/>
                <w:color w:val="000000"/>
                <w:sz w:val="22"/>
                <w:szCs w:val="22"/>
                <w:lang w:val="en-US" w:eastAsia="en-US"/>
              </w:rPr>
            </w:pPr>
            <w:r>
              <w:rPr>
                <w:b/>
                <w:bCs/>
                <w:noProof/>
                <w:color w:val="000000"/>
                <w:sz w:val="22"/>
                <w:szCs w:val="22"/>
                <w:lang w:val="en-US" w:eastAsia="en-US"/>
              </w:rPr>
              <w:t>Payment appropriations</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rsidR="00E473EF" w:rsidRDefault="00CE451E">
            <w:pPr>
              <w:rPr>
                <w:b/>
                <w:bCs/>
                <w:noProof/>
                <w:color w:val="000000"/>
                <w:sz w:val="22"/>
                <w:szCs w:val="22"/>
                <w:lang w:val="en-US" w:eastAsia="en-US"/>
              </w:rPr>
            </w:pPr>
            <w:r>
              <w:rPr>
                <w:b/>
                <w:bCs/>
                <w:noProof/>
                <w:color w:val="000000"/>
                <w:sz w:val="22"/>
                <w:szCs w:val="22"/>
                <w:lang w:val="en-US" w:eastAsia="en-US"/>
              </w:rPr>
              <w:t>Horizon Europe</w:t>
            </w:r>
          </w:p>
        </w:tc>
        <w:tc>
          <w:tcPr>
            <w:tcW w:w="1560" w:type="dxa"/>
            <w:tcBorders>
              <w:top w:val="nil"/>
              <w:left w:val="nil"/>
              <w:bottom w:val="single" w:sz="4" w:space="0" w:color="auto"/>
              <w:right w:val="single" w:sz="4" w:space="0" w:color="auto"/>
            </w:tcBorders>
            <w:shd w:val="clear" w:color="000000" w:fill="D9D9D9"/>
            <w:noWrap/>
            <w:vAlign w:val="center"/>
            <w:hideMark/>
          </w:tcPr>
          <w:p w:rsidR="00E473EF" w:rsidRDefault="00CE451E">
            <w:pPr>
              <w:jc w:val="right"/>
              <w:rPr>
                <w:b/>
                <w:bCs/>
                <w:noProof/>
                <w:color w:val="000000"/>
                <w:sz w:val="22"/>
                <w:szCs w:val="22"/>
                <w:lang w:val="en-US" w:eastAsia="en-US"/>
              </w:rPr>
            </w:pPr>
            <w:r>
              <w:rPr>
                <w:b/>
                <w:bCs/>
                <w:noProof/>
                <w:color w:val="000000"/>
                <w:sz w:val="22"/>
                <w:szCs w:val="22"/>
                <w:lang w:val="en-US" w:eastAsia="en-US"/>
              </w:rPr>
              <w:t>1 772,0</w:t>
            </w:r>
          </w:p>
        </w:tc>
        <w:tc>
          <w:tcPr>
            <w:tcW w:w="1622" w:type="dxa"/>
            <w:tcBorders>
              <w:top w:val="nil"/>
              <w:left w:val="nil"/>
              <w:bottom w:val="single" w:sz="4" w:space="0" w:color="auto"/>
              <w:right w:val="single" w:sz="4" w:space="0" w:color="auto"/>
            </w:tcBorders>
            <w:shd w:val="clear" w:color="000000" w:fill="D9D9D9"/>
            <w:noWrap/>
            <w:vAlign w:val="center"/>
            <w:hideMark/>
          </w:tcPr>
          <w:p w:rsidR="00E473EF" w:rsidRDefault="00CE451E">
            <w:pPr>
              <w:jc w:val="right"/>
              <w:rPr>
                <w:b/>
                <w:bCs/>
                <w:noProof/>
                <w:color w:val="000000"/>
                <w:sz w:val="22"/>
                <w:szCs w:val="22"/>
                <w:lang w:val="en-US" w:eastAsia="en-US"/>
              </w:rPr>
            </w:pPr>
            <w:r>
              <w:rPr>
                <w:b/>
                <w:bCs/>
                <w:noProof/>
                <w:color w:val="000000"/>
                <w:sz w:val="22"/>
                <w:szCs w:val="22"/>
                <w:lang w:val="en-US" w:eastAsia="en-US"/>
              </w:rPr>
              <w:t>177,9</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 xml:space="preserve">01 01 01 02 - External personnel </w:t>
            </w:r>
            <w:r>
              <w:rPr>
                <w:noProof/>
                <w:color w:val="000000"/>
                <w:sz w:val="22"/>
                <w:szCs w:val="22"/>
                <w:lang w:val="en-US" w:eastAsia="en-US"/>
              </w:rPr>
              <w:t>implementing "Horizon Europe" — Indirect research</w:t>
            </w:r>
          </w:p>
        </w:tc>
        <w:tc>
          <w:tcPr>
            <w:tcW w:w="156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3,7</w:t>
            </w:r>
          </w:p>
        </w:tc>
        <w:tc>
          <w:tcPr>
            <w:tcW w:w="1622"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3,7</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01 01 01 03 - Other management expenditure for "Horizon Europe" — Indirect research</w:t>
            </w:r>
          </w:p>
        </w:tc>
        <w:tc>
          <w:tcPr>
            <w:tcW w:w="156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3,7</w:t>
            </w:r>
          </w:p>
        </w:tc>
        <w:tc>
          <w:tcPr>
            <w:tcW w:w="1622"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3,7</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01 02 02 10 - Cluster Health</w:t>
            </w:r>
          </w:p>
        </w:tc>
        <w:tc>
          <w:tcPr>
            <w:tcW w:w="156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441,2</w:t>
            </w:r>
          </w:p>
        </w:tc>
        <w:tc>
          <w:tcPr>
            <w:tcW w:w="1622"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32,2</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01 02 02 40 - Cluster Digital, Industry and Space</w:t>
            </w:r>
          </w:p>
        </w:tc>
        <w:tc>
          <w:tcPr>
            <w:tcW w:w="156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441,2</w:t>
            </w:r>
          </w:p>
        </w:tc>
        <w:tc>
          <w:tcPr>
            <w:tcW w:w="1622"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47,9</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01 02 02 50 - Cluster Climate, Energy and Mobility</w:t>
            </w:r>
          </w:p>
        </w:tc>
        <w:tc>
          <w:tcPr>
            <w:tcW w:w="156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441,2</w:t>
            </w:r>
          </w:p>
        </w:tc>
        <w:tc>
          <w:tcPr>
            <w:tcW w:w="1622"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7,0</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01 02 03 01 - European Innovation Council</w:t>
            </w:r>
          </w:p>
        </w:tc>
        <w:tc>
          <w:tcPr>
            <w:tcW w:w="156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441,2</w:t>
            </w:r>
          </w:p>
        </w:tc>
        <w:tc>
          <w:tcPr>
            <w:tcW w:w="1622"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83,5</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rsidR="00E473EF" w:rsidRDefault="00CE451E">
            <w:pPr>
              <w:rPr>
                <w:b/>
                <w:bCs/>
                <w:noProof/>
                <w:color w:val="000000"/>
                <w:sz w:val="22"/>
                <w:szCs w:val="22"/>
                <w:lang w:val="en-US" w:eastAsia="en-US"/>
              </w:rPr>
            </w:pPr>
            <w:r>
              <w:rPr>
                <w:b/>
                <w:bCs/>
                <w:noProof/>
                <w:color w:val="000000"/>
                <w:sz w:val="22"/>
                <w:szCs w:val="22"/>
                <w:lang w:val="en-US" w:eastAsia="en-US"/>
              </w:rPr>
              <w:t>InvestEU Fund</w:t>
            </w:r>
          </w:p>
        </w:tc>
        <w:tc>
          <w:tcPr>
            <w:tcW w:w="1560" w:type="dxa"/>
            <w:tcBorders>
              <w:top w:val="nil"/>
              <w:left w:val="nil"/>
              <w:bottom w:val="single" w:sz="4" w:space="0" w:color="auto"/>
              <w:right w:val="single" w:sz="4" w:space="0" w:color="auto"/>
            </w:tcBorders>
            <w:shd w:val="clear" w:color="000000" w:fill="D9D9D9"/>
            <w:noWrap/>
            <w:vAlign w:val="center"/>
            <w:hideMark/>
          </w:tcPr>
          <w:p w:rsidR="00E473EF" w:rsidRDefault="00CE451E">
            <w:pPr>
              <w:jc w:val="right"/>
              <w:rPr>
                <w:b/>
                <w:bCs/>
                <w:noProof/>
                <w:color w:val="000000"/>
                <w:sz w:val="22"/>
                <w:szCs w:val="22"/>
                <w:lang w:val="en-US" w:eastAsia="en-US"/>
              </w:rPr>
            </w:pPr>
            <w:r>
              <w:rPr>
                <w:b/>
                <w:bCs/>
                <w:noProof/>
                <w:color w:val="000000"/>
                <w:sz w:val="22"/>
                <w:szCs w:val="22"/>
                <w:lang w:val="en-US" w:eastAsia="en-US"/>
              </w:rPr>
              <w:t>1 783,0</w:t>
            </w:r>
          </w:p>
        </w:tc>
        <w:tc>
          <w:tcPr>
            <w:tcW w:w="1622" w:type="dxa"/>
            <w:tcBorders>
              <w:top w:val="nil"/>
              <w:left w:val="nil"/>
              <w:bottom w:val="single" w:sz="4" w:space="0" w:color="auto"/>
              <w:right w:val="single" w:sz="4" w:space="0" w:color="auto"/>
            </w:tcBorders>
            <w:shd w:val="clear" w:color="000000" w:fill="D9D9D9"/>
            <w:noWrap/>
            <w:vAlign w:val="center"/>
            <w:hideMark/>
          </w:tcPr>
          <w:p w:rsidR="00E473EF" w:rsidRDefault="00CE451E">
            <w:pPr>
              <w:jc w:val="right"/>
              <w:rPr>
                <w:b/>
                <w:bCs/>
                <w:noProof/>
                <w:color w:val="000000"/>
                <w:sz w:val="22"/>
                <w:szCs w:val="22"/>
                <w:lang w:val="en-US" w:eastAsia="en-US"/>
              </w:rPr>
            </w:pPr>
            <w:r>
              <w:rPr>
                <w:b/>
                <w:bCs/>
                <w:noProof/>
                <w:color w:val="000000"/>
                <w:sz w:val="22"/>
                <w:szCs w:val="22"/>
                <w:lang w:val="en-US" w:eastAsia="en-US"/>
              </w:rPr>
              <w:t>174,0</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02 01 01 - Support expenditure for "InvestEU"</w:t>
            </w:r>
          </w:p>
        </w:tc>
        <w:tc>
          <w:tcPr>
            <w:tcW w:w="156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0,5</w:t>
            </w:r>
          </w:p>
        </w:tc>
        <w:tc>
          <w:tcPr>
            <w:tcW w:w="1622"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0,5</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 xml:space="preserve">02 02 02 - InvestEU Guarantee - Provisioning of the </w:t>
            </w:r>
            <w:r>
              <w:rPr>
                <w:noProof/>
                <w:color w:val="000000"/>
                <w:sz w:val="22"/>
                <w:szCs w:val="22"/>
                <w:lang w:val="en-US" w:eastAsia="en-US"/>
              </w:rPr>
              <w:t>Common Provisioning Fund</w:t>
            </w:r>
          </w:p>
        </w:tc>
        <w:tc>
          <w:tcPr>
            <w:tcW w:w="156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1 745,0</w:t>
            </w:r>
          </w:p>
        </w:tc>
        <w:tc>
          <w:tcPr>
            <w:tcW w:w="1622"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151,0</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02 02 03 - InvestEU Advisory Hub, Portal and accompanying measures</w:t>
            </w:r>
          </w:p>
        </w:tc>
        <w:tc>
          <w:tcPr>
            <w:tcW w:w="156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37,5</w:t>
            </w:r>
          </w:p>
        </w:tc>
        <w:tc>
          <w:tcPr>
            <w:tcW w:w="1622"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22,5</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rsidR="00E473EF" w:rsidRDefault="00CE451E">
            <w:pPr>
              <w:rPr>
                <w:b/>
                <w:bCs/>
                <w:noProof/>
                <w:color w:val="000000"/>
                <w:sz w:val="22"/>
                <w:szCs w:val="22"/>
                <w:lang w:val="en-US" w:eastAsia="en-US"/>
              </w:rPr>
            </w:pPr>
            <w:r>
              <w:rPr>
                <w:b/>
                <w:bCs/>
                <w:noProof/>
                <w:color w:val="000000"/>
                <w:sz w:val="22"/>
                <w:szCs w:val="22"/>
                <w:lang w:val="en-US" w:eastAsia="en-US"/>
              </w:rPr>
              <w:t>REACT-EU European Regional Development Fund (ERDF)</w:t>
            </w:r>
          </w:p>
        </w:tc>
        <w:tc>
          <w:tcPr>
            <w:tcW w:w="1560" w:type="dxa"/>
            <w:tcBorders>
              <w:top w:val="nil"/>
              <w:left w:val="nil"/>
              <w:bottom w:val="single" w:sz="4" w:space="0" w:color="auto"/>
              <w:right w:val="single" w:sz="4" w:space="0" w:color="auto"/>
            </w:tcBorders>
            <w:shd w:val="clear" w:color="000000" w:fill="D9D9D9"/>
            <w:noWrap/>
            <w:vAlign w:val="center"/>
            <w:hideMark/>
          </w:tcPr>
          <w:p w:rsidR="00E473EF" w:rsidRDefault="00CE451E">
            <w:pPr>
              <w:jc w:val="right"/>
              <w:rPr>
                <w:b/>
                <w:bCs/>
                <w:noProof/>
                <w:color w:val="000000"/>
                <w:sz w:val="22"/>
                <w:szCs w:val="22"/>
                <w:lang w:val="en-US" w:eastAsia="en-US"/>
              </w:rPr>
            </w:pPr>
            <w:r>
              <w:rPr>
                <w:b/>
                <w:bCs/>
                <w:noProof/>
                <w:color w:val="000000"/>
                <w:sz w:val="22"/>
                <w:szCs w:val="22"/>
                <w:lang w:val="en-US" w:eastAsia="en-US"/>
              </w:rPr>
              <w:t>27 856,5</w:t>
            </w:r>
          </w:p>
        </w:tc>
        <w:tc>
          <w:tcPr>
            <w:tcW w:w="1622" w:type="dxa"/>
            <w:tcBorders>
              <w:top w:val="nil"/>
              <w:left w:val="nil"/>
              <w:bottom w:val="single" w:sz="4" w:space="0" w:color="auto"/>
              <w:right w:val="single" w:sz="4" w:space="0" w:color="auto"/>
            </w:tcBorders>
            <w:shd w:val="clear" w:color="000000" w:fill="D9D9D9"/>
            <w:noWrap/>
            <w:vAlign w:val="center"/>
            <w:hideMark/>
          </w:tcPr>
          <w:p w:rsidR="00E473EF" w:rsidRDefault="00CE451E">
            <w:pPr>
              <w:jc w:val="right"/>
              <w:rPr>
                <w:b/>
                <w:bCs/>
                <w:noProof/>
                <w:color w:val="000000"/>
                <w:sz w:val="22"/>
                <w:szCs w:val="22"/>
                <w:lang w:val="en-US" w:eastAsia="en-US"/>
              </w:rPr>
            </w:pPr>
            <w:r>
              <w:rPr>
                <w:b/>
                <w:bCs/>
                <w:noProof/>
                <w:color w:val="000000"/>
                <w:sz w:val="22"/>
                <w:szCs w:val="22"/>
                <w:lang w:val="en-US" w:eastAsia="en-US"/>
              </w:rPr>
              <w:t>4 983,5</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05 01 01 - Support expenditure for the "European Regional Development</w:t>
            </w:r>
            <w:r>
              <w:rPr>
                <w:noProof/>
                <w:color w:val="000000"/>
                <w:sz w:val="22"/>
                <w:szCs w:val="22"/>
                <w:lang w:val="en-US" w:eastAsia="en-US"/>
              </w:rPr>
              <w:t xml:space="preserve"> Fund"</w:t>
            </w:r>
          </w:p>
        </w:tc>
        <w:tc>
          <w:tcPr>
            <w:tcW w:w="156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2,5</w:t>
            </w:r>
          </w:p>
        </w:tc>
        <w:tc>
          <w:tcPr>
            <w:tcW w:w="1622"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2,5</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05 02 05 01 - ERDF — Operational expenditure — Financing under REACT-EU</w:t>
            </w:r>
          </w:p>
        </w:tc>
        <w:tc>
          <w:tcPr>
            <w:tcW w:w="156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27 756,8</w:t>
            </w:r>
          </w:p>
        </w:tc>
        <w:tc>
          <w:tcPr>
            <w:tcW w:w="1622"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4 977,1</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05 02 05 02 - ERDF — Operational technical assistance — Financing under REACT-EU</w:t>
            </w:r>
          </w:p>
        </w:tc>
        <w:tc>
          <w:tcPr>
            <w:tcW w:w="156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97,2</w:t>
            </w:r>
          </w:p>
        </w:tc>
        <w:tc>
          <w:tcPr>
            <w:tcW w:w="1622"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3,9</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rsidR="00E473EF" w:rsidRDefault="00CE451E">
            <w:pPr>
              <w:rPr>
                <w:b/>
                <w:bCs/>
                <w:noProof/>
                <w:color w:val="000000"/>
                <w:sz w:val="22"/>
                <w:szCs w:val="22"/>
                <w:lang w:val="en-US" w:eastAsia="en-US"/>
              </w:rPr>
            </w:pPr>
            <w:r>
              <w:rPr>
                <w:b/>
                <w:bCs/>
                <w:noProof/>
                <w:color w:val="000000"/>
                <w:sz w:val="22"/>
                <w:szCs w:val="22"/>
                <w:lang w:val="en-US" w:eastAsia="en-US"/>
              </w:rPr>
              <w:t xml:space="preserve">European Recovery and Resilience Facility (incl. Technical </w:t>
            </w:r>
            <w:r>
              <w:rPr>
                <w:b/>
                <w:bCs/>
                <w:noProof/>
                <w:color w:val="000000"/>
                <w:sz w:val="22"/>
                <w:szCs w:val="22"/>
                <w:lang w:val="en-US" w:eastAsia="en-US"/>
              </w:rPr>
              <w:t>Support Instrument)</w:t>
            </w:r>
          </w:p>
        </w:tc>
        <w:tc>
          <w:tcPr>
            <w:tcW w:w="1560" w:type="dxa"/>
            <w:tcBorders>
              <w:top w:val="nil"/>
              <w:left w:val="nil"/>
              <w:bottom w:val="single" w:sz="4" w:space="0" w:color="auto"/>
              <w:right w:val="single" w:sz="4" w:space="0" w:color="auto"/>
            </w:tcBorders>
            <w:shd w:val="clear" w:color="000000" w:fill="D9D9D9"/>
            <w:noWrap/>
            <w:vAlign w:val="center"/>
            <w:hideMark/>
          </w:tcPr>
          <w:p w:rsidR="00E473EF" w:rsidRDefault="00CE451E">
            <w:pPr>
              <w:jc w:val="right"/>
              <w:rPr>
                <w:b/>
                <w:bCs/>
                <w:noProof/>
                <w:color w:val="000000"/>
                <w:sz w:val="22"/>
                <w:szCs w:val="22"/>
                <w:lang w:val="en-US" w:eastAsia="en-US"/>
              </w:rPr>
            </w:pPr>
            <w:r>
              <w:rPr>
                <w:b/>
                <w:bCs/>
                <w:noProof/>
                <w:color w:val="000000"/>
                <w:sz w:val="22"/>
                <w:szCs w:val="22"/>
                <w:lang w:val="en-US" w:eastAsia="en-US"/>
              </w:rPr>
              <w:t>236 607,0</w:t>
            </w:r>
          </w:p>
        </w:tc>
        <w:tc>
          <w:tcPr>
            <w:tcW w:w="1622" w:type="dxa"/>
            <w:tcBorders>
              <w:top w:val="nil"/>
              <w:left w:val="nil"/>
              <w:bottom w:val="single" w:sz="4" w:space="0" w:color="auto"/>
              <w:right w:val="single" w:sz="4" w:space="0" w:color="auto"/>
            </w:tcBorders>
            <w:shd w:val="clear" w:color="000000" w:fill="D9D9D9"/>
            <w:noWrap/>
            <w:vAlign w:val="center"/>
            <w:hideMark/>
          </w:tcPr>
          <w:p w:rsidR="00E473EF" w:rsidRDefault="00CE451E">
            <w:pPr>
              <w:jc w:val="right"/>
              <w:rPr>
                <w:b/>
                <w:bCs/>
                <w:noProof/>
                <w:color w:val="000000"/>
                <w:sz w:val="22"/>
                <w:szCs w:val="22"/>
                <w:lang w:val="en-US" w:eastAsia="en-US"/>
              </w:rPr>
            </w:pPr>
            <w:r>
              <w:rPr>
                <w:b/>
                <w:bCs/>
                <w:noProof/>
                <w:color w:val="000000"/>
                <w:sz w:val="22"/>
                <w:szCs w:val="22"/>
                <w:lang w:val="en-US" w:eastAsia="en-US"/>
              </w:rPr>
              <w:t>67 607,0</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06 01 01 - Support expenditure for the "European Recovery and Resilience Facility (incl. Technical Support Instrument)"</w:t>
            </w:r>
          </w:p>
        </w:tc>
        <w:tc>
          <w:tcPr>
            <w:tcW w:w="156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7,0</w:t>
            </w:r>
          </w:p>
        </w:tc>
        <w:tc>
          <w:tcPr>
            <w:tcW w:w="1622"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7,0</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06 02 01 - European Recovery and Resilience Facility (RRF) — Grants</w:t>
            </w:r>
          </w:p>
        </w:tc>
        <w:tc>
          <w:tcPr>
            <w:tcW w:w="156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236 600,0</w:t>
            </w:r>
          </w:p>
        </w:tc>
        <w:tc>
          <w:tcPr>
            <w:tcW w:w="1622"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67 600,0</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rsidR="00E473EF" w:rsidRDefault="00CE451E">
            <w:pPr>
              <w:rPr>
                <w:b/>
                <w:bCs/>
                <w:noProof/>
                <w:color w:val="000000"/>
                <w:sz w:val="22"/>
                <w:szCs w:val="22"/>
                <w:lang w:val="en-US" w:eastAsia="en-US"/>
              </w:rPr>
            </w:pPr>
            <w:r>
              <w:rPr>
                <w:b/>
                <w:bCs/>
                <w:noProof/>
                <w:color w:val="000000"/>
                <w:sz w:val="22"/>
                <w:szCs w:val="22"/>
                <w:lang w:val="en-US" w:eastAsia="en-US"/>
              </w:rPr>
              <w:t>Union Civil Protection Mechanism (RescEU)</w:t>
            </w:r>
          </w:p>
        </w:tc>
        <w:tc>
          <w:tcPr>
            <w:tcW w:w="1560" w:type="dxa"/>
            <w:tcBorders>
              <w:top w:val="nil"/>
              <w:left w:val="nil"/>
              <w:bottom w:val="single" w:sz="4" w:space="0" w:color="auto"/>
              <w:right w:val="single" w:sz="4" w:space="0" w:color="auto"/>
            </w:tcBorders>
            <w:shd w:val="clear" w:color="000000" w:fill="D9D9D9"/>
            <w:noWrap/>
            <w:vAlign w:val="center"/>
            <w:hideMark/>
          </w:tcPr>
          <w:p w:rsidR="00E473EF" w:rsidRDefault="00CE451E">
            <w:pPr>
              <w:jc w:val="right"/>
              <w:rPr>
                <w:b/>
                <w:bCs/>
                <w:noProof/>
                <w:color w:val="000000"/>
                <w:sz w:val="22"/>
                <w:szCs w:val="22"/>
                <w:lang w:val="en-US" w:eastAsia="en-US"/>
              </w:rPr>
            </w:pPr>
            <w:r>
              <w:rPr>
                <w:b/>
                <w:bCs/>
                <w:noProof/>
                <w:color w:val="000000"/>
                <w:sz w:val="22"/>
                <w:szCs w:val="22"/>
                <w:lang w:val="en-US" w:eastAsia="en-US"/>
              </w:rPr>
              <w:t>682,5</w:t>
            </w:r>
          </w:p>
        </w:tc>
        <w:tc>
          <w:tcPr>
            <w:tcW w:w="1622" w:type="dxa"/>
            <w:tcBorders>
              <w:top w:val="nil"/>
              <w:left w:val="nil"/>
              <w:bottom w:val="single" w:sz="4" w:space="0" w:color="auto"/>
              <w:right w:val="single" w:sz="4" w:space="0" w:color="auto"/>
            </w:tcBorders>
            <w:shd w:val="clear" w:color="000000" w:fill="D9D9D9"/>
            <w:noWrap/>
            <w:vAlign w:val="center"/>
            <w:hideMark/>
          </w:tcPr>
          <w:p w:rsidR="00E473EF" w:rsidRDefault="00CE451E">
            <w:pPr>
              <w:jc w:val="right"/>
              <w:rPr>
                <w:b/>
                <w:bCs/>
                <w:noProof/>
                <w:color w:val="000000"/>
                <w:sz w:val="22"/>
                <w:szCs w:val="22"/>
                <w:lang w:val="en-US" w:eastAsia="en-US"/>
              </w:rPr>
            </w:pPr>
            <w:r>
              <w:rPr>
                <w:b/>
                <w:bCs/>
                <w:noProof/>
                <w:color w:val="000000"/>
                <w:sz w:val="22"/>
                <w:szCs w:val="22"/>
                <w:lang w:val="en-US" w:eastAsia="en-US"/>
              </w:rPr>
              <w:t>197,0</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06 01 04 - Support expenditure for the "Union Civil Protection Mechanism (RescEU)"</w:t>
            </w:r>
          </w:p>
        </w:tc>
        <w:tc>
          <w:tcPr>
            <w:tcW w:w="156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3,9</w:t>
            </w:r>
          </w:p>
        </w:tc>
        <w:tc>
          <w:tcPr>
            <w:tcW w:w="1622"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3,9</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06 05 01 - Union Civil Protection Mechanism (RescEU)</w:t>
            </w:r>
          </w:p>
        </w:tc>
        <w:tc>
          <w:tcPr>
            <w:tcW w:w="156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678,6</w:t>
            </w:r>
          </w:p>
        </w:tc>
        <w:tc>
          <w:tcPr>
            <w:tcW w:w="1622"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193,1</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rsidR="00E473EF" w:rsidRDefault="00CE451E">
            <w:pPr>
              <w:rPr>
                <w:b/>
                <w:bCs/>
                <w:noProof/>
                <w:color w:val="000000"/>
                <w:sz w:val="22"/>
                <w:szCs w:val="22"/>
                <w:lang w:val="en-US" w:eastAsia="en-US"/>
              </w:rPr>
            </w:pPr>
            <w:r>
              <w:rPr>
                <w:b/>
                <w:bCs/>
                <w:noProof/>
                <w:color w:val="000000"/>
                <w:sz w:val="22"/>
                <w:szCs w:val="22"/>
                <w:lang w:val="en-US" w:eastAsia="en-US"/>
              </w:rPr>
              <w:t>REACT-EU European Social Fund (ESF)</w:t>
            </w:r>
          </w:p>
        </w:tc>
        <w:tc>
          <w:tcPr>
            <w:tcW w:w="1560" w:type="dxa"/>
            <w:tcBorders>
              <w:top w:val="nil"/>
              <w:left w:val="nil"/>
              <w:bottom w:val="single" w:sz="4" w:space="0" w:color="auto"/>
              <w:right w:val="single" w:sz="4" w:space="0" w:color="auto"/>
            </w:tcBorders>
            <w:shd w:val="clear" w:color="000000" w:fill="D9D9D9"/>
            <w:noWrap/>
            <w:vAlign w:val="center"/>
            <w:hideMark/>
          </w:tcPr>
          <w:p w:rsidR="00E473EF" w:rsidRDefault="00CE451E">
            <w:pPr>
              <w:jc w:val="right"/>
              <w:rPr>
                <w:b/>
                <w:bCs/>
                <w:noProof/>
                <w:color w:val="000000"/>
                <w:sz w:val="22"/>
                <w:szCs w:val="22"/>
                <w:lang w:val="en-US" w:eastAsia="en-US"/>
              </w:rPr>
            </w:pPr>
            <w:r>
              <w:rPr>
                <w:b/>
                <w:bCs/>
                <w:noProof/>
                <w:color w:val="000000"/>
                <w:sz w:val="22"/>
                <w:szCs w:val="22"/>
                <w:lang w:val="en-US" w:eastAsia="en-US"/>
              </w:rPr>
              <w:t xml:space="preserve">11 </w:t>
            </w:r>
            <w:r>
              <w:rPr>
                <w:b/>
                <w:bCs/>
                <w:noProof/>
                <w:color w:val="000000"/>
                <w:sz w:val="22"/>
                <w:szCs w:val="22"/>
                <w:lang w:val="en-US" w:eastAsia="en-US"/>
              </w:rPr>
              <w:t>938,5</w:t>
            </w:r>
          </w:p>
        </w:tc>
        <w:tc>
          <w:tcPr>
            <w:tcW w:w="1622" w:type="dxa"/>
            <w:tcBorders>
              <w:top w:val="nil"/>
              <w:left w:val="nil"/>
              <w:bottom w:val="single" w:sz="4" w:space="0" w:color="auto"/>
              <w:right w:val="single" w:sz="4" w:space="0" w:color="auto"/>
            </w:tcBorders>
            <w:shd w:val="clear" w:color="000000" w:fill="D9D9D9"/>
            <w:noWrap/>
            <w:vAlign w:val="center"/>
            <w:hideMark/>
          </w:tcPr>
          <w:p w:rsidR="00E473EF" w:rsidRDefault="00CE451E">
            <w:pPr>
              <w:jc w:val="right"/>
              <w:rPr>
                <w:b/>
                <w:bCs/>
                <w:noProof/>
                <w:color w:val="000000"/>
                <w:sz w:val="22"/>
                <w:szCs w:val="22"/>
                <w:lang w:val="en-US" w:eastAsia="en-US"/>
              </w:rPr>
            </w:pPr>
            <w:r>
              <w:rPr>
                <w:b/>
                <w:bCs/>
                <w:noProof/>
                <w:color w:val="000000"/>
                <w:sz w:val="22"/>
                <w:szCs w:val="22"/>
                <w:lang w:val="en-US" w:eastAsia="en-US"/>
              </w:rPr>
              <w:t>2 135,8</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07 01 01 01 - Support expenditure for the "European Social Fund+ — shared management"</w:t>
            </w:r>
          </w:p>
        </w:tc>
        <w:tc>
          <w:tcPr>
            <w:tcW w:w="156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1,1</w:t>
            </w:r>
          </w:p>
        </w:tc>
        <w:tc>
          <w:tcPr>
            <w:tcW w:w="1622"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1,1</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07 02 05 01 - ESF — Operational expenditure — Financing under REACT-EU</w:t>
            </w:r>
          </w:p>
        </w:tc>
        <w:tc>
          <w:tcPr>
            <w:tcW w:w="156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11 895,8</w:t>
            </w:r>
          </w:p>
        </w:tc>
        <w:tc>
          <w:tcPr>
            <w:tcW w:w="1622"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2 133,0</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 xml:space="preserve">07 02 05 02 - ESF — Operational technical assistance — </w:t>
            </w:r>
            <w:r>
              <w:rPr>
                <w:noProof/>
                <w:color w:val="000000"/>
                <w:sz w:val="22"/>
                <w:szCs w:val="22"/>
                <w:lang w:val="en-US" w:eastAsia="en-US"/>
              </w:rPr>
              <w:t>Financing under REACT-EU</w:t>
            </w:r>
          </w:p>
        </w:tc>
        <w:tc>
          <w:tcPr>
            <w:tcW w:w="156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41,6</w:t>
            </w:r>
          </w:p>
        </w:tc>
        <w:tc>
          <w:tcPr>
            <w:tcW w:w="1622"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1,7</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rsidR="00E473EF" w:rsidRDefault="00CE451E">
            <w:pPr>
              <w:rPr>
                <w:b/>
                <w:bCs/>
                <w:noProof/>
                <w:color w:val="000000"/>
                <w:sz w:val="22"/>
                <w:szCs w:val="22"/>
                <w:lang w:val="en-US" w:eastAsia="en-US"/>
              </w:rPr>
            </w:pPr>
            <w:r>
              <w:rPr>
                <w:b/>
                <w:bCs/>
                <w:noProof/>
                <w:color w:val="000000"/>
                <w:sz w:val="22"/>
                <w:szCs w:val="22"/>
                <w:lang w:val="en-US" w:eastAsia="en-US"/>
              </w:rPr>
              <w:t>European Agricultural Fund for Rural Development (EAFRD)</w:t>
            </w:r>
          </w:p>
        </w:tc>
        <w:tc>
          <w:tcPr>
            <w:tcW w:w="1560" w:type="dxa"/>
            <w:tcBorders>
              <w:top w:val="nil"/>
              <w:left w:val="nil"/>
              <w:bottom w:val="single" w:sz="4" w:space="0" w:color="auto"/>
              <w:right w:val="single" w:sz="4" w:space="0" w:color="auto"/>
            </w:tcBorders>
            <w:shd w:val="clear" w:color="000000" w:fill="D9D9D9"/>
            <w:noWrap/>
            <w:vAlign w:val="center"/>
            <w:hideMark/>
          </w:tcPr>
          <w:p w:rsidR="00E473EF" w:rsidRDefault="00CE451E">
            <w:pPr>
              <w:jc w:val="right"/>
              <w:rPr>
                <w:b/>
                <w:bCs/>
                <w:noProof/>
                <w:color w:val="000000"/>
                <w:sz w:val="22"/>
                <w:szCs w:val="22"/>
                <w:lang w:val="en-US" w:eastAsia="en-US"/>
              </w:rPr>
            </w:pPr>
            <w:r>
              <w:rPr>
                <w:b/>
                <w:bCs/>
                <w:noProof/>
                <w:color w:val="000000"/>
                <w:sz w:val="22"/>
                <w:szCs w:val="22"/>
                <w:lang w:val="en-US" w:eastAsia="en-US"/>
              </w:rPr>
              <w:t>2 387,7</w:t>
            </w:r>
          </w:p>
        </w:tc>
        <w:tc>
          <w:tcPr>
            <w:tcW w:w="1622" w:type="dxa"/>
            <w:tcBorders>
              <w:top w:val="nil"/>
              <w:left w:val="nil"/>
              <w:bottom w:val="single" w:sz="4" w:space="0" w:color="auto"/>
              <w:right w:val="single" w:sz="4" w:space="0" w:color="auto"/>
            </w:tcBorders>
            <w:shd w:val="clear" w:color="000000" w:fill="D9D9D9"/>
            <w:noWrap/>
            <w:vAlign w:val="center"/>
            <w:hideMark/>
          </w:tcPr>
          <w:p w:rsidR="00E473EF" w:rsidRDefault="00CE451E">
            <w:pPr>
              <w:jc w:val="right"/>
              <w:rPr>
                <w:b/>
                <w:bCs/>
                <w:noProof/>
                <w:color w:val="000000"/>
                <w:sz w:val="22"/>
                <w:szCs w:val="22"/>
                <w:lang w:val="en-US" w:eastAsia="en-US"/>
              </w:rPr>
            </w:pPr>
            <w:r>
              <w:rPr>
                <w:b/>
                <w:bCs/>
                <w:noProof/>
                <w:color w:val="000000"/>
                <w:sz w:val="22"/>
                <w:szCs w:val="22"/>
                <w:lang w:val="en-US" w:eastAsia="en-US"/>
              </w:rPr>
              <w:t>596,9</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08 03 01 03 - Rural development types of interventions under the CAP Strategic Plans financed from the European Union Recovery Instrument (EURI)</w:t>
            </w:r>
          </w:p>
        </w:tc>
        <w:tc>
          <w:tcPr>
            <w:tcW w:w="156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 xml:space="preserve">2 </w:t>
            </w:r>
            <w:r>
              <w:rPr>
                <w:noProof/>
                <w:color w:val="000000"/>
                <w:sz w:val="22"/>
                <w:szCs w:val="22"/>
                <w:lang w:val="en-US" w:eastAsia="en-US"/>
              </w:rPr>
              <w:t>381,7</w:t>
            </w:r>
          </w:p>
        </w:tc>
        <w:tc>
          <w:tcPr>
            <w:tcW w:w="1622"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595,4</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08 03 03 - EAFRD — Operational technical assistance financed from the European Union Recovery Instrument (EURI)</w:t>
            </w:r>
          </w:p>
        </w:tc>
        <w:tc>
          <w:tcPr>
            <w:tcW w:w="156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6,0</w:t>
            </w:r>
          </w:p>
        </w:tc>
        <w:tc>
          <w:tcPr>
            <w:tcW w:w="1622"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1,5</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rsidR="00E473EF" w:rsidRDefault="00CE451E">
            <w:pPr>
              <w:rPr>
                <w:b/>
                <w:bCs/>
                <w:noProof/>
                <w:color w:val="000000"/>
                <w:sz w:val="22"/>
                <w:szCs w:val="22"/>
                <w:lang w:val="en-US" w:eastAsia="en-US"/>
              </w:rPr>
            </w:pPr>
            <w:r>
              <w:rPr>
                <w:b/>
                <w:bCs/>
                <w:noProof/>
                <w:color w:val="000000"/>
                <w:sz w:val="22"/>
                <w:szCs w:val="22"/>
                <w:lang w:val="en-US" w:eastAsia="en-US"/>
              </w:rPr>
              <w:t>Just Transition Fund</w:t>
            </w:r>
          </w:p>
        </w:tc>
        <w:tc>
          <w:tcPr>
            <w:tcW w:w="1560" w:type="dxa"/>
            <w:tcBorders>
              <w:top w:val="nil"/>
              <w:left w:val="nil"/>
              <w:bottom w:val="single" w:sz="4" w:space="0" w:color="auto"/>
              <w:right w:val="single" w:sz="4" w:space="0" w:color="auto"/>
            </w:tcBorders>
            <w:shd w:val="clear" w:color="000000" w:fill="D9D9D9"/>
            <w:noWrap/>
            <w:vAlign w:val="center"/>
            <w:hideMark/>
          </w:tcPr>
          <w:p w:rsidR="00E473EF" w:rsidRDefault="00CE451E">
            <w:pPr>
              <w:jc w:val="right"/>
              <w:rPr>
                <w:b/>
                <w:bCs/>
                <w:noProof/>
                <w:color w:val="000000"/>
                <w:sz w:val="22"/>
                <w:szCs w:val="22"/>
                <w:lang w:val="en-US" w:eastAsia="en-US"/>
              </w:rPr>
            </w:pPr>
            <w:r>
              <w:rPr>
                <w:b/>
                <w:bCs/>
                <w:noProof/>
                <w:color w:val="000000"/>
                <w:sz w:val="22"/>
                <w:szCs w:val="22"/>
                <w:lang w:val="en-US" w:eastAsia="en-US"/>
              </w:rPr>
              <w:t>2 122,0</w:t>
            </w:r>
          </w:p>
        </w:tc>
        <w:tc>
          <w:tcPr>
            <w:tcW w:w="1622" w:type="dxa"/>
            <w:tcBorders>
              <w:top w:val="nil"/>
              <w:left w:val="nil"/>
              <w:bottom w:val="single" w:sz="4" w:space="0" w:color="auto"/>
              <w:right w:val="single" w:sz="4" w:space="0" w:color="auto"/>
            </w:tcBorders>
            <w:shd w:val="clear" w:color="000000" w:fill="D9D9D9"/>
            <w:noWrap/>
            <w:vAlign w:val="center"/>
            <w:hideMark/>
          </w:tcPr>
          <w:p w:rsidR="00E473EF" w:rsidRDefault="00CE451E">
            <w:pPr>
              <w:jc w:val="right"/>
              <w:rPr>
                <w:b/>
                <w:bCs/>
                <w:noProof/>
                <w:color w:val="000000"/>
                <w:sz w:val="22"/>
                <w:szCs w:val="22"/>
                <w:lang w:val="en-US" w:eastAsia="en-US"/>
              </w:rPr>
            </w:pPr>
            <w:r>
              <w:rPr>
                <w:b/>
                <w:bCs/>
                <w:noProof/>
                <w:color w:val="000000"/>
                <w:sz w:val="22"/>
                <w:szCs w:val="22"/>
                <w:lang w:val="en-US" w:eastAsia="en-US"/>
              </w:rPr>
              <w:t>55,0</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09 01 02 - Support expenditure for the "Just Transition Fund"</w:t>
            </w:r>
          </w:p>
        </w:tc>
        <w:tc>
          <w:tcPr>
            <w:tcW w:w="156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2,4</w:t>
            </w:r>
          </w:p>
        </w:tc>
        <w:tc>
          <w:tcPr>
            <w:tcW w:w="1622"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2,4</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 xml:space="preserve">09 03 01 - Just </w:t>
            </w:r>
            <w:r>
              <w:rPr>
                <w:noProof/>
                <w:color w:val="000000"/>
                <w:sz w:val="22"/>
                <w:szCs w:val="22"/>
                <w:lang w:val="en-US" w:eastAsia="en-US"/>
              </w:rPr>
              <w:t>Transition Fund (JTF) — Operational expenditure</w:t>
            </w:r>
          </w:p>
        </w:tc>
        <w:tc>
          <w:tcPr>
            <w:tcW w:w="156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2 112,2</w:t>
            </w:r>
          </w:p>
        </w:tc>
        <w:tc>
          <w:tcPr>
            <w:tcW w:w="1622"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52,4</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22"/>
                <w:szCs w:val="22"/>
                <w:lang w:val="en-US" w:eastAsia="en-US"/>
              </w:rPr>
            </w:pPr>
            <w:r>
              <w:rPr>
                <w:noProof/>
                <w:color w:val="000000"/>
                <w:sz w:val="22"/>
                <w:szCs w:val="22"/>
                <w:lang w:val="en-US" w:eastAsia="en-US"/>
              </w:rPr>
              <w:t>09 03 02 - Just Transition Fund (JTF) — Operational technical assistance</w:t>
            </w:r>
          </w:p>
        </w:tc>
        <w:tc>
          <w:tcPr>
            <w:tcW w:w="1560"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7,4</w:t>
            </w:r>
          </w:p>
        </w:tc>
        <w:tc>
          <w:tcPr>
            <w:tcW w:w="1622"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22"/>
                <w:szCs w:val="22"/>
                <w:lang w:val="en-US" w:eastAsia="en-US"/>
              </w:rPr>
            </w:pPr>
            <w:r>
              <w:rPr>
                <w:noProof/>
                <w:color w:val="000000"/>
                <w:sz w:val="22"/>
                <w:szCs w:val="22"/>
                <w:lang w:val="en-US" w:eastAsia="en-US"/>
              </w:rPr>
              <w:t>0,2</w:t>
            </w:r>
          </w:p>
        </w:tc>
      </w:tr>
      <w:tr w:rsidR="00E473EF">
        <w:trPr>
          <w:gridAfter w:val="1"/>
          <w:wAfter w:w="15" w:type="dxa"/>
          <w:trHeight w:val="300"/>
        </w:trPr>
        <w:tc>
          <w:tcPr>
            <w:tcW w:w="6715" w:type="dxa"/>
            <w:tcBorders>
              <w:top w:val="nil"/>
              <w:left w:val="single" w:sz="4" w:space="0" w:color="auto"/>
              <w:bottom w:val="single" w:sz="4" w:space="0" w:color="auto"/>
              <w:right w:val="single" w:sz="4" w:space="0" w:color="auto"/>
            </w:tcBorders>
            <w:shd w:val="clear" w:color="000000" w:fill="D9D9D9"/>
            <w:vAlign w:val="center"/>
            <w:hideMark/>
          </w:tcPr>
          <w:p w:rsidR="00E473EF" w:rsidRDefault="00CE451E">
            <w:pPr>
              <w:rPr>
                <w:b/>
                <w:bCs/>
                <w:noProof/>
                <w:color w:val="000000"/>
                <w:sz w:val="22"/>
                <w:szCs w:val="22"/>
                <w:lang w:val="en-US" w:eastAsia="en-US"/>
              </w:rPr>
            </w:pPr>
            <w:r>
              <w:rPr>
                <w:b/>
                <w:bCs/>
                <w:noProof/>
                <w:color w:val="000000"/>
                <w:sz w:val="22"/>
                <w:szCs w:val="22"/>
                <w:lang w:val="en-US" w:eastAsia="en-US"/>
              </w:rPr>
              <w:t>TOTAL</w:t>
            </w:r>
          </w:p>
        </w:tc>
        <w:tc>
          <w:tcPr>
            <w:tcW w:w="1560" w:type="dxa"/>
            <w:tcBorders>
              <w:top w:val="nil"/>
              <w:left w:val="nil"/>
              <w:bottom w:val="single" w:sz="4" w:space="0" w:color="auto"/>
              <w:right w:val="single" w:sz="4" w:space="0" w:color="auto"/>
            </w:tcBorders>
            <w:shd w:val="clear" w:color="000000" w:fill="D9D9D9"/>
            <w:noWrap/>
            <w:vAlign w:val="center"/>
            <w:hideMark/>
          </w:tcPr>
          <w:p w:rsidR="00E473EF" w:rsidRDefault="00CE451E">
            <w:pPr>
              <w:jc w:val="right"/>
              <w:rPr>
                <w:b/>
                <w:bCs/>
                <w:noProof/>
                <w:color w:val="000000"/>
                <w:sz w:val="22"/>
                <w:szCs w:val="22"/>
                <w:lang w:val="en-US" w:eastAsia="en-US"/>
              </w:rPr>
            </w:pPr>
            <w:r>
              <w:rPr>
                <w:b/>
                <w:bCs/>
                <w:noProof/>
                <w:color w:val="000000"/>
                <w:sz w:val="22"/>
                <w:szCs w:val="22"/>
                <w:lang w:val="en-US" w:eastAsia="en-US"/>
              </w:rPr>
              <w:t>285 149,2</w:t>
            </w:r>
          </w:p>
        </w:tc>
        <w:tc>
          <w:tcPr>
            <w:tcW w:w="1622" w:type="dxa"/>
            <w:tcBorders>
              <w:top w:val="nil"/>
              <w:left w:val="nil"/>
              <w:bottom w:val="single" w:sz="4" w:space="0" w:color="auto"/>
              <w:right w:val="single" w:sz="4" w:space="0" w:color="auto"/>
            </w:tcBorders>
            <w:shd w:val="clear" w:color="000000" w:fill="D9D9D9"/>
            <w:noWrap/>
            <w:vAlign w:val="center"/>
            <w:hideMark/>
          </w:tcPr>
          <w:p w:rsidR="00E473EF" w:rsidRDefault="00CE451E">
            <w:pPr>
              <w:jc w:val="right"/>
              <w:rPr>
                <w:b/>
                <w:bCs/>
                <w:noProof/>
                <w:color w:val="000000"/>
                <w:sz w:val="22"/>
                <w:szCs w:val="22"/>
                <w:lang w:val="en-US" w:eastAsia="en-US"/>
              </w:rPr>
            </w:pPr>
            <w:r>
              <w:rPr>
                <w:b/>
                <w:bCs/>
                <w:noProof/>
                <w:color w:val="000000"/>
                <w:sz w:val="22"/>
                <w:szCs w:val="22"/>
                <w:lang w:val="en-US" w:eastAsia="en-US"/>
              </w:rPr>
              <w:t>75 927,1</w:t>
            </w:r>
          </w:p>
        </w:tc>
      </w:tr>
    </w:tbl>
    <w:p w:rsidR="00E473EF" w:rsidRDefault="00CE451E">
      <w:pPr>
        <w:pStyle w:val="ManualHeading1"/>
        <w:spacing w:before="240"/>
        <w:ind w:left="840" w:hanging="840"/>
        <w:rPr>
          <w:rFonts w:eastAsia="Calibri"/>
          <w:noProof/>
          <w:lang w:eastAsia="en-US"/>
        </w:rPr>
      </w:pPr>
      <w:bookmarkStart w:id="55" w:name="_Toc54770319"/>
      <w:bookmarkStart w:id="56" w:name="_Toc55807129"/>
      <w:bookmarkStart w:id="57" w:name="_Toc56009543"/>
      <w:r>
        <w:rPr>
          <w:noProof/>
        </w:rPr>
        <w:t>3.</w:t>
      </w:r>
      <w:r>
        <w:rPr>
          <w:noProof/>
        </w:rPr>
        <w:tab/>
        <w:t>Participation of the Union in the capital increase of the European</w:t>
      </w:r>
      <w:r>
        <w:rPr>
          <w:rFonts w:eastAsia="Calibri"/>
          <w:noProof/>
          <w:lang w:eastAsia="en-US"/>
        </w:rPr>
        <w:t xml:space="preserve"> Investment Fund (EIF)</w:t>
      </w:r>
      <w:bookmarkEnd w:id="55"/>
      <w:bookmarkEnd w:id="56"/>
      <w:bookmarkEnd w:id="57"/>
    </w:p>
    <w:p w:rsidR="00E473EF" w:rsidRDefault="00CE451E">
      <w:pPr>
        <w:spacing w:before="120" w:after="120"/>
        <w:jc w:val="both"/>
        <w:rPr>
          <w:noProof/>
          <w:szCs w:val="20"/>
          <w:lang w:eastAsia="de-DE"/>
        </w:rPr>
      </w:pPr>
      <w:r>
        <w:rPr>
          <w:noProof/>
          <w:szCs w:val="20"/>
          <w:lang w:eastAsia="de-DE"/>
        </w:rPr>
        <w:t>On 14 July 2020, the Board of Directors of the European Investment Fund (EIF) approved in principle the proposal to the shareholders to increase the subscribed capital of the EIF. The European Investment Bank (EIB) Group has determin</w:t>
      </w:r>
      <w:r>
        <w:rPr>
          <w:noProof/>
          <w:szCs w:val="20"/>
          <w:lang w:eastAsia="de-DE"/>
        </w:rPr>
        <w:t>ed the size of the EIF capital increase needed so that it provides the EIF with a cash injection of EUR 1 250 million. The price of the new shares should be based on the net asset value formula agreed among the shareholders of the EIF and consists of the p</w:t>
      </w:r>
      <w:r>
        <w:rPr>
          <w:noProof/>
          <w:szCs w:val="20"/>
          <w:lang w:eastAsia="de-DE"/>
        </w:rPr>
        <w:t xml:space="preserve">aid-in part and the share premium. </w:t>
      </w:r>
    </w:p>
    <w:p w:rsidR="00E473EF" w:rsidRDefault="00CE451E">
      <w:pPr>
        <w:spacing w:before="120" w:after="120"/>
        <w:jc w:val="both"/>
        <w:rPr>
          <w:noProof/>
          <w:szCs w:val="20"/>
          <w:lang w:eastAsia="de-DE"/>
        </w:rPr>
      </w:pPr>
      <w:r>
        <w:rPr>
          <w:noProof/>
          <w:szCs w:val="20"/>
          <w:lang w:eastAsia="de-DE"/>
        </w:rPr>
        <w:t>The Union, represented by the Commission, should be in a position to participate in this capital increase in order to allow the EIF to continue supporting the Union economy and its recovery, including through its contrib</w:t>
      </w:r>
      <w:r>
        <w:rPr>
          <w:noProof/>
          <w:szCs w:val="20"/>
          <w:lang w:eastAsia="de-DE"/>
        </w:rPr>
        <w:t xml:space="preserve">ution to the implementation of the InvestEU programme. Furthermore, the Union should be able to maintain its overall share in the EIF capital. It is most likely that the Union will be subscribing to the newly issued shares of the EIF and make the relevant </w:t>
      </w:r>
      <w:r>
        <w:rPr>
          <w:noProof/>
          <w:szCs w:val="20"/>
          <w:lang w:eastAsia="de-DE"/>
        </w:rPr>
        <w:t>payment in the first half of 2021.</w:t>
      </w:r>
    </w:p>
    <w:p w:rsidR="00E473EF" w:rsidRDefault="00CE451E">
      <w:pPr>
        <w:spacing w:before="120" w:after="120"/>
        <w:jc w:val="both"/>
        <w:rPr>
          <w:noProof/>
          <w:szCs w:val="20"/>
          <w:lang w:eastAsia="de-DE"/>
        </w:rPr>
      </w:pPr>
      <w:r>
        <w:rPr>
          <w:noProof/>
          <w:szCs w:val="20"/>
          <w:lang w:eastAsia="de-DE"/>
        </w:rPr>
        <w:t>In order for the Union to allow a pro-rata participation in the EIF capital increase of the aforementioned size, an estimated amount of EUR 375 million</w:t>
      </w:r>
      <w:r>
        <w:rPr>
          <w:rStyle w:val="FootnoteReference"/>
          <w:noProof/>
        </w:rPr>
        <w:footnoteReference w:id="19"/>
      </w:r>
      <w:r>
        <w:rPr>
          <w:noProof/>
          <w:szCs w:val="20"/>
          <w:lang w:eastAsia="de-DE"/>
        </w:rPr>
        <w:t xml:space="preserve">, both in commitment and in payment appropriations, will be required </w:t>
      </w:r>
      <w:r>
        <w:rPr>
          <w:noProof/>
          <w:szCs w:val="20"/>
          <w:lang w:eastAsia="de-DE"/>
        </w:rPr>
        <w:t>to cover the cost of the subscription. This amount, deducted from the 2021 envelope of InvestEU, has been allocated to the specific EIF budget line under the chapter 20 of the same title (02 20 03 01 “</w:t>
      </w:r>
      <w:r>
        <w:rPr>
          <w:i/>
          <w:noProof/>
          <w:szCs w:val="20"/>
          <w:lang w:eastAsia="de-DE"/>
        </w:rPr>
        <w:t xml:space="preserve">European Investment Fund — Provision of paid-up shares </w:t>
      </w:r>
      <w:r>
        <w:rPr>
          <w:i/>
          <w:noProof/>
          <w:szCs w:val="20"/>
          <w:lang w:eastAsia="de-DE"/>
        </w:rPr>
        <w:t>of subscribed capital</w:t>
      </w:r>
      <w:r>
        <w:rPr>
          <w:noProof/>
          <w:szCs w:val="20"/>
          <w:lang w:eastAsia="de-DE"/>
        </w:rPr>
        <w:t>”).</w:t>
      </w:r>
    </w:p>
    <w:p w:rsidR="00E473EF" w:rsidRDefault="00CE451E">
      <w:pPr>
        <w:pStyle w:val="ManualHeading1"/>
        <w:spacing w:before="240"/>
        <w:ind w:left="0" w:firstLine="0"/>
        <w:rPr>
          <w:noProof/>
        </w:rPr>
      </w:pPr>
      <w:bookmarkStart w:id="58" w:name="_Toc54770320"/>
      <w:bookmarkStart w:id="59" w:name="_Toc55807130"/>
      <w:bookmarkStart w:id="60" w:name="_Toc56009544"/>
      <w:r>
        <w:rPr>
          <w:noProof/>
        </w:rPr>
        <w:t>4.</w:t>
      </w:r>
      <w:r>
        <w:rPr>
          <w:noProof/>
        </w:rPr>
        <w:tab/>
      </w:r>
      <w:bookmarkEnd w:id="19"/>
      <w:r>
        <w:rPr>
          <w:noProof/>
        </w:rPr>
        <w:t xml:space="preserve">European Agricultural Guarantee Fund </w:t>
      </w:r>
      <w:bookmarkEnd w:id="20"/>
      <w:r>
        <w:rPr>
          <w:noProof/>
        </w:rPr>
        <w:t>(EAGF)</w:t>
      </w:r>
      <w:bookmarkEnd w:id="58"/>
      <w:bookmarkEnd w:id="59"/>
      <w:bookmarkEnd w:id="60"/>
    </w:p>
    <w:p w:rsidR="00E473EF" w:rsidRDefault="00CE451E">
      <w:pPr>
        <w:autoSpaceDE w:val="0"/>
        <w:autoSpaceDN w:val="0"/>
        <w:adjustRightInd w:val="0"/>
        <w:spacing w:before="120" w:after="120"/>
        <w:jc w:val="both"/>
        <w:rPr>
          <w:noProof/>
        </w:rPr>
      </w:pPr>
      <w:bookmarkStart w:id="61" w:name="_Toc462933829"/>
      <w:bookmarkStart w:id="62" w:name="_Toc462935190"/>
      <w:bookmarkStart w:id="63" w:name="_Toc462935292"/>
      <w:bookmarkStart w:id="64" w:name="_Toc462935340"/>
      <w:bookmarkStart w:id="65" w:name="_Toc462935497"/>
      <w:bookmarkStart w:id="66" w:name="_Toc463004731"/>
      <w:bookmarkStart w:id="67" w:name="_Toc463264164"/>
      <w:bookmarkStart w:id="68" w:name="_Toc463376628"/>
      <w:bookmarkStart w:id="69" w:name="_Toc463438680"/>
      <w:bookmarkStart w:id="70" w:name="_Toc463438848"/>
      <w:bookmarkStart w:id="71" w:name="_Toc463462765"/>
      <w:bookmarkStart w:id="72" w:name="_Toc463974150"/>
      <w:bookmarkStart w:id="73" w:name="_Toc464028191"/>
      <w:bookmarkStart w:id="74" w:name="_Toc462933830"/>
      <w:bookmarkStart w:id="75" w:name="_Toc462935191"/>
      <w:bookmarkStart w:id="76" w:name="_Toc462935293"/>
      <w:bookmarkStart w:id="77" w:name="_Toc462935341"/>
      <w:bookmarkStart w:id="78" w:name="_Toc462935498"/>
      <w:bookmarkStart w:id="79" w:name="_Toc463004732"/>
      <w:bookmarkStart w:id="80" w:name="_Toc463264165"/>
      <w:bookmarkStart w:id="81" w:name="_Toc463376629"/>
      <w:bookmarkStart w:id="82" w:name="_Toc463438681"/>
      <w:bookmarkStart w:id="83" w:name="_Toc463438849"/>
      <w:bookmarkStart w:id="84" w:name="_Toc463462766"/>
      <w:bookmarkStart w:id="85" w:name="_Toc463974151"/>
      <w:bookmarkStart w:id="86" w:name="_Toc464028192"/>
      <w:bookmarkStart w:id="87" w:name="_Toc464028333"/>
      <w:bookmarkStart w:id="88" w:name="_Toc526753782"/>
      <w:bookmarkStart w:id="89" w:name="_Toc526753784"/>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noProof/>
        </w:rPr>
        <w:t xml:space="preserve">AL 1/2021 updates estimates for agricultural expenditure based on the most up-to-date economic data and legislative framework. By beginning of November 2020, the Commission had at its </w:t>
      </w:r>
      <w:r>
        <w:rPr>
          <w:noProof/>
        </w:rPr>
        <w:t>disposal a first indication of the level of production for 2020 and the outlook for the agricultural markets as well as actual figures for most of the 2020 budget execution as regards EAGF shared management, which are the basis for the updated estimates of</w:t>
      </w:r>
      <w:r>
        <w:rPr>
          <w:noProof/>
        </w:rPr>
        <w:t xml:space="preserve"> the budgetary needs for 2021. </w:t>
      </w:r>
    </w:p>
    <w:p w:rsidR="00E473EF" w:rsidRDefault="00CE451E">
      <w:pPr>
        <w:autoSpaceDE w:val="0"/>
        <w:autoSpaceDN w:val="0"/>
        <w:adjustRightInd w:val="0"/>
        <w:spacing w:before="120" w:after="120"/>
        <w:jc w:val="both"/>
        <w:rPr>
          <w:noProof/>
        </w:rPr>
      </w:pPr>
      <w:r>
        <w:rPr>
          <w:noProof/>
        </w:rPr>
        <w:t>Apart from taking into account market factors, AL 1/2021 also incorporates the impact of legislative decisions in the agricultural sector since the DB 2021 was adopted in July 2020, as well as for some that are still under p</w:t>
      </w:r>
      <w:r>
        <w:rPr>
          <w:noProof/>
        </w:rPr>
        <w:t>reparation, soon to be adopted. In particular, it updates the amounts for transfers between the EAGF and the EAFRD for which several Member States submitted their notifications by 18 May 2020.</w:t>
      </w:r>
    </w:p>
    <w:p w:rsidR="00E473EF" w:rsidRDefault="00CE451E">
      <w:pPr>
        <w:autoSpaceDE w:val="0"/>
        <w:autoSpaceDN w:val="0"/>
        <w:adjustRightInd w:val="0"/>
        <w:spacing w:before="120" w:after="120"/>
        <w:jc w:val="both"/>
        <w:rPr>
          <w:noProof/>
        </w:rPr>
      </w:pPr>
      <w:r>
        <w:rPr>
          <w:noProof/>
        </w:rPr>
        <w:t>The 2021 net balance available for the EAGF, according to the p</w:t>
      </w:r>
      <w:r>
        <w:rPr>
          <w:noProof/>
        </w:rPr>
        <w:t xml:space="preserve">olitical agreement of November 2020 </w:t>
      </w:r>
      <w:r>
        <w:rPr>
          <w:noProof/>
          <w:lang w:val="en-IE"/>
        </w:rPr>
        <w:t>between the European Parliament and the Council</w:t>
      </w:r>
      <w:r>
        <w:rPr>
          <w:noProof/>
        </w:rPr>
        <w:t xml:space="preserve"> and taking into account a net transfer of EUR 557,0 million to Rural Development, amounts to EUR 40 368,0 million. This new amount includes transfers from the EAGF to the E</w:t>
      </w:r>
      <w:r>
        <w:rPr>
          <w:noProof/>
        </w:rPr>
        <w:t>AFRD and vice-versa, as notified by several Member States to the Commission in 2019, including the modifications notified during 2020</w:t>
      </w:r>
      <w:r>
        <w:rPr>
          <w:rStyle w:val="FootnoteReference"/>
          <w:noProof/>
        </w:rPr>
        <w:footnoteReference w:id="20"/>
      </w:r>
      <w:r>
        <w:rPr>
          <w:noProof/>
        </w:rPr>
        <w:t>.</w:t>
      </w:r>
    </w:p>
    <w:p w:rsidR="00E473EF" w:rsidRDefault="00CE451E">
      <w:pPr>
        <w:spacing w:after="200" w:line="276" w:lineRule="auto"/>
        <w:rPr>
          <w:noProof/>
          <w:highlight w:val="yellow"/>
        </w:rPr>
      </w:pPr>
      <w:r>
        <w:rPr>
          <w:noProof/>
        </w:rPr>
        <w:t>Overall, 2021 EAGF needs (after taking into account EAGF provisions related to 'financial discipline') are now estimated</w:t>
      </w:r>
      <w:r>
        <w:rPr>
          <w:noProof/>
        </w:rPr>
        <w:t xml:space="preserve"> at EUR 40 987,0 million</w:t>
      </w:r>
      <w:r>
        <w:rPr>
          <w:noProof/>
          <w:vertAlign w:val="superscript"/>
        </w:rPr>
        <w:footnoteReference w:id="21"/>
      </w:r>
      <w:r>
        <w:rPr>
          <w:noProof/>
        </w:rPr>
        <w:t>, which is an increase by EUR 222,2 million compared to the DB 2021. This increase is mostly due to additional needs for the financial corrections in favour of Member States (+EUR 233,1 million), while the modifications for market-</w:t>
      </w:r>
      <w:r>
        <w:rPr>
          <w:noProof/>
        </w:rPr>
        <w:t xml:space="preserve">related expenditure outside the CAP Strategic Plans (+EUR 15,0 million) and direct payments outside the CAP Strategic Plans (-EUR 29,7 million) are rather small. </w:t>
      </w:r>
    </w:p>
    <w:p w:rsidR="00E473EF" w:rsidRDefault="00CE451E">
      <w:pPr>
        <w:spacing w:before="120" w:after="120"/>
        <w:jc w:val="both"/>
        <w:rPr>
          <w:noProof/>
          <w:highlight w:val="yellow"/>
        </w:rPr>
      </w:pPr>
      <w:r>
        <w:rPr>
          <w:noProof/>
        </w:rPr>
        <w:t>The amount of assigned revenue estimated to be available in 2021 slightly increases from EUR </w:t>
      </w:r>
      <w:r>
        <w:rPr>
          <w:noProof/>
        </w:rPr>
        <w:t>585,7 million in DB 2021 to EUR 619,0 million (+EUR 33,3 million). In contrast to previous years, AL 1/2021 does not incorporate an expected carry-over of assigned revenue from 2020 to 2021 as 2020 execution is running at a high level.</w:t>
      </w:r>
      <w:r>
        <w:rPr>
          <w:noProof/>
          <w:vertAlign w:val="superscript"/>
        </w:rPr>
        <w:footnoteReference w:id="22"/>
      </w:r>
      <w:r>
        <w:rPr>
          <w:noProof/>
        </w:rPr>
        <w:t xml:space="preserve"> The unused appropri</w:t>
      </w:r>
      <w:r>
        <w:rPr>
          <w:noProof/>
        </w:rPr>
        <w:t>ations (EUR 478 million) of the 2020 agricultural crisis reserve, which will not be called on, will be carried over for reimbursement to farmers subject to the financial discipline in 2021.</w:t>
      </w:r>
    </w:p>
    <w:p w:rsidR="00E473EF" w:rsidRDefault="00CE451E">
      <w:pPr>
        <w:spacing w:after="200" w:line="276" w:lineRule="auto"/>
        <w:rPr>
          <w:noProof/>
        </w:rPr>
      </w:pPr>
      <w:r>
        <w:rPr>
          <w:noProof/>
        </w:rPr>
        <w:br w:type="page"/>
      </w:r>
    </w:p>
    <w:p w:rsidR="00E473EF" w:rsidRDefault="00CE451E">
      <w:pPr>
        <w:autoSpaceDE w:val="0"/>
        <w:autoSpaceDN w:val="0"/>
        <w:adjustRightInd w:val="0"/>
        <w:spacing w:before="120" w:after="120"/>
        <w:jc w:val="both"/>
        <w:rPr>
          <w:noProof/>
        </w:rPr>
      </w:pPr>
      <w:r>
        <w:rPr>
          <w:noProof/>
        </w:rPr>
        <w:t xml:space="preserve">As a result of these updates, the Commission proposes to increase the expenditure estimates for agriculture by EUR 188,9 million compared to the DB 2021. Commitment appropriations of EUR 40 368,0 million, including the </w:t>
      </w:r>
      <w:r>
        <w:rPr>
          <w:i/>
          <w:noProof/>
        </w:rPr>
        <w:t>Reserve for crises in the agricultura</w:t>
      </w:r>
      <w:r>
        <w:rPr>
          <w:i/>
          <w:noProof/>
        </w:rPr>
        <w:t>l sector</w:t>
      </w:r>
      <w:r>
        <w:rPr>
          <w:noProof/>
        </w:rPr>
        <w:t>, are required to cover EAGF needs for 2021. This overall amount exactly corresponds to the EAGF net balance resulting from the MFF 2021-2027 as agreed by the European Council and takes account of the modified transfers between the two pillars as n</w:t>
      </w:r>
      <w:r>
        <w:rPr>
          <w:noProof/>
        </w:rPr>
        <w:t>otified by the Member States. As the needs exceed the 2021 EAGF net balance, they must be adjusted via the financial discipline mechanism, which aims at reducing the amounts available for direct payments in order to respect the EAGF net balance and establi</w:t>
      </w:r>
      <w:r>
        <w:rPr>
          <w:noProof/>
        </w:rPr>
        <w:t>sh the crisis reserve.</w:t>
      </w:r>
      <w:r>
        <w:rPr>
          <w:noProof/>
          <w:vertAlign w:val="superscript"/>
        </w:rPr>
        <w:footnoteReference w:id="23"/>
      </w:r>
      <w:r>
        <w:rPr>
          <w:noProof/>
        </w:rPr>
        <w:t xml:space="preserve"> </w:t>
      </w:r>
    </w:p>
    <w:p w:rsidR="00E473EF" w:rsidRDefault="00CE451E">
      <w:pPr>
        <w:pStyle w:val="ManualHeading1"/>
        <w:spacing w:before="240"/>
        <w:rPr>
          <w:noProof/>
        </w:rPr>
      </w:pPr>
      <w:bookmarkStart w:id="90" w:name="_Toc462933859"/>
      <w:bookmarkStart w:id="91" w:name="_Toc462935220"/>
      <w:bookmarkStart w:id="92" w:name="_Toc462935322"/>
      <w:bookmarkStart w:id="93" w:name="_Toc462935370"/>
      <w:bookmarkStart w:id="94" w:name="_Toc462935527"/>
      <w:bookmarkStart w:id="95" w:name="_Toc463004747"/>
      <w:bookmarkStart w:id="96" w:name="_Toc463974174"/>
      <w:bookmarkStart w:id="97" w:name="_Toc464028219"/>
      <w:bookmarkStart w:id="98" w:name="_Toc464028351"/>
      <w:bookmarkStart w:id="99" w:name="_Toc463974178"/>
      <w:bookmarkStart w:id="100" w:name="_Toc464028223"/>
      <w:bookmarkStart w:id="101" w:name="_Toc464028355"/>
      <w:bookmarkStart w:id="102" w:name="_Toc54770321"/>
      <w:bookmarkStart w:id="103" w:name="_Toc55807131"/>
      <w:bookmarkStart w:id="104" w:name="_Toc56009545"/>
      <w:bookmarkStart w:id="105" w:name="_Toc526753785"/>
      <w:bookmarkEnd w:id="88"/>
      <w:bookmarkEnd w:id="89"/>
      <w:bookmarkEnd w:id="90"/>
      <w:bookmarkEnd w:id="91"/>
      <w:bookmarkEnd w:id="92"/>
      <w:bookmarkEnd w:id="93"/>
      <w:bookmarkEnd w:id="94"/>
      <w:bookmarkEnd w:id="95"/>
      <w:bookmarkEnd w:id="96"/>
      <w:bookmarkEnd w:id="97"/>
      <w:bookmarkEnd w:id="98"/>
      <w:bookmarkEnd w:id="99"/>
      <w:bookmarkEnd w:id="100"/>
      <w:bookmarkEnd w:id="101"/>
      <w:r>
        <w:rPr>
          <w:noProof/>
        </w:rPr>
        <w:t>5.</w:t>
      </w:r>
      <w:r>
        <w:rPr>
          <w:noProof/>
        </w:rPr>
        <w:tab/>
        <w:t>Delegation package for the six executive agencies</w:t>
      </w:r>
      <w:bookmarkEnd w:id="102"/>
      <w:bookmarkEnd w:id="103"/>
      <w:bookmarkEnd w:id="104"/>
    </w:p>
    <w:p w:rsidR="00E473EF" w:rsidRDefault="00CE451E">
      <w:pPr>
        <w:keepNext/>
        <w:tabs>
          <w:tab w:val="left" w:pos="850"/>
        </w:tabs>
        <w:spacing w:before="360" w:after="120"/>
        <w:ind w:left="357" w:hanging="357"/>
        <w:jc w:val="both"/>
        <w:outlineLvl w:val="1"/>
        <w:rPr>
          <w:rFonts w:eastAsia="Calibri"/>
          <w:b/>
          <w:noProof/>
          <w:lang w:eastAsia="en-US"/>
        </w:rPr>
      </w:pPr>
      <w:bookmarkStart w:id="106" w:name="_Toc54770322"/>
      <w:bookmarkStart w:id="107" w:name="_Toc55807132"/>
      <w:bookmarkStart w:id="108" w:name="_Toc56009546"/>
      <w:r>
        <w:rPr>
          <w:rFonts w:eastAsia="Calibri"/>
          <w:b/>
          <w:noProof/>
          <w:lang w:eastAsia="en-US"/>
        </w:rPr>
        <w:t xml:space="preserve">5.1 </w:t>
      </w:r>
      <w:r>
        <w:rPr>
          <w:rFonts w:eastAsia="Calibri"/>
          <w:b/>
          <w:noProof/>
          <w:lang w:eastAsia="en-US"/>
        </w:rPr>
        <w:tab/>
        <w:t>Submission to the Committee on Executive Agencies</w:t>
      </w:r>
      <w:bookmarkEnd w:id="106"/>
      <w:bookmarkEnd w:id="107"/>
      <w:bookmarkEnd w:id="108"/>
    </w:p>
    <w:p w:rsidR="00E473EF" w:rsidRDefault="00CE451E">
      <w:pPr>
        <w:spacing w:before="120" w:after="120"/>
        <w:jc w:val="both"/>
        <w:rPr>
          <w:noProof/>
          <w:lang w:val="en-IE"/>
        </w:rPr>
      </w:pPr>
      <w:r>
        <w:rPr>
          <w:iCs/>
          <w:noProof/>
          <w:lang w:val="en-IE"/>
        </w:rPr>
        <w:t>In the coming days</w:t>
      </w:r>
      <w:r>
        <w:rPr>
          <w:noProof/>
          <w:lang w:val="en-IE"/>
        </w:rPr>
        <w:t>, and in accordance with the procedure laid down in Regulation No 58/2003</w:t>
      </w:r>
      <w:r>
        <w:rPr>
          <w:rStyle w:val="FootnoteReference"/>
          <w:bCs/>
          <w:noProof/>
        </w:rPr>
        <w:footnoteReference w:id="24"/>
      </w:r>
      <w:r>
        <w:rPr>
          <w:noProof/>
          <w:lang w:val="en-IE"/>
        </w:rPr>
        <w:t xml:space="preserve">, the </w:t>
      </w:r>
      <w:r>
        <w:rPr>
          <w:iCs/>
          <w:noProof/>
          <w:lang w:val="en-IE"/>
        </w:rPr>
        <w:t xml:space="preserve">Commission will call on the </w:t>
      </w:r>
      <w:r>
        <w:rPr>
          <w:noProof/>
          <w:lang w:val="en-IE"/>
        </w:rPr>
        <w:t xml:space="preserve">Committee on Executive Agencies (CEA) to deliver an opinion </w:t>
      </w:r>
      <w:r>
        <w:rPr>
          <w:bCs/>
          <w:noProof/>
        </w:rPr>
        <w:t xml:space="preserve">on the draft Commission Implementing Decision </w:t>
      </w:r>
      <w:r>
        <w:rPr>
          <w:rFonts w:eastAsia="Calibri"/>
          <w:bCs/>
          <w:noProof/>
          <w:lang w:eastAsia="en-US"/>
        </w:rPr>
        <w:t xml:space="preserve">establishing the new generation of </w:t>
      </w:r>
      <w:r>
        <w:rPr>
          <w:noProof/>
        </w:rPr>
        <w:t>executive agencies</w:t>
      </w:r>
      <w:r>
        <w:rPr>
          <w:noProof/>
          <w:lang w:val="en-IE"/>
        </w:rPr>
        <w:t xml:space="preserve">. </w:t>
      </w:r>
      <w:r>
        <w:rPr>
          <w:iCs/>
          <w:noProof/>
          <w:lang w:val="en-IE"/>
        </w:rPr>
        <w:t>At</w:t>
      </w:r>
      <w:r>
        <w:rPr>
          <w:noProof/>
          <w:lang w:val="en-IE"/>
        </w:rPr>
        <w:t xml:space="preserve"> the same </w:t>
      </w:r>
      <w:r>
        <w:rPr>
          <w:iCs/>
          <w:noProof/>
          <w:lang w:val="en-IE"/>
        </w:rPr>
        <w:t>time</w:t>
      </w:r>
      <w:r>
        <w:rPr>
          <w:noProof/>
          <w:lang w:val="en-IE"/>
        </w:rPr>
        <w:t xml:space="preserve">, the Commission </w:t>
      </w:r>
      <w:r>
        <w:rPr>
          <w:iCs/>
          <w:noProof/>
          <w:lang w:val="en-IE"/>
        </w:rPr>
        <w:t>will transmit</w:t>
      </w:r>
      <w:r>
        <w:rPr>
          <w:noProof/>
          <w:lang w:val="en-IE"/>
        </w:rPr>
        <w:t xml:space="preserve"> the </w:t>
      </w:r>
      <w:r>
        <w:rPr>
          <w:iCs/>
          <w:noProof/>
          <w:lang w:val="en-IE"/>
        </w:rPr>
        <w:t>full</w:t>
      </w:r>
      <w:r>
        <w:rPr>
          <w:noProof/>
          <w:lang w:val="en-IE"/>
        </w:rPr>
        <w:t xml:space="preserve"> set of</w:t>
      </w:r>
      <w:r>
        <w:rPr>
          <w:iCs/>
          <w:noProof/>
          <w:lang w:val="en-IE"/>
        </w:rPr>
        <w:t xml:space="preserve"> dele</w:t>
      </w:r>
      <w:r>
        <w:rPr>
          <w:iCs/>
          <w:noProof/>
          <w:lang w:val="en-IE"/>
        </w:rPr>
        <w:t>gation</w:t>
      </w:r>
      <w:r>
        <w:rPr>
          <w:noProof/>
          <w:lang w:val="en-IE"/>
        </w:rPr>
        <w:t xml:space="preserve"> documents to the European Parliament and the Council</w:t>
      </w:r>
      <w:r>
        <w:rPr>
          <w:iCs/>
          <w:noProof/>
          <w:lang w:val="en-IE"/>
        </w:rPr>
        <w:t>, including an information note setting out the main elements of the foreseen delegation package. The package to be submitted to the CEA will be updated to reflect the level of the envelopes of the</w:t>
      </w:r>
      <w:r>
        <w:rPr>
          <w:iCs/>
          <w:noProof/>
          <w:lang w:val="en-IE"/>
        </w:rPr>
        <w:t xml:space="preserve"> spending programmes proposed to be delegated according to the </w:t>
      </w:r>
      <w:r>
        <w:rPr>
          <w:noProof/>
          <w:lang w:val="en-IE"/>
        </w:rPr>
        <w:t>political agreement of November 2020 between the European Parliament and the Council on the next MFF.</w:t>
      </w:r>
    </w:p>
    <w:p w:rsidR="00E473EF" w:rsidRDefault="00CE451E">
      <w:pPr>
        <w:spacing w:before="120" w:after="120"/>
        <w:jc w:val="both"/>
        <w:rPr>
          <w:noProof/>
          <w:lang w:val="en-IE"/>
        </w:rPr>
      </w:pPr>
      <w:r>
        <w:rPr>
          <w:iCs/>
          <w:noProof/>
          <w:lang w:val="en-IE"/>
        </w:rPr>
        <w:t>It was not possible to update the relevant data on time for</w:t>
      </w:r>
      <w:r>
        <w:rPr>
          <w:noProof/>
          <w:lang w:val="en-IE"/>
        </w:rPr>
        <w:t xml:space="preserve"> this </w:t>
      </w:r>
      <w:r>
        <w:rPr>
          <w:iCs/>
          <w:noProof/>
          <w:lang w:val="en-IE"/>
        </w:rPr>
        <w:t>amending letter; therefore</w:t>
      </w:r>
      <w:r>
        <w:rPr>
          <w:iCs/>
          <w:noProof/>
          <w:lang w:val="en-IE"/>
        </w:rPr>
        <w:t xml:space="preserve"> all the tables in this section – including staffing for the agencies and proposed offsetting in the Commission – are still</w:t>
      </w:r>
      <w:r>
        <w:rPr>
          <w:noProof/>
          <w:lang w:val="en-IE"/>
        </w:rPr>
        <w:t xml:space="preserve"> based on </w:t>
      </w:r>
      <w:r>
        <w:rPr>
          <w:iCs/>
          <w:noProof/>
          <w:lang w:val="en-IE"/>
        </w:rPr>
        <w:t xml:space="preserve">the envelopes of the spending programmes set in the </w:t>
      </w:r>
      <w:r>
        <w:rPr>
          <w:noProof/>
          <w:lang w:val="en-IE"/>
        </w:rPr>
        <w:t>EUCO agreement of July 2020</w:t>
      </w:r>
      <w:r>
        <w:rPr>
          <w:iCs/>
          <w:noProof/>
          <w:lang w:val="en-IE"/>
        </w:rPr>
        <w:t>. Given the significant increase in the budg</w:t>
      </w:r>
      <w:r>
        <w:rPr>
          <w:iCs/>
          <w:noProof/>
          <w:lang w:val="en-IE"/>
        </w:rPr>
        <w:t>et of some programmes included in the political agreement of November 2020, which are partly or fully delegated to executive agencies (Erasmus, Horizon Europe, EU4Health, Creative Europe, Rights and Value), the delegated budget and proposed staffing of the</w:t>
      </w:r>
      <w:r>
        <w:rPr>
          <w:iCs/>
          <w:noProof/>
          <w:lang w:val="en-IE"/>
        </w:rPr>
        <w:t xml:space="preserve"> agencies concerned will increase correspondingly. It will however not affect the proposed distribution of programmes amongst executive agencies. </w:t>
      </w:r>
    </w:p>
    <w:p w:rsidR="00E473EF" w:rsidRDefault="00CE451E">
      <w:pPr>
        <w:spacing w:before="120" w:after="120"/>
        <w:jc w:val="both"/>
        <w:rPr>
          <w:noProof/>
        </w:rPr>
      </w:pPr>
      <w:r>
        <w:rPr>
          <w:iCs/>
          <w:noProof/>
          <w:lang w:val="en-IE"/>
        </w:rPr>
        <w:t>In this respect,</w:t>
      </w:r>
      <w:r>
        <w:rPr>
          <w:noProof/>
          <w:lang w:val="en-IE"/>
        </w:rPr>
        <w:t xml:space="preserve"> the</w:t>
      </w:r>
      <w:r>
        <w:rPr>
          <w:noProof/>
        </w:rPr>
        <w:t xml:space="preserve"> Commission intends to keep the same number of executive agencies. However, it proposes t</w:t>
      </w:r>
      <w:r>
        <w:rPr>
          <w:noProof/>
        </w:rPr>
        <w:t>o modify the portfolios of the agencies to create more synergies and savings and avoiding the split of programmes or subprogrammes among agencies. As a consequence, it is proposed to transfer the activities of the Consumers, Health and Food Executive Agenc</w:t>
      </w:r>
      <w:r>
        <w:rPr>
          <w:noProof/>
        </w:rPr>
        <w:t>y (CHAFEA) located in Luxembourg to the Brussels based agencies, while creating a new agency in Brussels. It is also proposed to adjust the names of the agencies to their future portfolios:</w:t>
      </w:r>
    </w:p>
    <w:p w:rsidR="00E473EF" w:rsidRDefault="00CE451E">
      <w:pPr>
        <w:numPr>
          <w:ilvl w:val="0"/>
          <w:numId w:val="30"/>
        </w:numPr>
        <w:spacing w:before="120" w:after="120"/>
        <w:jc w:val="both"/>
        <w:rPr>
          <w:noProof/>
        </w:rPr>
      </w:pPr>
      <w:r>
        <w:rPr>
          <w:noProof/>
        </w:rPr>
        <w:t>The European Research Council Executive Agency (ERCEA);</w:t>
      </w:r>
    </w:p>
    <w:p w:rsidR="00E473EF" w:rsidRDefault="00CE451E">
      <w:pPr>
        <w:numPr>
          <w:ilvl w:val="0"/>
          <w:numId w:val="30"/>
        </w:numPr>
        <w:spacing w:before="120" w:after="120"/>
        <w:jc w:val="both"/>
        <w:rPr>
          <w:noProof/>
        </w:rPr>
      </w:pPr>
      <w:r>
        <w:rPr>
          <w:bCs/>
          <w:noProof/>
          <w:szCs w:val="32"/>
        </w:rPr>
        <w:t>The Europe</w:t>
      </w:r>
      <w:r>
        <w:rPr>
          <w:bCs/>
          <w:noProof/>
          <w:szCs w:val="32"/>
        </w:rPr>
        <w:t>an Research Executive Agency (former Research Executive Agency (REA));</w:t>
      </w:r>
    </w:p>
    <w:p w:rsidR="00E473EF" w:rsidRDefault="00CE451E">
      <w:pPr>
        <w:numPr>
          <w:ilvl w:val="0"/>
          <w:numId w:val="30"/>
        </w:numPr>
        <w:spacing w:before="120" w:after="120"/>
        <w:jc w:val="both"/>
        <w:rPr>
          <w:noProof/>
        </w:rPr>
      </w:pPr>
      <w:r>
        <w:rPr>
          <w:bCs/>
          <w:noProof/>
          <w:szCs w:val="32"/>
        </w:rPr>
        <w:t>The European Health and Digital Executive Agency (new agency);</w:t>
      </w:r>
    </w:p>
    <w:p w:rsidR="00E473EF" w:rsidRDefault="00CE451E">
      <w:pPr>
        <w:numPr>
          <w:ilvl w:val="0"/>
          <w:numId w:val="30"/>
        </w:numPr>
        <w:spacing w:before="120" w:after="120"/>
        <w:jc w:val="both"/>
        <w:rPr>
          <w:noProof/>
        </w:rPr>
      </w:pPr>
      <w:r>
        <w:rPr>
          <w:noProof/>
        </w:rPr>
        <w:t xml:space="preserve">The European Climate, Infrastructure and Environment Executive Agency (former </w:t>
      </w:r>
      <w:r>
        <w:rPr>
          <w:bCs/>
          <w:noProof/>
          <w:szCs w:val="32"/>
        </w:rPr>
        <w:t>Innovation and Networks Executive Agency (IN</w:t>
      </w:r>
      <w:r>
        <w:rPr>
          <w:bCs/>
          <w:noProof/>
          <w:szCs w:val="32"/>
        </w:rPr>
        <w:t>EA));</w:t>
      </w:r>
    </w:p>
    <w:p w:rsidR="00E473EF" w:rsidRDefault="00CE451E">
      <w:pPr>
        <w:numPr>
          <w:ilvl w:val="0"/>
          <w:numId w:val="30"/>
        </w:numPr>
        <w:spacing w:before="120" w:after="120"/>
        <w:jc w:val="both"/>
        <w:rPr>
          <w:noProof/>
        </w:rPr>
      </w:pPr>
      <w:r>
        <w:rPr>
          <w:noProof/>
        </w:rPr>
        <w:t>The European Education and Culture Executive Agency (former Education, Audio-visual and Culture Executive Agency (EACEA));</w:t>
      </w:r>
    </w:p>
    <w:p w:rsidR="00E473EF" w:rsidRDefault="00CE451E">
      <w:pPr>
        <w:numPr>
          <w:ilvl w:val="0"/>
          <w:numId w:val="30"/>
        </w:numPr>
        <w:spacing w:before="120" w:after="120"/>
        <w:jc w:val="both"/>
        <w:rPr>
          <w:noProof/>
        </w:rPr>
      </w:pPr>
      <w:r>
        <w:rPr>
          <w:noProof/>
        </w:rPr>
        <w:t>The European Innovation Council and SMEs Executive Agency (</w:t>
      </w:r>
      <w:r>
        <w:rPr>
          <w:bCs/>
          <w:noProof/>
          <w:szCs w:val="32"/>
        </w:rPr>
        <w:t>former Executive Agency for Small and Medium-sized Enterprises (EASM</w:t>
      </w:r>
      <w:r>
        <w:rPr>
          <w:bCs/>
          <w:noProof/>
          <w:szCs w:val="32"/>
        </w:rPr>
        <w:t>E)</w:t>
      </w:r>
      <w:r>
        <w:rPr>
          <w:noProof/>
        </w:rPr>
        <w:t>).</w:t>
      </w:r>
    </w:p>
    <w:p w:rsidR="00E473EF" w:rsidRDefault="00CE451E">
      <w:pPr>
        <w:spacing w:before="120" w:after="120"/>
        <w:jc w:val="both"/>
        <w:rPr>
          <w:rFonts w:eastAsia="Calibri"/>
          <w:bCs/>
          <w:noProof/>
          <w:szCs w:val="32"/>
          <w:lang w:eastAsia="en-US"/>
        </w:rPr>
      </w:pPr>
      <w:r>
        <w:rPr>
          <w:rFonts w:eastAsia="Calibri"/>
          <w:bCs/>
          <w:noProof/>
          <w:szCs w:val="32"/>
          <w:lang w:eastAsia="en-US"/>
        </w:rPr>
        <w:t xml:space="preserve">Subject to the positive opinion of the CEA, provided that </w:t>
      </w:r>
      <w:r>
        <w:rPr>
          <w:noProof/>
          <w:lang w:eastAsia="en-US"/>
        </w:rPr>
        <w:t xml:space="preserve">neither the European Parliament nor the Council has raised any objections, and the basic acts of the 2021-2027 programmes are adopted in due time by the legislative authority, </w:t>
      </w:r>
      <w:r>
        <w:rPr>
          <w:rFonts w:eastAsia="Calibri"/>
          <w:bCs/>
          <w:noProof/>
          <w:szCs w:val="32"/>
          <w:lang w:eastAsia="en-US"/>
        </w:rPr>
        <w:t>the Commission in</w:t>
      </w:r>
      <w:r>
        <w:rPr>
          <w:rFonts w:eastAsia="Calibri"/>
          <w:bCs/>
          <w:noProof/>
          <w:szCs w:val="32"/>
          <w:lang w:eastAsia="en-US"/>
        </w:rPr>
        <w:t>tends to adopt the draft proposal as early as possible for the new generation of executive agencies to implement the new Union programmes.</w:t>
      </w:r>
    </w:p>
    <w:p w:rsidR="00E473EF" w:rsidRDefault="00CE451E">
      <w:pPr>
        <w:keepNext/>
        <w:tabs>
          <w:tab w:val="left" w:pos="850"/>
        </w:tabs>
        <w:spacing w:before="360" w:after="120"/>
        <w:ind w:left="357" w:hanging="357"/>
        <w:jc w:val="both"/>
        <w:outlineLvl w:val="1"/>
        <w:rPr>
          <w:rFonts w:eastAsia="Calibri"/>
          <w:b/>
          <w:noProof/>
          <w:lang w:eastAsia="en-US"/>
        </w:rPr>
      </w:pPr>
      <w:bookmarkStart w:id="109" w:name="_Toc54770323"/>
      <w:bookmarkStart w:id="110" w:name="_Toc55807133"/>
      <w:bookmarkStart w:id="111" w:name="_Toc56009547"/>
      <w:r>
        <w:rPr>
          <w:rFonts w:eastAsia="Calibri"/>
          <w:b/>
          <w:noProof/>
          <w:lang w:eastAsia="en-US"/>
        </w:rPr>
        <w:t xml:space="preserve">5.2 </w:t>
      </w:r>
      <w:r>
        <w:rPr>
          <w:rFonts w:eastAsia="Calibri"/>
          <w:b/>
          <w:noProof/>
          <w:lang w:eastAsia="en-US"/>
        </w:rPr>
        <w:tab/>
        <w:t>Proposed level of operational appropriations 2021-2027 to be delegated</w:t>
      </w:r>
      <w:bookmarkEnd w:id="109"/>
      <w:bookmarkEnd w:id="110"/>
      <w:bookmarkEnd w:id="111"/>
    </w:p>
    <w:p w:rsidR="00E473EF" w:rsidRDefault="00CE451E">
      <w:pPr>
        <w:spacing w:before="120" w:after="120"/>
        <w:jc w:val="both"/>
        <w:rPr>
          <w:noProof/>
        </w:rPr>
      </w:pPr>
      <w:r>
        <w:rPr>
          <w:noProof/>
        </w:rPr>
        <w:t>The overview table below compares, agency</w:t>
      </w:r>
      <w:r>
        <w:rPr>
          <w:noProof/>
        </w:rPr>
        <w:t xml:space="preserve"> by agency, the total level of operational appropriations managed by the agencies in the current and future MFF with the number of human resources (Full Time Equivalents, FTEs) and the corresponding subsidy to cover the running costs of the agencies.</w:t>
      </w:r>
    </w:p>
    <w:tbl>
      <w:tblPr>
        <w:tblW w:w="9955" w:type="dxa"/>
        <w:tblInd w:w="113" w:type="dxa"/>
        <w:tblLook w:val="04A0" w:firstRow="1" w:lastRow="0" w:firstColumn="1" w:lastColumn="0" w:noHBand="0" w:noVBand="1"/>
      </w:tblPr>
      <w:tblGrid>
        <w:gridCol w:w="4315"/>
        <w:gridCol w:w="1320"/>
        <w:gridCol w:w="1440"/>
        <w:gridCol w:w="1440"/>
        <w:gridCol w:w="1440"/>
      </w:tblGrid>
      <w:tr w:rsidR="00E473EF">
        <w:trPr>
          <w:trHeight w:val="300"/>
          <w:tblHeader/>
        </w:trPr>
        <w:tc>
          <w:tcPr>
            <w:tcW w:w="4315" w:type="dxa"/>
            <w:tcBorders>
              <w:top w:val="single" w:sz="4" w:space="0" w:color="auto"/>
              <w:left w:val="single" w:sz="4" w:space="0" w:color="auto"/>
              <w:bottom w:val="single" w:sz="8" w:space="0" w:color="auto"/>
              <w:right w:val="single" w:sz="8" w:space="0" w:color="auto"/>
            </w:tcBorders>
            <w:shd w:val="clear" w:color="000000" w:fill="D9D9D9"/>
            <w:vAlign w:val="center"/>
            <w:hideMark/>
          </w:tcPr>
          <w:p w:rsidR="00E473EF" w:rsidRDefault="00CE451E">
            <w:pPr>
              <w:jc w:val="center"/>
              <w:rPr>
                <w:b/>
                <w:bCs/>
                <w:noProof/>
                <w:color w:val="000000"/>
                <w:sz w:val="20"/>
                <w:szCs w:val="20"/>
              </w:rPr>
            </w:pPr>
            <w:r>
              <w:rPr>
                <w:b/>
                <w:bCs/>
                <w:noProof/>
                <w:color w:val="000000"/>
                <w:sz w:val="20"/>
                <w:szCs w:val="20"/>
              </w:rPr>
              <w:t>Executive Agencies</w:t>
            </w:r>
          </w:p>
        </w:tc>
        <w:tc>
          <w:tcPr>
            <w:tcW w:w="1320" w:type="dxa"/>
            <w:tcBorders>
              <w:top w:val="single" w:sz="4" w:space="0" w:color="auto"/>
              <w:left w:val="nil"/>
              <w:bottom w:val="single" w:sz="8" w:space="0" w:color="auto"/>
              <w:right w:val="single" w:sz="8" w:space="0" w:color="auto"/>
            </w:tcBorders>
            <w:shd w:val="clear" w:color="000000" w:fill="D9D9D9"/>
            <w:vAlign w:val="center"/>
            <w:hideMark/>
          </w:tcPr>
          <w:p w:rsidR="00E473EF" w:rsidRDefault="00CE451E">
            <w:pPr>
              <w:jc w:val="center"/>
              <w:rPr>
                <w:b/>
                <w:bCs/>
                <w:noProof/>
                <w:color w:val="000000"/>
                <w:sz w:val="20"/>
                <w:szCs w:val="20"/>
              </w:rPr>
            </w:pPr>
            <w:r>
              <w:rPr>
                <w:b/>
                <w:bCs/>
                <w:noProof/>
                <w:color w:val="000000"/>
                <w:sz w:val="20"/>
                <w:szCs w:val="20"/>
              </w:rPr>
              <w:t>Budget managed by Executive Agency 2014-2020 (billion EUR)</w:t>
            </w:r>
          </w:p>
        </w:tc>
        <w:tc>
          <w:tcPr>
            <w:tcW w:w="1440" w:type="dxa"/>
            <w:tcBorders>
              <w:top w:val="single" w:sz="4" w:space="0" w:color="auto"/>
              <w:left w:val="nil"/>
              <w:bottom w:val="single" w:sz="8" w:space="0" w:color="auto"/>
              <w:right w:val="single" w:sz="8" w:space="0" w:color="auto"/>
            </w:tcBorders>
            <w:shd w:val="clear" w:color="000000" w:fill="D9D9D9"/>
            <w:vAlign w:val="center"/>
            <w:hideMark/>
          </w:tcPr>
          <w:p w:rsidR="00E473EF" w:rsidRDefault="00CE451E">
            <w:pPr>
              <w:jc w:val="center"/>
              <w:rPr>
                <w:b/>
                <w:bCs/>
                <w:noProof/>
                <w:color w:val="000000"/>
                <w:sz w:val="20"/>
                <w:szCs w:val="20"/>
              </w:rPr>
            </w:pPr>
            <w:r>
              <w:rPr>
                <w:b/>
                <w:bCs/>
                <w:noProof/>
                <w:color w:val="000000"/>
                <w:sz w:val="20"/>
                <w:szCs w:val="20"/>
              </w:rPr>
              <w:t>FTEs in Executive Agencies 2020</w:t>
            </w:r>
          </w:p>
        </w:tc>
        <w:tc>
          <w:tcPr>
            <w:tcW w:w="1440" w:type="dxa"/>
            <w:tcBorders>
              <w:top w:val="single" w:sz="4" w:space="0" w:color="auto"/>
              <w:left w:val="nil"/>
              <w:bottom w:val="single" w:sz="8" w:space="0" w:color="auto"/>
              <w:right w:val="single" w:sz="8" w:space="0" w:color="auto"/>
            </w:tcBorders>
            <w:shd w:val="clear" w:color="000000" w:fill="D9D9D9"/>
            <w:vAlign w:val="center"/>
            <w:hideMark/>
          </w:tcPr>
          <w:p w:rsidR="00E473EF" w:rsidRDefault="00CE451E">
            <w:pPr>
              <w:jc w:val="center"/>
              <w:rPr>
                <w:b/>
                <w:bCs/>
                <w:noProof/>
                <w:color w:val="000000"/>
                <w:sz w:val="20"/>
                <w:szCs w:val="20"/>
              </w:rPr>
            </w:pPr>
            <w:r>
              <w:rPr>
                <w:b/>
                <w:bCs/>
                <w:noProof/>
                <w:color w:val="000000"/>
                <w:sz w:val="20"/>
                <w:szCs w:val="20"/>
              </w:rPr>
              <w:t>Budget to be managed 2021-2027 (billion EUR , 2018 prices)</w:t>
            </w:r>
          </w:p>
        </w:tc>
        <w:tc>
          <w:tcPr>
            <w:tcW w:w="1440" w:type="dxa"/>
            <w:tcBorders>
              <w:top w:val="single" w:sz="4" w:space="0" w:color="auto"/>
              <w:left w:val="nil"/>
              <w:bottom w:val="single" w:sz="8" w:space="0" w:color="auto"/>
              <w:right w:val="single" w:sz="4" w:space="0" w:color="auto"/>
            </w:tcBorders>
            <w:shd w:val="clear" w:color="000000" w:fill="D9D9D9"/>
            <w:vAlign w:val="center"/>
            <w:hideMark/>
          </w:tcPr>
          <w:p w:rsidR="00E473EF" w:rsidRDefault="00CE451E">
            <w:pPr>
              <w:jc w:val="center"/>
              <w:rPr>
                <w:b/>
                <w:bCs/>
                <w:noProof/>
                <w:color w:val="000000"/>
                <w:sz w:val="20"/>
                <w:szCs w:val="20"/>
              </w:rPr>
            </w:pPr>
            <w:r>
              <w:rPr>
                <w:b/>
                <w:bCs/>
                <w:noProof/>
                <w:color w:val="000000"/>
                <w:sz w:val="20"/>
                <w:szCs w:val="20"/>
              </w:rPr>
              <w:t>Envisaged FTEs in Executive Agencies 2027</w:t>
            </w:r>
          </w:p>
        </w:tc>
      </w:tr>
      <w:tr w:rsidR="00E473EF">
        <w:trPr>
          <w:trHeight w:val="300"/>
        </w:trPr>
        <w:tc>
          <w:tcPr>
            <w:tcW w:w="4315" w:type="dxa"/>
            <w:tcBorders>
              <w:top w:val="nil"/>
              <w:left w:val="single" w:sz="8" w:space="0" w:color="auto"/>
              <w:bottom w:val="single" w:sz="8" w:space="0" w:color="auto"/>
              <w:right w:val="single" w:sz="8" w:space="0" w:color="auto"/>
            </w:tcBorders>
            <w:shd w:val="clear" w:color="auto" w:fill="auto"/>
            <w:vAlign w:val="center"/>
            <w:hideMark/>
          </w:tcPr>
          <w:p w:rsidR="00E473EF" w:rsidRDefault="00CE451E">
            <w:pPr>
              <w:jc w:val="both"/>
              <w:rPr>
                <w:noProof/>
                <w:color w:val="000000"/>
                <w:sz w:val="20"/>
                <w:szCs w:val="20"/>
              </w:rPr>
            </w:pPr>
            <w:r>
              <w:rPr>
                <w:noProof/>
                <w:color w:val="000000"/>
                <w:sz w:val="20"/>
                <w:szCs w:val="20"/>
                <w:lang w:val="en-US"/>
              </w:rPr>
              <w:t xml:space="preserve">European Research Council Executive Agency </w:t>
            </w:r>
            <w:r>
              <w:rPr>
                <w:noProof/>
                <w:color w:val="000000"/>
                <w:sz w:val="20"/>
                <w:szCs w:val="20"/>
                <w:lang w:val="en-US"/>
              </w:rPr>
              <w:t>(former ERCEA)</w:t>
            </w:r>
          </w:p>
        </w:tc>
        <w:tc>
          <w:tcPr>
            <w:tcW w:w="1320" w:type="dxa"/>
            <w:tcBorders>
              <w:top w:val="nil"/>
              <w:left w:val="nil"/>
              <w:bottom w:val="single" w:sz="8" w:space="0" w:color="auto"/>
              <w:right w:val="single" w:sz="8" w:space="0" w:color="auto"/>
            </w:tcBorders>
            <w:shd w:val="clear" w:color="auto" w:fill="auto"/>
            <w:vAlign w:val="center"/>
            <w:hideMark/>
          </w:tcPr>
          <w:p w:rsidR="00E473EF" w:rsidRDefault="00CE451E">
            <w:pPr>
              <w:jc w:val="right"/>
              <w:rPr>
                <w:noProof/>
                <w:color w:val="000000"/>
                <w:sz w:val="20"/>
                <w:szCs w:val="20"/>
              </w:rPr>
            </w:pPr>
            <w:r>
              <w:rPr>
                <w:noProof/>
                <w:color w:val="000000"/>
                <w:sz w:val="20"/>
                <w:szCs w:val="20"/>
              </w:rPr>
              <w:t>13</w:t>
            </w:r>
          </w:p>
        </w:tc>
        <w:tc>
          <w:tcPr>
            <w:tcW w:w="1440" w:type="dxa"/>
            <w:tcBorders>
              <w:top w:val="nil"/>
              <w:left w:val="nil"/>
              <w:bottom w:val="single" w:sz="8" w:space="0" w:color="auto"/>
              <w:right w:val="single" w:sz="8" w:space="0" w:color="auto"/>
            </w:tcBorders>
            <w:shd w:val="clear" w:color="auto" w:fill="auto"/>
            <w:vAlign w:val="center"/>
            <w:hideMark/>
          </w:tcPr>
          <w:p w:rsidR="00E473EF" w:rsidRDefault="00CE451E">
            <w:pPr>
              <w:jc w:val="right"/>
              <w:rPr>
                <w:noProof/>
                <w:color w:val="000000"/>
                <w:sz w:val="20"/>
                <w:szCs w:val="20"/>
              </w:rPr>
            </w:pPr>
            <w:r>
              <w:rPr>
                <w:noProof/>
                <w:color w:val="000000"/>
                <w:sz w:val="20"/>
                <w:szCs w:val="20"/>
              </w:rPr>
              <w:t>529</w:t>
            </w:r>
          </w:p>
        </w:tc>
        <w:tc>
          <w:tcPr>
            <w:tcW w:w="1440" w:type="dxa"/>
            <w:tcBorders>
              <w:top w:val="nil"/>
              <w:left w:val="nil"/>
              <w:bottom w:val="single" w:sz="8" w:space="0" w:color="auto"/>
              <w:right w:val="single" w:sz="8" w:space="0" w:color="auto"/>
            </w:tcBorders>
            <w:shd w:val="clear" w:color="auto" w:fill="auto"/>
            <w:vAlign w:val="center"/>
            <w:hideMark/>
          </w:tcPr>
          <w:p w:rsidR="00E473EF" w:rsidRDefault="00CE451E">
            <w:pPr>
              <w:jc w:val="right"/>
              <w:rPr>
                <w:noProof/>
                <w:color w:val="000000"/>
                <w:sz w:val="20"/>
                <w:szCs w:val="20"/>
              </w:rPr>
            </w:pPr>
            <w:r>
              <w:rPr>
                <w:noProof/>
                <w:color w:val="000000"/>
                <w:sz w:val="20"/>
                <w:szCs w:val="20"/>
              </w:rPr>
              <w:t>12,3</w:t>
            </w:r>
          </w:p>
        </w:tc>
        <w:tc>
          <w:tcPr>
            <w:tcW w:w="1440" w:type="dxa"/>
            <w:tcBorders>
              <w:top w:val="nil"/>
              <w:left w:val="nil"/>
              <w:bottom w:val="single" w:sz="8" w:space="0" w:color="auto"/>
              <w:right w:val="single" w:sz="8" w:space="0" w:color="auto"/>
            </w:tcBorders>
            <w:shd w:val="clear" w:color="auto" w:fill="auto"/>
            <w:vAlign w:val="center"/>
            <w:hideMark/>
          </w:tcPr>
          <w:p w:rsidR="00E473EF" w:rsidRDefault="00CE451E">
            <w:pPr>
              <w:jc w:val="right"/>
              <w:rPr>
                <w:noProof/>
                <w:color w:val="000000"/>
                <w:sz w:val="20"/>
                <w:szCs w:val="20"/>
              </w:rPr>
            </w:pPr>
            <w:r>
              <w:rPr>
                <w:noProof/>
                <w:color w:val="000000"/>
                <w:sz w:val="20"/>
                <w:szCs w:val="20"/>
              </w:rPr>
              <w:t>457</w:t>
            </w:r>
          </w:p>
        </w:tc>
      </w:tr>
      <w:tr w:rsidR="00E473EF">
        <w:trPr>
          <w:trHeight w:val="300"/>
        </w:trPr>
        <w:tc>
          <w:tcPr>
            <w:tcW w:w="4315" w:type="dxa"/>
            <w:tcBorders>
              <w:top w:val="nil"/>
              <w:left w:val="single" w:sz="8" w:space="0" w:color="auto"/>
              <w:bottom w:val="single" w:sz="8" w:space="0" w:color="auto"/>
              <w:right w:val="single" w:sz="8" w:space="0" w:color="auto"/>
            </w:tcBorders>
            <w:shd w:val="clear" w:color="auto" w:fill="auto"/>
            <w:vAlign w:val="center"/>
            <w:hideMark/>
          </w:tcPr>
          <w:p w:rsidR="00E473EF" w:rsidRDefault="00CE451E">
            <w:pPr>
              <w:jc w:val="both"/>
              <w:rPr>
                <w:noProof/>
                <w:color w:val="000000"/>
                <w:sz w:val="20"/>
                <w:szCs w:val="20"/>
              </w:rPr>
            </w:pPr>
            <w:r>
              <w:rPr>
                <w:noProof/>
                <w:color w:val="000000"/>
                <w:sz w:val="20"/>
                <w:szCs w:val="20"/>
                <w:lang w:val="en-US"/>
              </w:rPr>
              <w:t>European Research Executive Agency (former REA)</w:t>
            </w:r>
          </w:p>
        </w:tc>
        <w:tc>
          <w:tcPr>
            <w:tcW w:w="1320" w:type="dxa"/>
            <w:tcBorders>
              <w:top w:val="nil"/>
              <w:left w:val="nil"/>
              <w:bottom w:val="single" w:sz="8" w:space="0" w:color="auto"/>
              <w:right w:val="single" w:sz="8" w:space="0" w:color="auto"/>
            </w:tcBorders>
            <w:shd w:val="clear" w:color="auto" w:fill="auto"/>
            <w:vAlign w:val="center"/>
            <w:hideMark/>
          </w:tcPr>
          <w:p w:rsidR="00E473EF" w:rsidRDefault="00CE451E">
            <w:pPr>
              <w:jc w:val="right"/>
              <w:rPr>
                <w:noProof/>
                <w:color w:val="000000"/>
                <w:sz w:val="20"/>
                <w:szCs w:val="20"/>
              </w:rPr>
            </w:pPr>
            <w:r>
              <w:rPr>
                <w:noProof/>
                <w:color w:val="000000"/>
                <w:sz w:val="20"/>
                <w:szCs w:val="20"/>
              </w:rPr>
              <w:t>13</w:t>
            </w:r>
          </w:p>
        </w:tc>
        <w:tc>
          <w:tcPr>
            <w:tcW w:w="1440" w:type="dxa"/>
            <w:tcBorders>
              <w:top w:val="nil"/>
              <w:left w:val="nil"/>
              <w:bottom w:val="single" w:sz="8" w:space="0" w:color="auto"/>
              <w:right w:val="single" w:sz="8" w:space="0" w:color="auto"/>
            </w:tcBorders>
            <w:shd w:val="clear" w:color="auto" w:fill="auto"/>
            <w:vAlign w:val="center"/>
            <w:hideMark/>
          </w:tcPr>
          <w:p w:rsidR="00E473EF" w:rsidRDefault="00CE451E">
            <w:pPr>
              <w:jc w:val="right"/>
              <w:rPr>
                <w:noProof/>
                <w:color w:val="000000"/>
                <w:sz w:val="20"/>
                <w:szCs w:val="20"/>
              </w:rPr>
            </w:pPr>
            <w:r>
              <w:rPr>
                <w:noProof/>
                <w:color w:val="000000"/>
                <w:sz w:val="20"/>
                <w:szCs w:val="20"/>
              </w:rPr>
              <w:t>785</w:t>
            </w:r>
          </w:p>
        </w:tc>
        <w:tc>
          <w:tcPr>
            <w:tcW w:w="1440" w:type="dxa"/>
            <w:tcBorders>
              <w:top w:val="nil"/>
              <w:left w:val="nil"/>
              <w:bottom w:val="single" w:sz="8" w:space="0" w:color="auto"/>
              <w:right w:val="single" w:sz="8" w:space="0" w:color="auto"/>
            </w:tcBorders>
            <w:shd w:val="clear" w:color="auto" w:fill="auto"/>
            <w:vAlign w:val="center"/>
            <w:hideMark/>
          </w:tcPr>
          <w:p w:rsidR="00E473EF" w:rsidRDefault="00CE451E">
            <w:pPr>
              <w:jc w:val="right"/>
              <w:rPr>
                <w:noProof/>
                <w:color w:val="000000"/>
                <w:sz w:val="20"/>
                <w:szCs w:val="20"/>
              </w:rPr>
            </w:pPr>
            <w:r>
              <w:rPr>
                <w:noProof/>
                <w:color w:val="000000"/>
                <w:sz w:val="20"/>
                <w:szCs w:val="20"/>
              </w:rPr>
              <w:t>18,2</w:t>
            </w:r>
          </w:p>
        </w:tc>
        <w:tc>
          <w:tcPr>
            <w:tcW w:w="1440" w:type="dxa"/>
            <w:tcBorders>
              <w:top w:val="nil"/>
              <w:left w:val="nil"/>
              <w:bottom w:val="single" w:sz="8" w:space="0" w:color="auto"/>
              <w:right w:val="single" w:sz="8" w:space="0" w:color="auto"/>
            </w:tcBorders>
            <w:shd w:val="clear" w:color="auto" w:fill="auto"/>
            <w:vAlign w:val="center"/>
            <w:hideMark/>
          </w:tcPr>
          <w:p w:rsidR="00E473EF" w:rsidRDefault="00CE451E">
            <w:pPr>
              <w:jc w:val="right"/>
              <w:rPr>
                <w:noProof/>
                <w:color w:val="000000"/>
                <w:sz w:val="20"/>
                <w:szCs w:val="20"/>
              </w:rPr>
            </w:pPr>
            <w:r>
              <w:rPr>
                <w:noProof/>
                <w:color w:val="000000"/>
                <w:sz w:val="20"/>
                <w:szCs w:val="20"/>
              </w:rPr>
              <w:t>877</w:t>
            </w:r>
          </w:p>
        </w:tc>
      </w:tr>
      <w:tr w:rsidR="00E473EF">
        <w:trPr>
          <w:trHeight w:val="300"/>
        </w:trPr>
        <w:tc>
          <w:tcPr>
            <w:tcW w:w="4315" w:type="dxa"/>
            <w:tcBorders>
              <w:top w:val="nil"/>
              <w:left w:val="single" w:sz="8" w:space="0" w:color="auto"/>
              <w:bottom w:val="single" w:sz="8" w:space="0" w:color="auto"/>
              <w:right w:val="single" w:sz="8" w:space="0" w:color="auto"/>
            </w:tcBorders>
            <w:shd w:val="clear" w:color="auto" w:fill="auto"/>
            <w:vAlign w:val="center"/>
            <w:hideMark/>
          </w:tcPr>
          <w:p w:rsidR="00E473EF" w:rsidRDefault="00CE451E">
            <w:pPr>
              <w:jc w:val="both"/>
              <w:rPr>
                <w:noProof/>
                <w:color w:val="000000"/>
                <w:sz w:val="20"/>
                <w:szCs w:val="20"/>
              </w:rPr>
            </w:pPr>
            <w:r>
              <w:rPr>
                <w:noProof/>
                <w:color w:val="000000"/>
                <w:sz w:val="20"/>
                <w:szCs w:val="20"/>
                <w:lang w:val="en-US"/>
              </w:rPr>
              <w:t>European Health and Digital Executive Agency (new)</w:t>
            </w:r>
          </w:p>
        </w:tc>
        <w:tc>
          <w:tcPr>
            <w:tcW w:w="1320" w:type="dxa"/>
            <w:tcBorders>
              <w:top w:val="nil"/>
              <w:left w:val="nil"/>
              <w:bottom w:val="single" w:sz="8" w:space="0" w:color="auto"/>
              <w:right w:val="single" w:sz="8" w:space="0" w:color="auto"/>
            </w:tcBorders>
            <w:shd w:val="clear" w:color="auto" w:fill="auto"/>
            <w:vAlign w:val="center"/>
            <w:hideMark/>
          </w:tcPr>
          <w:p w:rsidR="00E473EF" w:rsidRDefault="00CE451E">
            <w:pPr>
              <w:jc w:val="right"/>
              <w:rPr>
                <w:noProof/>
                <w:color w:val="000000"/>
                <w:sz w:val="20"/>
                <w:szCs w:val="20"/>
              </w:rPr>
            </w:pPr>
            <w:r>
              <w:rPr>
                <w:noProof/>
                <w:color w:val="000000"/>
                <w:sz w:val="20"/>
                <w:szCs w:val="20"/>
              </w:rPr>
              <w:t xml:space="preserve"> - </w:t>
            </w:r>
          </w:p>
        </w:tc>
        <w:tc>
          <w:tcPr>
            <w:tcW w:w="1440" w:type="dxa"/>
            <w:tcBorders>
              <w:top w:val="nil"/>
              <w:left w:val="nil"/>
              <w:bottom w:val="single" w:sz="8" w:space="0" w:color="auto"/>
              <w:right w:val="single" w:sz="8" w:space="0" w:color="auto"/>
            </w:tcBorders>
            <w:shd w:val="clear" w:color="auto" w:fill="auto"/>
            <w:vAlign w:val="center"/>
            <w:hideMark/>
          </w:tcPr>
          <w:p w:rsidR="00E473EF" w:rsidRDefault="00CE451E">
            <w:pPr>
              <w:jc w:val="right"/>
              <w:rPr>
                <w:noProof/>
                <w:color w:val="000000"/>
                <w:sz w:val="20"/>
                <w:szCs w:val="20"/>
              </w:rPr>
            </w:pPr>
            <w:r>
              <w:rPr>
                <w:noProof/>
                <w:color w:val="000000"/>
                <w:sz w:val="20"/>
                <w:szCs w:val="20"/>
              </w:rPr>
              <w:t xml:space="preserve"> - </w:t>
            </w:r>
          </w:p>
        </w:tc>
        <w:tc>
          <w:tcPr>
            <w:tcW w:w="1440" w:type="dxa"/>
            <w:tcBorders>
              <w:top w:val="nil"/>
              <w:left w:val="nil"/>
              <w:bottom w:val="single" w:sz="8" w:space="0" w:color="auto"/>
              <w:right w:val="single" w:sz="8" w:space="0" w:color="auto"/>
            </w:tcBorders>
            <w:shd w:val="clear" w:color="auto" w:fill="auto"/>
            <w:vAlign w:val="center"/>
            <w:hideMark/>
          </w:tcPr>
          <w:p w:rsidR="00E473EF" w:rsidRDefault="00CE451E">
            <w:pPr>
              <w:jc w:val="right"/>
              <w:rPr>
                <w:noProof/>
                <w:color w:val="000000"/>
                <w:sz w:val="20"/>
                <w:szCs w:val="20"/>
              </w:rPr>
            </w:pPr>
            <w:r>
              <w:rPr>
                <w:noProof/>
                <w:color w:val="000000"/>
                <w:sz w:val="20"/>
                <w:szCs w:val="20"/>
              </w:rPr>
              <w:t>13,2</w:t>
            </w:r>
          </w:p>
        </w:tc>
        <w:tc>
          <w:tcPr>
            <w:tcW w:w="1440" w:type="dxa"/>
            <w:tcBorders>
              <w:top w:val="nil"/>
              <w:left w:val="nil"/>
              <w:bottom w:val="single" w:sz="8" w:space="0" w:color="auto"/>
              <w:right w:val="single" w:sz="8" w:space="0" w:color="auto"/>
            </w:tcBorders>
            <w:shd w:val="clear" w:color="auto" w:fill="auto"/>
            <w:vAlign w:val="center"/>
            <w:hideMark/>
          </w:tcPr>
          <w:p w:rsidR="00E473EF" w:rsidRDefault="00CE451E">
            <w:pPr>
              <w:jc w:val="right"/>
              <w:rPr>
                <w:noProof/>
                <w:color w:val="000000"/>
                <w:sz w:val="20"/>
                <w:szCs w:val="20"/>
              </w:rPr>
            </w:pPr>
            <w:r>
              <w:rPr>
                <w:noProof/>
                <w:color w:val="000000"/>
                <w:sz w:val="20"/>
                <w:szCs w:val="20"/>
              </w:rPr>
              <w:t>404</w:t>
            </w:r>
          </w:p>
        </w:tc>
      </w:tr>
      <w:tr w:rsidR="00E473EF">
        <w:trPr>
          <w:trHeight w:val="300"/>
        </w:trPr>
        <w:tc>
          <w:tcPr>
            <w:tcW w:w="4315" w:type="dxa"/>
            <w:tcBorders>
              <w:top w:val="nil"/>
              <w:left w:val="single" w:sz="8" w:space="0" w:color="auto"/>
              <w:bottom w:val="single" w:sz="8" w:space="0" w:color="auto"/>
              <w:right w:val="single" w:sz="8" w:space="0" w:color="auto"/>
            </w:tcBorders>
            <w:shd w:val="clear" w:color="auto" w:fill="auto"/>
            <w:vAlign w:val="center"/>
            <w:hideMark/>
          </w:tcPr>
          <w:p w:rsidR="00E473EF" w:rsidRDefault="00CE451E">
            <w:pPr>
              <w:jc w:val="both"/>
              <w:rPr>
                <w:noProof/>
                <w:color w:val="000000"/>
                <w:sz w:val="20"/>
                <w:szCs w:val="20"/>
              </w:rPr>
            </w:pPr>
            <w:r>
              <w:rPr>
                <w:noProof/>
                <w:color w:val="000000"/>
                <w:sz w:val="20"/>
                <w:szCs w:val="20"/>
                <w:lang w:val="en-US"/>
              </w:rPr>
              <w:t>European Climate, Infrastructure and Environment Executive Agency (former INEA)</w:t>
            </w:r>
          </w:p>
        </w:tc>
        <w:tc>
          <w:tcPr>
            <w:tcW w:w="1320" w:type="dxa"/>
            <w:tcBorders>
              <w:top w:val="nil"/>
              <w:left w:val="nil"/>
              <w:bottom w:val="single" w:sz="8" w:space="0" w:color="auto"/>
              <w:right w:val="single" w:sz="8" w:space="0" w:color="auto"/>
            </w:tcBorders>
            <w:shd w:val="clear" w:color="auto" w:fill="auto"/>
            <w:vAlign w:val="center"/>
            <w:hideMark/>
          </w:tcPr>
          <w:p w:rsidR="00E473EF" w:rsidRDefault="00CE451E">
            <w:pPr>
              <w:jc w:val="right"/>
              <w:rPr>
                <w:noProof/>
                <w:color w:val="000000"/>
                <w:sz w:val="20"/>
                <w:szCs w:val="20"/>
              </w:rPr>
            </w:pPr>
            <w:r>
              <w:rPr>
                <w:noProof/>
                <w:color w:val="000000"/>
                <w:sz w:val="20"/>
                <w:szCs w:val="20"/>
              </w:rPr>
              <w:t>34</w:t>
            </w:r>
          </w:p>
        </w:tc>
        <w:tc>
          <w:tcPr>
            <w:tcW w:w="1440" w:type="dxa"/>
            <w:tcBorders>
              <w:top w:val="nil"/>
              <w:left w:val="nil"/>
              <w:bottom w:val="single" w:sz="8" w:space="0" w:color="auto"/>
              <w:right w:val="single" w:sz="8" w:space="0" w:color="auto"/>
            </w:tcBorders>
            <w:shd w:val="clear" w:color="auto" w:fill="auto"/>
            <w:vAlign w:val="center"/>
            <w:hideMark/>
          </w:tcPr>
          <w:p w:rsidR="00E473EF" w:rsidRDefault="00CE451E">
            <w:pPr>
              <w:jc w:val="right"/>
              <w:rPr>
                <w:noProof/>
                <w:color w:val="000000"/>
                <w:sz w:val="20"/>
                <w:szCs w:val="20"/>
              </w:rPr>
            </w:pPr>
            <w:r>
              <w:rPr>
                <w:noProof/>
                <w:color w:val="000000"/>
                <w:sz w:val="20"/>
                <w:szCs w:val="20"/>
              </w:rPr>
              <w:t>313</w:t>
            </w:r>
          </w:p>
        </w:tc>
        <w:tc>
          <w:tcPr>
            <w:tcW w:w="1440" w:type="dxa"/>
            <w:tcBorders>
              <w:top w:val="nil"/>
              <w:left w:val="nil"/>
              <w:bottom w:val="single" w:sz="8" w:space="0" w:color="auto"/>
              <w:right w:val="single" w:sz="8" w:space="0" w:color="auto"/>
            </w:tcBorders>
            <w:shd w:val="clear" w:color="auto" w:fill="auto"/>
            <w:vAlign w:val="center"/>
            <w:hideMark/>
          </w:tcPr>
          <w:p w:rsidR="00E473EF" w:rsidRDefault="00CE451E">
            <w:pPr>
              <w:jc w:val="right"/>
              <w:rPr>
                <w:noProof/>
                <w:color w:val="000000"/>
                <w:sz w:val="20"/>
                <w:szCs w:val="20"/>
              </w:rPr>
            </w:pPr>
            <w:r>
              <w:rPr>
                <w:noProof/>
                <w:color w:val="000000"/>
                <w:sz w:val="20"/>
                <w:szCs w:val="20"/>
              </w:rPr>
              <w:t>39,1</w:t>
            </w:r>
          </w:p>
        </w:tc>
        <w:tc>
          <w:tcPr>
            <w:tcW w:w="1440" w:type="dxa"/>
            <w:tcBorders>
              <w:top w:val="nil"/>
              <w:left w:val="nil"/>
              <w:bottom w:val="single" w:sz="8" w:space="0" w:color="auto"/>
              <w:right w:val="single" w:sz="8" w:space="0" w:color="auto"/>
            </w:tcBorders>
            <w:shd w:val="clear" w:color="auto" w:fill="auto"/>
            <w:vAlign w:val="center"/>
            <w:hideMark/>
          </w:tcPr>
          <w:p w:rsidR="00E473EF" w:rsidRDefault="00CE451E">
            <w:pPr>
              <w:jc w:val="right"/>
              <w:rPr>
                <w:noProof/>
                <w:color w:val="000000"/>
                <w:sz w:val="20"/>
                <w:szCs w:val="20"/>
              </w:rPr>
            </w:pPr>
            <w:r>
              <w:rPr>
                <w:noProof/>
                <w:color w:val="000000"/>
                <w:sz w:val="20"/>
                <w:szCs w:val="20"/>
              </w:rPr>
              <w:t>474</w:t>
            </w:r>
          </w:p>
        </w:tc>
      </w:tr>
      <w:tr w:rsidR="00E473EF">
        <w:trPr>
          <w:trHeight w:val="300"/>
        </w:trPr>
        <w:tc>
          <w:tcPr>
            <w:tcW w:w="4315" w:type="dxa"/>
            <w:tcBorders>
              <w:top w:val="nil"/>
              <w:left w:val="single" w:sz="8" w:space="0" w:color="auto"/>
              <w:bottom w:val="single" w:sz="8" w:space="0" w:color="auto"/>
              <w:right w:val="single" w:sz="8" w:space="0" w:color="auto"/>
            </w:tcBorders>
            <w:shd w:val="clear" w:color="auto" w:fill="auto"/>
            <w:vAlign w:val="center"/>
            <w:hideMark/>
          </w:tcPr>
          <w:p w:rsidR="00E473EF" w:rsidRDefault="00CE451E">
            <w:pPr>
              <w:jc w:val="both"/>
              <w:rPr>
                <w:noProof/>
                <w:color w:val="000000"/>
                <w:sz w:val="20"/>
                <w:szCs w:val="20"/>
              </w:rPr>
            </w:pPr>
            <w:r>
              <w:rPr>
                <w:noProof/>
                <w:color w:val="000000"/>
                <w:sz w:val="20"/>
                <w:szCs w:val="20"/>
                <w:lang w:val="en-US"/>
              </w:rPr>
              <w:t>European Education and Culture Executive Agency (former EACEA)</w:t>
            </w:r>
          </w:p>
        </w:tc>
        <w:tc>
          <w:tcPr>
            <w:tcW w:w="1320" w:type="dxa"/>
            <w:tcBorders>
              <w:top w:val="nil"/>
              <w:left w:val="nil"/>
              <w:bottom w:val="single" w:sz="8" w:space="0" w:color="auto"/>
              <w:right w:val="single" w:sz="8" w:space="0" w:color="auto"/>
            </w:tcBorders>
            <w:shd w:val="clear" w:color="auto" w:fill="auto"/>
            <w:vAlign w:val="center"/>
            <w:hideMark/>
          </w:tcPr>
          <w:p w:rsidR="00E473EF" w:rsidRDefault="00CE451E">
            <w:pPr>
              <w:jc w:val="right"/>
              <w:rPr>
                <w:noProof/>
                <w:color w:val="000000"/>
                <w:sz w:val="20"/>
                <w:szCs w:val="20"/>
              </w:rPr>
            </w:pPr>
            <w:r>
              <w:rPr>
                <w:noProof/>
                <w:color w:val="000000"/>
                <w:sz w:val="20"/>
                <w:szCs w:val="20"/>
              </w:rPr>
              <w:t>5</w:t>
            </w:r>
          </w:p>
        </w:tc>
        <w:tc>
          <w:tcPr>
            <w:tcW w:w="1440" w:type="dxa"/>
            <w:tcBorders>
              <w:top w:val="nil"/>
              <w:left w:val="nil"/>
              <w:bottom w:val="single" w:sz="8" w:space="0" w:color="auto"/>
              <w:right w:val="single" w:sz="8" w:space="0" w:color="auto"/>
            </w:tcBorders>
            <w:shd w:val="clear" w:color="auto" w:fill="auto"/>
            <w:vAlign w:val="center"/>
            <w:hideMark/>
          </w:tcPr>
          <w:p w:rsidR="00E473EF" w:rsidRDefault="00CE451E">
            <w:pPr>
              <w:jc w:val="right"/>
              <w:rPr>
                <w:noProof/>
                <w:color w:val="000000"/>
                <w:sz w:val="20"/>
                <w:szCs w:val="20"/>
              </w:rPr>
            </w:pPr>
            <w:r>
              <w:rPr>
                <w:noProof/>
                <w:color w:val="000000"/>
                <w:sz w:val="20"/>
                <w:szCs w:val="20"/>
              </w:rPr>
              <w:t>438</w:t>
            </w:r>
          </w:p>
        </w:tc>
        <w:tc>
          <w:tcPr>
            <w:tcW w:w="1440" w:type="dxa"/>
            <w:tcBorders>
              <w:top w:val="nil"/>
              <w:left w:val="nil"/>
              <w:bottom w:val="single" w:sz="8" w:space="0" w:color="auto"/>
              <w:right w:val="single" w:sz="8" w:space="0" w:color="auto"/>
            </w:tcBorders>
            <w:shd w:val="clear" w:color="auto" w:fill="auto"/>
            <w:vAlign w:val="center"/>
            <w:hideMark/>
          </w:tcPr>
          <w:p w:rsidR="00E473EF" w:rsidRDefault="00CE451E">
            <w:pPr>
              <w:jc w:val="right"/>
              <w:rPr>
                <w:noProof/>
                <w:color w:val="000000"/>
                <w:sz w:val="20"/>
                <w:szCs w:val="20"/>
              </w:rPr>
            </w:pPr>
            <w:r>
              <w:rPr>
                <w:noProof/>
                <w:color w:val="000000"/>
                <w:sz w:val="20"/>
                <w:szCs w:val="20"/>
              </w:rPr>
              <w:t>6,5</w:t>
            </w:r>
          </w:p>
        </w:tc>
        <w:tc>
          <w:tcPr>
            <w:tcW w:w="1440" w:type="dxa"/>
            <w:tcBorders>
              <w:top w:val="nil"/>
              <w:left w:val="nil"/>
              <w:bottom w:val="single" w:sz="8" w:space="0" w:color="auto"/>
              <w:right w:val="single" w:sz="8" w:space="0" w:color="auto"/>
            </w:tcBorders>
            <w:shd w:val="clear" w:color="auto" w:fill="auto"/>
            <w:vAlign w:val="center"/>
            <w:hideMark/>
          </w:tcPr>
          <w:p w:rsidR="00E473EF" w:rsidRDefault="00CE451E">
            <w:pPr>
              <w:jc w:val="right"/>
              <w:rPr>
                <w:noProof/>
                <w:color w:val="000000"/>
                <w:sz w:val="20"/>
                <w:szCs w:val="20"/>
              </w:rPr>
            </w:pPr>
            <w:r>
              <w:rPr>
                <w:noProof/>
                <w:color w:val="000000"/>
                <w:sz w:val="20"/>
                <w:szCs w:val="20"/>
              </w:rPr>
              <w:t>501</w:t>
            </w:r>
          </w:p>
        </w:tc>
      </w:tr>
      <w:tr w:rsidR="00E473EF">
        <w:trPr>
          <w:trHeight w:val="300"/>
        </w:trPr>
        <w:tc>
          <w:tcPr>
            <w:tcW w:w="4315" w:type="dxa"/>
            <w:tcBorders>
              <w:top w:val="nil"/>
              <w:left w:val="single" w:sz="8" w:space="0" w:color="auto"/>
              <w:bottom w:val="single" w:sz="8" w:space="0" w:color="auto"/>
              <w:right w:val="single" w:sz="8" w:space="0" w:color="auto"/>
            </w:tcBorders>
            <w:shd w:val="clear" w:color="auto" w:fill="auto"/>
            <w:vAlign w:val="center"/>
            <w:hideMark/>
          </w:tcPr>
          <w:p w:rsidR="00E473EF" w:rsidRDefault="00CE451E">
            <w:pPr>
              <w:jc w:val="both"/>
              <w:rPr>
                <w:noProof/>
                <w:color w:val="000000"/>
                <w:sz w:val="20"/>
                <w:szCs w:val="20"/>
              </w:rPr>
            </w:pPr>
            <w:r>
              <w:rPr>
                <w:noProof/>
                <w:color w:val="000000"/>
                <w:sz w:val="20"/>
                <w:szCs w:val="20"/>
                <w:lang w:val="en-US"/>
              </w:rPr>
              <w:t>European Innovation Council and SMEs Executive Agency (former EASME)</w:t>
            </w:r>
          </w:p>
        </w:tc>
        <w:tc>
          <w:tcPr>
            <w:tcW w:w="1320" w:type="dxa"/>
            <w:tcBorders>
              <w:top w:val="nil"/>
              <w:left w:val="nil"/>
              <w:bottom w:val="single" w:sz="8" w:space="0" w:color="auto"/>
              <w:right w:val="single" w:sz="8" w:space="0" w:color="auto"/>
            </w:tcBorders>
            <w:shd w:val="clear" w:color="auto" w:fill="auto"/>
            <w:vAlign w:val="center"/>
            <w:hideMark/>
          </w:tcPr>
          <w:p w:rsidR="00E473EF" w:rsidRDefault="00CE451E">
            <w:pPr>
              <w:jc w:val="right"/>
              <w:rPr>
                <w:noProof/>
                <w:color w:val="000000"/>
                <w:sz w:val="20"/>
                <w:szCs w:val="20"/>
              </w:rPr>
            </w:pPr>
            <w:r>
              <w:rPr>
                <w:noProof/>
                <w:color w:val="000000"/>
                <w:sz w:val="20"/>
                <w:szCs w:val="20"/>
              </w:rPr>
              <w:t>10</w:t>
            </w:r>
          </w:p>
        </w:tc>
        <w:tc>
          <w:tcPr>
            <w:tcW w:w="1440" w:type="dxa"/>
            <w:tcBorders>
              <w:top w:val="nil"/>
              <w:left w:val="nil"/>
              <w:bottom w:val="single" w:sz="8" w:space="0" w:color="auto"/>
              <w:right w:val="single" w:sz="8" w:space="0" w:color="auto"/>
            </w:tcBorders>
            <w:shd w:val="clear" w:color="auto" w:fill="auto"/>
            <w:vAlign w:val="center"/>
            <w:hideMark/>
          </w:tcPr>
          <w:p w:rsidR="00E473EF" w:rsidRDefault="00CE451E">
            <w:pPr>
              <w:jc w:val="right"/>
              <w:rPr>
                <w:noProof/>
                <w:color w:val="000000"/>
                <w:sz w:val="20"/>
                <w:szCs w:val="20"/>
              </w:rPr>
            </w:pPr>
            <w:r>
              <w:rPr>
                <w:noProof/>
                <w:color w:val="000000"/>
                <w:sz w:val="20"/>
                <w:szCs w:val="20"/>
              </w:rPr>
              <w:t>506</w:t>
            </w:r>
          </w:p>
        </w:tc>
        <w:tc>
          <w:tcPr>
            <w:tcW w:w="1440" w:type="dxa"/>
            <w:tcBorders>
              <w:top w:val="nil"/>
              <w:left w:val="nil"/>
              <w:bottom w:val="single" w:sz="8" w:space="0" w:color="auto"/>
              <w:right w:val="single" w:sz="8" w:space="0" w:color="auto"/>
            </w:tcBorders>
            <w:shd w:val="clear" w:color="auto" w:fill="auto"/>
            <w:vAlign w:val="center"/>
            <w:hideMark/>
          </w:tcPr>
          <w:p w:rsidR="00E473EF" w:rsidRDefault="00CE451E">
            <w:pPr>
              <w:jc w:val="right"/>
              <w:rPr>
                <w:noProof/>
                <w:color w:val="000000"/>
                <w:sz w:val="20"/>
                <w:szCs w:val="20"/>
              </w:rPr>
            </w:pPr>
            <w:r>
              <w:rPr>
                <w:noProof/>
                <w:color w:val="000000"/>
                <w:sz w:val="20"/>
                <w:szCs w:val="20"/>
              </w:rPr>
              <w:t>9,2</w:t>
            </w:r>
          </w:p>
        </w:tc>
        <w:tc>
          <w:tcPr>
            <w:tcW w:w="1440" w:type="dxa"/>
            <w:tcBorders>
              <w:top w:val="nil"/>
              <w:left w:val="nil"/>
              <w:bottom w:val="single" w:sz="8" w:space="0" w:color="auto"/>
              <w:right w:val="single" w:sz="8" w:space="0" w:color="auto"/>
            </w:tcBorders>
            <w:shd w:val="clear" w:color="auto" w:fill="auto"/>
            <w:vAlign w:val="center"/>
            <w:hideMark/>
          </w:tcPr>
          <w:p w:rsidR="00E473EF" w:rsidRDefault="00CE451E">
            <w:pPr>
              <w:jc w:val="right"/>
              <w:rPr>
                <w:noProof/>
                <w:color w:val="000000"/>
                <w:sz w:val="20"/>
                <w:szCs w:val="20"/>
              </w:rPr>
            </w:pPr>
            <w:r>
              <w:rPr>
                <w:noProof/>
                <w:color w:val="000000"/>
                <w:sz w:val="20"/>
                <w:szCs w:val="20"/>
              </w:rPr>
              <w:t>328</w:t>
            </w:r>
          </w:p>
        </w:tc>
      </w:tr>
      <w:tr w:rsidR="00E473EF">
        <w:trPr>
          <w:trHeight w:val="300"/>
        </w:trPr>
        <w:tc>
          <w:tcPr>
            <w:tcW w:w="4315" w:type="dxa"/>
            <w:tcBorders>
              <w:top w:val="nil"/>
              <w:left w:val="single" w:sz="8" w:space="0" w:color="auto"/>
              <w:bottom w:val="single" w:sz="8" w:space="0" w:color="auto"/>
              <w:right w:val="single" w:sz="8" w:space="0" w:color="auto"/>
            </w:tcBorders>
            <w:shd w:val="clear" w:color="auto" w:fill="auto"/>
            <w:vAlign w:val="center"/>
            <w:hideMark/>
          </w:tcPr>
          <w:p w:rsidR="00E473EF" w:rsidRDefault="00CE451E">
            <w:pPr>
              <w:jc w:val="both"/>
              <w:rPr>
                <w:noProof/>
                <w:color w:val="000000"/>
                <w:sz w:val="20"/>
                <w:szCs w:val="20"/>
              </w:rPr>
            </w:pPr>
            <w:r>
              <w:rPr>
                <w:noProof/>
                <w:sz w:val="20"/>
                <w:szCs w:val="20"/>
              </w:rPr>
              <w:t>Consumers, Health and Food Executive Agency (CHAFEA)</w:t>
            </w:r>
          </w:p>
        </w:tc>
        <w:tc>
          <w:tcPr>
            <w:tcW w:w="1320" w:type="dxa"/>
            <w:tcBorders>
              <w:top w:val="nil"/>
              <w:left w:val="nil"/>
              <w:bottom w:val="single" w:sz="8" w:space="0" w:color="auto"/>
              <w:right w:val="single" w:sz="8" w:space="0" w:color="auto"/>
            </w:tcBorders>
            <w:shd w:val="clear" w:color="auto" w:fill="auto"/>
            <w:vAlign w:val="center"/>
            <w:hideMark/>
          </w:tcPr>
          <w:p w:rsidR="00E473EF" w:rsidRDefault="00CE451E">
            <w:pPr>
              <w:jc w:val="right"/>
              <w:rPr>
                <w:noProof/>
                <w:color w:val="000000"/>
                <w:sz w:val="20"/>
                <w:szCs w:val="20"/>
              </w:rPr>
            </w:pPr>
            <w:r>
              <w:rPr>
                <w:noProof/>
                <w:color w:val="000000"/>
                <w:sz w:val="20"/>
                <w:szCs w:val="20"/>
              </w:rPr>
              <w:t>1</w:t>
            </w:r>
          </w:p>
        </w:tc>
        <w:tc>
          <w:tcPr>
            <w:tcW w:w="1440" w:type="dxa"/>
            <w:tcBorders>
              <w:top w:val="nil"/>
              <w:left w:val="nil"/>
              <w:bottom w:val="single" w:sz="8" w:space="0" w:color="auto"/>
              <w:right w:val="single" w:sz="8" w:space="0" w:color="auto"/>
            </w:tcBorders>
            <w:shd w:val="clear" w:color="auto" w:fill="auto"/>
            <w:vAlign w:val="center"/>
            <w:hideMark/>
          </w:tcPr>
          <w:p w:rsidR="00E473EF" w:rsidRDefault="00CE451E">
            <w:pPr>
              <w:jc w:val="right"/>
              <w:rPr>
                <w:noProof/>
                <w:color w:val="000000"/>
                <w:sz w:val="20"/>
                <w:szCs w:val="20"/>
              </w:rPr>
            </w:pPr>
            <w:r>
              <w:rPr>
                <w:noProof/>
                <w:color w:val="000000"/>
                <w:sz w:val="20"/>
                <w:szCs w:val="20"/>
              </w:rPr>
              <w:t>79</w:t>
            </w:r>
          </w:p>
        </w:tc>
        <w:tc>
          <w:tcPr>
            <w:tcW w:w="1440" w:type="dxa"/>
            <w:tcBorders>
              <w:top w:val="nil"/>
              <w:left w:val="nil"/>
              <w:bottom w:val="single" w:sz="8" w:space="0" w:color="auto"/>
              <w:right w:val="single" w:sz="8" w:space="0" w:color="auto"/>
            </w:tcBorders>
            <w:shd w:val="clear" w:color="auto" w:fill="auto"/>
            <w:vAlign w:val="center"/>
            <w:hideMark/>
          </w:tcPr>
          <w:p w:rsidR="00E473EF" w:rsidRDefault="00CE451E">
            <w:pPr>
              <w:jc w:val="right"/>
              <w:rPr>
                <w:noProof/>
                <w:color w:val="000000"/>
                <w:sz w:val="20"/>
                <w:szCs w:val="20"/>
              </w:rPr>
            </w:pPr>
            <w:r>
              <w:rPr>
                <w:noProof/>
                <w:color w:val="000000"/>
                <w:sz w:val="20"/>
                <w:szCs w:val="20"/>
              </w:rPr>
              <w:t xml:space="preserve"> - </w:t>
            </w:r>
          </w:p>
        </w:tc>
        <w:tc>
          <w:tcPr>
            <w:tcW w:w="1440" w:type="dxa"/>
            <w:tcBorders>
              <w:top w:val="nil"/>
              <w:left w:val="nil"/>
              <w:bottom w:val="single" w:sz="8" w:space="0" w:color="auto"/>
              <w:right w:val="single" w:sz="8" w:space="0" w:color="auto"/>
            </w:tcBorders>
            <w:shd w:val="clear" w:color="auto" w:fill="auto"/>
            <w:vAlign w:val="center"/>
            <w:hideMark/>
          </w:tcPr>
          <w:p w:rsidR="00E473EF" w:rsidRDefault="00CE451E">
            <w:pPr>
              <w:jc w:val="right"/>
              <w:rPr>
                <w:noProof/>
                <w:color w:val="000000"/>
                <w:sz w:val="20"/>
                <w:szCs w:val="20"/>
              </w:rPr>
            </w:pPr>
            <w:r>
              <w:rPr>
                <w:noProof/>
                <w:color w:val="000000"/>
                <w:sz w:val="20"/>
                <w:szCs w:val="20"/>
              </w:rPr>
              <w:t xml:space="preserve"> - </w:t>
            </w:r>
          </w:p>
        </w:tc>
      </w:tr>
      <w:tr w:rsidR="00E473EF">
        <w:trPr>
          <w:trHeight w:val="300"/>
        </w:trPr>
        <w:tc>
          <w:tcPr>
            <w:tcW w:w="4315" w:type="dxa"/>
            <w:tcBorders>
              <w:top w:val="nil"/>
              <w:left w:val="single" w:sz="8" w:space="0" w:color="auto"/>
              <w:bottom w:val="single" w:sz="8" w:space="0" w:color="auto"/>
              <w:right w:val="nil"/>
            </w:tcBorders>
            <w:shd w:val="clear" w:color="000000" w:fill="D9D9D9"/>
            <w:vAlign w:val="center"/>
            <w:hideMark/>
          </w:tcPr>
          <w:p w:rsidR="00E473EF" w:rsidRDefault="00CE451E">
            <w:pPr>
              <w:jc w:val="both"/>
              <w:rPr>
                <w:b/>
                <w:bCs/>
                <w:noProof/>
                <w:color w:val="000000"/>
                <w:sz w:val="20"/>
                <w:szCs w:val="20"/>
              </w:rPr>
            </w:pPr>
            <w:r>
              <w:rPr>
                <w:b/>
                <w:bCs/>
                <w:noProof/>
                <w:color w:val="000000"/>
                <w:sz w:val="20"/>
                <w:szCs w:val="20"/>
                <w:lang w:val="en-US"/>
              </w:rPr>
              <w:t>Total</w:t>
            </w:r>
          </w:p>
        </w:tc>
        <w:tc>
          <w:tcPr>
            <w:tcW w:w="1320" w:type="dxa"/>
            <w:tcBorders>
              <w:top w:val="nil"/>
              <w:left w:val="single" w:sz="8" w:space="0" w:color="auto"/>
              <w:bottom w:val="single" w:sz="8" w:space="0" w:color="auto"/>
              <w:right w:val="single" w:sz="8" w:space="0" w:color="auto"/>
            </w:tcBorders>
            <w:shd w:val="clear" w:color="000000" w:fill="D9D9D9"/>
            <w:vAlign w:val="center"/>
            <w:hideMark/>
          </w:tcPr>
          <w:p w:rsidR="00E473EF" w:rsidRDefault="00CE451E">
            <w:pPr>
              <w:jc w:val="right"/>
              <w:rPr>
                <w:b/>
                <w:bCs/>
                <w:noProof/>
                <w:color w:val="000000"/>
                <w:sz w:val="20"/>
                <w:szCs w:val="20"/>
              </w:rPr>
            </w:pPr>
            <w:r>
              <w:rPr>
                <w:b/>
                <w:bCs/>
                <w:noProof/>
                <w:color w:val="000000"/>
                <w:sz w:val="20"/>
                <w:szCs w:val="20"/>
              </w:rPr>
              <w:t>75</w:t>
            </w:r>
          </w:p>
        </w:tc>
        <w:tc>
          <w:tcPr>
            <w:tcW w:w="1440" w:type="dxa"/>
            <w:tcBorders>
              <w:top w:val="nil"/>
              <w:left w:val="nil"/>
              <w:bottom w:val="single" w:sz="8" w:space="0" w:color="auto"/>
              <w:right w:val="single" w:sz="8" w:space="0" w:color="auto"/>
            </w:tcBorders>
            <w:shd w:val="clear" w:color="000000" w:fill="D9D9D9"/>
            <w:vAlign w:val="center"/>
            <w:hideMark/>
          </w:tcPr>
          <w:p w:rsidR="00E473EF" w:rsidRDefault="00CE451E">
            <w:pPr>
              <w:jc w:val="right"/>
              <w:rPr>
                <w:b/>
                <w:bCs/>
                <w:noProof/>
                <w:color w:val="000000"/>
                <w:sz w:val="20"/>
                <w:szCs w:val="20"/>
              </w:rPr>
            </w:pPr>
            <w:r>
              <w:rPr>
                <w:b/>
                <w:bCs/>
                <w:noProof/>
                <w:color w:val="000000"/>
                <w:sz w:val="20"/>
                <w:szCs w:val="20"/>
              </w:rPr>
              <w:t>2 650</w:t>
            </w:r>
          </w:p>
        </w:tc>
        <w:tc>
          <w:tcPr>
            <w:tcW w:w="1440" w:type="dxa"/>
            <w:tcBorders>
              <w:top w:val="nil"/>
              <w:left w:val="nil"/>
              <w:bottom w:val="single" w:sz="8" w:space="0" w:color="auto"/>
              <w:right w:val="single" w:sz="8" w:space="0" w:color="auto"/>
            </w:tcBorders>
            <w:shd w:val="clear" w:color="000000" w:fill="D9D9D9"/>
            <w:vAlign w:val="center"/>
            <w:hideMark/>
          </w:tcPr>
          <w:p w:rsidR="00E473EF" w:rsidRDefault="00CE451E">
            <w:pPr>
              <w:jc w:val="right"/>
              <w:rPr>
                <w:b/>
                <w:bCs/>
                <w:noProof/>
                <w:color w:val="000000"/>
                <w:sz w:val="20"/>
                <w:szCs w:val="20"/>
              </w:rPr>
            </w:pPr>
            <w:r>
              <w:rPr>
                <w:b/>
                <w:bCs/>
                <w:noProof/>
                <w:color w:val="000000"/>
                <w:sz w:val="20"/>
                <w:szCs w:val="20"/>
              </w:rPr>
              <w:t>98,4</w:t>
            </w:r>
          </w:p>
        </w:tc>
        <w:tc>
          <w:tcPr>
            <w:tcW w:w="1440" w:type="dxa"/>
            <w:tcBorders>
              <w:top w:val="nil"/>
              <w:left w:val="nil"/>
              <w:bottom w:val="single" w:sz="8" w:space="0" w:color="auto"/>
              <w:right w:val="single" w:sz="8" w:space="0" w:color="auto"/>
            </w:tcBorders>
            <w:shd w:val="clear" w:color="000000" w:fill="D9D9D9"/>
            <w:vAlign w:val="center"/>
            <w:hideMark/>
          </w:tcPr>
          <w:p w:rsidR="00E473EF" w:rsidRDefault="00CE451E">
            <w:pPr>
              <w:jc w:val="right"/>
              <w:rPr>
                <w:b/>
                <w:bCs/>
                <w:noProof/>
                <w:color w:val="000000"/>
                <w:sz w:val="20"/>
                <w:szCs w:val="20"/>
              </w:rPr>
            </w:pPr>
            <w:r>
              <w:rPr>
                <w:b/>
                <w:bCs/>
                <w:noProof/>
                <w:color w:val="000000"/>
                <w:sz w:val="20"/>
                <w:szCs w:val="20"/>
              </w:rPr>
              <w:t>3 041</w:t>
            </w:r>
          </w:p>
        </w:tc>
      </w:tr>
    </w:tbl>
    <w:p w:rsidR="00E473EF" w:rsidRDefault="00CE451E">
      <w:pPr>
        <w:keepNext/>
        <w:tabs>
          <w:tab w:val="left" w:pos="850"/>
        </w:tabs>
        <w:spacing w:before="120" w:after="120"/>
        <w:ind w:left="357" w:hanging="357"/>
        <w:jc w:val="both"/>
        <w:outlineLvl w:val="1"/>
        <w:rPr>
          <w:rFonts w:eastAsia="Calibri"/>
          <w:b/>
          <w:noProof/>
          <w:lang w:eastAsia="en-US"/>
        </w:rPr>
      </w:pPr>
      <w:bookmarkStart w:id="112" w:name="_Toc54770324"/>
      <w:bookmarkStart w:id="113" w:name="_Toc55807134"/>
      <w:bookmarkStart w:id="114" w:name="_Toc56009548"/>
      <w:r>
        <w:rPr>
          <w:rFonts w:eastAsia="Calibri"/>
          <w:b/>
          <w:noProof/>
          <w:lang w:eastAsia="en-US"/>
        </w:rPr>
        <w:t xml:space="preserve">5.3 </w:t>
      </w:r>
      <w:r>
        <w:rPr>
          <w:rFonts w:eastAsia="Calibri"/>
          <w:b/>
          <w:noProof/>
          <w:lang w:eastAsia="en-US"/>
        </w:rPr>
        <w:tab/>
      </w:r>
      <w:bookmarkStart w:id="115" w:name="_Toc369629643"/>
      <w:r>
        <w:rPr>
          <w:rFonts w:eastAsia="Calibri"/>
          <w:b/>
          <w:noProof/>
          <w:lang w:eastAsia="en-US"/>
        </w:rPr>
        <w:t>Impact on human and financial resources in the executive agencies</w:t>
      </w:r>
      <w:bookmarkEnd w:id="115"/>
      <w:r>
        <w:rPr>
          <w:rFonts w:eastAsia="Calibri"/>
          <w:b/>
          <w:noProof/>
          <w:lang w:eastAsia="en-US"/>
        </w:rPr>
        <w:t xml:space="preserve"> in 2021</w:t>
      </w:r>
      <w:bookmarkEnd w:id="112"/>
      <w:bookmarkEnd w:id="113"/>
      <w:bookmarkEnd w:id="114"/>
    </w:p>
    <w:p w:rsidR="00E473EF" w:rsidRDefault="00CE451E">
      <w:pPr>
        <w:spacing w:before="120" w:after="120"/>
        <w:jc w:val="both"/>
        <w:rPr>
          <w:noProof/>
        </w:rPr>
      </w:pPr>
      <w:r>
        <w:rPr>
          <w:noProof/>
        </w:rPr>
        <w:t>The impact of the delegated voted appropriations</w:t>
      </w:r>
      <w:r>
        <w:rPr>
          <w:rStyle w:val="FootnoteReference"/>
          <w:noProof/>
        </w:rPr>
        <w:footnoteReference w:id="25"/>
      </w:r>
      <w:r>
        <w:rPr>
          <w:noProof/>
        </w:rPr>
        <w:t xml:space="preserve"> on the executive agencies’ subsidy lines and the FTEs in 2021 is summarised in the table below.</w:t>
      </w:r>
    </w:p>
    <w:tbl>
      <w:tblPr>
        <w:tblW w:w="9861" w:type="dxa"/>
        <w:jc w:val="center"/>
        <w:tblLook w:val="04A0" w:firstRow="1" w:lastRow="0" w:firstColumn="1" w:lastColumn="0" w:noHBand="0" w:noVBand="1"/>
      </w:tblPr>
      <w:tblGrid>
        <w:gridCol w:w="2155"/>
        <w:gridCol w:w="700"/>
        <w:gridCol w:w="853"/>
        <w:gridCol w:w="643"/>
        <w:gridCol w:w="797"/>
        <w:gridCol w:w="757"/>
        <w:gridCol w:w="801"/>
        <w:gridCol w:w="632"/>
        <w:gridCol w:w="801"/>
        <w:gridCol w:w="861"/>
        <w:gridCol w:w="861"/>
      </w:tblGrid>
      <w:tr w:rsidR="00E473EF">
        <w:trPr>
          <w:trHeight w:val="300"/>
          <w:tblHeader/>
          <w:jc w:val="center"/>
        </w:trPr>
        <w:tc>
          <w:tcPr>
            <w:tcW w:w="215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18"/>
                <w:szCs w:val="18"/>
              </w:rPr>
            </w:pPr>
            <w:r>
              <w:rPr>
                <w:b/>
                <w:bCs/>
                <w:noProof/>
                <w:color w:val="000000"/>
                <w:sz w:val="18"/>
                <w:szCs w:val="18"/>
              </w:rPr>
              <w:t>Executive Agency</w:t>
            </w:r>
          </w:p>
        </w:tc>
        <w:tc>
          <w:tcPr>
            <w:tcW w:w="1553" w:type="dxa"/>
            <w:gridSpan w:val="2"/>
            <w:tcBorders>
              <w:top w:val="single" w:sz="4" w:space="0" w:color="auto"/>
              <w:left w:val="nil"/>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18"/>
                <w:szCs w:val="18"/>
              </w:rPr>
            </w:pPr>
            <w:r>
              <w:rPr>
                <w:b/>
                <w:bCs/>
                <w:noProof/>
                <w:color w:val="000000"/>
                <w:sz w:val="18"/>
                <w:szCs w:val="18"/>
              </w:rPr>
              <w:t>2020 Budget</w:t>
            </w:r>
          </w:p>
        </w:tc>
        <w:tc>
          <w:tcPr>
            <w:tcW w:w="1440" w:type="dxa"/>
            <w:gridSpan w:val="2"/>
            <w:tcBorders>
              <w:top w:val="single" w:sz="4" w:space="0" w:color="auto"/>
              <w:left w:val="nil"/>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18"/>
                <w:szCs w:val="18"/>
              </w:rPr>
            </w:pPr>
            <w:r>
              <w:rPr>
                <w:b/>
                <w:bCs/>
                <w:noProof/>
                <w:color w:val="000000"/>
                <w:sz w:val="18"/>
                <w:szCs w:val="18"/>
              </w:rPr>
              <w:t xml:space="preserve"> DB 2021</w:t>
            </w:r>
          </w:p>
        </w:tc>
        <w:tc>
          <w:tcPr>
            <w:tcW w:w="1558" w:type="dxa"/>
            <w:gridSpan w:val="2"/>
            <w:tcBorders>
              <w:top w:val="single" w:sz="4" w:space="0" w:color="auto"/>
              <w:left w:val="nil"/>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18"/>
                <w:szCs w:val="18"/>
              </w:rPr>
            </w:pPr>
            <w:r>
              <w:rPr>
                <w:b/>
                <w:bCs/>
                <w:noProof/>
                <w:color w:val="000000"/>
                <w:sz w:val="18"/>
                <w:szCs w:val="18"/>
              </w:rPr>
              <w:t>AL 1/2021</w:t>
            </w:r>
          </w:p>
        </w:tc>
        <w:tc>
          <w:tcPr>
            <w:tcW w:w="3155" w:type="dxa"/>
            <w:gridSpan w:val="4"/>
            <w:tcBorders>
              <w:top w:val="single" w:sz="4" w:space="0" w:color="auto"/>
              <w:left w:val="nil"/>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18"/>
                <w:szCs w:val="18"/>
              </w:rPr>
            </w:pPr>
            <w:r>
              <w:rPr>
                <w:b/>
                <w:bCs/>
                <w:noProof/>
                <w:color w:val="000000"/>
                <w:sz w:val="18"/>
                <w:szCs w:val="18"/>
              </w:rPr>
              <w:t>DB 2021 (incl. AL 1)</w:t>
            </w:r>
          </w:p>
        </w:tc>
      </w:tr>
      <w:tr w:rsidR="00E473EF">
        <w:trPr>
          <w:trHeight w:val="300"/>
          <w:tblHeader/>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E473EF" w:rsidRDefault="00E473EF">
            <w:pPr>
              <w:rPr>
                <w:b/>
                <w:bCs/>
                <w:noProof/>
                <w:color w:val="000000"/>
                <w:sz w:val="18"/>
                <w:szCs w:val="18"/>
              </w:rPr>
            </w:pPr>
          </w:p>
        </w:tc>
        <w:tc>
          <w:tcPr>
            <w:tcW w:w="700" w:type="dxa"/>
            <w:tcBorders>
              <w:top w:val="nil"/>
              <w:left w:val="nil"/>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18"/>
                <w:szCs w:val="18"/>
              </w:rPr>
            </w:pPr>
            <w:r>
              <w:rPr>
                <w:b/>
                <w:bCs/>
                <w:noProof/>
                <w:color w:val="000000"/>
                <w:sz w:val="18"/>
                <w:szCs w:val="18"/>
              </w:rPr>
              <w:t>FTE</w:t>
            </w:r>
          </w:p>
        </w:tc>
        <w:tc>
          <w:tcPr>
            <w:tcW w:w="853" w:type="dxa"/>
            <w:tcBorders>
              <w:top w:val="nil"/>
              <w:left w:val="nil"/>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18"/>
                <w:szCs w:val="18"/>
              </w:rPr>
            </w:pPr>
            <w:r>
              <w:rPr>
                <w:b/>
                <w:bCs/>
                <w:noProof/>
                <w:color w:val="000000"/>
                <w:sz w:val="18"/>
                <w:szCs w:val="18"/>
              </w:rPr>
              <w:t>EAs subsidy</w:t>
            </w:r>
          </w:p>
        </w:tc>
        <w:tc>
          <w:tcPr>
            <w:tcW w:w="643" w:type="dxa"/>
            <w:tcBorders>
              <w:top w:val="nil"/>
              <w:left w:val="nil"/>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18"/>
                <w:szCs w:val="18"/>
              </w:rPr>
            </w:pPr>
            <w:r>
              <w:rPr>
                <w:b/>
                <w:bCs/>
                <w:noProof/>
                <w:color w:val="000000"/>
                <w:sz w:val="18"/>
                <w:szCs w:val="18"/>
              </w:rPr>
              <w:t>FTE</w:t>
            </w:r>
          </w:p>
        </w:tc>
        <w:tc>
          <w:tcPr>
            <w:tcW w:w="797" w:type="dxa"/>
            <w:tcBorders>
              <w:top w:val="nil"/>
              <w:left w:val="nil"/>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18"/>
                <w:szCs w:val="18"/>
              </w:rPr>
            </w:pPr>
            <w:r>
              <w:rPr>
                <w:b/>
                <w:bCs/>
                <w:noProof/>
                <w:color w:val="000000"/>
                <w:sz w:val="18"/>
                <w:szCs w:val="18"/>
              </w:rPr>
              <w:t>EAs subsidy</w:t>
            </w:r>
          </w:p>
        </w:tc>
        <w:tc>
          <w:tcPr>
            <w:tcW w:w="757" w:type="dxa"/>
            <w:tcBorders>
              <w:top w:val="nil"/>
              <w:left w:val="nil"/>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18"/>
                <w:szCs w:val="18"/>
              </w:rPr>
            </w:pPr>
            <w:r>
              <w:rPr>
                <w:b/>
                <w:bCs/>
                <w:noProof/>
                <w:color w:val="000000"/>
                <w:sz w:val="18"/>
                <w:szCs w:val="18"/>
              </w:rPr>
              <w:t>FTE</w:t>
            </w:r>
          </w:p>
        </w:tc>
        <w:tc>
          <w:tcPr>
            <w:tcW w:w="801" w:type="dxa"/>
            <w:tcBorders>
              <w:top w:val="nil"/>
              <w:left w:val="nil"/>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18"/>
                <w:szCs w:val="18"/>
              </w:rPr>
            </w:pPr>
            <w:r>
              <w:rPr>
                <w:b/>
                <w:bCs/>
                <w:noProof/>
                <w:color w:val="000000"/>
                <w:sz w:val="18"/>
                <w:szCs w:val="18"/>
              </w:rPr>
              <w:t>EAs subsidy</w:t>
            </w:r>
          </w:p>
        </w:tc>
        <w:tc>
          <w:tcPr>
            <w:tcW w:w="632" w:type="dxa"/>
            <w:tcBorders>
              <w:top w:val="nil"/>
              <w:left w:val="nil"/>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18"/>
                <w:szCs w:val="18"/>
              </w:rPr>
            </w:pPr>
            <w:r>
              <w:rPr>
                <w:b/>
                <w:bCs/>
                <w:noProof/>
                <w:color w:val="000000"/>
                <w:sz w:val="18"/>
                <w:szCs w:val="18"/>
              </w:rPr>
              <w:t xml:space="preserve">FTE </w:t>
            </w:r>
          </w:p>
        </w:tc>
        <w:tc>
          <w:tcPr>
            <w:tcW w:w="801" w:type="dxa"/>
            <w:tcBorders>
              <w:top w:val="nil"/>
              <w:left w:val="nil"/>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18"/>
                <w:szCs w:val="18"/>
              </w:rPr>
            </w:pPr>
            <w:r>
              <w:rPr>
                <w:b/>
                <w:bCs/>
                <w:noProof/>
                <w:color w:val="000000"/>
                <w:sz w:val="18"/>
                <w:szCs w:val="18"/>
              </w:rPr>
              <w:t xml:space="preserve">EAs subsidy </w:t>
            </w:r>
          </w:p>
        </w:tc>
        <w:tc>
          <w:tcPr>
            <w:tcW w:w="861" w:type="dxa"/>
            <w:tcBorders>
              <w:top w:val="nil"/>
              <w:left w:val="nil"/>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18"/>
                <w:szCs w:val="18"/>
              </w:rPr>
            </w:pPr>
            <w:r>
              <w:rPr>
                <w:b/>
                <w:bCs/>
                <w:noProof/>
                <w:color w:val="000000"/>
                <w:sz w:val="18"/>
                <w:szCs w:val="18"/>
              </w:rPr>
              <w:t xml:space="preserve">Δ FTE vs 2020 </w:t>
            </w:r>
          </w:p>
        </w:tc>
        <w:tc>
          <w:tcPr>
            <w:tcW w:w="861" w:type="dxa"/>
            <w:tcBorders>
              <w:top w:val="nil"/>
              <w:left w:val="nil"/>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18"/>
                <w:szCs w:val="18"/>
              </w:rPr>
            </w:pPr>
            <w:r>
              <w:rPr>
                <w:b/>
                <w:bCs/>
                <w:noProof/>
                <w:color w:val="000000"/>
                <w:sz w:val="18"/>
                <w:szCs w:val="18"/>
              </w:rPr>
              <w:t xml:space="preserve">Δ EA subsidy vs 2020 </w:t>
            </w:r>
          </w:p>
        </w:tc>
      </w:tr>
      <w:tr w:rsidR="00E473EF">
        <w:trPr>
          <w:trHeight w:val="300"/>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18"/>
                <w:szCs w:val="18"/>
              </w:rPr>
            </w:pPr>
            <w:r>
              <w:rPr>
                <w:noProof/>
                <w:color w:val="000000"/>
                <w:sz w:val="18"/>
                <w:szCs w:val="18"/>
              </w:rPr>
              <w:t>European Research Council Executive Agency (former ERCEA)</w:t>
            </w:r>
          </w:p>
        </w:tc>
        <w:tc>
          <w:tcPr>
            <w:tcW w:w="700"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529</w:t>
            </w:r>
          </w:p>
        </w:tc>
        <w:tc>
          <w:tcPr>
            <w:tcW w:w="853"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51,319</w:t>
            </w:r>
          </w:p>
        </w:tc>
        <w:tc>
          <w:tcPr>
            <w:tcW w:w="643"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529</w:t>
            </w:r>
          </w:p>
        </w:tc>
        <w:tc>
          <w:tcPr>
            <w:tcW w:w="797"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 xml:space="preserve">        -     </w:t>
            </w:r>
          </w:p>
        </w:tc>
        <w:tc>
          <w:tcPr>
            <w:tcW w:w="757"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-10</w:t>
            </w:r>
          </w:p>
        </w:tc>
        <w:tc>
          <w:tcPr>
            <w:tcW w:w="801"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53,915</w:t>
            </w:r>
          </w:p>
        </w:tc>
        <w:tc>
          <w:tcPr>
            <w:tcW w:w="63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519</w:t>
            </w:r>
          </w:p>
        </w:tc>
        <w:tc>
          <w:tcPr>
            <w:tcW w:w="801" w:type="dxa"/>
            <w:tcBorders>
              <w:top w:val="nil"/>
              <w:left w:val="nil"/>
              <w:bottom w:val="single" w:sz="4" w:space="0" w:color="auto"/>
              <w:right w:val="single" w:sz="4" w:space="0" w:color="auto"/>
            </w:tcBorders>
            <w:shd w:val="clear" w:color="000000" w:fill="FFFFFF"/>
            <w:noWrap/>
            <w:vAlign w:val="center"/>
            <w:hideMark/>
          </w:tcPr>
          <w:p w:rsidR="00E473EF" w:rsidRDefault="00CE451E">
            <w:pPr>
              <w:jc w:val="right"/>
              <w:rPr>
                <w:noProof/>
                <w:color w:val="000000"/>
                <w:sz w:val="18"/>
                <w:szCs w:val="18"/>
              </w:rPr>
            </w:pPr>
            <w:r>
              <w:rPr>
                <w:noProof/>
                <w:color w:val="000000"/>
                <w:sz w:val="18"/>
                <w:szCs w:val="18"/>
              </w:rPr>
              <w:t>53,915</w:t>
            </w:r>
          </w:p>
        </w:tc>
        <w:tc>
          <w:tcPr>
            <w:tcW w:w="861"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18"/>
                <w:szCs w:val="18"/>
              </w:rPr>
            </w:pPr>
            <w:r>
              <w:rPr>
                <w:noProof/>
                <w:color w:val="000000"/>
                <w:sz w:val="18"/>
                <w:szCs w:val="18"/>
              </w:rPr>
              <w:t>-1,89%</w:t>
            </w:r>
          </w:p>
        </w:tc>
        <w:tc>
          <w:tcPr>
            <w:tcW w:w="861" w:type="dxa"/>
            <w:tcBorders>
              <w:top w:val="nil"/>
              <w:left w:val="nil"/>
              <w:bottom w:val="single" w:sz="4" w:space="0" w:color="auto"/>
              <w:right w:val="single" w:sz="4" w:space="0" w:color="auto"/>
            </w:tcBorders>
            <w:shd w:val="clear" w:color="000000" w:fill="FFFFFF"/>
            <w:noWrap/>
            <w:vAlign w:val="center"/>
            <w:hideMark/>
          </w:tcPr>
          <w:p w:rsidR="00E473EF" w:rsidRDefault="00CE451E">
            <w:pPr>
              <w:jc w:val="right"/>
              <w:rPr>
                <w:noProof/>
                <w:color w:val="000000"/>
                <w:sz w:val="18"/>
                <w:szCs w:val="18"/>
              </w:rPr>
            </w:pPr>
            <w:r>
              <w:rPr>
                <w:noProof/>
                <w:color w:val="000000"/>
                <w:sz w:val="18"/>
                <w:szCs w:val="18"/>
              </w:rPr>
              <w:t>5,06%</w:t>
            </w:r>
          </w:p>
        </w:tc>
      </w:tr>
      <w:tr w:rsidR="00E473EF">
        <w:trPr>
          <w:trHeight w:val="300"/>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18"/>
                <w:szCs w:val="18"/>
              </w:rPr>
            </w:pPr>
            <w:hyperlink r:id="rId28" w:anchor="Sheet1!#REF!" w:history="1">
              <w:r>
                <w:rPr>
                  <w:noProof/>
                  <w:color w:val="000000"/>
                  <w:sz w:val="18"/>
                  <w:szCs w:val="18"/>
                </w:rPr>
                <w:t>European Research Executive Agency (former REA)</w:t>
              </w:r>
            </w:hyperlink>
          </w:p>
        </w:tc>
        <w:tc>
          <w:tcPr>
            <w:tcW w:w="700"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785</w:t>
            </w:r>
          </w:p>
        </w:tc>
        <w:tc>
          <w:tcPr>
            <w:tcW w:w="853"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75,749</w:t>
            </w:r>
          </w:p>
        </w:tc>
        <w:tc>
          <w:tcPr>
            <w:tcW w:w="643"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785</w:t>
            </w:r>
          </w:p>
        </w:tc>
        <w:tc>
          <w:tcPr>
            <w:tcW w:w="797"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 xml:space="preserve">        -     </w:t>
            </w:r>
          </w:p>
        </w:tc>
        <w:tc>
          <w:tcPr>
            <w:tcW w:w="757"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49</w:t>
            </w:r>
          </w:p>
        </w:tc>
        <w:tc>
          <w:tcPr>
            <w:tcW w:w="801"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91,592</w:t>
            </w:r>
          </w:p>
        </w:tc>
        <w:tc>
          <w:tcPr>
            <w:tcW w:w="63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834</w:t>
            </w:r>
          </w:p>
        </w:tc>
        <w:tc>
          <w:tcPr>
            <w:tcW w:w="801" w:type="dxa"/>
            <w:tcBorders>
              <w:top w:val="nil"/>
              <w:left w:val="nil"/>
              <w:bottom w:val="single" w:sz="4" w:space="0" w:color="auto"/>
              <w:right w:val="single" w:sz="4" w:space="0" w:color="auto"/>
            </w:tcBorders>
            <w:shd w:val="clear" w:color="000000" w:fill="FFFFFF"/>
            <w:noWrap/>
            <w:vAlign w:val="center"/>
            <w:hideMark/>
          </w:tcPr>
          <w:p w:rsidR="00E473EF" w:rsidRDefault="00CE451E">
            <w:pPr>
              <w:jc w:val="right"/>
              <w:rPr>
                <w:noProof/>
                <w:color w:val="000000"/>
                <w:sz w:val="18"/>
                <w:szCs w:val="18"/>
              </w:rPr>
            </w:pPr>
            <w:r>
              <w:rPr>
                <w:noProof/>
                <w:color w:val="000000"/>
                <w:sz w:val="18"/>
                <w:szCs w:val="18"/>
              </w:rPr>
              <w:t>91,592</w:t>
            </w:r>
          </w:p>
        </w:tc>
        <w:tc>
          <w:tcPr>
            <w:tcW w:w="861"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18"/>
                <w:szCs w:val="18"/>
              </w:rPr>
            </w:pPr>
            <w:r>
              <w:rPr>
                <w:noProof/>
                <w:color w:val="000000"/>
                <w:sz w:val="18"/>
                <w:szCs w:val="18"/>
              </w:rPr>
              <w:t>6,24%</w:t>
            </w:r>
          </w:p>
        </w:tc>
        <w:tc>
          <w:tcPr>
            <w:tcW w:w="861" w:type="dxa"/>
            <w:tcBorders>
              <w:top w:val="nil"/>
              <w:left w:val="nil"/>
              <w:bottom w:val="single" w:sz="4" w:space="0" w:color="auto"/>
              <w:right w:val="single" w:sz="4" w:space="0" w:color="auto"/>
            </w:tcBorders>
            <w:shd w:val="clear" w:color="000000" w:fill="FFFFFF"/>
            <w:noWrap/>
            <w:vAlign w:val="center"/>
            <w:hideMark/>
          </w:tcPr>
          <w:p w:rsidR="00E473EF" w:rsidRDefault="00CE451E">
            <w:pPr>
              <w:jc w:val="right"/>
              <w:rPr>
                <w:noProof/>
                <w:color w:val="000000"/>
                <w:sz w:val="18"/>
                <w:szCs w:val="18"/>
              </w:rPr>
            </w:pPr>
            <w:r>
              <w:rPr>
                <w:noProof/>
                <w:color w:val="000000"/>
                <w:sz w:val="18"/>
                <w:szCs w:val="18"/>
              </w:rPr>
              <w:t>20,92%</w:t>
            </w:r>
          </w:p>
        </w:tc>
      </w:tr>
      <w:tr w:rsidR="00E473EF">
        <w:trPr>
          <w:trHeight w:val="300"/>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18"/>
                <w:szCs w:val="18"/>
              </w:rPr>
            </w:pPr>
            <w:r>
              <w:rPr>
                <w:noProof/>
                <w:color w:val="000000"/>
                <w:sz w:val="18"/>
                <w:szCs w:val="18"/>
              </w:rPr>
              <w:t>European Health and Digital Executive Agency (new)</w:t>
            </w:r>
          </w:p>
        </w:tc>
        <w:tc>
          <w:tcPr>
            <w:tcW w:w="700" w:type="dxa"/>
            <w:tcBorders>
              <w:top w:val="nil"/>
              <w:left w:val="nil"/>
              <w:bottom w:val="single" w:sz="4" w:space="0" w:color="auto"/>
              <w:right w:val="single" w:sz="4" w:space="0" w:color="auto"/>
            </w:tcBorders>
            <w:shd w:val="clear" w:color="auto" w:fill="auto"/>
            <w:noWrap/>
            <w:vAlign w:val="center"/>
            <w:hideMark/>
          </w:tcPr>
          <w:p w:rsidR="00E473EF" w:rsidRDefault="00CE451E">
            <w:pPr>
              <w:rPr>
                <w:rFonts w:ascii="Calibri" w:hAnsi="Calibri" w:cs="Calibri"/>
                <w:noProof/>
                <w:color w:val="000000"/>
                <w:sz w:val="18"/>
                <w:szCs w:val="18"/>
              </w:rPr>
            </w:pPr>
            <w:r>
              <w:rPr>
                <w:noProof/>
                <w:color w:val="000000"/>
                <w:sz w:val="18"/>
                <w:szCs w:val="18"/>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rsidR="00E473EF" w:rsidRDefault="00CE451E">
            <w:pPr>
              <w:rPr>
                <w:rFonts w:ascii="Calibri" w:hAnsi="Calibri" w:cs="Calibri"/>
                <w:noProof/>
                <w:color w:val="000000"/>
                <w:sz w:val="18"/>
                <w:szCs w:val="18"/>
              </w:rPr>
            </w:pPr>
            <w:r>
              <w:rPr>
                <w:noProof/>
                <w:color w:val="000000"/>
                <w:sz w:val="18"/>
                <w:szCs w:val="18"/>
              </w:rPr>
              <w:t xml:space="preserve">        -</w:t>
            </w:r>
          </w:p>
        </w:tc>
        <w:tc>
          <w:tcPr>
            <w:tcW w:w="643" w:type="dxa"/>
            <w:tcBorders>
              <w:top w:val="nil"/>
              <w:left w:val="nil"/>
              <w:bottom w:val="single" w:sz="4" w:space="0" w:color="auto"/>
              <w:right w:val="single" w:sz="4" w:space="0" w:color="auto"/>
            </w:tcBorders>
            <w:shd w:val="clear" w:color="auto" w:fill="auto"/>
            <w:noWrap/>
            <w:vAlign w:val="center"/>
            <w:hideMark/>
          </w:tcPr>
          <w:p w:rsidR="00E473EF" w:rsidRDefault="00CE451E">
            <w:pPr>
              <w:rPr>
                <w:rFonts w:ascii="Calibri" w:hAnsi="Calibri" w:cs="Calibri"/>
                <w:noProof/>
                <w:color w:val="000000"/>
                <w:sz w:val="18"/>
                <w:szCs w:val="18"/>
              </w:rPr>
            </w:pPr>
            <w:r>
              <w:rPr>
                <w:noProof/>
                <w:color w:val="000000"/>
                <w:sz w:val="18"/>
                <w:szCs w:val="18"/>
              </w:rPr>
              <w:t xml:space="preserve">        -</w:t>
            </w:r>
          </w:p>
        </w:tc>
        <w:tc>
          <w:tcPr>
            <w:tcW w:w="797"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 xml:space="preserve">        -     </w:t>
            </w:r>
          </w:p>
        </w:tc>
        <w:tc>
          <w:tcPr>
            <w:tcW w:w="757"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307</w:t>
            </w:r>
          </w:p>
        </w:tc>
        <w:tc>
          <w:tcPr>
            <w:tcW w:w="801"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39,078</w:t>
            </w:r>
          </w:p>
        </w:tc>
        <w:tc>
          <w:tcPr>
            <w:tcW w:w="63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307</w:t>
            </w:r>
          </w:p>
        </w:tc>
        <w:tc>
          <w:tcPr>
            <w:tcW w:w="801" w:type="dxa"/>
            <w:tcBorders>
              <w:top w:val="nil"/>
              <w:left w:val="nil"/>
              <w:bottom w:val="single" w:sz="4" w:space="0" w:color="auto"/>
              <w:right w:val="single" w:sz="4" w:space="0" w:color="auto"/>
            </w:tcBorders>
            <w:shd w:val="clear" w:color="000000" w:fill="FFFFFF"/>
            <w:noWrap/>
            <w:vAlign w:val="center"/>
            <w:hideMark/>
          </w:tcPr>
          <w:p w:rsidR="00E473EF" w:rsidRDefault="00CE451E">
            <w:pPr>
              <w:jc w:val="right"/>
              <w:rPr>
                <w:noProof/>
                <w:color w:val="000000"/>
                <w:sz w:val="18"/>
                <w:szCs w:val="18"/>
              </w:rPr>
            </w:pPr>
            <w:r>
              <w:rPr>
                <w:noProof/>
                <w:color w:val="000000"/>
                <w:sz w:val="18"/>
                <w:szCs w:val="18"/>
              </w:rPr>
              <w:t>39,078</w:t>
            </w:r>
          </w:p>
        </w:tc>
        <w:tc>
          <w:tcPr>
            <w:tcW w:w="861"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18"/>
                <w:szCs w:val="18"/>
              </w:rPr>
            </w:pPr>
            <w:r>
              <w:rPr>
                <w:noProof/>
                <w:color w:val="000000"/>
                <w:sz w:val="18"/>
                <w:szCs w:val="18"/>
              </w:rPr>
              <w:t>- </w:t>
            </w:r>
          </w:p>
        </w:tc>
        <w:tc>
          <w:tcPr>
            <w:tcW w:w="861" w:type="dxa"/>
            <w:tcBorders>
              <w:top w:val="nil"/>
              <w:left w:val="nil"/>
              <w:bottom w:val="single" w:sz="4" w:space="0" w:color="auto"/>
              <w:right w:val="single" w:sz="4" w:space="0" w:color="auto"/>
            </w:tcBorders>
            <w:shd w:val="clear" w:color="000000" w:fill="FFFFFF"/>
            <w:noWrap/>
            <w:vAlign w:val="center"/>
            <w:hideMark/>
          </w:tcPr>
          <w:p w:rsidR="00E473EF" w:rsidRDefault="00CE451E">
            <w:pPr>
              <w:jc w:val="right"/>
              <w:rPr>
                <w:noProof/>
                <w:color w:val="000000"/>
                <w:sz w:val="18"/>
                <w:szCs w:val="18"/>
              </w:rPr>
            </w:pPr>
            <w:r>
              <w:rPr>
                <w:noProof/>
                <w:color w:val="000000"/>
                <w:sz w:val="18"/>
                <w:szCs w:val="18"/>
              </w:rPr>
              <w:t>- </w:t>
            </w:r>
          </w:p>
        </w:tc>
      </w:tr>
      <w:tr w:rsidR="00E473EF">
        <w:trPr>
          <w:trHeight w:val="300"/>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18"/>
                <w:szCs w:val="18"/>
              </w:rPr>
            </w:pPr>
            <w:r>
              <w:rPr>
                <w:noProof/>
                <w:color w:val="000000"/>
                <w:sz w:val="18"/>
                <w:szCs w:val="18"/>
              </w:rPr>
              <w:t>European Climate, Infrastructure and Environment Executive Agency (former INEA)</w:t>
            </w:r>
          </w:p>
        </w:tc>
        <w:tc>
          <w:tcPr>
            <w:tcW w:w="700"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313</w:t>
            </w:r>
          </w:p>
        </w:tc>
        <w:tc>
          <w:tcPr>
            <w:tcW w:w="853"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30,383</w:t>
            </w:r>
          </w:p>
        </w:tc>
        <w:tc>
          <w:tcPr>
            <w:tcW w:w="643"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313</w:t>
            </w:r>
          </w:p>
        </w:tc>
        <w:tc>
          <w:tcPr>
            <w:tcW w:w="797"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 xml:space="preserve">        -     </w:t>
            </w:r>
          </w:p>
        </w:tc>
        <w:tc>
          <w:tcPr>
            <w:tcW w:w="757"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146</w:t>
            </w:r>
          </w:p>
        </w:tc>
        <w:tc>
          <w:tcPr>
            <w:tcW w:w="801"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47,969</w:t>
            </w:r>
          </w:p>
        </w:tc>
        <w:tc>
          <w:tcPr>
            <w:tcW w:w="63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459</w:t>
            </w:r>
          </w:p>
        </w:tc>
        <w:tc>
          <w:tcPr>
            <w:tcW w:w="801" w:type="dxa"/>
            <w:tcBorders>
              <w:top w:val="nil"/>
              <w:left w:val="nil"/>
              <w:bottom w:val="single" w:sz="4" w:space="0" w:color="auto"/>
              <w:right w:val="single" w:sz="4" w:space="0" w:color="auto"/>
            </w:tcBorders>
            <w:shd w:val="clear" w:color="000000" w:fill="FFFFFF"/>
            <w:noWrap/>
            <w:vAlign w:val="center"/>
            <w:hideMark/>
          </w:tcPr>
          <w:p w:rsidR="00E473EF" w:rsidRDefault="00CE451E">
            <w:pPr>
              <w:jc w:val="right"/>
              <w:rPr>
                <w:noProof/>
                <w:color w:val="000000"/>
                <w:sz w:val="18"/>
                <w:szCs w:val="18"/>
              </w:rPr>
            </w:pPr>
            <w:r>
              <w:rPr>
                <w:noProof/>
                <w:color w:val="000000"/>
                <w:sz w:val="18"/>
                <w:szCs w:val="18"/>
              </w:rPr>
              <w:t>47,969</w:t>
            </w:r>
          </w:p>
        </w:tc>
        <w:tc>
          <w:tcPr>
            <w:tcW w:w="861"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18"/>
                <w:szCs w:val="18"/>
              </w:rPr>
            </w:pPr>
            <w:r>
              <w:rPr>
                <w:noProof/>
                <w:color w:val="000000"/>
                <w:sz w:val="18"/>
                <w:szCs w:val="18"/>
              </w:rPr>
              <w:t>46,65%</w:t>
            </w:r>
          </w:p>
        </w:tc>
        <w:tc>
          <w:tcPr>
            <w:tcW w:w="861" w:type="dxa"/>
            <w:tcBorders>
              <w:top w:val="nil"/>
              <w:left w:val="nil"/>
              <w:bottom w:val="single" w:sz="4" w:space="0" w:color="auto"/>
              <w:right w:val="single" w:sz="4" w:space="0" w:color="auto"/>
            </w:tcBorders>
            <w:shd w:val="clear" w:color="000000" w:fill="FFFFFF"/>
            <w:noWrap/>
            <w:vAlign w:val="center"/>
            <w:hideMark/>
          </w:tcPr>
          <w:p w:rsidR="00E473EF" w:rsidRDefault="00CE451E">
            <w:pPr>
              <w:jc w:val="right"/>
              <w:rPr>
                <w:noProof/>
                <w:color w:val="000000"/>
                <w:sz w:val="18"/>
                <w:szCs w:val="18"/>
              </w:rPr>
            </w:pPr>
            <w:r>
              <w:rPr>
                <w:noProof/>
                <w:color w:val="000000"/>
                <w:sz w:val="18"/>
                <w:szCs w:val="18"/>
              </w:rPr>
              <w:t>57,88%</w:t>
            </w:r>
          </w:p>
        </w:tc>
      </w:tr>
      <w:tr w:rsidR="00E473EF">
        <w:trPr>
          <w:trHeight w:val="300"/>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18"/>
                <w:szCs w:val="18"/>
              </w:rPr>
            </w:pPr>
            <w:r>
              <w:rPr>
                <w:noProof/>
                <w:color w:val="000000"/>
                <w:sz w:val="18"/>
                <w:szCs w:val="18"/>
              </w:rPr>
              <w:t>European Education and Culture Executive Agency (former EACEA)</w:t>
            </w:r>
          </w:p>
        </w:tc>
        <w:tc>
          <w:tcPr>
            <w:tcW w:w="700"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438</w:t>
            </w:r>
          </w:p>
        </w:tc>
        <w:tc>
          <w:tcPr>
            <w:tcW w:w="853"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47,750</w:t>
            </w:r>
          </w:p>
        </w:tc>
        <w:tc>
          <w:tcPr>
            <w:tcW w:w="643"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438</w:t>
            </w:r>
          </w:p>
        </w:tc>
        <w:tc>
          <w:tcPr>
            <w:tcW w:w="797"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5,11</w:t>
            </w:r>
          </w:p>
        </w:tc>
        <w:tc>
          <w:tcPr>
            <w:tcW w:w="757"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9</w:t>
            </w:r>
          </w:p>
        </w:tc>
        <w:tc>
          <w:tcPr>
            <w:tcW w:w="801"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45,693</w:t>
            </w:r>
          </w:p>
        </w:tc>
        <w:tc>
          <w:tcPr>
            <w:tcW w:w="63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447</w:t>
            </w:r>
          </w:p>
        </w:tc>
        <w:tc>
          <w:tcPr>
            <w:tcW w:w="801" w:type="dxa"/>
            <w:tcBorders>
              <w:top w:val="nil"/>
              <w:left w:val="nil"/>
              <w:bottom w:val="single" w:sz="4" w:space="0" w:color="auto"/>
              <w:right w:val="single" w:sz="4" w:space="0" w:color="auto"/>
            </w:tcBorders>
            <w:shd w:val="clear" w:color="000000" w:fill="FFFFFF"/>
            <w:noWrap/>
            <w:vAlign w:val="center"/>
            <w:hideMark/>
          </w:tcPr>
          <w:p w:rsidR="00E473EF" w:rsidRDefault="00CE451E">
            <w:pPr>
              <w:jc w:val="right"/>
              <w:rPr>
                <w:noProof/>
                <w:color w:val="000000"/>
                <w:sz w:val="18"/>
                <w:szCs w:val="18"/>
              </w:rPr>
            </w:pPr>
            <w:r>
              <w:rPr>
                <w:noProof/>
                <w:color w:val="000000"/>
                <w:sz w:val="18"/>
                <w:szCs w:val="18"/>
              </w:rPr>
              <w:t>50,803</w:t>
            </w:r>
          </w:p>
        </w:tc>
        <w:tc>
          <w:tcPr>
            <w:tcW w:w="861"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18"/>
                <w:szCs w:val="18"/>
              </w:rPr>
            </w:pPr>
            <w:r>
              <w:rPr>
                <w:noProof/>
                <w:color w:val="000000"/>
                <w:sz w:val="18"/>
                <w:szCs w:val="18"/>
              </w:rPr>
              <w:t>2,05%</w:t>
            </w:r>
          </w:p>
        </w:tc>
        <w:tc>
          <w:tcPr>
            <w:tcW w:w="861" w:type="dxa"/>
            <w:tcBorders>
              <w:top w:val="nil"/>
              <w:left w:val="nil"/>
              <w:bottom w:val="single" w:sz="4" w:space="0" w:color="auto"/>
              <w:right w:val="single" w:sz="4" w:space="0" w:color="auto"/>
            </w:tcBorders>
            <w:shd w:val="clear" w:color="000000" w:fill="FFFFFF"/>
            <w:noWrap/>
            <w:vAlign w:val="center"/>
            <w:hideMark/>
          </w:tcPr>
          <w:p w:rsidR="00E473EF" w:rsidRDefault="00CE451E">
            <w:pPr>
              <w:jc w:val="right"/>
              <w:rPr>
                <w:noProof/>
                <w:color w:val="000000"/>
                <w:sz w:val="18"/>
                <w:szCs w:val="18"/>
              </w:rPr>
            </w:pPr>
            <w:r>
              <w:rPr>
                <w:noProof/>
                <w:color w:val="000000"/>
                <w:sz w:val="18"/>
                <w:szCs w:val="18"/>
              </w:rPr>
              <w:t>6,39%</w:t>
            </w:r>
          </w:p>
        </w:tc>
      </w:tr>
      <w:tr w:rsidR="00E473EF">
        <w:trPr>
          <w:trHeight w:val="300"/>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18"/>
                <w:szCs w:val="18"/>
              </w:rPr>
            </w:pPr>
            <w:r>
              <w:rPr>
                <w:noProof/>
                <w:color w:val="000000"/>
                <w:sz w:val="18"/>
                <w:szCs w:val="18"/>
              </w:rPr>
              <w:t>European Innovation Council and SMEs Executive Agency (former EASME)</w:t>
            </w:r>
          </w:p>
        </w:tc>
        <w:tc>
          <w:tcPr>
            <w:tcW w:w="700"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506</w:t>
            </w:r>
          </w:p>
        </w:tc>
        <w:tc>
          <w:tcPr>
            <w:tcW w:w="853"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51,177</w:t>
            </w:r>
          </w:p>
        </w:tc>
        <w:tc>
          <w:tcPr>
            <w:tcW w:w="643"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506</w:t>
            </w:r>
          </w:p>
        </w:tc>
        <w:tc>
          <w:tcPr>
            <w:tcW w:w="797"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 xml:space="preserve">        -     </w:t>
            </w:r>
          </w:p>
        </w:tc>
        <w:tc>
          <w:tcPr>
            <w:tcW w:w="757"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-119</w:t>
            </w:r>
          </w:p>
        </w:tc>
        <w:tc>
          <w:tcPr>
            <w:tcW w:w="801"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43,744</w:t>
            </w:r>
          </w:p>
        </w:tc>
        <w:tc>
          <w:tcPr>
            <w:tcW w:w="63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387</w:t>
            </w:r>
          </w:p>
        </w:tc>
        <w:tc>
          <w:tcPr>
            <w:tcW w:w="801" w:type="dxa"/>
            <w:tcBorders>
              <w:top w:val="nil"/>
              <w:left w:val="nil"/>
              <w:bottom w:val="single" w:sz="4" w:space="0" w:color="auto"/>
              <w:right w:val="single" w:sz="4" w:space="0" w:color="auto"/>
            </w:tcBorders>
            <w:shd w:val="clear" w:color="000000" w:fill="FFFFFF"/>
            <w:noWrap/>
            <w:vAlign w:val="center"/>
            <w:hideMark/>
          </w:tcPr>
          <w:p w:rsidR="00E473EF" w:rsidRDefault="00CE451E">
            <w:pPr>
              <w:jc w:val="right"/>
              <w:rPr>
                <w:noProof/>
                <w:color w:val="000000"/>
                <w:sz w:val="18"/>
                <w:szCs w:val="18"/>
              </w:rPr>
            </w:pPr>
            <w:r>
              <w:rPr>
                <w:noProof/>
                <w:color w:val="000000"/>
                <w:sz w:val="18"/>
                <w:szCs w:val="18"/>
              </w:rPr>
              <w:t>43,744</w:t>
            </w:r>
          </w:p>
        </w:tc>
        <w:tc>
          <w:tcPr>
            <w:tcW w:w="861"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18"/>
                <w:szCs w:val="18"/>
              </w:rPr>
            </w:pPr>
            <w:r>
              <w:rPr>
                <w:noProof/>
                <w:color w:val="000000"/>
                <w:sz w:val="18"/>
                <w:szCs w:val="18"/>
              </w:rPr>
              <w:t>-23,52%</w:t>
            </w:r>
          </w:p>
        </w:tc>
        <w:tc>
          <w:tcPr>
            <w:tcW w:w="861" w:type="dxa"/>
            <w:tcBorders>
              <w:top w:val="nil"/>
              <w:left w:val="nil"/>
              <w:bottom w:val="single" w:sz="4" w:space="0" w:color="auto"/>
              <w:right w:val="single" w:sz="4" w:space="0" w:color="auto"/>
            </w:tcBorders>
            <w:shd w:val="clear" w:color="000000" w:fill="FFFFFF"/>
            <w:noWrap/>
            <w:vAlign w:val="center"/>
            <w:hideMark/>
          </w:tcPr>
          <w:p w:rsidR="00E473EF" w:rsidRDefault="00CE451E">
            <w:pPr>
              <w:jc w:val="right"/>
              <w:rPr>
                <w:noProof/>
                <w:color w:val="000000"/>
                <w:sz w:val="18"/>
                <w:szCs w:val="18"/>
              </w:rPr>
            </w:pPr>
            <w:r>
              <w:rPr>
                <w:noProof/>
                <w:color w:val="000000"/>
                <w:sz w:val="18"/>
                <w:szCs w:val="18"/>
              </w:rPr>
              <w:t>-14,52%</w:t>
            </w:r>
          </w:p>
        </w:tc>
      </w:tr>
      <w:tr w:rsidR="00E473EF">
        <w:trPr>
          <w:trHeight w:val="300"/>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color w:val="000000"/>
                <w:sz w:val="18"/>
                <w:szCs w:val="18"/>
              </w:rPr>
            </w:pPr>
            <w:r>
              <w:rPr>
                <w:noProof/>
                <w:sz w:val="18"/>
                <w:szCs w:val="18"/>
              </w:rPr>
              <w:t>Consumers, Health and Food Executive Agency (CHAFEA)</w:t>
            </w:r>
          </w:p>
        </w:tc>
        <w:tc>
          <w:tcPr>
            <w:tcW w:w="700"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79</w:t>
            </w:r>
          </w:p>
        </w:tc>
        <w:tc>
          <w:tcPr>
            <w:tcW w:w="853"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11,301</w:t>
            </w:r>
          </w:p>
        </w:tc>
        <w:tc>
          <w:tcPr>
            <w:tcW w:w="643"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79</w:t>
            </w:r>
          </w:p>
        </w:tc>
        <w:tc>
          <w:tcPr>
            <w:tcW w:w="797"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 xml:space="preserve">        -     </w:t>
            </w:r>
          </w:p>
        </w:tc>
        <w:tc>
          <w:tcPr>
            <w:tcW w:w="757"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-79</w:t>
            </w:r>
          </w:p>
        </w:tc>
        <w:tc>
          <w:tcPr>
            <w:tcW w:w="801"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0</w:t>
            </w:r>
          </w:p>
        </w:tc>
        <w:tc>
          <w:tcPr>
            <w:tcW w:w="63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0</w:t>
            </w:r>
          </w:p>
        </w:tc>
        <w:tc>
          <w:tcPr>
            <w:tcW w:w="801" w:type="dxa"/>
            <w:tcBorders>
              <w:top w:val="nil"/>
              <w:left w:val="nil"/>
              <w:bottom w:val="single" w:sz="4" w:space="0" w:color="auto"/>
              <w:right w:val="single" w:sz="4" w:space="0" w:color="auto"/>
            </w:tcBorders>
            <w:shd w:val="clear" w:color="000000" w:fill="FFFFFF"/>
            <w:noWrap/>
            <w:vAlign w:val="center"/>
            <w:hideMark/>
          </w:tcPr>
          <w:p w:rsidR="00E473EF" w:rsidRDefault="00CE451E">
            <w:pPr>
              <w:jc w:val="right"/>
              <w:rPr>
                <w:noProof/>
                <w:color w:val="000000"/>
                <w:sz w:val="18"/>
                <w:szCs w:val="18"/>
              </w:rPr>
            </w:pPr>
            <w:r>
              <w:rPr>
                <w:noProof/>
                <w:color w:val="000000"/>
                <w:sz w:val="18"/>
                <w:szCs w:val="18"/>
              </w:rPr>
              <w:t>0</w:t>
            </w:r>
          </w:p>
        </w:tc>
        <w:tc>
          <w:tcPr>
            <w:tcW w:w="861"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noProof/>
                <w:color w:val="000000"/>
                <w:sz w:val="18"/>
                <w:szCs w:val="18"/>
              </w:rPr>
            </w:pPr>
            <w:r>
              <w:rPr>
                <w:noProof/>
                <w:color w:val="000000"/>
                <w:sz w:val="18"/>
                <w:szCs w:val="18"/>
              </w:rPr>
              <w:t>-100%</w:t>
            </w:r>
          </w:p>
        </w:tc>
        <w:tc>
          <w:tcPr>
            <w:tcW w:w="861" w:type="dxa"/>
            <w:tcBorders>
              <w:top w:val="nil"/>
              <w:left w:val="nil"/>
              <w:bottom w:val="single" w:sz="4" w:space="0" w:color="auto"/>
              <w:right w:val="single" w:sz="4" w:space="0" w:color="auto"/>
            </w:tcBorders>
            <w:shd w:val="clear" w:color="000000" w:fill="FFFFFF"/>
            <w:noWrap/>
            <w:vAlign w:val="center"/>
            <w:hideMark/>
          </w:tcPr>
          <w:p w:rsidR="00E473EF" w:rsidRDefault="00CE451E">
            <w:pPr>
              <w:jc w:val="right"/>
              <w:rPr>
                <w:noProof/>
                <w:color w:val="000000"/>
                <w:sz w:val="18"/>
                <w:szCs w:val="18"/>
              </w:rPr>
            </w:pPr>
            <w:r>
              <w:rPr>
                <w:noProof/>
                <w:color w:val="000000"/>
                <w:sz w:val="18"/>
                <w:szCs w:val="18"/>
              </w:rPr>
              <w:t>-100%</w:t>
            </w:r>
          </w:p>
        </w:tc>
      </w:tr>
      <w:tr w:rsidR="00E473EF">
        <w:trPr>
          <w:trHeight w:val="300"/>
          <w:jc w:val="center"/>
        </w:trPr>
        <w:tc>
          <w:tcPr>
            <w:tcW w:w="2155" w:type="dxa"/>
            <w:tcBorders>
              <w:top w:val="nil"/>
              <w:left w:val="single" w:sz="4" w:space="0" w:color="auto"/>
              <w:bottom w:val="single" w:sz="4" w:space="0" w:color="auto"/>
              <w:right w:val="single" w:sz="4" w:space="0" w:color="auto"/>
            </w:tcBorders>
            <w:shd w:val="clear" w:color="000000" w:fill="FFFFFF"/>
            <w:vAlign w:val="center"/>
            <w:hideMark/>
          </w:tcPr>
          <w:p w:rsidR="00E473EF" w:rsidRDefault="00CE451E">
            <w:pPr>
              <w:jc w:val="both"/>
              <w:rPr>
                <w:b/>
                <w:bCs/>
                <w:noProof/>
                <w:color w:val="000000"/>
                <w:sz w:val="18"/>
                <w:szCs w:val="18"/>
              </w:rPr>
            </w:pPr>
            <w:r>
              <w:rPr>
                <w:b/>
                <w:bCs/>
                <w:noProof/>
                <w:color w:val="000000"/>
                <w:sz w:val="18"/>
                <w:szCs w:val="18"/>
              </w:rPr>
              <w:t>Total</w:t>
            </w:r>
          </w:p>
        </w:tc>
        <w:tc>
          <w:tcPr>
            <w:tcW w:w="700"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b/>
                <w:bCs/>
                <w:noProof/>
                <w:color w:val="000000"/>
                <w:sz w:val="18"/>
                <w:szCs w:val="18"/>
              </w:rPr>
            </w:pPr>
            <w:r>
              <w:rPr>
                <w:b/>
                <w:bCs/>
                <w:noProof/>
                <w:color w:val="000000"/>
                <w:sz w:val="18"/>
                <w:szCs w:val="18"/>
              </w:rPr>
              <w:t>2 650</w:t>
            </w:r>
          </w:p>
        </w:tc>
        <w:tc>
          <w:tcPr>
            <w:tcW w:w="853"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b/>
                <w:bCs/>
                <w:noProof/>
                <w:color w:val="000000"/>
                <w:sz w:val="18"/>
                <w:szCs w:val="18"/>
              </w:rPr>
            </w:pPr>
            <w:r>
              <w:rPr>
                <w:b/>
                <w:bCs/>
                <w:noProof/>
                <w:color w:val="000000"/>
                <w:sz w:val="18"/>
                <w:szCs w:val="18"/>
              </w:rPr>
              <w:t>267,679</w:t>
            </w:r>
          </w:p>
        </w:tc>
        <w:tc>
          <w:tcPr>
            <w:tcW w:w="643"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b/>
                <w:bCs/>
                <w:noProof/>
                <w:color w:val="000000"/>
                <w:sz w:val="18"/>
                <w:szCs w:val="18"/>
              </w:rPr>
            </w:pPr>
            <w:r>
              <w:rPr>
                <w:b/>
                <w:bCs/>
                <w:noProof/>
                <w:color w:val="000000"/>
                <w:sz w:val="18"/>
                <w:szCs w:val="18"/>
              </w:rPr>
              <w:t>2 650</w:t>
            </w:r>
          </w:p>
        </w:tc>
        <w:tc>
          <w:tcPr>
            <w:tcW w:w="797"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b/>
                <w:bCs/>
                <w:noProof/>
                <w:color w:val="000000"/>
                <w:sz w:val="18"/>
                <w:szCs w:val="18"/>
              </w:rPr>
            </w:pPr>
            <w:r>
              <w:rPr>
                <w:b/>
                <w:bCs/>
                <w:noProof/>
                <w:color w:val="000000"/>
                <w:sz w:val="18"/>
                <w:szCs w:val="18"/>
              </w:rPr>
              <w:t>5,11</w:t>
            </w:r>
          </w:p>
        </w:tc>
        <w:tc>
          <w:tcPr>
            <w:tcW w:w="757"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noProof/>
                <w:color w:val="000000"/>
                <w:sz w:val="18"/>
                <w:szCs w:val="18"/>
              </w:rPr>
            </w:pPr>
            <w:r>
              <w:rPr>
                <w:noProof/>
                <w:color w:val="000000"/>
                <w:sz w:val="18"/>
                <w:szCs w:val="18"/>
              </w:rPr>
              <w:t>302</w:t>
            </w:r>
          </w:p>
        </w:tc>
        <w:tc>
          <w:tcPr>
            <w:tcW w:w="801"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b/>
                <w:bCs/>
                <w:noProof/>
                <w:color w:val="000000"/>
                <w:sz w:val="18"/>
                <w:szCs w:val="18"/>
              </w:rPr>
            </w:pPr>
            <w:r>
              <w:rPr>
                <w:b/>
                <w:bCs/>
                <w:noProof/>
                <w:color w:val="000000"/>
                <w:sz w:val="18"/>
                <w:szCs w:val="18"/>
              </w:rPr>
              <w:t>321,991</w:t>
            </w:r>
          </w:p>
        </w:tc>
        <w:tc>
          <w:tcPr>
            <w:tcW w:w="63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b/>
                <w:bCs/>
                <w:noProof/>
                <w:color w:val="000000"/>
                <w:sz w:val="18"/>
                <w:szCs w:val="18"/>
              </w:rPr>
            </w:pPr>
            <w:r>
              <w:rPr>
                <w:b/>
                <w:bCs/>
                <w:noProof/>
                <w:color w:val="000000"/>
                <w:sz w:val="18"/>
                <w:szCs w:val="18"/>
              </w:rPr>
              <w:t>2 952</w:t>
            </w:r>
          </w:p>
        </w:tc>
        <w:tc>
          <w:tcPr>
            <w:tcW w:w="801"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b/>
                <w:bCs/>
                <w:noProof/>
                <w:color w:val="000000"/>
                <w:sz w:val="18"/>
                <w:szCs w:val="18"/>
              </w:rPr>
            </w:pPr>
            <w:r>
              <w:rPr>
                <w:b/>
                <w:bCs/>
                <w:noProof/>
                <w:color w:val="000000"/>
                <w:sz w:val="18"/>
                <w:szCs w:val="18"/>
              </w:rPr>
              <w:t>327,101</w:t>
            </w:r>
          </w:p>
        </w:tc>
        <w:tc>
          <w:tcPr>
            <w:tcW w:w="861" w:type="dxa"/>
            <w:tcBorders>
              <w:top w:val="nil"/>
              <w:left w:val="nil"/>
              <w:bottom w:val="single" w:sz="4" w:space="0" w:color="auto"/>
              <w:right w:val="single" w:sz="4" w:space="0" w:color="auto"/>
            </w:tcBorders>
            <w:shd w:val="clear" w:color="auto" w:fill="auto"/>
            <w:noWrap/>
            <w:vAlign w:val="center"/>
            <w:hideMark/>
          </w:tcPr>
          <w:p w:rsidR="00E473EF" w:rsidRDefault="00CE451E">
            <w:pPr>
              <w:jc w:val="right"/>
              <w:rPr>
                <w:b/>
                <w:bCs/>
                <w:noProof/>
                <w:color w:val="000000"/>
                <w:sz w:val="18"/>
                <w:szCs w:val="18"/>
              </w:rPr>
            </w:pPr>
            <w:r>
              <w:rPr>
                <w:b/>
                <w:bCs/>
                <w:noProof/>
                <w:color w:val="000000"/>
                <w:sz w:val="18"/>
                <w:szCs w:val="18"/>
              </w:rPr>
              <w:t>11,40%</w:t>
            </w:r>
          </w:p>
        </w:tc>
        <w:tc>
          <w:tcPr>
            <w:tcW w:w="861" w:type="dxa"/>
            <w:tcBorders>
              <w:top w:val="nil"/>
              <w:left w:val="nil"/>
              <w:bottom w:val="single" w:sz="4" w:space="0" w:color="auto"/>
              <w:right w:val="single" w:sz="4" w:space="0" w:color="auto"/>
            </w:tcBorders>
            <w:shd w:val="clear" w:color="000000" w:fill="FFFFFF"/>
            <w:noWrap/>
            <w:vAlign w:val="center"/>
            <w:hideMark/>
          </w:tcPr>
          <w:p w:rsidR="00E473EF" w:rsidRDefault="00CE451E">
            <w:pPr>
              <w:jc w:val="right"/>
              <w:rPr>
                <w:b/>
                <w:bCs/>
                <w:noProof/>
                <w:color w:val="000000"/>
                <w:sz w:val="18"/>
                <w:szCs w:val="18"/>
              </w:rPr>
            </w:pPr>
            <w:r>
              <w:rPr>
                <w:b/>
                <w:bCs/>
                <w:noProof/>
                <w:color w:val="000000"/>
                <w:sz w:val="18"/>
                <w:szCs w:val="18"/>
              </w:rPr>
              <w:t>22,20%</w:t>
            </w:r>
          </w:p>
        </w:tc>
      </w:tr>
    </w:tbl>
    <w:p w:rsidR="00E473EF" w:rsidRDefault="00CE451E">
      <w:pPr>
        <w:spacing w:before="120" w:after="120"/>
        <w:jc w:val="both"/>
        <w:rPr>
          <w:noProof/>
        </w:rPr>
      </w:pPr>
      <w:r>
        <w:rPr>
          <w:noProof/>
        </w:rPr>
        <w:t xml:space="preserve">The estimated staff numbers needed in the </w:t>
      </w:r>
      <w:r>
        <w:rPr>
          <w:noProof/>
        </w:rPr>
        <w:t>executive agencies in 2021 increase by 302 FTE (11,4 %) as compared to 2020 budget. The corresponding Union’s contribution increase by 22,2 % as compared to 2020.</w:t>
      </w:r>
    </w:p>
    <w:p w:rsidR="00E473EF" w:rsidRDefault="00CE451E">
      <w:pPr>
        <w:keepNext/>
        <w:tabs>
          <w:tab w:val="left" w:pos="850"/>
        </w:tabs>
        <w:spacing w:before="360" w:after="120"/>
        <w:ind w:left="357" w:hanging="357"/>
        <w:jc w:val="both"/>
        <w:outlineLvl w:val="1"/>
        <w:rPr>
          <w:rFonts w:eastAsia="Calibri"/>
          <w:b/>
          <w:noProof/>
          <w:lang w:eastAsia="en-US"/>
        </w:rPr>
      </w:pPr>
      <w:bookmarkStart w:id="116" w:name="_Toc369629644"/>
      <w:bookmarkStart w:id="117" w:name="_Toc54770325"/>
      <w:bookmarkStart w:id="118" w:name="_Toc55807135"/>
      <w:bookmarkStart w:id="119" w:name="_Toc56009549"/>
      <w:r>
        <w:rPr>
          <w:rFonts w:eastAsia="Calibri"/>
          <w:b/>
          <w:noProof/>
          <w:lang w:eastAsia="en-US"/>
        </w:rPr>
        <w:t>5.4</w:t>
      </w:r>
      <w:r>
        <w:rPr>
          <w:rFonts w:eastAsia="Calibri"/>
          <w:b/>
          <w:noProof/>
          <w:lang w:eastAsia="en-US"/>
        </w:rPr>
        <w:tab/>
      </w:r>
      <w:r>
        <w:rPr>
          <w:rFonts w:eastAsia="Calibri"/>
          <w:b/>
          <w:noProof/>
          <w:lang w:eastAsia="en-US"/>
        </w:rPr>
        <w:tab/>
        <w:t>Impact on human resources in the Commission</w:t>
      </w:r>
      <w:bookmarkEnd w:id="116"/>
      <w:bookmarkEnd w:id="117"/>
      <w:bookmarkEnd w:id="118"/>
      <w:bookmarkEnd w:id="119"/>
    </w:p>
    <w:p w:rsidR="00E473EF" w:rsidRDefault="00CE451E">
      <w:pPr>
        <w:spacing w:before="120" w:after="120"/>
        <w:jc w:val="both"/>
        <w:rPr>
          <w:noProof/>
        </w:rPr>
      </w:pPr>
      <w:bookmarkStart w:id="120" w:name="_Toc369629645"/>
      <w:r>
        <w:rPr>
          <w:noProof/>
        </w:rPr>
        <w:t xml:space="preserve">Regulation No 58/2003 requires that any </w:t>
      </w:r>
      <w:r>
        <w:rPr>
          <w:noProof/>
        </w:rPr>
        <w:t>delegation of tasks to an executive agency should be cost efficient and consistent with the principle of sound financial management. As shown in the overview table under section 5.2 above, this will entail a higher workload for the executive agencies for t</w:t>
      </w:r>
      <w:r>
        <w:rPr>
          <w:noProof/>
        </w:rPr>
        <w:t>he period 2021-2027 and more staff will be needed to manage the programmes effectively.</w:t>
      </w:r>
    </w:p>
    <w:p w:rsidR="00E473EF" w:rsidRDefault="00CE451E">
      <w:pPr>
        <w:spacing w:before="120" w:after="120"/>
        <w:jc w:val="both"/>
        <w:rPr>
          <w:noProof/>
        </w:rPr>
      </w:pPr>
      <w:r>
        <w:rPr>
          <w:noProof/>
        </w:rPr>
        <w:t>Part of the increased workload for the executive agencies will result from newly delegated programmes and tasks currently implemented by Commission services. The transf</w:t>
      </w:r>
      <w:r>
        <w:rPr>
          <w:noProof/>
        </w:rPr>
        <w:t xml:space="preserve">er of those implementing tasks will reduce the corresponding human resources in the Commission, since they will no longer be carried out in the Commission. Another part of the increased workload in the executive agencies will result from increased budgets </w:t>
      </w:r>
      <w:r>
        <w:rPr>
          <w:noProof/>
        </w:rPr>
        <w:t>for already delegated programmes as well as from the new programmes. In these cases there is no impact on workload in the Commission, as the task has either been transferred already or has never been implemented in-house. In this case, the Commission propo</w:t>
      </w:r>
      <w:r>
        <w:rPr>
          <w:noProof/>
        </w:rPr>
        <w:t xml:space="preserve">ses freeing up a number of staff to ensure overall budgetary neutrality. </w:t>
      </w:r>
    </w:p>
    <w:p w:rsidR="00E473EF" w:rsidRDefault="00CE451E">
      <w:pPr>
        <w:spacing w:before="120" w:after="120"/>
        <w:jc w:val="both"/>
        <w:rPr>
          <w:noProof/>
        </w:rPr>
      </w:pPr>
      <w:r>
        <w:rPr>
          <w:noProof/>
        </w:rPr>
        <w:t xml:space="preserve">In the past, those ‘freed’ human resources were redeployed to other tasks in accordance with Article 13(6)(c) of Regulation No 58/2003. Given the Commission’s commitment to ensuring </w:t>
      </w:r>
      <w:r>
        <w:rPr>
          <w:noProof/>
        </w:rPr>
        <w:t>budget neutrality with regard to administrative expenditure, as a result of delegating additional tasks of programme management, the Commission will reduce its human resources to offset the additional FTEs in the executive agencies. Likewise, expenditure r</w:t>
      </w:r>
      <w:r>
        <w:rPr>
          <w:noProof/>
        </w:rPr>
        <w:t>elated to posts ‘frozen’ to take account of secondments to the executive agencies will also be reduced, accordingly.</w:t>
      </w:r>
    </w:p>
    <w:p w:rsidR="00E473EF" w:rsidRDefault="00CE451E">
      <w:pPr>
        <w:spacing w:before="120" w:after="120"/>
        <w:jc w:val="both"/>
        <w:rPr>
          <w:noProof/>
        </w:rPr>
      </w:pPr>
      <w:r>
        <w:rPr>
          <w:noProof/>
        </w:rPr>
        <w:t>The table below shows the way in which the Commission proposes to offset the additional human resources in the executive agencies, by 2027:</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1"/>
        <w:gridCol w:w="1579"/>
      </w:tblGrid>
      <w:tr w:rsidR="00E473EF">
        <w:trPr>
          <w:jc w:val="center"/>
        </w:trPr>
        <w:tc>
          <w:tcPr>
            <w:tcW w:w="8361" w:type="dxa"/>
            <w:shd w:val="clear" w:color="auto" w:fill="D9D9D9"/>
            <w:vAlign w:val="center"/>
          </w:tcPr>
          <w:p w:rsidR="00E473EF" w:rsidRDefault="00CE451E">
            <w:pPr>
              <w:spacing w:before="30" w:after="30"/>
              <w:jc w:val="center"/>
              <w:rPr>
                <w:b/>
                <w:noProof/>
                <w:sz w:val="18"/>
                <w:szCs w:val="18"/>
              </w:rPr>
            </w:pPr>
            <w:r>
              <w:rPr>
                <w:b/>
                <w:noProof/>
                <w:sz w:val="18"/>
                <w:szCs w:val="18"/>
              </w:rPr>
              <w:t>Offsetting of the increased human resources in the executive agencies</w:t>
            </w:r>
          </w:p>
        </w:tc>
        <w:tc>
          <w:tcPr>
            <w:tcW w:w="1579" w:type="dxa"/>
            <w:shd w:val="clear" w:color="auto" w:fill="D9D9D9"/>
            <w:vAlign w:val="center"/>
          </w:tcPr>
          <w:p w:rsidR="00E473EF" w:rsidRDefault="00CE451E">
            <w:pPr>
              <w:spacing w:before="30" w:after="30"/>
              <w:jc w:val="center"/>
              <w:rPr>
                <w:b/>
                <w:noProof/>
                <w:sz w:val="18"/>
                <w:szCs w:val="18"/>
                <w:highlight w:val="lightGray"/>
              </w:rPr>
            </w:pPr>
            <w:r>
              <w:rPr>
                <w:b/>
                <w:noProof/>
                <w:sz w:val="18"/>
                <w:szCs w:val="18"/>
                <w:highlight w:val="lightGray"/>
              </w:rPr>
              <w:t>Human resources (FTE)</w:t>
            </w:r>
          </w:p>
        </w:tc>
      </w:tr>
      <w:tr w:rsidR="00E473EF">
        <w:trPr>
          <w:jc w:val="center"/>
        </w:trPr>
        <w:tc>
          <w:tcPr>
            <w:tcW w:w="8361" w:type="dxa"/>
            <w:shd w:val="clear" w:color="auto" w:fill="auto"/>
            <w:vAlign w:val="center"/>
          </w:tcPr>
          <w:p w:rsidR="00E473EF" w:rsidRDefault="00CE451E">
            <w:pPr>
              <w:spacing w:before="30" w:after="30"/>
              <w:jc w:val="both"/>
              <w:rPr>
                <w:noProof/>
                <w:sz w:val="16"/>
                <w:szCs w:val="16"/>
              </w:rPr>
            </w:pPr>
            <w:r>
              <w:rPr>
                <w:noProof/>
                <w:sz w:val="16"/>
                <w:szCs w:val="16"/>
              </w:rPr>
              <w:t>Increase in resources to cover running costs of six executive agencies stemming from further delegation</w:t>
            </w:r>
          </w:p>
        </w:tc>
        <w:tc>
          <w:tcPr>
            <w:tcW w:w="1579" w:type="dxa"/>
            <w:vAlign w:val="center"/>
          </w:tcPr>
          <w:p w:rsidR="00E473EF" w:rsidRDefault="00CE451E">
            <w:pPr>
              <w:spacing w:before="30" w:after="30"/>
              <w:jc w:val="right"/>
              <w:rPr>
                <w:noProof/>
                <w:sz w:val="18"/>
                <w:szCs w:val="18"/>
              </w:rPr>
            </w:pPr>
            <w:r>
              <w:rPr>
                <w:noProof/>
                <w:sz w:val="18"/>
                <w:szCs w:val="18"/>
              </w:rPr>
              <w:t>+390</w:t>
            </w:r>
          </w:p>
        </w:tc>
      </w:tr>
      <w:tr w:rsidR="00E473EF">
        <w:trPr>
          <w:jc w:val="center"/>
        </w:trPr>
        <w:tc>
          <w:tcPr>
            <w:tcW w:w="8361" w:type="dxa"/>
            <w:shd w:val="clear" w:color="auto" w:fill="auto"/>
            <w:vAlign w:val="center"/>
          </w:tcPr>
          <w:p w:rsidR="00E473EF" w:rsidRDefault="00CE451E">
            <w:pPr>
              <w:spacing w:before="30" w:after="30"/>
              <w:jc w:val="both"/>
              <w:rPr>
                <w:noProof/>
                <w:sz w:val="16"/>
                <w:szCs w:val="16"/>
              </w:rPr>
            </w:pPr>
            <w:r>
              <w:rPr>
                <w:noProof/>
                <w:sz w:val="16"/>
                <w:szCs w:val="16"/>
              </w:rPr>
              <w:t xml:space="preserve">Reduced administrative resources under heading 7 </w:t>
            </w:r>
            <w:r>
              <w:rPr>
                <w:noProof/>
                <w:sz w:val="16"/>
                <w:szCs w:val="16"/>
              </w:rPr>
              <w:t>resulting from delegating tasks currently managed by the Commission</w:t>
            </w:r>
          </w:p>
        </w:tc>
        <w:tc>
          <w:tcPr>
            <w:tcW w:w="1579" w:type="dxa"/>
            <w:vAlign w:val="center"/>
          </w:tcPr>
          <w:p w:rsidR="00E473EF" w:rsidRDefault="00CE451E">
            <w:pPr>
              <w:spacing w:before="30" w:after="30"/>
              <w:jc w:val="right"/>
              <w:rPr>
                <w:noProof/>
                <w:sz w:val="18"/>
                <w:szCs w:val="18"/>
              </w:rPr>
            </w:pPr>
            <w:r>
              <w:rPr>
                <w:noProof/>
                <w:sz w:val="18"/>
                <w:szCs w:val="18"/>
              </w:rPr>
              <w:t>-59</w:t>
            </w:r>
          </w:p>
        </w:tc>
      </w:tr>
      <w:tr w:rsidR="00E473EF">
        <w:trPr>
          <w:jc w:val="center"/>
        </w:trPr>
        <w:tc>
          <w:tcPr>
            <w:tcW w:w="8361" w:type="dxa"/>
            <w:shd w:val="clear" w:color="auto" w:fill="auto"/>
            <w:vAlign w:val="center"/>
          </w:tcPr>
          <w:p w:rsidR="00E473EF" w:rsidRDefault="00CE451E">
            <w:pPr>
              <w:spacing w:before="30" w:after="30"/>
              <w:jc w:val="both"/>
              <w:rPr>
                <w:noProof/>
                <w:sz w:val="16"/>
                <w:szCs w:val="16"/>
              </w:rPr>
            </w:pPr>
            <w:r>
              <w:rPr>
                <w:noProof/>
                <w:sz w:val="16"/>
                <w:szCs w:val="16"/>
              </w:rPr>
              <w:t>Reduced administrative and support resources under other headings resulting from delegating tasks currently managed by the Commission</w:t>
            </w:r>
          </w:p>
        </w:tc>
        <w:tc>
          <w:tcPr>
            <w:tcW w:w="1579" w:type="dxa"/>
            <w:vAlign w:val="center"/>
          </w:tcPr>
          <w:p w:rsidR="00E473EF" w:rsidRDefault="00CE451E">
            <w:pPr>
              <w:spacing w:before="30" w:after="30"/>
              <w:jc w:val="right"/>
              <w:rPr>
                <w:noProof/>
                <w:sz w:val="18"/>
                <w:szCs w:val="18"/>
              </w:rPr>
            </w:pPr>
            <w:r>
              <w:rPr>
                <w:noProof/>
                <w:sz w:val="18"/>
                <w:szCs w:val="18"/>
              </w:rPr>
              <w:t>-188</w:t>
            </w:r>
          </w:p>
        </w:tc>
      </w:tr>
    </w:tbl>
    <w:p w:rsidR="00E473EF" w:rsidRDefault="00CE451E">
      <w:pPr>
        <w:keepNext/>
        <w:tabs>
          <w:tab w:val="left" w:pos="850"/>
        </w:tabs>
        <w:spacing w:before="360" w:after="120"/>
        <w:ind w:left="357" w:hanging="357"/>
        <w:jc w:val="both"/>
        <w:outlineLvl w:val="1"/>
        <w:rPr>
          <w:rFonts w:eastAsia="Calibri"/>
          <w:b/>
          <w:noProof/>
          <w:lang w:eastAsia="en-US"/>
        </w:rPr>
      </w:pPr>
      <w:bookmarkStart w:id="121" w:name="_Toc54770326"/>
      <w:bookmarkStart w:id="122" w:name="_Toc55807136"/>
      <w:bookmarkStart w:id="123" w:name="_Toc56009550"/>
      <w:bookmarkEnd w:id="120"/>
      <w:r>
        <w:rPr>
          <w:rFonts w:eastAsia="Calibri"/>
          <w:b/>
          <w:noProof/>
          <w:lang w:eastAsia="en-US"/>
        </w:rPr>
        <w:t>5.5</w:t>
      </w:r>
      <w:r>
        <w:rPr>
          <w:rFonts w:eastAsia="Calibri"/>
          <w:b/>
          <w:noProof/>
          <w:lang w:eastAsia="en-US"/>
        </w:rPr>
        <w:tab/>
      </w:r>
      <w:r>
        <w:rPr>
          <w:rFonts w:eastAsia="Calibri"/>
          <w:b/>
          <w:noProof/>
          <w:lang w:eastAsia="en-US"/>
        </w:rPr>
        <w:tab/>
        <w:t>Adjustments included in AL 1/2021</w:t>
      </w:r>
      <w:bookmarkEnd w:id="121"/>
      <w:bookmarkEnd w:id="122"/>
      <w:bookmarkEnd w:id="123"/>
    </w:p>
    <w:p w:rsidR="00E473EF" w:rsidRDefault="00CE451E">
      <w:pPr>
        <w:spacing w:before="120" w:after="120"/>
        <w:jc w:val="both"/>
        <w:rPr>
          <w:noProof/>
        </w:rPr>
      </w:pPr>
      <w:r>
        <w:rPr>
          <w:noProof/>
        </w:rPr>
        <w:t xml:space="preserve">The </w:t>
      </w:r>
      <w:r>
        <w:rPr>
          <w:noProof/>
        </w:rPr>
        <w:t>adjustments included AL 1/2021 reflect the resources implications of the foreseen delegation of the 2021-2027 programmes, both on the side of the executive agencies and on the side of the Commission for 2021. For this latter, the impact consists of a net r</w:t>
      </w:r>
      <w:r>
        <w:rPr>
          <w:noProof/>
        </w:rPr>
        <w:t>eduction of the appropriations of salaries under the heading 7 “European Public Administration” for an amount of EUR 2,5 million and a budgetary neutral reallocation of the appropriations within the respective envelope of the concerned delegated programmes</w:t>
      </w:r>
      <w:r>
        <w:rPr>
          <w:noProof/>
        </w:rPr>
        <w:t>.</w:t>
      </w:r>
    </w:p>
    <w:p w:rsidR="00E473EF" w:rsidRDefault="00CE451E">
      <w:pPr>
        <w:spacing w:after="200" w:line="276" w:lineRule="auto"/>
        <w:rPr>
          <w:noProof/>
        </w:rPr>
      </w:pPr>
      <w:r>
        <w:rPr>
          <w:noProof/>
        </w:rPr>
        <w:br w:type="page"/>
      </w:r>
    </w:p>
    <w:p w:rsidR="00E473EF" w:rsidRDefault="00CE451E">
      <w:pPr>
        <w:spacing w:before="120" w:after="120"/>
        <w:jc w:val="both"/>
        <w:rPr>
          <w:noProof/>
          <w:lang w:eastAsia="en-US"/>
        </w:rPr>
      </w:pPr>
      <w:r>
        <w:rPr>
          <w:noProof/>
        </w:rPr>
        <w:t>In terms of nomenclature, as shown in the table below, new budget lines are proposed to be created within each delegated programme for the subsidy of the six new executive agencies, in addition to the budget lines already included in the DB 2021 for th</w:t>
      </w:r>
      <w:r>
        <w:rPr>
          <w:noProof/>
        </w:rPr>
        <w:t>e current “legacy” ones. Maintaining this parallel structure will ensure an orderly transition from the current to the future executive agencies set-up, whatever its precise timing, which is closely dependant on the formal adoption of the MFF and of</w:t>
      </w:r>
      <w:r>
        <w:rPr>
          <w:noProof/>
          <w:lang w:eastAsia="en-US"/>
        </w:rPr>
        <w:t xml:space="preserve"> the ba</w:t>
      </w:r>
      <w:r>
        <w:rPr>
          <w:noProof/>
          <w:lang w:eastAsia="en-US"/>
        </w:rPr>
        <w:t xml:space="preserve">sic acts of the 2021-2027 programmes. </w:t>
      </w:r>
    </w:p>
    <w:tbl>
      <w:tblPr>
        <w:tblW w:w="9810" w:type="dxa"/>
        <w:tblInd w:w="113" w:type="dxa"/>
        <w:tblLook w:val="04A0" w:firstRow="1" w:lastRow="0" w:firstColumn="1" w:lastColumn="0" w:noHBand="0" w:noVBand="1"/>
      </w:tblPr>
      <w:tblGrid>
        <w:gridCol w:w="1675"/>
        <w:gridCol w:w="1075"/>
        <w:gridCol w:w="1925"/>
        <w:gridCol w:w="1066"/>
        <w:gridCol w:w="1094"/>
        <w:gridCol w:w="1166"/>
        <w:gridCol w:w="1809"/>
      </w:tblGrid>
      <w:tr w:rsidR="00E473EF">
        <w:trPr>
          <w:trHeight w:val="240"/>
          <w:tblHeader/>
        </w:trPr>
        <w:tc>
          <w:tcPr>
            <w:tcW w:w="1675" w:type="dxa"/>
            <w:tcBorders>
              <w:top w:val="single" w:sz="4" w:space="0" w:color="auto"/>
              <w:left w:val="single" w:sz="4" w:space="0" w:color="auto"/>
              <w:bottom w:val="single" w:sz="4" w:space="0" w:color="auto"/>
              <w:right w:val="nil"/>
            </w:tcBorders>
            <w:shd w:val="clear" w:color="000000" w:fill="D9D9D9"/>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New executive agency</w:t>
            </w:r>
          </w:p>
        </w:tc>
        <w:tc>
          <w:tcPr>
            <w:tcW w:w="107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New subsidy line</w:t>
            </w:r>
          </w:p>
        </w:tc>
        <w:tc>
          <w:tcPr>
            <w:tcW w:w="1925" w:type="dxa"/>
            <w:tcBorders>
              <w:top w:val="single" w:sz="4" w:space="0" w:color="auto"/>
              <w:left w:val="nil"/>
              <w:bottom w:val="single" w:sz="4" w:space="0" w:color="auto"/>
              <w:right w:val="single" w:sz="4" w:space="0" w:color="auto"/>
            </w:tcBorders>
            <w:shd w:val="clear" w:color="000000" w:fill="D9D9D9"/>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New portfolio</w:t>
            </w:r>
          </w:p>
        </w:tc>
        <w:tc>
          <w:tcPr>
            <w:tcW w:w="1066" w:type="dxa"/>
            <w:tcBorders>
              <w:top w:val="single" w:sz="4" w:space="0" w:color="auto"/>
              <w:left w:val="nil"/>
              <w:bottom w:val="single" w:sz="4" w:space="0" w:color="auto"/>
              <w:right w:val="single" w:sz="4" w:space="0" w:color="auto"/>
            </w:tcBorders>
            <w:shd w:val="clear" w:color="000000" w:fill="D9D9D9"/>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Legal predecessor</w:t>
            </w:r>
          </w:p>
        </w:tc>
        <w:tc>
          <w:tcPr>
            <w:tcW w:w="1094" w:type="dxa"/>
            <w:tcBorders>
              <w:top w:val="single" w:sz="4" w:space="0" w:color="auto"/>
              <w:left w:val="nil"/>
              <w:bottom w:val="single" w:sz="4" w:space="0" w:color="auto"/>
              <w:right w:val="single" w:sz="4" w:space="0" w:color="auto"/>
            </w:tcBorders>
            <w:shd w:val="clear" w:color="000000" w:fill="D9D9D9"/>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Legacy delegation</w:t>
            </w:r>
          </w:p>
        </w:tc>
        <w:tc>
          <w:tcPr>
            <w:tcW w:w="1166" w:type="dxa"/>
            <w:tcBorders>
              <w:top w:val="single" w:sz="4" w:space="0" w:color="auto"/>
              <w:left w:val="nil"/>
              <w:bottom w:val="single" w:sz="4" w:space="0" w:color="auto"/>
              <w:right w:val="single" w:sz="4" w:space="0" w:color="auto"/>
            </w:tcBorders>
            <w:shd w:val="clear" w:color="000000" w:fill="D9D9D9"/>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Legacy subsidy line</w:t>
            </w:r>
          </w:p>
        </w:tc>
        <w:tc>
          <w:tcPr>
            <w:tcW w:w="1809" w:type="dxa"/>
            <w:tcBorders>
              <w:top w:val="single" w:sz="4" w:space="0" w:color="auto"/>
              <w:left w:val="nil"/>
              <w:bottom w:val="single" w:sz="4" w:space="0" w:color="auto"/>
              <w:right w:val="single" w:sz="4" w:space="0" w:color="auto"/>
            </w:tcBorders>
            <w:shd w:val="clear" w:color="000000" w:fill="D9D9D9"/>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Previous portfolio</w:t>
            </w:r>
          </w:p>
        </w:tc>
      </w:tr>
      <w:tr w:rsidR="00E473EF">
        <w:trPr>
          <w:trHeight w:val="240"/>
        </w:trPr>
        <w:tc>
          <w:tcPr>
            <w:tcW w:w="1675" w:type="dxa"/>
            <w:tcBorders>
              <w:top w:val="nil"/>
              <w:left w:val="single" w:sz="4" w:space="0" w:color="auto"/>
              <w:bottom w:val="single" w:sz="4" w:space="0" w:color="auto"/>
              <w:right w:val="nil"/>
            </w:tcBorders>
            <w:shd w:val="clear" w:color="auto" w:fill="auto"/>
            <w:vAlign w:val="center"/>
            <w:hideMark/>
          </w:tcPr>
          <w:p w:rsidR="00E473EF" w:rsidRDefault="00CE451E">
            <w:pPr>
              <w:rPr>
                <w:noProof/>
                <w:color w:val="000000"/>
                <w:sz w:val="18"/>
                <w:szCs w:val="18"/>
                <w:lang w:val="en-US" w:eastAsia="en-US"/>
              </w:rPr>
            </w:pPr>
            <w:r>
              <w:rPr>
                <w:noProof/>
                <w:color w:val="000000"/>
                <w:sz w:val="18"/>
                <w:szCs w:val="18"/>
                <w:lang w:val="en-US" w:eastAsia="en-US"/>
              </w:rPr>
              <w:t>European Research Council Executive Agency</w:t>
            </w:r>
          </w:p>
        </w:tc>
        <w:tc>
          <w:tcPr>
            <w:tcW w:w="1075" w:type="dxa"/>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01 01 01 71</w:t>
            </w:r>
          </w:p>
        </w:tc>
        <w:tc>
          <w:tcPr>
            <w:tcW w:w="1925"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Horizon Europe</w:t>
            </w:r>
          </w:p>
        </w:tc>
        <w:tc>
          <w:tcPr>
            <w:tcW w:w="1066" w:type="dxa"/>
            <w:tcBorders>
              <w:top w:val="nil"/>
              <w:left w:val="nil"/>
              <w:bottom w:val="single" w:sz="4" w:space="0" w:color="auto"/>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ERCEA</w:t>
            </w:r>
          </w:p>
        </w:tc>
        <w:tc>
          <w:tcPr>
            <w:tcW w:w="1094"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ERCEA</w:t>
            </w:r>
          </w:p>
        </w:tc>
        <w:tc>
          <w:tcPr>
            <w:tcW w:w="1166"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 xml:space="preserve">01 01 </w:t>
            </w:r>
            <w:r>
              <w:rPr>
                <w:noProof/>
                <w:color w:val="000000"/>
                <w:sz w:val="18"/>
                <w:szCs w:val="18"/>
                <w:lang w:val="en-US" w:eastAsia="en-US"/>
              </w:rPr>
              <w:t>01 61</w:t>
            </w:r>
          </w:p>
        </w:tc>
        <w:tc>
          <w:tcPr>
            <w:tcW w:w="1809"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Horizon 2020</w:t>
            </w:r>
          </w:p>
        </w:tc>
      </w:tr>
      <w:tr w:rsidR="00E473EF">
        <w:trPr>
          <w:trHeight w:val="240"/>
        </w:trPr>
        <w:tc>
          <w:tcPr>
            <w:tcW w:w="1675" w:type="dxa"/>
            <w:vMerge w:val="restart"/>
            <w:tcBorders>
              <w:top w:val="nil"/>
              <w:left w:val="single" w:sz="4" w:space="0" w:color="auto"/>
              <w:bottom w:val="single" w:sz="4" w:space="0" w:color="000000"/>
              <w:right w:val="nil"/>
            </w:tcBorders>
            <w:shd w:val="clear" w:color="auto" w:fill="auto"/>
            <w:vAlign w:val="center"/>
            <w:hideMark/>
          </w:tcPr>
          <w:p w:rsidR="00E473EF" w:rsidRDefault="00CE451E">
            <w:pPr>
              <w:rPr>
                <w:noProof/>
                <w:color w:val="000000"/>
                <w:sz w:val="18"/>
                <w:szCs w:val="18"/>
                <w:lang w:val="en-US" w:eastAsia="en-US"/>
              </w:rPr>
            </w:pPr>
            <w:r>
              <w:rPr>
                <w:noProof/>
                <w:color w:val="000000"/>
                <w:sz w:val="18"/>
                <w:szCs w:val="18"/>
                <w:lang w:val="en-US" w:eastAsia="en-US"/>
              </w:rPr>
              <w:t>European Research Executive Agency</w:t>
            </w:r>
          </w:p>
        </w:tc>
        <w:tc>
          <w:tcPr>
            <w:tcW w:w="1075" w:type="dxa"/>
            <w:vMerge w:val="restart"/>
            <w:tcBorders>
              <w:top w:val="single" w:sz="4" w:space="0" w:color="auto"/>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01 01 01 72</w:t>
            </w:r>
          </w:p>
        </w:tc>
        <w:tc>
          <w:tcPr>
            <w:tcW w:w="1925" w:type="dxa"/>
            <w:vMerge w:val="restart"/>
            <w:tcBorders>
              <w:top w:val="single" w:sz="4" w:space="0" w:color="auto"/>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Horizon Europe</w:t>
            </w:r>
          </w:p>
        </w:tc>
        <w:tc>
          <w:tcPr>
            <w:tcW w:w="1066" w:type="dxa"/>
            <w:vMerge w:val="restart"/>
            <w:tcBorders>
              <w:top w:val="nil"/>
              <w:left w:val="nil"/>
              <w:bottom w:val="single" w:sz="4" w:space="0" w:color="000000"/>
              <w:right w:val="nil"/>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REA</w:t>
            </w:r>
          </w:p>
        </w:tc>
        <w:tc>
          <w:tcPr>
            <w:tcW w:w="1094" w:type="dxa"/>
            <w:tcBorders>
              <w:top w:val="single" w:sz="4" w:space="0" w:color="auto"/>
              <w:left w:val="single" w:sz="4" w:space="0" w:color="auto"/>
              <w:bottom w:val="nil"/>
              <w:right w:val="nil"/>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REA</w:t>
            </w:r>
          </w:p>
        </w:tc>
        <w:tc>
          <w:tcPr>
            <w:tcW w:w="1166" w:type="dxa"/>
            <w:tcBorders>
              <w:top w:val="single" w:sz="4" w:space="0" w:color="auto"/>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01 01 01 62</w:t>
            </w:r>
          </w:p>
        </w:tc>
        <w:tc>
          <w:tcPr>
            <w:tcW w:w="1809" w:type="dxa"/>
            <w:vMerge w:val="restart"/>
            <w:tcBorders>
              <w:top w:val="single" w:sz="4" w:space="0" w:color="auto"/>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Horizon 2020</w:t>
            </w:r>
          </w:p>
        </w:tc>
      </w:tr>
      <w:tr w:rsidR="00E473EF">
        <w:trPr>
          <w:trHeight w:val="240"/>
        </w:trPr>
        <w:tc>
          <w:tcPr>
            <w:tcW w:w="1675" w:type="dxa"/>
            <w:vMerge/>
            <w:tcBorders>
              <w:top w:val="nil"/>
              <w:left w:val="single" w:sz="4" w:space="0" w:color="auto"/>
              <w:bottom w:val="single" w:sz="4" w:space="0" w:color="000000"/>
              <w:right w:val="nil"/>
            </w:tcBorders>
            <w:vAlign w:val="center"/>
            <w:hideMark/>
          </w:tcPr>
          <w:p w:rsidR="00E473EF" w:rsidRDefault="00E473EF">
            <w:pPr>
              <w:rPr>
                <w:noProof/>
                <w:color w:val="000000"/>
                <w:sz w:val="18"/>
                <w:szCs w:val="18"/>
                <w:lang w:val="en-US" w:eastAsia="en-US"/>
              </w:rPr>
            </w:pPr>
          </w:p>
        </w:tc>
        <w:tc>
          <w:tcPr>
            <w:tcW w:w="1075" w:type="dxa"/>
            <w:vMerge/>
            <w:tcBorders>
              <w:top w:val="single" w:sz="4" w:space="0" w:color="auto"/>
              <w:left w:val="single" w:sz="4" w:space="0" w:color="auto"/>
              <w:bottom w:val="nil"/>
              <w:right w:val="single" w:sz="4" w:space="0" w:color="auto"/>
            </w:tcBorders>
            <w:vAlign w:val="center"/>
            <w:hideMark/>
          </w:tcPr>
          <w:p w:rsidR="00E473EF" w:rsidRDefault="00E473EF">
            <w:pPr>
              <w:rPr>
                <w:noProof/>
                <w:color w:val="000000"/>
                <w:sz w:val="18"/>
                <w:szCs w:val="18"/>
                <w:lang w:val="en-US" w:eastAsia="en-US"/>
              </w:rPr>
            </w:pPr>
          </w:p>
        </w:tc>
        <w:tc>
          <w:tcPr>
            <w:tcW w:w="1925" w:type="dxa"/>
            <w:vMerge/>
            <w:tcBorders>
              <w:top w:val="single" w:sz="4" w:space="0" w:color="auto"/>
              <w:left w:val="single" w:sz="4" w:space="0" w:color="auto"/>
              <w:bottom w:val="nil"/>
              <w:right w:val="single" w:sz="4" w:space="0" w:color="auto"/>
            </w:tcBorders>
            <w:vAlign w:val="center"/>
            <w:hideMark/>
          </w:tcPr>
          <w:p w:rsidR="00E473EF" w:rsidRDefault="00E473EF">
            <w:pPr>
              <w:rPr>
                <w:noProof/>
                <w:color w:val="000000"/>
                <w:sz w:val="16"/>
                <w:szCs w:val="16"/>
                <w:lang w:val="en-US" w:eastAsia="en-US"/>
              </w:rPr>
            </w:pPr>
          </w:p>
        </w:tc>
        <w:tc>
          <w:tcPr>
            <w:tcW w:w="1066" w:type="dxa"/>
            <w:vMerge/>
            <w:tcBorders>
              <w:top w:val="nil"/>
              <w:left w:val="nil"/>
              <w:bottom w:val="single" w:sz="4" w:space="0" w:color="000000"/>
              <w:right w:val="nil"/>
            </w:tcBorders>
            <w:vAlign w:val="center"/>
            <w:hideMark/>
          </w:tcPr>
          <w:p w:rsidR="00E473EF" w:rsidRDefault="00E473EF">
            <w:pPr>
              <w:rPr>
                <w:noProof/>
                <w:color w:val="000000"/>
                <w:sz w:val="18"/>
                <w:szCs w:val="18"/>
                <w:lang w:val="en-US" w:eastAsia="en-US"/>
              </w:rPr>
            </w:pPr>
          </w:p>
        </w:tc>
        <w:tc>
          <w:tcPr>
            <w:tcW w:w="1094" w:type="dxa"/>
            <w:tcBorders>
              <w:top w:val="nil"/>
              <w:left w:val="single" w:sz="4" w:space="0" w:color="auto"/>
              <w:bottom w:val="nil"/>
              <w:right w:val="nil"/>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EASME</w:t>
            </w:r>
          </w:p>
        </w:tc>
        <w:tc>
          <w:tcPr>
            <w:tcW w:w="1166" w:type="dxa"/>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01 01 01 63</w:t>
            </w:r>
          </w:p>
        </w:tc>
        <w:tc>
          <w:tcPr>
            <w:tcW w:w="1809" w:type="dxa"/>
            <w:vMerge/>
            <w:tcBorders>
              <w:top w:val="single" w:sz="4" w:space="0" w:color="auto"/>
              <w:left w:val="single" w:sz="4" w:space="0" w:color="auto"/>
              <w:bottom w:val="nil"/>
              <w:right w:val="single" w:sz="4" w:space="0" w:color="auto"/>
            </w:tcBorders>
            <w:vAlign w:val="center"/>
            <w:hideMark/>
          </w:tcPr>
          <w:p w:rsidR="00E473EF" w:rsidRDefault="00E473EF">
            <w:pPr>
              <w:rPr>
                <w:noProof/>
                <w:color w:val="000000"/>
                <w:sz w:val="16"/>
                <w:szCs w:val="16"/>
                <w:lang w:val="en-US" w:eastAsia="en-US"/>
              </w:rPr>
            </w:pPr>
          </w:p>
        </w:tc>
      </w:tr>
      <w:tr w:rsidR="00E473EF">
        <w:trPr>
          <w:trHeight w:val="240"/>
        </w:trPr>
        <w:tc>
          <w:tcPr>
            <w:tcW w:w="1675" w:type="dxa"/>
            <w:vMerge/>
            <w:tcBorders>
              <w:top w:val="nil"/>
              <w:left w:val="single" w:sz="4" w:space="0" w:color="auto"/>
              <w:bottom w:val="single" w:sz="4" w:space="0" w:color="000000"/>
              <w:right w:val="nil"/>
            </w:tcBorders>
            <w:vAlign w:val="center"/>
            <w:hideMark/>
          </w:tcPr>
          <w:p w:rsidR="00E473EF" w:rsidRDefault="00E473EF">
            <w:pPr>
              <w:rPr>
                <w:noProof/>
                <w:color w:val="000000"/>
                <w:sz w:val="18"/>
                <w:szCs w:val="18"/>
                <w:lang w:val="en-US" w:eastAsia="en-US"/>
              </w:rPr>
            </w:pPr>
          </w:p>
        </w:tc>
        <w:tc>
          <w:tcPr>
            <w:tcW w:w="1075" w:type="dxa"/>
            <w:tcBorders>
              <w:top w:val="nil"/>
              <w:left w:val="single" w:sz="4" w:space="0" w:color="auto"/>
              <w:bottom w:val="nil"/>
              <w:right w:val="nil"/>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20 03 14 72</w:t>
            </w:r>
          </w:p>
        </w:tc>
        <w:tc>
          <w:tcPr>
            <w:tcW w:w="1925" w:type="dxa"/>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Central Support Service</w:t>
            </w:r>
          </w:p>
        </w:tc>
        <w:tc>
          <w:tcPr>
            <w:tcW w:w="1066" w:type="dxa"/>
            <w:vMerge/>
            <w:tcBorders>
              <w:top w:val="nil"/>
              <w:left w:val="nil"/>
              <w:bottom w:val="single" w:sz="4" w:space="0" w:color="000000"/>
              <w:right w:val="nil"/>
            </w:tcBorders>
            <w:vAlign w:val="center"/>
            <w:hideMark/>
          </w:tcPr>
          <w:p w:rsidR="00E473EF" w:rsidRDefault="00E473EF">
            <w:pPr>
              <w:rPr>
                <w:noProof/>
                <w:color w:val="000000"/>
                <w:sz w:val="18"/>
                <w:szCs w:val="18"/>
                <w:lang w:val="en-US" w:eastAsia="en-US"/>
              </w:rPr>
            </w:pPr>
          </w:p>
        </w:tc>
        <w:tc>
          <w:tcPr>
            <w:tcW w:w="1094" w:type="dxa"/>
            <w:tcBorders>
              <w:top w:val="nil"/>
              <w:left w:val="single" w:sz="4" w:space="0" w:color="auto"/>
              <w:bottom w:val="nil"/>
              <w:right w:val="nil"/>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REA</w:t>
            </w:r>
          </w:p>
        </w:tc>
        <w:tc>
          <w:tcPr>
            <w:tcW w:w="1166" w:type="dxa"/>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20 03 14 62</w:t>
            </w:r>
          </w:p>
        </w:tc>
        <w:tc>
          <w:tcPr>
            <w:tcW w:w="1809"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Central Support Service</w:t>
            </w:r>
          </w:p>
        </w:tc>
      </w:tr>
      <w:tr w:rsidR="00E473EF">
        <w:trPr>
          <w:trHeight w:val="240"/>
        </w:trPr>
        <w:tc>
          <w:tcPr>
            <w:tcW w:w="1675" w:type="dxa"/>
            <w:vMerge/>
            <w:tcBorders>
              <w:top w:val="nil"/>
              <w:left w:val="single" w:sz="4" w:space="0" w:color="auto"/>
              <w:bottom w:val="single" w:sz="4" w:space="0" w:color="000000"/>
              <w:right w:val="nil"/>
            </w:tcBorders>
            <w:vAlign w:val="center"/>
            <w:hideMark/>
          </w:tcPr>
          <w:p w:rsidR="00E473EF" w:rsidRDefault="00E473EF">
            <w:pPr>
              <w:rPr>
                <w:noProof/>
                <w:color w:val="000000"/>
                <w:sz w:val="18"/>
                <w:szCs w:val="18"/>
                <w:lang w:val="en-US" w:eastAsia="en-US"/>
              </w:rPr>
            </w:pPr>
          </w:p>
        </w:tc>
        <w:tc>
          <w:tcPr>
            <w:tcW w:w="1075" w:type="dxa"/>
            <w:tcBorders>
              <w:top w:val="nil"/>
              <w:left w:val="single" w:sz="4" w:space="0" w:color="auto"/>
              <w:bottom w:val="nil"/>
              <w:right w:val="nil"/>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08 01 01 72</w:t>
            </w:r>
          </w:p>
        </w:tc>
        <w:tc>
          <w:tcPr>
            <w:tcW w:w="1925" w:type="dxa"/>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 xml:space="preserve">European Agricultural </w:t>
            </w:r>
            <w:r>
              <w:rPr>
                <w:noProof/>
                <w:color w:val="000000"/>
                <w:sz w:val="16"/>
                <w:szCs w:val="16"/>
                <w:lang w:val="en-US" w:eastAsia="en-US"/>
              </w:rPr>
              <w:t>Guarantee Fund</w:t>
            </w:r>
          </w:p>
        </w:tc>
        <w:tc>
          <w:tcPr>
            <w:tcW w:w="1066" w:type="dxa"/>
            <w:vMerge/>
            <w:tcBorders>
              <w:top w:val="nil"/>
              <w:left w:val="nil"/>
              <w:bottom w:val="single" w:sz="4" w:space="0" w:color="000000"/>
              <w:right w:val="nil"/>
            </w:tcBorders>
            <w:vAlign w:val="center"/>
            <w:hideMark/>
          </w:tcPr>
          <w:p w:rsidR="00E473EF" w:rsidRDefault="00E473EF">
            <w:pPr>
              <w:rPr>
                <w:noProof/>
                <w:color w:val="000000"/>
                <w:sz w:val="18"/>
                <w:szCs w:val="18"/>
                <w:lang w:val="en-US" w:eastAsia="en-US"/>
              </w:rPr>
            </w:pPr>
          </w:p>
        </w:tc>
        <w:tc>
          <w:tcPr>
            <w:tcW w:w="1094" w:type="dxa"/>
            <w:tcBorders>
              <w:top w:val="nil"/>
              <w:left w:val="single" w:sz="4" w:space="0" w:color="auto"/>
              <w:bottom w:val="nil"/>
              <w:right w:val="nil"/>
            </w:tcBorders>
            <w:shd w:val="clear" w:color="auto" w:fill="auto"/>
            <w:vAlign w:val="center"/>
            <w:hideMark/>
          </w:tcPr>
          <w:p w:rsidR="00E473EF" w:rsidRDefault="00CE451E">
            <w:pPr>
              <w:jc w:val="center"/>
              <w:rPr>
                <w:iCs/>
                <w:noProof/>
                <w:color w:val="000000"/>
                <w:sz w:val="18"/>
                <w:szCs w:val="18"/>
                <w:lang w:val="en-US" w:eastAsia="en-US"/>
              </w:rPr>
            </w:pPr>
            <w:r>
              <w:rPr>
                <w:iCs/>
                <w:noProof/>
                <w:color w:val="000000"/>
                <w:sz w:val="18"/>
                <w:szCs w:val="18"/>
                <w:lang w:val="en-US" w:eastAsia="en-US"/>
              </w:rPr>
              <w:t>CHAFEA</w:t>
            </w:r>
          </w:p>
        </w:tc>
        <w:tc>
          <w:tcPr>
            <w:tcW w:w="1166" w:type="dxa"/>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08 01 01 66</w:t>
            </w:r>
          </w:p>
        </w:tc>
        <w:tc>
          <w:tcPr>
            <w:tcW w:w="1809"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European Agricultural Guarantee Fund</w:t>
            </w:r>
          </w:p>
        </w:tc>
      </w:tr>
      <w:tr w:rsidR="00E473EF">
        <w:trPr>
          <w:trHeight w:val="240"/>
        </w:trPr>
        <w:tc>
          <w:tcPr>
            <w:tcW w:w="1675" w:type="dxa"/>
            <w:vMerge/>
            <w:tcBorders>
              <w:top w:val="nil"/>
              <w:left w:val="single" w:sz="4" w:space="0" w:color="auto"/>
              <w:bottom w:val="single" w:sz="4" w:space="0" w:color="000000"/>
              <w:right w:val="nil"/>
            </w:tcBorders>
            <w:vAlign w:val="center"/>
            <w:hideMark/>
          </w:tcPr>
          <w:p w:rsidR="00E473EF" w:rsidRDefault="00E473EF">
            <w:pPr>
              <w:rPr>
                <w:noProof/>
                <w:color w:val="000000"/>
                <w:sz w:val="18"/>
                <w:szCs w:val="18"/>
                <w:lang w:val="en-US" w:eastAsia="en-US"/>
              </w:rPr>
            </w:pPr>
          </w:p>
        </w:tc>
        <w:tc>
          <w:tcPr>
            <w:tcW w:w="1075" w:type="dxa"/>
            <w:tcBorders>
              <w:top w:val="nil"/>
              <w:left w:val="single" w:sz="4" w:space="0" w:color="auto"/>
              <w:bottom w:val="single" w:sz="4" w:space="0" w:color="auto"/>
              <w:right w:val="nil"/>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20 03 14 72</w:t>
            </w:r>
          </w:p>
        </w:tc>
        <w:tc>
          <w:tcPr>
            <w:tcW w:w="192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Research Programme for Coal and Steel</w:t>
            </w:r>
          </w:p>
        </w:tc>
        <w:tc>
          <w:tcPr>
            <w:tcW w:w="1066" w:type="dxa"/>
            <w:vMerge/>
            <w:tcBorders>
              <w:top w:val="nil"/>
              <w:left w:val="nil"/>
              <w:bottom w:val="single" w:sz="4" w:space="0" w:color="000000"/>
              <w:right w:val="nil"/>
            </w:tcBorders>
            <w:vAlign w:val="center"/>
            <w:hideMark/>
          </w:tcPr>
          <w:p w:rsidR="00E473EF" w:rsidRDefault="00E473EF">
            <w:pPr>
              <w:rPr>
                <w:noProof/>
                <w:color w:val="000000"/>
                <w:sz w:val="18"/>
                <w:szCs w:val="18"/>
                <w:lang w:val="en-US" w:eastAsia="en-US"/>
              </w:rPr>
            </w:pPr>
          </w:p>
        </w:tc>
        <w:tc>
          <w:tcPr>
            <w:tcW w:w="1094" w:type="dxa"/>
            <w:tcBorders>
              <w:top w:val="nil"/>
              <w:left w:val="single" w:sz="4" w:space="0" w:color="auto"/>
              <w:bottom w:val="single" w:sz="4" w:space="0" w:color="auto"/>
              <w:right w:val="nil"/>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REA</w:t>
            </w:r>
          </w:p>
        </w:tc>
        <w:tc>
          <w:tcPr>
            <w:tcW w:w="1166"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w:t>
            </w:r>
          </w:p>
        </w:tc>
        <w:tc>
          <w:tcPr>
            <w:tcW w:w="1809" w:type="dxa"/>
            <w:tcBorders>
              <w:top w:val="nil"/>
              <w:left w:val="nil"/>
              <w:bottom w:val="single" w:sz="4" w:space="0" w:color="auto"/>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w:t>
            </w:r>
          </w:p>
        </w:tc>
      </w:tr>
      <w:tr w:rsidR="00E473EF">
        <w:trPr>
          <w:trHeight w:val="240"/>
        </w:trPr>
        <w:tc>
          <w:tcPr>
            <w:tcW w:w="1675" w:type="dxa"/>
            <w:vMerge w:val="restart"/>
            <w:tcBorders>
              <w:top w:val="nil"/>
              <w:left w:val="single" w:sz="4" w:space="0" w:color="auto"/>
              <w:bottom w:val="single" w:sz="4" w:space="0" w:color="000000"/>
              <w:right w:val="single" w:sz="4" w:space="0" w:color="auto"/>
            </w:tcBorders>
            <w:shd w:val="clear" w:color="auto" w:fill="auto"/>
            <w:vAlign w:val="center"/>
            <w:hideMark/>
          </w:tcPr>
          <w:p w:rsidR="00E473EF" w:rsidRDefault="00CE451E">
            <w:pPr>
              <w:rPr>
                <w:noProof/>
                <w:color w:val="000000"/>
                <w:sz w:val="18"/>
                <w:szCs w:val="18"/>
                <w:lang w:val="en-US" w:eastAsia="en-US"/>
              </w:rPr>
            </w:pPr>
            <w:r>
              <w:rPr>
                <w:noProof/>
                <w:color w:val="000000"/>
                <w:sz w:val="18"/>
                <w:szCs w:val="18"/>
                <w:lang w:val="en-US" w:eastAsia="en-US"/>
              </w:rPr>
              <w:t>European Health and Digital Executive Agency</w:t>
            </w:r>
          </w:p>
        </w:tc>
        <w:tc>
          <w:tcPr>
            <w:tcW w:w="1075" w:type="dxa"/>
            <w:vMerge w:val="restart"/>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01 01 01 73</w:t>
            </w:r>
          </w:p>
        </w:tc>
        <w:tc>
          <w:tcPr>
            <w:tcW w:w="1925" w:type="dxa"/>
            <w:vMerge w:val="restart"/>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Horizon Europe</w:t>
            </w:r>
          </w:p>
        </w:tc>
        <w:tc>
          <w:tcPr>
            <w:tcW w:w="1066" w:type="dxa"/>
            <w:vMerge w:val="restart"/>
            <w:tcBorders>
              <w:top w:val="nil"/>
              <w:left w:val="single" w:sz="4" w:space="0" w:color="auto"/>
              <w:bottom w:val="single" w:sz="4" w:space="0" w:color="000000"/>
              <w:right w:val="single" w:sz="4" w:space="0" w:color="auto"/>
            </w:tcBorders>
            <w:shd w:val="clear" w:color="auto" w:fill="auto"/>
            <w:vAlign w:val="center"/>
            <w:hideMark/>
          </w:tcPr>
          <w:p w:rsidR="00E473EF" w:rsidRDefault="00CE451E">
            <w:pPr>
              <w:jc w:val="center"/>
              <w:rPr>
                <w:i/>
                <w:iCs/>
                <w:noProof/>
                <w:color w:val="000000"/>
                <w:sz w:val="18"/>
                <w:szCs w:val="18"/>
                <w:lang w:val="en-US" w:eastAsia="en-US"/>
              </w:rPr>
            </w:pPr>
            <w:r>
              <w:rPr>
                <w:i/>
                <w:iCs/>
                <w:noProof/>
                <w:color w:val="000000"/>
                <w:sz w:val="18"/>
                <w:szCs w:val="18"/>
                <w:lang w:val="en-US" w:eastAsia="en-US"/>
              </w:rPr>
              <w:t>New</w:t>
            </w:r>
          </w:p>
        </w:tc>
        <w:tc>
          <w:tcPr>
            <w:tcW w:w="1094" w:type="dxa"/>
            <w:tcBorders>
              <w:top w:val="nil"/>
              <w:left w:val="nil"/>
              <w:bottom w:val="nil"/>
              <w:right w:val="nil"/>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REA</w:t>
            </w:r>
          </w:p>
        </w:tc>
        <w:tc>
          <w:tcPr>
            <w:tcW w:w="1166" w:type="dxa"/>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01 01 01 62</w:t>
            </w:r>
          </w:p>
        </w:tc>
        <w:tc>
          <w:tcPr>
            <w:tcW w:w="1809" w:type="dxa"/>
            <w:vMerge w:val="restart"/>
            <w:tcBorders>
              <w:top w:val="nil"/>
              <w:left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Horizon 2020</w:t>
            </w:r>
          </w:p>
        </w:tc>
      </w:tr>
      <w:tr w:rsidR="00E473EF">
        <w:trPr>
          <w:trHeight w:val="240"/>
        </w:trPr>
        <w:tc>
          <w:tcPr>
            <w:tcW w:w="1675"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75" w:type="dxa"/>
            <w:vMerge/>
            <w:tcBorders>
              <w:top w:val="nil"/>
              <w:left w:val="single" w:sz="4" w:space="0" w:color="auto"/>
              <w:bottom w:val="nil"/>
              <w:right w:val="single" w:sz="4" w:space="0" w:color="auto"/>
            </w:tcBorders>
            <w:vAlign w:val="center"/>
            <w:hideMark/>
          </w:tcPr>
          <w:p w:rsidR="00E473EF" w:rsidRDefault="00E473EF">
            <w:pPr>
              <w:rPr>
                <w:noProof/>
                <w:color w:val="000000"/>
                <w:sz w:val="18"/>
                <w:szCs w:val="18"/>
                <w:lang w:val="en-US" w:eastAsia="en-US"/>
              </w:rPr>
            </w:pPr>
          </w:p>
        </w:tc>
        <w:tc>
          <w:tcPr>
            <w:tcW w:w="1925" w:type="dxa"/>
            <w:vMerge/>
            <w:tcBorders>
              <w:top w:val="nil"/>
              <w:left w:val="single" w:sz="4" w:space="0" w:color="auto"/>
              <w:bottom w:val="nil"/>
              <w:right w:val="single" w:sz="4" w:space="0" w:color="auto"/>
            </w:tcBorders>
            <w:vAlign w:val="center"/>
            <w:hideMark/>
          </w:tcPr>
          <w:p w:rsidR="00E473EF" w:rsidRDefault="00E473EF">
            <w:pPr>
              <w:rPr>
                <w:noProof/>
                <w:color w:val="000000"/>
                <w:sz w:val="16"/>
                <w:szCs w:val="16"/>
                <w:lang w:val="en-US" w:eastAsia="en-US"/>
              </w:rPr>
            </w:pPr>
          </w:p>
        </w:tc>
        <w:tc>
          <w:tcPr>
            <w:tcW w:w="1066" w:type="dxa"/>
            <w:vMerge/>
            <w:tcBorders>
              <w:top w:val="nil"/>
              <w:left w:val="single" w:sz="4" w:space="0" w:color="auto"/>
              <w:bottom w:val="single" w:sz="4" w:space="0" w:color="000000"/>
              <w:right w:val="single" w:sz="4" w:space="0" w:color="auto"/>
            </w:tcBorders>
            <w:vAlign w:val="center"/>
            <w:hideMark/>
          </w:tcPr>
          <w:p w:rsidR="00E473EF" w:rsidRDefault="00E473EF">
            <w:pPr>
              <w:rPr>
                <w:i/>
                <w:iCs/>
                <w:noProof/>
                <w:color w:val="000000"/>
                <w:sz w:val="18"/>
                <w:szCs w:val="18"/>
                <w:lang w:val="en-US" w:eastAsia="en-US"/>
              </w:rPr>
            </w:pPr>
          </w:p>
        </w:tc>
        <w:tc>
          <w:tcPr>
            <w:tcW w:w="1094"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EASME</w:t>
            </w:r>
          </w:p>
        </w:tc>
        <w:tc>
          <w:tcPr>
            <w:tcW w:w="1166"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 xml:space="preserve">01 01 </w:t>
            </w:r>
            <w:r>
              <w:rPr>
                <w:noProof/>
                <w:color w:val="000000"/>
                <w:sz w:val="18"/>
                <w:szCs w:val="18"/>
                <w:lang w:val="en-US" w:eastAsia="en-US"/>
              </w:rPr>
              <w:t>01 63</w:t>
            </w:r>
          </w:p>
        </w:tc>
        <w:tc>
          <w:tcPr>
            <w:tcW w:w="1809" w:type="dxa"/>
            <w:vMerge/>
            <w:tcBorders>
              <w:left w:val="nil"/>
              <w:bottom w:val="nil"/>
              <w:right w:val="single" w:sz="4" w:space="0" w:color="auto"/>
            </w:tcBorders>
            <w:shd w:val="clear" w:color="auto" w:fill="auto"/>
            <w:vAlign w:val="center"/>
            <w:hideMark/>
          </w:tcPr>
          <w:p w:rsidR="00E473EF" w:rsidRDefault="00E473EF">
            <w:pPr>
              <w:jc w:val="center"/>
              <w:rPr>
                <w:noProof/>
                <w:color w:val="000000"/>
                <w:sz w:val="16"/>
                <w:szCs w:val="16"/>
                <w:lang w:val="en-US" w:eastAsia="en-US"/>
              </w:rPr>
            </w:pPr>
          </w:p>
        </w:tc>
      </w:tr>
      <w:tr w:rsidR="00E473EF">
        <w:trPr>
          <w:trHeight w:val="240"/>
        </w:trPr>
        <w:tc>
          <w:tcPr>
            <w:tcW w:w="1675"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75"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02 01 23 73</w:t>
            </w:r>
          </w:p>
        </w:tc>
        <w:tc>
          <w:tcPr>
            <w:tcW w:w="1925"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Connecting Europe Facility - Digital</w:t>
            </w:r>
          </w:p>
        </w:tc>
        <w:tc>
          <w:tcPr>
            <w:tcW w:w="1066" w:type="dxa"/>
            <w:vMerge/>
            <w:tcBorders>
              <w:top w:val="nil"/>
              <w:left w:val="single" w:sz="4" w:space="0" w:color="auto"/>
              <w:bottom w:val="single" w:sz="4" w:space="0" w:color="000000"/>
              <w:right w:val="single" w:sz="4" w:space="0" w:color="auto"/>
            </w:tcBorders>
            <w:vAlign w:val="center"/>
            <w:hideMark/>
          </w:tcPr>
          <w:p w:rsidR="00E473EF" w:rsidRDefault="00E473EF">
            <w:pPr>
              <w:rPr>
                <w:i/>
                <w:iCs/>
                <w:noProof/>
                <w:color w:val="000000"/>
                <w:sz w:val="18"/>
                <w:szCs w:val="18"/>
                <w:lang w:val="en-US" w:eastAsia="en-US"/>
              </w:rPr>
            </w:pPr>
          </w:p>
        </w:tc>
        <w:tc>
          <w:tcPr>
            <w:tcW w:w="1094"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INEA</w:t>
            </w:r>
          </w:p>
        </w:tc>
        <w:tc>
          <w:tcPr>
            <w:tcW w:w="1166"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02 01 21 64</w:t>
            </w:r>
          </w:p>
        </w:tc>
        <w:tc>
          <w:tcPr>
            <w:tcW w:w="1809"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Connecting Europe Facility</w:t>
            </w:r>
          </w:p>
        </w:tc>
      </w:tr>
      <w:tr w:rsidR="00E473EF">
        <w:trPr>
          <w:trHeight w:val="240"/>
        </w:trPr>
        <w:tc>
          <w:tcPr>
            <w:tcW w:w="1675"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75"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02 01 30 73</w:t>
            </w:r>
          </w:p>
        </w:tc>
        <w:tc>
          <w:tcPr>
            <w:tcW w:w="1925"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Digital Europe Programme</w:t>
            </w:r>
          </w:p>
        </w:tc>
        <w:tc>
          <w:tcPr>
            <w:tcW w:w="1066" w:type="dxa"/>
            <w:vMerge/>
            <w:tcBorders>
              <w:top w:val="nil"/>
              <w:left w:val="single" w:sz="4" w:space="0" w:color="auto"/>
              <w:bottom w:val="single" w:sz="4" w:space="0" w:color="000000"/>
              <w:right w:val="single" w:sz="4" w:space="0" w:color="auto"/>
            </w:tcBorders>
            <w:vAlign w:val="center"/>
            <w:hideMark/>
          </w:tcPr>
          <w:p w:rsidR="00E473EF" w:rsidRDefault="00E473EF">
            <w:pPr>
              <w:rPr>
                <w:i/>
                <w:iCs/>
                <w:noProof/>
                <w:color w:val="000000"/>
                <w:sz w:val="18"/>
                <w:szCs w:val="18"/>
                <w:lang w:val="en-US" w:eastAsia="en-US"/>
              </w:rPr>
            </w:pPr>
          </w:p>
        </w:tc>
        <w:tc>
          <w:tcPr>
            <w:tcW w:w="1094"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w:t>
            </w:r>
          </w:p>
        </w:tc>
        <w:tc>
          <w:tcPr>
            <w:tcW w:w="1166"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w:t>
            </w:r>
          </w:p>
        </w:tc>
        <w:tc>
          <w:tcPr>
            <w:tcW w:w="1809"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w:t>
            </w:r>
          </w:p>
        </w:tc>
      </w:tr>
      <w:tr w:rsidR="00E473EF">
        <w:trPr>
          <w:trHeight w:val="240"/>
        </w:trPr>
        <w:tc>
          <w:tcPr>
            <w:tcW w:w="1675"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75"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03 01 01 73</w:t>
            </w:r>
          </w:p>
        </w:tc>
        <w:tc>
          <w:tcPr>
            <w:tcW w:w="1925"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Single Market Programme</w:t>
            </w:r>
          </w:p>
        </w:tc>
        <w:tc>
          <w:tcPr>
            <w:tcW w:w="1066" w:type="dxa"/>
            <w:vMerge/>
            <w:tcBorders>
              <w:top w:val="nil"/>
              <w:left w:val="single" w:sz="4" w:space="0" w:color="auto"/>
              <w:bottom w:val="single" w:sz="4" w:space="0" w:color="000000"/>
              <w:right w:val="single" w:sz="4" w:space="0" w:color="auto"/>
            </w:tcBorders>
            <w:vAlign w:val="center"/>
            <w:hideMark/>
          </w:tcPr>
          <w:p w:rsidR="00E473EF" w:rsidRDefault="00E473EF">
            <w:pPr>
              <w:rPr>
                <w:i/>
                <w:iCs/>
                <w:noProof/>
                <w:color w:val="000000"/>
                <w:sz w:val="18"/>
                <w:szCs w:val="18"/>
                <w:lang w:val="en-US" w:eastAsia="en-US"/>
              </w:rPr>
            </w:pPr>
          </w:p>
        </w:tc>
        <w:tc>
          <w:tcPr>
            <w:tcW w:w="1094" w:type="dxa"/>
            <w:vMerge w:val="restart"/>
            <w:tcBorders>
              <w:top w:val="nil"/>
              <w:left w:val="single" w:sz="4" w:space="0" w:color="auto"/>
              <w:bottom w:val="single" w:sz="4" w:space="0" w:color="000000"/>
              <w:right w:val="single" w:sz="4" w:space="0" w:color="auto"/>
            </w:tcBorders>
            <w:shd w:val="clear" w:color="auto" w:fill="auto"/>
            <w:vAlign w:val="center"/>
            <w:hideMark/>
          </w:tcPr>
          <w:p w:rsidR="00E473EF" w:rsidRDefault="00CE451E">
            <w:pPr>
              <w:jc w:val="center"/>
              <w:rPr>
                <w:iCs/>
                <w:noProof/>
                <w:color w:val="000000"/>
                <w:sz w:val="18"/>
                <w:szCs w:val="18"/>
                <w:lang w:val="en-US" w:eastAsia="en-US"/>
              </w:rPr>
            </w:pPr>
            <w:r>
              <w:rPr>
                <w:iCs/>
                <w:noProof/>
                <w:color w:val="000000"/>
                <w:sz w:val="18"/>
                <w:szCs w:val="18"/>
                <w:lang w:val="en-US" w:eastAsia="en-US"/>
              </w:rPr>
              <w:t>CHAFEA</w:t>
            </w:r>
          </w:p>
        </w:tc>
        <w:tc>
          <w:tcPr>
            <w:tcW w:w="1166"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03 01 01 66</w:t>
            </w:r>
          </w:p>
        </w:tc>
        <w:tc>
          <w:tcPr>
            <w:tcW w:w="1809"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 xml:space="preserve">Food and feed safety, animal health, animal </w:t>
            </w:r>
            <w:r>
              <w:rPr>
                <w:noProof/>
                <w:color w:val="000000"/>
                <w:sz w:val="16"/>
                <w:szCs w:val="16"/>
                <w:lang w:val="en-US" w:eastAsia="en-US"/>
              </w:rPr>
              <w:t>welfare and plant health</w:t>
            </w:r>
          </w:p>
        </w:tc>
      </w:tr>
      <w:tr w:rsidR="00E473EF">
        <w:trPr>
          <w:trHeight w:val="240"/>
        </w:trPr>
        <w:tc>
          <w:tcPr>
            <w:tcW w:w="1675"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75"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06 01 05 73</w:t>
            </w:r>
          </w:p>
        </w:tc>
        <w:tc>
          <w:tcPr>
            <w:tcW w:w="1925"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EU4HEALTH</w:t>
            </w:r>
          </w:p>
        </w:tc>
        <w:tc>
          <w:tcPr>
            <w:tcW w:w="1066" w:type="dxa"/>
            <w:vMerge/>
            <w:tcBorders>
              <w:top w:val="nil"/>
              <w:left w:val="single" w:sz="4" w:space="0" w:color="auto"/>
              <w:bottom w:val="single" w:sz="4" w:space="0" w:color="000000"/>
              <w:right w:val="single" w:sz="4" w:space="0" w:color="auto"/>
            </w:tcBorders>
            <w:vAlign w:val="center"/>
            <w:hideMark/>
          </w:tcPr>
          <w:p w:rsidR="00E473EF" w:rsidRDefault="00E473EF">
            <w:pPr>
              <w:rPr>
                <w:i/>
                <w:iCs/>
                <w:noProof/>
                <w:color w:val="000000"/>
                <w:sz w:val="18"/>
                <w:szCs w:val="18"/>
                <w:lang w:val="en-US" w:eastAsia="en-US"/>
              </w:rPr>
            </w:pPr>
          </w:p>
        </w:tc>
        <w:tc>
          <w:tcPr>
            <w:tcW w:w="1094" w:type="dxa"/>
            <w:vMerge/>
            <w:tcBorders>
              <w:top w:val="nil"/>
              <w:left w:val="single" w:sz="4" w:space="0" w:color="auto"/>
              <w:bottom w:val="single" w:sz="4" w:space="0" w:color="000000"/>
              <w:right w:val="single" w:sz="4" w:space="0" w:color="auto"/>
            </w:tcBorders>
            <w:vAlign w:val="center"/>
            <w:hideMark/>
          </w:tcPr>
          <w:p w:rsidR="00E473EF" w:rsidRDefault="00E473EF">
            <w:pPr>
              <w:rPr>
                <w:i/>
                <w:iCs/>
                <w:noProof/>
                <w:color w:val="000000"/>
                <w:sz w:val="18"/>
                <w:szCs w:val="18"/>
                <w:lang w:val="en-US" w:eastAsia="en-US"/>
              </w:rPr>
            </w:pPr>
          </w:p>
        </w:tc>
        <w:tc>
          <w:tcPr>
            <w:tcW w:w="1166"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06 01 05 66</w:t>
            </w:r>
          </w:p>
        </w:tc>
        <w:tc>
          <w:tcPr>
            <w:tcW w:w="1809"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Health</w:t>
            </w:r>
          </w:p>
        </w:tc>
      </w:tr>
      <w:tr w:rsidR="00E473EF">
        <w:trPr>
          <w:trHeight w:val="240"/>
        </w:trPr>
        <w:tc>
          <w:tcPr>
            <w:tcW w:w="1675" w:type="dxa"/>
            <w:vMerge w:val="restart"/>
            <w:tcBorders>
              <w:top w:val="nil"/>
              <w:left w:val="single" w:sz="4" w:space="0" w:color="auto"/>
              <w:bottom w:val="single" w:sz="4" w:space="0" w:color="000000"/>
              <w:right w:val="nil"/>
            </w:tcBorders>
            <w:shd w:val="clear" w:color="auto" w:fill="auto"/>
            <w:vAlign w:val="center"/>
            <w:hideMark/>
          </w:tcPr>
          <w:p w:rsidR="00E473EF" w:rsidRDefault="00CE451E">
            <w:pPr>
              <w:rPr>
                <w:noProof/>
                <w:color w:val="000000"/>
                <w:sz w:val="18"/>
                <w:szCs w:val="18"/>
                <w:lang w:val="en-US" w:eastAsia="en-US"/>
              </w:rPr>
            </w:pPr>
            <w:r>
              <w:rPr>
                <w:noProof/>
                <w:color w:val="000000"/>
                <w:sz w:val="18"/>
                <w:szCs w:val="18"/>
                <w:lang w:val="en-US" w:eastAsia="en-US"/>
              </w:rPr>
              <w:t>European Climate, Infrastructure and Environment Executive Agency</w:t>
            </w:r>
          </w:p>
        </w:tc>
        <w:tc>
          <w:tcPr>
            <w:tcW w:w="1075" w:type="dxa"/>
            <w:vMerge w:val="restart"/>
            <w:tcBorders>
              <w:top w:val="single" w:sz="4" w:space="0" w:color="auto"/>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01 01 01 74</w:t>
            </w:r>
          </w:p>
        </w:tc>
        <w:tc>
          <w:tcPr>
            <w:tcW w:w="1925" w:type="dxa"/>
            <w:vMerge w:val="restart"/>
            <w:tcBorders>
              <w:top w:val="single" w:sz="4" w:space="0" w:color="auto"/>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Horizon Europe</w:t>
            </w:r>
          </w:p>
        </w:tc>
        <w:tc>
          <w:tcPr>
            <w:tcW w:w="1066" w:type="dxa"/>
            <w:vMerge w:val="restart"/>
            <w:tcBorders>
              <w:top w:val="nil"/>
              <w:left w:val="single" w:sz="4" w:space="0" w:color="auto"/>
              <w:bottom w:val="single" w:sz="4" w:space="0" w:color="000000"/>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INEA</w:t>
            </w:r>
          </w:p>
        </w:tc>
        <w:tc>
          <w:tcPr>
            <w:tcW w:w="1094"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EASME</w:t>
            </w:r>
          </w:p>
        </w:tc>
        <w:tc>
          <w:tcPr>
            <w:tcW w:w="1166" w:type="dxa"/>
            <w:tcBorders>
              <w:top w:val="single" w:sz="4" w:space="0" w:color="auto"/>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01 01 01 63</w:t>
            </w:r>
          </w:p>
        </w:tc>
        <w:tc>
          <w:tcPr>
            <w:tcW w:w="1809" w:type="dxa"/>
            <w:vMerge w:val="restart"/>
            <w:tcBorders>
              <w:top w:val="single" w:sz="4" w:space="0" w:color="auto"/>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Horizon 2020</w:t>
            </w:r>
          </w:p>
        </w:tc>
      </w:tr>
      <w:tr w:rsidR="00E473EF">
        <w:trPr>
          <w:trHeight w:val="240"/>
        </w:trPr>
        <w:tc>
          <w:tcPr>
            <w:tcW w:w="1675" w:type="dxa"/>
            <w:vMerge/>
            <w:tcBorders>
              <w:top w:val="nil"/>
              <w:left w:val="single" w:sz="4" w:space="0" w:color="auto"/>
              <w:bottom w:val="single" w:sz="4" w:space="0" w:color="000000"/>
              <w:right w:val="nil"/>
            </w:tcBorders>
            <w:vAlign w:val="center"/>
            <w:hideMark/>
          </w:tcPr>
          <w:p w:rsidR="00E473EF" w:rsidRDefault="00E473EF">
            <w:pPr>
              <w:rPr>
                <w:noProof/>
                <w:color w:val="000000"/>
                <w:sz w:val="18"/>
                <w:szCs w:val="18"/>
                <w:lang w:val="en-US" w:eastAsia="en-US"/>
              </w:rPr>
            </w:pPr>
          </w:p>
        </w:tc>
        <w:tc>
          <w:tcPr>
            <w:tcW w:w="1075" w:type="dxa"/>
            <w:vMerge/>
            <w:tcBorders>
              <w:top w:val="single" w:sz="4" w:space="0" w:color="auto"/>
              <w:left w:val="single" w:sz="4" w:space="0" w:color="auto"/>
              <w:bottom w:val="nil"/>
              <w:right w:val="single" w:sz="4" w:space="0" w:color="auto"/>
            </w:tcBorders>
            <w:vAlign w:val="center"/>
            <w:hideMark/>
          </w:tcPr>
          <w:p w:rsidR="00E473EF" w:rsidRDefault="00E473EF">
            <w:pPr>
              <w:rPr>
                <w:noProof/>
                <w:color w:val="000000"/>
                <w:sz w:val="18"/>
                <w:szCs w:val="18"/>
                <w:lang w:val="en-US" w:eastAsia="en-US"/>
              </w:rPr>
            </w:pPr>
          </w:p>
        </w:tc>
        <w:tc>
          <w:tcPr>
            <w:tcW w:w="1925" w:type="dxa"/>
            <w:vMerge/>
            <w:tcBorders>
              <w:top w:val="single" w:sz="4" w:space="0" w:color="auto"/>
              <w:left w:val="single" w:sz="4" w:space="0" w:color="auto"/>
              <w:bottom w:val="nil"/>
              <w:right w:val="single" w:sz="4" w:space="0" w:color="auto"/>
            </w:tcBorders>
            <w:vAlign w:val="center"/>
            <w:hideMark/>
          </w:tcPr>
          <w:p w:rsidR="00E473EF" w:rsidRDefault="00E473EF">
            <w:pPr>
              <w:rPr>
                <w:noProof/>
                <w:color w:val="000000"/>
                <w:sz w:val="16"/>
                <w:szCs w:val="16"/>
                <w:lang w:val="en-US" w:eastAsia="en-US"/>
              </w:rPr>
            </w:pPr>
          </w:p>
        </w:tc>
        <w:tc>
          <w:tcPr>
            <w:tcW w:w="1066"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94"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INEA</w:t>
            </w:r>
          </w:p>
        </w:tc>
        <w:tc>
          <w:tcPr>
            <w:tcW w:w="1166"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01 01 01 64</w:t>
            </w:r>
          </w:p>
        </w:tc>
        <w:tc>
          <w:tcPr>
            <w:tcW w:w="1809" w:type="dxa"/>
            <w:vMerge/>
            <w:tcBorders>
              <w:top w:val="single" w:sz="4" w:space="0" w:color="auto"/>
              <w:left w:val="single" w:sz="4" w:space="0" w:color="auto"/>
              <w:bottom w:val="nil"/>
              <w:right w:val="single" w:sz="4" w:space="0" w:color="auto"/>
            </w:tcBorders>
            <w:vAlign w:val="center"/>
            <w:hideMark/>
          </w:tcPr>
          <w:p w:rsidR="00E473EF" w:rsidRDefault="00E473EF">
            <w:pPr>
              <w:rPr>
                <w:noProof/>
                <w:color w:val="000000"/>
                <w:sz w:val="16"/>
                <w:szCs w:val="16"/>
                <w:lang w:val="en-US" w:eastAsia="en-US"/>
              </w:rPr>
            </w:pPr>
          </w:p>
        </w:tc>
      </w:tr>
      <w:tr w:rsidR="00E473EF">
        <w:trPr>
          <w:trHeight w:val="240"/>
        </w:trPr>
        <w:tc>
          <w:tcPr>
            <w:tcW w:w="1675" w:type="dxa"/>
            <w:vMerge/>
            <w:tcBorders>
              <w:top w:val="nil"/>
              <w:left w:val="single" w:sz="4" w:space="0" w:color="auto"/>
              <w:bottom w:val="single" w:sz="4" w:space="0" w:color="000000"/>
              <w:right w:val="nil"/>
            </w:tcBorders>
            <w:vAlign w:val="center"/>
            <w:hideMark/>
          </w:tcPr>
          <w:p w:rsidR="00E473EF" w:rsidRDefault="00E473EF">
            <w:pPr>
              <w:rPr>
                <w:noProof/>
                <w:color w:val="000000"/>
                <w:sz w:val="18"/>
                <w:szCs w:val="18"/>
                <w:lang w:val="en-US" w:eastAsia="en-US"/>
              </w:rPr>
            </w:pPr>
          </w:p>
        </w:tc>
        <w:tc>
          <w:tcPr>
            <w:tcW w:w="1075" w:type="dxa"/>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02 01 21 74</w:t>
            </w:r>
          </w:p>
        </w:tc>
        <w:tc>
          <w:tcPr>
            <w:tcW w:w="1925"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 xml:space="preserve">Connecting Europe </w:t>
            </w:r>
            <w:r>
              <w:rPr>
                <w:noProof/>
                <w:color w:val="000000"/>
                <w:sz w:val="16"/>
                <w:szCs w:val="16"/>
                <w:lang w:val="en-US" w:eastAsia="en-US"/>
              </w:rPr>
              <w:t>Facility - Transport</w:t>
            </w:r>
          </w:p>
        </w:tc>
        <w:tc>
          <w:tcPr>
            <w:tcW w:w="1066"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94" w:type="dxa"/>
            <w:vMerge w:val="restart"/>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INEA</w:t>
            </w:r>
          </w:p>
        </w:tc>
        <w:tc>
          <w:tcPr>
            <w:tcW w:w="1166" w:type="dxa"/>
            <w:vMerge w:val="restart"/>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02 01 21 64</w:t>
            </w:r>
          </w:p>
        </w:tc>
        <w:tc>
          <w:tcPr>
            <w:tcW w:w="1809" w:type="dxa"/>
            <w:vMerge w:val="restart"/>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Connecting Europe Facility</w:t>
            </w:r>
          </w:p>
        </w:tc>
      </w:tr>
      <w:tr w:rsidR="00E473EF">
        <w:trPr>
          <w:trHeight w:val="240"/>
        </w:trPr>
        <w:tc>
          <w:tcPr>
            <w:tcW w:w="1675" w:type="dxa"/>
            <w:vMerge/>
            <w:tcBorders>
              <w:top w:val="nil"/>
              <w:left w:val="single" w:sz="4" w:space="0" w:color="auto"/>
              <w:bottom w:val="single" w:sz="4" w:space="0" w:color="000000"/>
              <w:right w:val="nil"/>
            </w:tcBorders>
            <w:vAlign w:val="center"/>
            <w:hideMark/>
          </w:tcPr>
          <w:p w:rsidR="00E473EF" w:rsidRDefault="00E473EF">
            <w:pPr>
              <w:rPr>
                <w:noProof/>
                <w:color w:val="000000"/>
                <w:sz w:val="18"/>
                <w:szCs w:val="18"/>
                <w:lang w:val="en-US" w:eastAsia="en-US"/>
              </w:rPr>
            </w:pPr>
          </w:p>
        </w:tc>
        <w:tc>
          <w:tcPr>
            <w:tcW w:w="1075" w:type="dxa"/>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02 01 22 74</w:t>
            </w:r>
          </w:p>
        </w:tc>
        <w:tc>
          <w:tcPr>
            <w:tcW w:w="1925"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Connecting Europe Facility - Energy</w:t>
            </w:r>
          </w:p>
        </w:tc>
        <w:tc>
          <w:tcPr>
            <w:tcW w:w="1066"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94" w:type="dxa"/>
            <w:vMerge/>
            <w:tcBorders>
              <w:top w:val="nil"/>
              <w:left w:val="single" w:sz="4" w:space="0" w:color="auto"/>
              <w:bottom w:val="nil"/>
              <w:right w:val="single" w:sz="4" w:space="0" w:color="auto"/>
            </w:tcBorders>
            <w:vAlign w:val="center"/>
            <w:hideMark/>
          </w:tcPr>
          <w:p w:rsidR="00E473EF" w:rsidRDefault="00E473EF">
            <w:pPr>
              <w:rPr>
                <w:noProof/>
                <w:color w:val="000000"/>
                <w:sz w:val="18"/>
                <w:szCs w:val="18"/>
                <w:lang w:val="en-US" w:eastAsia="en-US"/>
              </w:rPr>
            </w:pPr>
          </w:p>
        </w:tc>
        <w:tc>
          <w:tcPr>
            <w:tcW w:w="1166" w:type="dxa"/>
            <w:vMerge/>
            <w:tcBorders>
              <w:top w:val="nil"/>
              <w:left w:val="single" w:sz="4" w:space="0" w:color="auto"/>
              <w:bottom w:val="nil"/>
              <w:right w:val="single" w:sz="4" w:space="0" w:color="auto"/>
            </w:tcBorders>
            <w:vAlign w:val="center"/>
            <w:hideMark/>
          </w:tcPr>
          <w:p w:rsidR="00E473EF" w:rsidRDefault="00E473EF">
            <w:pPr>
              <w:rPr>
                <w:noProof/>
                <w:color w:val="000000"/>
                <w:sz w:val="18"/>
                <w:szCs w:val="18"/>
                <w:lang w:val="en-US" w:eastAsia="en-US"/>
              </w:rPr>
            </w:pPr>
          </w:p>
        </w:tc>
        <w:tc>
          <w:tcPr>
            <w:tcW w:w="1809" w:type="dxa"/>
            <w:vMerge/>
            <w:tcBorders>
              <w:top w:val="nil"/>
              <w:left w:val="nil"/>
              <w:bottom w:val="nil"/>
              <w:right w:val="single" w:sz="4" w:space="0" w:color="auto"/>
            </w:tcBorders>
            <w:vAlign w:val="center"/>
            <w:hideMark/>
          </w:tcPr>
          <w:p w:rsidR="00E473EF" w:rsidRDefault="00E473EF">
            <w:pPr>
              <w:rPr>
                <w:noProof/>
                <w:color w:val="000000"/>
                <w:sz w:val="16"/>
                <w:szCs w:val="16"/>
                <w:lang w:val="en-US" w:eastAsia="en-US"/>
              </w:rPr>
            </w:pPr>
          </w:p>
        </w:tc>
      </w:tr>
      <w:tr w:rsidR="00E473EF">
        <w:trPr>
          <w:trHeight w:val="240"/>
        </w:trPr>
        <w:tc>
          <w:tcPr>
            <w:tcW w:w="1675" w:type="dxa"/>
            <w:vMerge/>
            <w:tcBorders>
              <w:top w:val="nil"/>
              <w:left w:val="single" w:sz="4" w:space="0" w:color="auto"/>
              <w:bottom w:val="single" w:sz="4" w:space="0" w:color="000000"/>
              <w:right w:val="nil"/>
            </w:tcBorders>
            <w:vAlign w:val="center"/>
            <w:hideMark/>
          </w:tcPr>
          <w:p w:rsidR="00E473EF" w:rsidRDefault="00E473EF">
            <w:pPr>
              <w:rPr>
                <w:noProof/>
                <w:color w:val="000000"/>
                <w:sz w:val="18"/>
                <w:szCs w:val="18"/>
                <w:lang w:val="en-US" w:eastAsia="en-US"/>
              </w:rPr>
            </w:pPr>
          </w:p>
        </w:tc>
        <w:tc>
          <w:tcPr>
            <w:tcW w:w="1075" w:type="dxa"/>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02 01 40 74</w:t>
            </w:r>
          </w:p>
        </w:tc>
        <w:tc>
          <w:tcPr>
            <w:tcW w:w="1925"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Renewable Energy Financing Mechanism</w:t>
            </w:r>
          </w:p>
        </w:tc>
        <w:tc>
          <w:tcPr>
            <w:tcW w:w="1066"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94"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w:t>
            </w:r>
          </w:p>
        </w:tc>
        <w:tc>
          <w:tcPr>
            <w:tcW w:w="1166"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w:t>
            </w:r>
          </w:p>
        </w:tc>
        <w:tc>
          <w:tcPr>
            <w:tcW w:w="1809"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w:t>
            </w:r>
          </w:p>
        </w:tc>
      </w:tr>
      <w:tr w:rsidR="00E473EF">
        <w:trPr>
          <w:trHeight w:val="240"/>
        </w:trPr>
        <w:tc>
          <w:tcPr>
            <w:tcW w:w="1675" w:type="dxa"/>
            <w:vMerge/>
            <w:tcBorders>
              <w:top w:val="nil"/>
              <w:left w:val="single" w:sz="4" w:space="0" w:color="auto"/>
              <w:bottom w:val="single" w:sz="4" w:space="0" w:color="000000"/>
              <w:right w:val="nil"/>
            </w:tcBorders>
            <w:vAlign w:val="center"/>
            <w:hideMark/>
          </w:tcPr>
          <w:p w:rsidR="00E473EF" w:rsidRDefault="00E473EF">
            <w:pPr>
              <w:rPr>
                <w:noProof/>
                <w:color w:val="000000"/>
                <w:sz w:val="18"/>
                <w:szCs w:val="18"/>
                <w:lang w:val="en-US" w:eastAsia="en-US"/>
              </w:rPr>
            </w:pPr>
          </w:p>
        </w:tc>
        <w:tc>
          <w:tcPr>
            <w:tcW w:w="1075" w:type="dxa"/>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05 01 02 74</w:t>
            </w:r>
          </w:p>
        </w:tc>
        <w:tc>
          <w:tcPr>
            <w:tcW w:w="1925"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Cohesion Fund (contribution to the Connecting Europe Facility)</w:t>
            </w:r>
          </w:p>
        </w:tc>
        <w:tc>
          <w:tcPr>
            <w:tcW w:w="1066"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94"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INEA</w:t>
            </w:r>
          </w:p>
        </w:tc>
        <w:tc>
          <w:tcPr>
            <w:tcW w:w="1166"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05 01 02 64</w:t>
            </w:r>
          </w:p>
        </w:tc>
        <w:tc>
          <w:tcPr>
            <w:tcW w:w="1809"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Cohesion Fund (contribution to the Connecting Europe Facility)</w:t>
            </w:r>
          </w:p>
        </w:tc>
      </w:tr>
      <w:tr w:rsidR="00E473EF">
        <w:trPr>
          <w:trHeight w:val="240"/>
        </w:trPr>
        <w:tc>
          <w:tcPr>
            <w:tcW w:w="1675" w:type="dxa"/>
            <w:vMerge/>
            <w:tcBorders>
              <w:top w:val="nil"/>
              <w:left w:val="single" w:sz="4" w:space="0" w:color="auto"/>
              <w:bottom w:val="single" w:sz="4" w:space="0" w:color="000000"/>
              <w:right w:val="nil"/>
            </w:tcBorders>
            <w:vAlign w:val="center"/>
            <w:hideMark/>
          </w:tcPr>
          <w:p w:rsidR="00E473EF" w:rsidRDefault="00E473EF">
            <w:pPr>
              <w:rPr>
                <w:noProof/>
                <w:color w:val="000000"/>
                <w:sz w:val="18"/>
                <w:szCs w:val="18"/>
                <w:lang w:val="en-US" w:eastAsia="en-US"/>
              </w:rPr>
            </w:pPr>
          </w:p>
        </w:tc>
        <w:tc>
          <w:tcPr>
            <w:tcW w:w="1075" w:type="dxa"/>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08 01 03 74</w:t>
            </w:r>
          </w:p>
        </w:tc>
        <w:tc>
          <w:tcPr>
            <w:tcW w:w="1925"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European Maritime and Fisheries Fund</w:t>
            </w:r>
          </w:p>
        </w:tc>
        <w:tc>
          <w:tcPr>
            <w:tcW w:w="1066"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94" w:type="dxa"/>
            <w:vMerge w:val="restart"/>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EASME</w:t>
            </w:r>
          </w:p>
        </w:tc>
        <w:tc>
          <w:tcPr>
            <w:tcW w:w="1166"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08 01 03 63</w:t>
            </w:r>
          </w:p>
        </w:tc>
        <w:tc>
          <w:tcPr>
            <w:tcW w:w="1809"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European Maritime and Fisheries Fund</w:t>
            </w:r>
          </w:p>
        </w:tc>
      </w:tr>
      <w:tr w:rsidR="00E473EF">
        <w:trPr>
          <w:trHeight w:val="240"/>
        </w:trPr>
        <w:tc>
          <w:tcPr>
            <w:tcW w:w="1675" w:type="dxa"/>
            <w:vMerge/>
            <w:tcBorders>
              <w:top w:val="nil"/>
              <w:left w:val="single" w:sz="4" w:space="0" w:color="auto"/>
              <w:bottom w:val="single" w:sz="4" w:space="0" w:color="000000"/>
              <w:right w:val="nil"/>
            </w:tcBorders>
            <w:vAlign w:val="center"/>
            <w:hideMark/>
          </w:tcPr>
          <w:p w:rsidR="00E473EF" w:rsidRDefault="00E473EF">
            <w:pPr>
              <w:rPr>
                <w:noProof/>
                <w:color w:val="000000"/>
                <w:sz w:val="18"/>
                <w:szCs w:val="18"/>
                <w:lang w:val="en-US" w:eastAsia="en-US"/>
              </w:rPr>
            </w:pPr>
          </w:p>
        </w:tc>
        <w:tc>
          <w:tcPr>
            <w:tcW w:w="1075" w:type="dxa"/>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09 01 01 74</w:t>
            </w:r>
          </w:p>
        </w:tc>
        <w:tc>
          <w:tcPr>
            <w:tcW w:w="1925"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EU's funding instrument for the environment and climate</w:t>
            </w:r>
            <w:r>
              <w:rPr>
                <w:noProof/>
                <w:color w:val="000000"/>
                <w:sz w:val="16"/>
                <w:szCs w:val="16"/>
                <w:lang w:val="en-US" w:eastAsia="en-US"/>
              </w:rPr>
              <w:t xml:space="preserve"> action (LIFE)</w:t>
            </w:r>
          </w:p>
        </w:tc>
        <w:tc>
          <w:tcPr>
            <w:tcW w:w="1066"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94" w:type="dxa"/>
            <w:vMerge/>
            <w:tcBorders>
              <w:top w:val="nil"/>
              <w:left w:val="single" w:sz="4" w:space="0" w:color="auto"/>
              <w:bottom w:val="nil"/>
              <w:right w:val="single" w:sz="4" w:space="0" w:color="auto"/>
            </w:tcBorders>
            <w:vAlign w:val="center"/>
            <w:hideMark/>
          </w:tcPr>
          <w:p w:rsidR="00E473EF" w:rsidRDefault="00E473EF">
            <w:pPr>
              <w:rPr>
                <w:noProof/>
                <w:color w:val="000000"/>
                <w:sz w:val="18"/>
                <w:szCs w:val="18"/>
                <w:lang w:val="en-US" w:eastAsia="en-US"/>
              </w:rPr>
            </w:pPr>
          </w:p>
        </w:tc>
        <w:tc>
          <w:tcPr>
            <w:tcW w:w="1166"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09 01 01 63</w:t>
            </w:r>
          </w:p>
        </w:tc>
        <w:tc>
          <w:tcPr>
            <w:tcW w:w="1809"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EU's funding instrument for the environment and climate action (LIFE)</w:t>
            </w:r>
          </w:p>
        </w:tc>
      </w:tr>
      <w:tr w:rsidR="00E473EF">
        <w:trPr>
          <w:trHeight w:val="240"/>
        </w:trPr>
        <w:tc>
          <w:tcPr>
            <w:tcW w:w="1675" w:type="dxa"/>
            <w:vMerge/>
            <w:tcBorders>
              <w:top w:val="nil"/>
              <w:left w:val="single" w:sz="4" w:space="0" w:color="auto"/>
              <w:bottom w:val="single" w:sz="4" w:space="0" w:color="000000"/>
              <w:right w:val="nil"/>
            </w:tcBorders>
            <w:vAlign w:val="center"/>
            <w:hideMark/>
          </w:tcPr>
          <w:p w:rsidR="00E473EF" w:rsidRDefault="00E473EF">
            <w:pPr>
              <w:rPr>
                <w:noProof/>
                <w:color w:val="000000"/>
                <w:sz w:val="18"/>
                <w:szCs w:val="18"/>
                <w:lang w:val="en-US" w:eastAsia="en-US"/>
              </w:rPr>
            </w:pPr>
          </w:p>
        </w:tc>
        <w:tc>
          <w:tcPr>
            <w:tcW w:w="1075" w:type="dxa"/>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09 01 03 74</w:t>
            </w:r>
          </w:p>
        </w:tc>
        <w:tc>
          <w:tcPr>
            <w:tcW w:w="1925"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Public sector loan facility under the Just Transition Mechanism</w:t>
            </w:r>
          </w:p>
        </w:tc>
        <w:tc>
          <w:tcPr>
            <w:tcW w:w="1066"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94"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w:t>
            </w:r>
          </w:p>
        </w:tc>
        <w:tc>
          <w:tcPr>
            <w:tcW w:w="1166"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w:t>
            </w:r>
          </w:p>
        </w:tc>
        <w:tc>
          <w:tcPr>
            <w:tcW w:w="1809"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w:t>
            </w:r>
          </w:p>
        </w:tc>
      </w:tr>
      <w:tr w:rsidR="00E473EF">
        <w:trPr>
          <w:trHeight w:val="240"/>
        </w:trPr>
        <w:tc>
          <w:tcPr>
            <w:tcW w:w="1675" w:type="dxa"/>
            <w:vMerge/>
            <w:tcBorders>
              <w:top w:val="nil"/>
              <w:left w:val="single" w:sz="4" w:space="0" w:color="auto"/>
              <w:bottom w:val="single" w:sz="4" w:space="0" w:color="000000"/>
              <w:right w:val="nil"/>
            </w:tcBorders>
            <w:vAlign w:val="center"/>
            <w:hideMark/>
          </w:tcPr>
          <w:p w:rsidR="00E473EF" w:rsidRDefault="00E473EF">
            <w:pPr>
              <w:rPr>
                <w:noProof/>
                <w:color w:val="000000"/>
                <w:sz w:val="18"/>
                <w:szCs w:val="18"/>
                <w:lang w:val="en-US" w:eastAsia="en-US"/>
              </w:rPr>
            </w:pPr>
          </w:p>
        </w:tc>
        <w:tc>
          <w:tcPr>
            <w:tcW w:w="1075" w:type="dxa"/>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13 01 03 74</w:t>
            </w:r>
          </w:p>
        </w:tc>
        <w:tc>
          <w:tcPr>
            <w:tcW w:w="1925"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Military Mobility</w:t>
            </w:r>
          </w:p>
        </w:tc>
        <w:tc>
          <w:tcPr>
            <w:tcW w:w="1066"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94"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w:t>
            </w:r>
          </w:p>
        </w:tc>
        <w:tc>
          <w:tcPr>
            <w:tcW w:w="1166"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w:t>
            </w:r>
          </w:p>
        </w:tc>
        <w:tc>
          <w:tcPr>
            <w:tcW w:w="1809"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w:t>
            </w:r>
          </w:p>
        </w:tc>
      </w:tr>
      <w:tr w:rsidR="00E473EF">
        <w:trPr>
          <w:trHeight w:val="240"/>
        </w:trPr>
        <w:tc>
          <w:tcPr>
            <w:tcW w:w="1675" w:type="dxa"/>
            <w:vMerge/>
            <w:tcBorders>
              <w:top w:val="nil"/>
              <w:left w:val="single" w:sz="4" w:space="0" w:color="auto"/>
              <w:bottom w:val="single" w:sz="4" w:space="0" w:color="000000"/>
              <w:right w:val="nil"/>
            </w:tcBorders>
            <w:vAlign w:val="center"/>
            <w:hideMark/>
          </w:tcPr>
          <w:p w:rsidR="00E473EF" w:rsidRDefault="00E473EF">
            <w:pPr>
              <w:rPr>
                <w:noProof/>
                <w:color w:val="000000"/>
                <w:sz w:val="18"/>
                <w:szCs w:val="18"/>
                <w:lang w:val="en-US" w:eastAsia="en-US"/>
              </w:rPr>
            </w:pPr>
          </w:p>
        </w:tc>
        <w:tc>
          <w:tcPr>
            <w:tcW w:w="107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17 01 02 74</w:t>
            </w:r>
          </w:p>
        </w:tc>
        <w:tc>
          <w:tcPr>
            <w:tcW w:w="1925" w:type="dxa"/>
            <w:tcBorders>
              <w:top w:val="nil"/>
              <w:left w:val="nil"/>
              <w:bottom w:val="single" w:sz="4" w:space="0" w:color="auto"/>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Innovation Fund</w:t>
            </w:r>
          </w:p>
        </w:tc>
        <w:tc>
          <w:tcPr>
            <w:tcW w:w="1066"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94" w:type="dxa"/>
            <w:tcBorders>
              <w:top w:val="nil"/>
              <w:left w:val="nil"/>
              <w:bottom w:val="single" w:sz="4" w:space="0" w:color="auto"/>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INEA</w:t>
            </w:r>
          </w:p>
        </w:tc>
        <w:tc>
          <w:tcPr>
            <w:tcW w:w="1166" w:type="dxa"/>
            <w:tcBorders>
              <w:top w:val="nil"/>
              <w:left w:val="nil"/>
              <w:bottom w:val="single" w:sz="4" w:space="0" w:color="auto"/>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17 01 02 64</w:t>
            </w:r>
          </w:p>
        </w:tc>
        <w:tc>
          <w:tcPr>
            <w:tcW w:w="1809" w:type="dxa"/>
            <w:tcBorders>
              <w:top w:val="nil"/>
              <w:left w:val="nil"/>
              <w:bottom w:val="single" w:sz="4" w:space="0" w:color="auto"/>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Innovation Fund</w:t>
            </w:r>
          </w:p>
        </w:tc>
      </w:tr>
      <w:tr w:rsidR="00E473EF">
        <w:trPr>
          <w:trHeight w:val="240"/>
        </w:trPr>
        <w:tc>
          <w:tcPr>
            <w:tcW w:w="1675" w:type="dxa"/>
            <w:vMerge w:val="restart"/>
            <w:tcBorders>
              <w:top w:val="nil"/>
              <w:left w:val="single" w:sz="4" w:space="0" w:color="auto"/>
              <w:bottom w:val="single" w:sz="4" w:space="0" w:color="000000"/>
              <w:right w:val="nil"/>
            </w:tcBorders>
            <w:shd w:val="clear" w:color="auto" w:fill="auto"/>
            <w:vAlign w:val="center"/>
            <w:hideMark/>
          </w:tcPr>
          <w:p w:rsidR="00E473EF" w:rsidRDefault="00CE451E">
            <w:pPr>
              <w:rPr>
                <w:noProof/>
                <w:color w:val="000000"/>
                <w:sz w:val="18"/>
                <w:szCs w:val="18"/>
                <w:lang w:val="en-US" w:eastAsia="en-US"/>
              </w:rPr>
            </w:pPr>
            <w:r>
              <w:rPr>
                <w:noProof/>
                <w:color w:val="000000"/>
                <w:sz w:val="18"/>
                <w:szCs w:val="18"/>
                <w:lang w:val="en-US" w:eastAsia="en-US"/>
              </w:rPr>
              <w:t>European Education and Culture Executive Agency</w:t>
            </w:r>
          </w:p>
        </w:tc>
        <w:tc>
          <w:tcPr>
            <w:tcW w:w="1075" w:type="dxa"/>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07 01 02 75</w:t>
            </w:r>
          </w:p>
        </w:tc>
        <w:tc>
          <w:tcPr>
            <w:tcW w:w="1925"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Erasmus+</w:t>
            </w:r>
          </w:p>
        </w:tc>
        <w:tc>
          <w:tcPr>
            <w:tcW w:w="1066" w:type="dxa"/>
            <w:vMerge w:val="restart"/>
            <w:tcBorders>
              <w:top w:val="nil"/>
              <w:left w:val="single" w:sz="4" w:space="0" w:color="auto"/>
              <w:bottom w:val="single" w:sz="4" w:space="0" w:color="000000"/>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EACEA</w:t>
            </w:r>
          </w:p>
        </w:tc>
        <w:tc>
          <w:tcPr>
            <w:tcW w:w="1094" w:type="dxa"/>
            <w:vMerge w:val="restart"/>
            <w:tcBorders>
              <w:top w:val="nil"/>
              <w:left w:val="single" w:sz="4" w:space="0" w:color="auto"/>
              <w:bottom w:val="single" w:sz="4" w:space="0" w:color="000000"/>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EACEA</w:t>
            </w:r>
          </w:p>
        </w:tc>
        <w:tc>
          <w:tcPr>
            <w:tcW w:w="1166"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07 01 02 65</w:t>
            </w:r>
          </w:p>
        </w:tc>
        <w:tc>
          <w:tcPr>
            <w:tcW w:w="1809"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Erasmus+</w:t>
            </w:r>
          </w:p>
        </w:tc>
      </w:tr>
      <w:tr w:rsidR="00E473EF">
        <w:trPr>
          <w:trHeight w:val="240"/>
        </w:trPr>
        <w:tc>
          <w:tcPr>
            <w:tcW w:w="1675" w:type="dxa"/>
            <w:vMerge/>
            <w:tcBorders>
              <w:top w:val="nil"/>
              <w:left w:val="single" w:sz="4" w:space="0" w:color="auto"/>
              <w:bottom w:val="single" w:sz="4" w:space="0" w:color="000000"/>
              <w:right w:val="nil"/>
            </w:tcBorders>
            <w:vAlign w:val="center"/>
            <w:hideMark/>
          </w:tcPr>
          <w:p w:rsidR="00E473EF" w:rsidRDefault="00E473EF">
            <w:pPr>
              <w:rPr>
                <w:noProof/>
                <w:color w:val="000000"/>
                <w:sz w:val="18"/>
                <w:szCs w:val="18"/>
                <w:lang w:val="en-US" w:eastAsia="en-US"/>
              </w:rPr>
            </w:pPr>
          </w:p>
        </w:tc>
        <w:tc>
          <w:tcPr>
            <w:tcW w:w="1075" w:type="dxa"/>
            <w:vMerge w:val="restart"/>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07 01 03 75</w:t>
            </w:r>
          </w:p>
        </w:tc>
        <w:tc>
          <w:tcPr>
            <w:tcW w:w="1925" w:type="dxa"/>
            <w:vMerge w:val="restart"/>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European Solidarity Corps</w:t>
            </w:r>
          </w:p>
        </w:tc>
        <w:tc>
          <w:tcPr>
            <w:tcW w:w="1066"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94"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166" w:type="dxa"/>
            <w:vMerge w:val="restart"/>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07 01 03 65</w:t>
            </w:r>
          </w:p>
        </w:tc>
        <w:tc>
          <w:tcPr>
            <w:tcW w:w="1809"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European Solidarity Corps</w:t>
            </w:r>
          </w:p>
        </w:tc>
      </w:tr>
      <w:tr w:rsidR="00E473EF">
        <w:trPr>
          <w:trHeight w:val="240"/>
        </w:trPr>
        <w:tc>
          <w:tcPr>
            <w:tcW w:w="1675" w:type="dxa"/>
            <w:vMerge/>
            <w:tcBorders>
              <w:top w:val="nil"/>
              <w:left w:val="single" w:sz="4" w:space="0" w:color="auto"/>
              <w:bottom w:val="single" w:sz="4" w:space="0" w:color="000000"/>
              <w:right w:val="nil"/>
            </w:tcBorders>
            <w:vAlign w:val="center"/>
            <w:hideMark/>
          </w:tcPr>
          <w:p w:rsidR="00E473EF" w:rsidRDefault="00E473EF">
            <w:pPr>
              <w:rPr>
                <w:noProof/>
                <w:color w:val="000000"/>
                <w:sz w:val="18"/>
                <w:szCs w:val="18"/>
                <w:lang w:val="en-US" w:eastAsia="en-US"/>
              </w:rPr>
            </w:pPr>
          </w:p>
        </w:tc>
        <w:tc>
          <w:tcPr>
            <w:tcW w:w="1075" w:type="dxa"/>
            <w:vMerge/>
            <w:tcBorders>
              <w:top w:val="nil"/>
              <w:left w:val="single" w:sz="4" w:space="0" w:color="auto"/>
              <w:bottom w:val="nil"/>
              <w:right w:val="single" w:sz="4" w:space="0" w:color="auto"/>
            </w:tcBorders>
            <w:vAlign w:val="center"/>
            <w:hideMark/>
          </w:tcPr>
          <w:p w:rsidR="00E473EF" w:rsidRDefault="00E473EF">
            <w:pPr>
              <w:rPr>
                <w:noProof/>
                <w:color w:val="000000"/>
                <w:sz w:val="18"/>
                <w:szCs w:val="18"/>
                <w:lang w:val="en-US" w:eastAsia="en-US"/>
              </w:rPr>
            </w:pPr>
          </w:p>
        </w:tc>
        <w:tc>
          <w:tcPr>
            <w:tcW w:w="1925" w:type="dxa"/>
            <w:vMerge/>
            <w:tcBorders>
              <w:top w:val="nil"/>
              <w:left w:val="single" w:sz="4" w:space="0" w:color="auto"/>
              <w:bottom w:val="nil"/>
              <w:right w:val="single" w:sz="4" w:space="0" w:color="auto"/>
            </w:tcBorders>
            <w:vAlign w:val="center"/>
            <w:hideMark/>
          </w:tcPr>
          <w:p w:rsidR="00E473EF" w:rsidRDefault="00E473EF">
            <w:pPr>
              <w:rPr>
                <w:noProof/>
                <w:color w:val="000000"/>
                <w:sz w:val="16"/>
                <w:szCs w:val="16"/>
                <w:lang w:val="en-US" w:eastAsia="en-US"/>
              </w:rPr>
            </w:pPr>
          </w:p>
        </w:tc>
        <w:tc>
          <w:tcPr>
            <w:tcW w:w="1066"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94"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166" w:type="dxa"/>
            <w:vMerge/>
            <w:tcBorders>
              <w:top w:val="nil"/>
              <w:left w:val="single" w:sz="4" w:space="0" w:color="auto"/>
              <w:bottom w:val="nil"/>
              <w:right w:val="single" w:sz="4" w:space="0" w:color="auto"/>
            </w:tcBorders>
            <w:vAlign w:val="center"/>
            <w:hideMark/>
          </w:tcPr>
          <w:p w:rsidR="00E473EF" w:rsidRDefault="00E473EF">
            <w:pPr>
              <w:rPr>
                <w:noProof/>
                <w:color w:val="000000"/>
                <w:sz w:val="18"/>
                <w:szCs w:val="18"/>
                <w:lang w:val="en-US" w:eastAsia="en-US"/>
              </w:rPr>
            </w:pPr>
          </w:p>
        </w:tc>
        <w:tc>
          <w:tcPr>
            <w:tcW w:w="1809"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European Union Aid Volunteers</w:t>
            </w:r>
          </w:p>
        </w:tc>
      </w:tr>
      <w:tr w:rsidR="00E473EF">
        <w:trPr>
          <w:trHeight w:val="240"/>
        </w:trPr>
        <w:tc>
          <w:tcPr>
            <w:tcW w:w="1675" w:type="dxa"/>
            <w:vMerge/>
            <w:tcBorders>
              <w:top w:val="nil"/>
              <w:left w:val="single" w:sz="4" w:space="0" w:color="auto"/>
              <w:bottom w:val="single" w:sz="4" w:space="0" w:color="000000"/>
              <w:right w:val="nil"/>
            </w:tcBorders>
            <w:vAlign w:val="center"/>
            <w:hideMark/>
          </w:tcPr>
          <w:p w:rsidR="00E473EF" w:rsidRDefault="00E473EF">
            <w:pPr>
              <w:rPr>
                <w:noProof/>
                <w:color w:val="000000"/>
                <w:sz w:val="18"/>
                <w:szCs w:val="18"/>
                <w:lang w:val="en-US" w:eastAsia="en-US"/>
              </w:rPr>
            </w:pPr>
          </w:p>
        </w:tc>
        <w:tc>
          <w:tcPr>
            <w:tcW w:w="1075" w:type="dxa"/>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07 01 04 75</w:t>
            </w:r>
          </w:p>
        </w:tc>
        <w:tc>
          <w:tcPr>
            <w:tcW w:w="1925"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Creative Europe</w:t>
            </w:r>
          </w:p>
        </w:tc>
        <w:tc>
          <w:tcPr>
            <w:tcW w:w="1066"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94"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166"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07 01 04 65</w:t>
            </w:r>
          </w:p>
        </w:tc>
        <w:tc>
          <w:tcPr>
            <w:tcW w:w="1809"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Creative Europe</w:t>
            </w:r>
          </w:p>
        </w:tc>
      </w:tr>
      <w:tr w:rsidR="00E473EF">
        <w:trPr>
          <w:trHeight w:val="240"/>
        </w:trPr>
        <w:tc>
          <w:tcPr>
            <w:tcW w:w="1675" w:type="dxa"/>
            <w:vMerge/>
            <w:tcBorders>
              <w:top w:val="nil"/>
              <w:left w:val="single" w:sz="4" w:space="0" w:color="auto"/>
              <w:bottom w:val="single" w:sz="4" w:space="0" w:color="000000"/>
              <w:right w:val="nil"/>
            </w:tcBorders>
            <w:vAlign w:val="center"/>
            <w:hideMark/>
          </w:tcPr>
          <w:p w:rsidR="00E473EF" w:rsidRDefault="00E473EF">
            <w:pPr>
              <w:rPr>
                <w:noProof/>
                <w:color w:val="000000"/>
                <w:sz w:val="18"/>
                <w:szCs w:val="18"/>
                <w:lang w:val="en-US" w:eastAsia="en-US"/>
              </w:rPr>
            </w:pPr>
          </w:p>
        </w:tc>
        <w:tc>
          <w:tcPr>
            <w:tcW w:w="1075" w:type="dxa"/>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07 01 05 75</w:t>
            </w:r>
          </w:p>
        </w:tc>
        <w:tc>
          <w:tcPr>
            <w:tcW w:w="1925"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Rights and Values</w:t>
            </w:r>
          </w:p>
        </w:tc>
        <w:tc>
          <w:tcPr>
            <w:tcW w:w="1066"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94"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166"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07 01 05 65</w:t>
            </w:r>
          </w:p>
        </w:tc>
        <w:tc>
          <w:tcPr>
            <w:tcW w:w="1809"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Europe for Citizens</w:t>
            </w:r>
          </w:p>
        </w:tc>
      </w:tr>
      <w:tr w:rsidR="00E473EF">
        <w:trPr>
          <w:trHeight w:val="240"/>
        </w:trPr>
        <w:tc>
          <w:tcPr>
            <w:tcW w:w="1675" w:type="dxa"/>
            <w:vMerge/>
            <w:tcBorders>
              <w:top w:val="nil"/>
              <w:left w:val="single" w:sz="4" w:space="0" w:color="auto"/>
              <w:bottom w:val="single" w:sz="4" w:space="0" w:color="000000"/>
              <w:right w:val="nil"/>
            </w:tcBorders>
            <w:vAlign w:val="center"/>
            <w:hideMark/>
          </w:tcPr>
          <w:p w:rsidR="00E473EF" w:rsidRDefault="00E473EF">
            <w:pPr>
              <w:rPr>
                <w:noProof/>
                <w:color w:val="000000"/>
                <w:sz w:val="18"/>
                <w:szCs w:val="18"/>
                <w:lang w:val="en-US" w:eastAsia="en-US"/>
              </w:rPr>
            </w:pPr>
          </w:p>
        </w:tc>
        <w:tc>
          <w:tcPr>
            <w:tcW w:w="1075" w:type="dxa"/>
            <w:vMerge w:val="restart"/>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15 01 01 75</w:t>
            </w:r>
          </w:p>
        </w:tc>
        <w:tc>
          <w:tcPr>
            <w:tcW w:w="1925" w:type="dxa"/>
            <w:vMerge w:val="restart"/>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Neighbourhood, Development and International Cooperation Instrument</w:t>
            </w:r>
          </w:p>
        </w:tc>
        <w:tc>
          <w:tcPr>
            <w:tcW w:w="1066"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94"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166" w:type="dxa"/>
            <w:vMerge w:val="restart"/>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15 01 01 65</w:t>
            </w:r>
          </w:p>
        </w:tc>
        <w:tc>
          <w:tcPr>
            <w:tcW w:w="1809"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Partnership Instrument</w:t>
            </w:r>
          </w:p>
        </w:tc>
      </w:tr>
      <w:tr w:rsidR="00E473EF">
        <w:trPr>
          <w:trHeight w:val="240"/>
        </w:trPr>
        <w:tc>
          <w:tcPr>
            <w:tcW w:w="1675" w:type="dxa"/>
            <w:vMerge/>
            <w:tcBorders>
              <w:top w:val="nil"/>
              <w:left w:val="single" w:sz="4" w:space="0" w:color="auto"/>
              <w:bottom w:val="single" w:sz="4" w:space="0" w:color="000000"/>
              <w:right w:val="nil"/>
            </w:tcBorders>
            <w:vAlign w:val="center"/>
            <w:hideMark/>
          </w:tcPr>
          <w:p w:rsidR="00E473EF" w:rsidRDefault="00E473EF">
            <w:pPr>
              <w:rPr>
                <w:noProof/>
                <w:color w:val="000000"/>
                <w:sz w:val="18"/>
                <w:szCs w:val="18"/>
                <w:lang w:val="en-US" w:eastAsia="en-US"/>
              </w:rPr>
            </w:pPr>
          </w:p>
        </w:tc>
        <w:tc>
          <w:tcPr>
            <w:tcW w:w="1075" w:type="dxa"/>
            <w:vMerge/>
            <w:tcBorders>
              <w:top w:val="nil"/>
              <w:left w:val="single" w:sz="4" w:space="0" w:color="auto"/>
              <w:bottom w:val="nil"/>
              <w:right w:val="single" w:sz="4" w:space="0" w:color="auto"/>
            </w:tcBorders>
            <w:vAlign w:val="center"/>
            <w:hideMark/>
          </w:tcPr>
          <w:p w:rsidR="00E473EF" w:rsidRDefault="00E473EF">
            <w:pPr>
              <w:rPr>
                <w:noProof/>
                <w:color w:val="000000"/>
                <w:sz w:val="18"/>
                <w:szCs w:val="18"/>
                <w:lang w:val="en-US" w:eastAsia="en-US"/>
              </w:rPr>
            </w:pPr>
          </w:p>
        </w:tc>
        <w:tc>
          <w:tcPr>
            <w:tcW w:w="1925" w:type="dxa"/>
            <w:vMerge/>
            <w:tcBorders>
              <w:top w:val="nil"/>
              <w:left w:val="single" w:sz="4" w:space="0" w:color="auto"/>
              <w:bottom w:val="nil"/>
              <w:right w:val="single" w:sz="4" w:space="0" w:color="auto"/>
            </w:tcBorders>
            <w:vAlign w:val="center"/>
            <w:hideMark/>
          </w:tcPr>
          <w:p w:rsidR="00E473EF" w:rsidRDefault="00E473EF">
            <w:pPr>
              <w:rPr>
                <w:noProof/>
                <w:color w:val="000000"/>
                <w:sz w:val="16"/>
                <w:szCs w:val="16"/>
                <w:lang w:val="en-US" w:eastAsia="en-US"/>
              </w:rPr>
            </w:pPr>
          </w:p>
        </w:tc>
        <w:tc>
          <w:tcPr>
            <w:tcW w:w="1066"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94"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166" w:type="dxa"/>
            <w:vMerge/>
            <w:tcBorders>
              <w:top w:val="nil"/>
              <w:left w:val="single" w:sz="4" w:space="0" w:color="auto"/>
              <w:bottom w:val="nil"/>
              <w:right w:val="single" w:sz="4" w:space="0" w:color="auto"/>
            </w:tcBorders>
            <w:vAlign w:val="center"/>
            <w:hideMark/>
          </w:tcPr>
          <w:p w:rsidR="00E473EF" w:rsidRDefault="00E473EF">
            <w:pPr>
              <w:rPr>
                <w:noProof/>
                <w:color w:val="000000"/>
                <w:sz w:val="18"/>
                <w:szCs w:val="18"/>
                <w:lang w:val="en-US" w:eastAsia="en-US"/>
              </w:rPr>
            </w:pPr>
          </w:p>
        </w:tc>
        <w:tc>
          <w:tcPr>
            <w:tcW w:w="1809"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Development Cooperation Instrument</w:t>
            </w:r>
          </w:p>
        </w:tc>
      </w:tr>
      <w:tr w:rsidR="00E473EF">
        <w:trPr>
          <w:trHeight w:val="240"/>
        </w:trPr>
        <w:tc>
          <w:tcPr>
            <w:tcW w:w="1675" w:type="dxa"/>
            <w:vMerge/>
            <w:tcBorders>
              <w:top w:val="nil"/>
              <w:left w:val="single" w:sz="4" w:space="0" w:color="auto"/>
              <w:bottom w:val="single" w:sz="4" w:space="0" w:color="000000"/>
              <w:right w:val="nil"/>
            </w:tcBorders>
            <w:vAlign w:val="center"/>
            <w:hideMark/>
          </w:tcPr>
          <w:p w:rsidR="00E473EF" w:rsidRDefault="00E473EF">
            <w:pPr>
              <w:rPr>
                <w:noProof/>
                <w:color w:val="000000"/>
                <w:sz w:val="18"/>
                <w:szCs w:val="18"/>
                <w:lang w:val="en-US" w:eastAsia="en-US"/>
              </w:rPr>
            </w:pPr>
          </w:p>
        </w:tc>
        <w:tc>
          <w:tcPr>
            <w:tcW w:w="1075" w:type="dxa"/>
            <w:vMerge/>
            <w:tcBorders>
              <w:top w:val="nil"/>
              <w:left w:val="single" w:sz="4" w:space="0" w:color="auto"/>
              <w:bottom w:val="nil"/>
              <w:right w:val="single" w:sz="4" w:space="0" w:color="auto"/>
            </w:tcBorders>
            <w:vAlign w:val="center"/>
            <w:hideMark/>
          </w:tcPr>
          <w:p w:rsidR="00E473EF" w:rsidRDefault="00E473EF">
            <w:pPr>
              <w:rPr>
                <w:noProof/>
                <w:color w:val="000000"/>
                <w:sz w:val="18"/>
                <w:szCs w:val="18"/>
                <w:lang w:val="en-US" w:eastAsia="en-US"/>
              </w:rPr>
            </w:pPr>
          </w:p>
        </w:tc>
        <w:tc>
          <w:tcPr>
            <w:tcW w:w="1925" w:type="dxa"/>
            <w:vMerge/>
            <w:tcBorders>
              <w:top w:val="nil"/>
              <w:left w:val="single" w:sz="4" w:space="0" w:color="auto"/>
              <w:bottom w:val="nil"/>
              <w:right w:val="single" w:sz="4" w:space="0" w:color="auto"/>
            </w:tcBorders>
            <w:vAlign w:val="center"/>
            <w:hideMark/>
          </w:tcPr>
          <w:p w:rsidR="00E473EF" w:rsidRDefault="00E473EF">
            <w:pPr>
              <w:rPr>
                <w:noProof/>
                <w:color w:val="000000"/>
                <w:sz w:val="16"/>
                <w:szCs w:val="16"/>
                <w:lang w:val="en-US" w:eastAsia="en-US"/>
              </w:rPr>
            </w:pPr>
          </w:p>
        </w:tc>
        <w:tc>
          <w:tcPr>
            <w:tcW w:w="1066"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94"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166" w:type="dxa"/>
            <w:vMerge/>
            <w:tcBorders>
              <w:top w:val="nil"/>
              <w:left w:val="single" w:sz="4" w:space="0" w:color="auto"/>
              <w:bottom w:val="nil"/>
              <w:right w:val="single" w:sz="4" w:space="0" w:color="auto"/>
            </w:tcBorders>
            <w:vAlign w:val="center"/>
            <w:hideMark/>
          </w:tcPr>
          <w:p w:rsidR="00E473EF" w:rsidRDefault="00E473EF">
            <w:pPr>
              <w:rPr>
                <w:noProof/>
                <w:color w:val="000000"/>
                <w:sz w:val="18"/>
                <w:szCs w:val="18"/>
                <w:lang w:val="en-US" w:eastAsia="en-US"/>
              </w:rPr>
            </w:pPr>
          </w:p>
        </w:tc>
        <w:tc>
          <w:tcPr>
            <w:tcW w:w="1809"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European Neighbourhood Instrument</w:t>
            </w:r>
          </w:p>
        </w:tc>
      </w:tr>
      <w:tr w:rsidR="00E473EF">
        <w:trPr>
          <w:trHeight w:val="240"/>
        </w:trPr>
        <w:tc>
          <w:tcPr>
            <w:tcW w:w="1675" w:type="dxa"/>
            <w:vMerge/>
            <w:tcBorders>
              <w:top w:val="nil"/>
              <w:left w:val="single" w:sz="4" w:space="0" w:color="auto"/>
              <w:bottom w:val="single" w:sz="4" w:space="0" w:color="000000"/>
              <w:right w:val="nil"/>
            </w:tcBorders>
            <w:vAlign w:val="center"/>
            <w:hideMark/>
          </w:tcPr>
          <w:p w:rsidR="00E473EF" w:rsidRDefault="00E473EF">
            <w:pPr>
              <w:rPr>
                <w:noProof/>
                <w:color w:val="000000"/>
                <w:sz w:val="18"/>
                <w:szCs w:val="18"/>
                <w:lang w:val="en-US" w:eastAsia="en-US"/>
              </w:rPr>
            </w:pPr>
          </w:p>
        </w:tc>
        <w:tc>
          <w:tcPr>
            <w:tcW w:w="1075"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16 01 01 75</w:t>
            </w:r>
          </w:p>
        </w:tc>
        <w:tc>
          <w:tcPr>
            <w:tcW w:w="1925" w:type="dxa"/>
            <w:tcBorders>
              <w:top w:val="nil"/>
              <w:left w:val="nil"/>
              <w:bottom w:val="single" w:sz="4" w:space="0" w:color="auto"/>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Instrument for Pre-Accession Assistance III</w:t>
            </w:r>
          </w:p>
        </w:tc>
        <w:tc>
          <w:tcPr>
            <w:tcW w:w="1066"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94"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166" w:type="dxa"/>
            <w:tcBorders>
              <w:top w:val="nil"/>
              <w:left w:val="nil"/>
              <w:bottom w:val="single" w:sz="4" w:space="0" w:color="auto"/>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16 01 01 65</w:t>
            </w:r>
          </w:p>
        </w:tc>
        <w:tc>
          <w:tcPr>
            <w:tcW w:w="1809"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Instrument for Pre-Accession Assistance II</w:t>
            </w:r>
          </w:p>
        </w:tc>
      </w:tr>
      <w:tr w:rsidR="00E473EF">
        <w:trPr>
          <w:trHeight w:val="240"/>
        </w:trPr>
        <w:tc>
          <w:tcPr>
            <w:tcW w:w="1675" w:type="dxa"/>
            <w:vMerge w:val="restart"/>
            <w:tcBorders>
              <w:top w:val="nil"/>
              <w:left w:val="single" w:sz="4" w:space="0" w:color="auto"/>
              <w:bottom w:val="single" w:sz="4" w:space="0" w:color="000000"/>
              <w:right w:val="single" w:sz="4" w:space="0" w:color="auto"/>
            </w:tcBorders>
            <w:shd w:val="clear" w:color="auto" w:fill="auto"/>
            <w:vAlign w:val="center"/>
            <w:hideMark/>
          </w:tcPr>
          <w:p w:rsidR="00E473EF" w:rsidRDefault="00CE451E">
            <w:pPr>
              <w:rPr>
                <w:noProof/>
                <w:color w:val="000000"/>
                <w:sz w:val="18"/>
                <w:szCs w:val="18"/>
                <w:lang w:val="en-US" w:eastAsia="en-US"/>
              </w:rPr>
            </w:pPr>
            <w:r>
              <w:rPr>
                <w:noProof/>
                <w:color w:val="000000"/>
                <w:sz w:val="18"/>
                <w:szCs w:val="18"/>
                <w:lang w:val="en-US" w:eastAsia="en-US"/>
              </w:rPr>
              <w:t>European Innovation Council and SMEs Executive Agency</w:t>
            </w:r>
          </w:p>
        </w:tc>
        <w:tc>
          <w:tcPr>
            <w:tcW w:w="1075" w:type="dxa"/>
            <w:vMerge w:val="restart"/>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 xml:space="preserve">01 01 01 </w:t>
            </w:r>
            <w:r>
              <w:rPr>
                <w:noProof/>
                <w:color w:val="000000"/>
                <w:sz w:val="18"/>
                <w:szCs w:val="18"/>
                <w:lang w:val="en-US" w:eastAsia="en-US"/>
              </w:rPr>
              <w:t>76</w:t>
            </w:r>
          </w:p>
        </w:tc>
        <w:tc>
          <w:tcPr>
            <w:tcW w:w="1925" w:type="dxa"/>
            <w:vMerge w:val="restart"/>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Horizon Europe</w:t>
            </w:r>
          </w:p>
        </w:tc>
        <w:tc>
          <w:tcPr>
            <w:tcW w:w="1066" w:type="dxa"/>
            <w:vMerge w:val="restart"/>
            <w:tcBorders>
              <w:top w:val="nil"/>
              <w:left w:val="single" w:sz="4" w:space="0" w:color="auto"/>
              <w:bottom w:val="single" w:sz="4" w:space="0" w:color="000000"/>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EASME</w:t>
            </w:r>
          </w:p>
        </w:tc>
        <w:tc>
          <w:tcPr>
            <w:tcW w:w="1094"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REA</w:t>
            </w:r>
          </w:p>
        </w:tc>
        <w:tc>
          <w:tcPr>
            <w:tcW w:w="1166" w:type="dxa"/>
            <w:tcBorders>
              <w:top w:val="nil"/>
              <w:left w:val="nil"/>
              <w:bottom w:val="nil"/>
              <w:right w:val="nil"/>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01 01 01 62</w:t>
            </w:r>
          </w:p>
        </w:tc>
        <w:tc>
          <w:tcPr>
            <w:tcW w:w="1809" w:type="dxa"/>
            <w:vMerge w:val="restart"/>
            <w:tcBorders>
              <w:top w:val="single" w:sz="4" w:space="0" w:color="auto"/>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Horizon 2020</w:t>
            </w:r>
          </w:p>
        </w:tc>
      </w:tr>
      <w:tr w:rsidR="00E473EF">
        <w:trPr>
          <w:trHeight w:val="240"/>
        </w:trPr>
        <w:tc>
          <w:tcPr>
            <w:tcW w:w="1675"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75" w:type="dxa"/>
            <w:vMerge/>
            <w:tcBorders>
              <w:top w:val="nil"/>
              <w:left w:val="single" w:sz="4" w:space="0" w:color="auto"/>
              <w:bottom w:val="nil"/>
              <w:right w:val="single" w:sz="4" w:space="0" w:color="auto"/>
            </w:tcBorders>
            <w:vAlign w:val="center"/>
            <w:hideMark/>
          </w:tcPr>
          <w:p w:rsidR="00E473EF" w:rsidRDefault="00E473EF">
            <w:pPr>
              <w:rPr>
                <w:noProof/>
                <w:color w:val="000000"/>
                <w:sz w:val="18"/>
                <w:szCs w:val="18"/>
                <w:lang w:val="en-US" w:eastAsia="en-US"/>
              </w:rPr>
            </w:pPr>
          </w:p>
        </w:tc>
        <w:tc>
          <w:tcPr>
            <w:tcW w:w="1925" w:type="dxa"/>
            <w:vMerge/>
            <w:tcBorders>
              <w:top w:val="nil"/>
              <w:left w:val="single" w:sz="4" w:space="0" w:color="auto"/>
              <w:bottom w:val="nil"/>
              <w:right w:val="single" w:sz="4" w:space="0" w:color="auto"/>
            </w:tcBorders>
            <w:vAlign w:val="center"/>
            <w:hideMark/>
          </w:tcPr>
          <w:p w:rsidR="00E473EF" w:rsidRDefault="00E473EF">
            <w:pPr>
              <w:rPr>
                <w:noProof/>
                <w:color w:val="000000"/>
                <w:sz w:val="16"/>
                <w:szCs w:val="16"/>
                <w:lang w:val="en-US" w:eastAsia="en-US"/>
              </w:rPr>
            </w:pPr>
          </w:p>
        </w:tc>
        <w:tc>
          <w:tcPr>
            <w:tcW w:w="1066"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94" w:type="dxa"/>
            <w:vMerge w:val="restart"/>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EASME</w:t>
            </w:r>
          </w:p>
        </w:tc>
        <w:tc>
          <w:tcPr>
            <w:tcW w:w="1166" w:type="dxa"/>
            <w:tcBorders>
              <w:top w:val="nil"/>
              <w:left w:val="nil"/>
              <w:bottom w:val="nil"/>
              <w:right w:val="nil"/>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01 01 01 63</w:t>
            </w:r>
          </w:p>
        </w:tc>
        <w:tc>
          <w:tcPr>
            <w:tcW w:w="1809" w:type="dxa"/>
            <w:vMerge/>
            <w:tcBorders>
              <w:top w:val="single" w:sz="4" w:space="0" w:color="auto"/>
              <w:left w:val="single" w:sz="4" w:space="0" w:color="auto"/>
              <w:bottom w:val="nil"/>
              <w:right w:val="single" w:sz="4" w:space="0" w:color="auto"/>
            </w:tcBorders>
            <w:vAlign w:val="center"/>
            <w:hideMark/>
          </w:tcPr>
          <w:p w:rsidR="00E473EF" w:rsidRDefault="00E473EF">
            <w:pPr>
              <w:rPr>
                <w:noProof/>
                <w:color w:val="000000"/>
                <w:sz w:val="16"/>
                <w:szCs w:val="16"/>
                <w:lang w:val="en-US" w:eastAsia="en-US"/>
              </w:rPr>
            </w:pPr>
          </w:p>
        </w:tc>
      </w:tr>
      <w:tr w:rsidR="00E473EF">
        <w:trPr>
          <w:trHeight w:val="240"/>
        </w:trPr>
        <w:tc>
          <w:tcPr>
            <w:tcW w:w="1675"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75" w:type="dxa"/>
            <w:vMerge w:val="restart"/>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03 01 01 76</w:t>
            </w:r>
          </w:p>
        </w:tc>
        <w:tc>
          <w:tcPr>
            <w:tcW w:w="1925" w:type="dxa"/>
            <w:vMerge w:val="restart"/>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Single Market Programme</w:t>
            </w:r>
          </w:p>
        </w:tc>
        <w:tc>
          <w:tcPr>
            <w:tcW w:w="1066"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94" w:type="dxa"/>
            <w:vMerge/>
            <w:tcBorders>
              <w:top w:val="nil"/>
              <w:left w:val="single" w:sz="4" w:space="0" w:color="auto"/>
              <w:bottom w:val="nil"/>
              <w:right w:val="single" w:sz="4" w:space="0" w:color="auto"/>
            </w:tcBorders>
            <w:vAlign w:val="center"/>
            <w:hideMark/>
          </w:tcPr>
          <w:p w:rsidR="00E473EF" w:rsidRDefault="00E473EF">
            <w:pPr>
              <w:rPr>
                <w:noProof/>
                <w:color w:val="000000"/>
                <w:sz w:val="18"/>
                <w:szCs w:val="18"/>
                <w:lang w:val="en-US" w:eastAsia="en-US"/>
              </w:rPr>
            </w:pPr>
          </w:p>
        </w:tc>
        <w:tc>
          <w:tcPr>
            <w:tcW w:w="1166" w:type="dxa"/>
            <w:tcBorders>
              <w:top w:val="nil"/>
              <w:left w:val="nil"/>
              <w:bottom w:val="nil"/>
              <w:right w:val="nil"/>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03 01 01 63</w:t>
            </w:r>
          </w:p>
        </w:tc>
        <w:tc>
          <w:tcPr>
            <w:tcW w:w="1809"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EU programme for the Competitiveness of Enterprises and SMEs (COSME)</w:t>
            </w:r>
          </w:p>
        </w:tc>
      </w:tr>
      <w:tr w:rsidR="00E473EF">
        <w:trPr>
          <w:trHeight w:val="240"/>
        </w:trPr>
        <w:tc>
          <w:tcPr>
            <w:tcW w:w="1675"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75" w:type="dxa"/>
            <w:vMerge/>
            <w:tcBorders>
              <w:top w:val="nil"/>
              <w:left w:val="single" w:sz="4" w:space="0" w:color="auto"/>
              <w:bottom w:val="nil"/>
              <w:right w:val="single" w:sz="4" w:space="0" w:color="auto"/>
            </w:tcBorders>
            <w:vAlign w:val="center"/>
            <w:hideMark/>
          </w:tcPr>
          <w:p w:rsidR="00E473EF" w:rsidRDefault="00E473EF">
            <w:pPr>
              <w:rPr>
                <w:noProof/>
                <w:color w:val="000000"/>
                <w:sz w:val="18"/>
                <w:szCs w:val="18"/>
                <w:lang w:val="en-US" w:eastAsia="en-US"/>
              </w:rPr>
            </w:pPr>
          </w:p>
        </w:tc>
        <w:tc>
          <w:tcPr>
            <w:tcW w:w="1925" w:type="dxa"/>
            <w:vMerge/>
            <w:tcBorders>
              <w:top w:val="nil"/>
              <w:left w:val="single" w:sz="4" w:space="0" w:color="auto"/>
              <w:bottom w:val="nil"/>
              <w:right w:val="single" w:sz="4" w:space="0" w:color="auto"/>
            </w:tcBorders>
            <w:vAlign w:val="center"/>
            <w:hideMark/>
          </w:tcPr>
          <w:p w:rsidR="00E473EF" w:rsidRDefault="00E473EF">
            <w:pPr>
              <w:rPr>
                <w:noProof/>
                <w:color w:val="000000"/>
                <w:sz w:val="16"/>
                <w:szCs w:val="16"/>
                <w:lang w:val="en-US" w:eastAsia="en-US"/>
              </w:rPr>
            </w:pPr>
          </w:p>
        </w:tc>
        <w:tc>
          <w:tcPr>
            <w:tcW w:w="1066"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94" w:type="dxa"/>
            <w:tcBorders>
              <w:top w:val="nil"/>
              <w:left w:val="nil"/>
              <w:bottom w:val="nil"/>
              <w:right w:val="single" w:sz="4" w:space="0" w:color="auto"/>
            </w:tcBorders>
            <w:shd w:val="clear" w:color="auto" w:fill="auto"/>
            <w:vAlign w:val="center"/>
            <w:hideMark/>
          </w:tcPr>
          <w:p w:rsidR="00E473EF" w:rsidRDefault="00CE451E">
            <w:pPr>
              <w:jc w:val="center"/>
              <w:rPr>
                <w:iCs/>
                <w:noProof/>
                <w:color w:val="000000"/>
                <w:sz w:val="18"/>
                <w:szCs w:val="18"/>
                <w:lang w:val="en-US" w:eastAsia="en-US"/>
              </w:rPr>
            </w:pPr>
            <w:r>
              <w:rPr>
                <w:iCs/>
                <w:noProof/>
                <w:color w:val="000000"/>
                <w:sz w:val="18"/>
                <w:szCs w:val="18"/>
                <w:lang w:val="en-US" w:eastAsia="en-US"/>
              </w:rPr>
              <w:t>CHAFEA</w:t>
            </w:r>
          </w:p>
        </w:tc>
        <w:tc>
          <w:tcPr>
            <w:tcW w:w="1166" w:type="dxa"/>
            <w:tcBorders>
              <w:top w:val="nil"/>
              <w:left w:val="nil"/>
              <w:bottom w:val="nil"/>
              <w:right w:val="nil"/>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03 01 01 66</w:t>
            </w:r>
          </w:p>
        </w:tc>
        <w:tc>
          <w:tcPr>
            <w:tcW w:w="1809" w:type="dxa"/>
            <w:tcBorders>
              <w:top w:val="nil"/>
              <w:left w:val="nil"/>
              <w:bottom w:val="nil"/>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Consumers</w:t>
            </w:r>
          </w:p>
        </w:tc>
      </w:tr>
      <w:tr w:rsidR="00E473EF">
        <w:trPr>
          <w:trHeight w:val="240"/>
        </w:trPr>
        <w:tc>
          <w:tcPr>
            <w:tcW w:w="1675"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75" w:type="dxa"/>
            <w:tcBorders>
              <w:top w:val="nil"/>
              <w:left w:val="nil"/>
              <w:bottom w:val="single" w:sz="4" w:space="0" w:color="auto"/>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05 01 01 76</w:t>
            </w:r>
          </w:p>
        </w:tc>
        <w:tc>
          <w:tcPr>
            <w:tcW w:w="1925" w:type="dxa"/>
            <w:tcBorders>
              <w:top w:val="nil"/>
              <w:left w:val="nil"/>
              <w:bottom w:val="single" w:sz="4" w:space="0" w:color="auto"/>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 xml:space="preserve">European </w:t>
            </w:r>
            <w:r>
              <w:rPr>
                <w:noProof/>
                <w:color w:val="000000"/>
                <w:sz w:val="16"/>
                <w:szCs w:val="16"/>
                <w:lang w:val="en-US" w:eastAsia="en-US"/>
              </w:rPr>
              <w:t>Regional Development Fund (Interregional Innovation Investments)</w:t>
            </w:r>
          </w:p>
        </w:tc>
        <w:tc>
          <w:tcPr>
            <w:tcW w:w="1066" w:type="dxa"/>
            <w:vMerge/>
            <w:tcBorders>
              <w:top w:val="nil"/>
              <w:left w:val="single" w:sz="4" w:space="0" w:color="auto"/>
              <w:bottom w:val="single" w:sz="4" w:space="0" w:color="000000"/>
              <w:right w:val="single" w:sz="4" w:space="0" w:color="auto"/>
            </w:tcBorders>
            <w:vAlign w:val="center"/>
            <w:hideMark/>
          </w:tcPr>
          <w:p w:rsidR="00E473EF" w:rsidRDefault="00E473EF">
            <w:pPr>
              <w:rPr>
                <w:noProof/>
                <w:color w:val="000000"/>
                <w:sz w:val="18"/>
                <w:szCs w:val="18"/>
                <w:lang w:val="en-US" w:eastAsia="en-US"/>
              </w:rPr>
            </w:pPr>
          </w:p>
        </w:tc>
        <w:tc>
          <w:tcPr>
            <w:tcW w:w="1094" w:type="dxa"/>
            <w:tcBorders>
              <w:top w:val="nil"/>
              <w:left w:val="nil"/>
              <w:bottom w:val="single" w:sz="4" w:space="0" w:color="auto"/>
              <w:right w:val="single" w:sz="4" w:space="0" w:color="auto"/>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w:t>
            </w:r>
          </w:p>
        </w:tc>
        <w:tc>
          <w:tcPr>
            <w:tcW w:w="1166" w:type="dxa"/>
            <w:tcBorders>
              <w:top w:val="nil"/>
              <w:left w:val="nil"/>
              <w:bottom w:val="single" w:sz="4" w:space="0" w:color="auto"/>
              <w:right w:val="nil"/>
            </w:tcBorders>
            <w:shd w:val="clear" w:color="auto" w:fill="auto"/>
            <w:vAlign w:val="center"/>
            <w:hideMark/>
          </w:tcPr>
          <w:p w:rsidR="00E473EF" w:rsidRDefault="00CE451E">
            <w:pPr>
              <w:jc w:val="center"/>
              <w:rPr>
                <w:noProof/>
                <w:color w:val="000000"/>
                <w:sz w:val="18"/>
                <w:szCs w:val="18"/>
                <w:lang w:val="en-US" w:eastAsia="en-US"/>
              </w:rPr>
            </w:pPr>
            <w:r>
              <w:rPr>
                <w:noProof/>
                <w:color w:val="000000"/>
                <w:sz w:val="18"/>
                <w:szCs w:val="18"/>
                <w:lang w:val="en-US" w:eastAsia="en-US"/>
              </w:rPr>
              <w:t>-</w:t>
            </w:r>
          </w:p>
        </w:tc>
        <w:tc>
          <w:tcPr>
            <w:tcW w:w="1809" w:type="dxa"/>
            <w:tcBorders>
              <w:top w:val="nil"/>
              <w:left w:val="nil"/>
              <w:bottom w:val="single" w:sz="4" w:space="0" w:color="auto"/>
              <w:right w:val="single" w:sz="4" w:space="0" w:color="auto"/>
            </w:tcBorders>
            <w:shd w:val="clear" w:color="auto" w:fill="auto"/>
            <w:vAlign w:val="center"/>
            <w:hideMark/>
          </w:tcPr>
          <w:p w:rsidR="00E473EF" w:rsidRDefault="00CE451E">
            <w:pPr>
              <w:jc w:val="center"/>
              <w:rPr>
                <w:noProof/>
                <w:color w:val="000000"/>
                <w:sz w:val="16"/>
                <w:szCs w:val="16"/>
                <w:lang w:val="en-US" w:eastAsia="en-US"/>
              </w:rPr>
            </w:pPr>
            <w:r>
              <w:rPr>
                <w:noProof/>
                <w:color w:val="000000"/>
                <w:sz w:val="16"/>
                <w:szCs w:val="16"/>
                <w:lang w:val="en-US" w:eastAsia="en-US"/>
              </w:rPr>
              <w:t>-</w:t>
            </w:r>
          </w:p>
        </w:tc>
      </w:tr>
    </w:tbl>
    <w:p w:rsidR="00E473EF" w:rsidRDefault="00CE451E">
      <w:pPr>
        <w:spacing w:before="120" w:after="120"/>
        <w:jc w:val="both"/>
        <w:rPr>
          <w:noProof/>
          <w:lang w:eastAsia="en-US"/>
        </w:rPr>
      </w:pPr>
      <w:bookmarkStart w:id="124" w:name="_Toc54770327"/>
      <w:r>
        <w:rPr>
          <w:noProof/>
          <w:lang w:eastAsia="en-US"/>
        </w:rPr>
        <w:t xml:space="preserve">The appropriations corresponding to the subsidy foreseen for each new agency in 2021 in the delegation package will temporarily be allocated to the legacy subsidy lines, limited to </w:t>
      </w:r>
      <w:r>
        <w:rPr>
          <w:noProof/>
          <w:lang w:eastAsia="en-US"/>
        </w:rPr>
        <w:t>the level of appropriations included in the budget 2020, if lower (with the difference allocated to the new subsidy line, when applicable).</w:t>
      </w:r>
    </w:p>
    <w:p w:rsidR="00E473EF" w:rsidRDefault="00CE451E">
      <w:pPr>
        <w:spacing w:before="120" w:after="120"/>
        <w:jc w:val="both"/>
        <w:rPr>
          <w:noProof/>
        </w:rPr>
      </w:pPr>
      <w:r>
        <w:rPr>
          <w:noProof/>
        </w:rPr>
        <w:t>The same “parallelism” approach has been applied to the establishment plans: six new ones are proposed to be created</w:t>
      </w:r>
      <w:r>
        <w:rPr>
          <w:noProof/>
        </w:rPr>
        <w:t xml:space="preserve"> for the six new executive agencies in addition to those included in the DB 2021 for the current “legacy” ones. No reduction is applied for 2021 in the establishment plans of the Commission.</w:t>
      </w:r>
    </w:p>
    <w:p w:rsidR="00E473EF" w:rsidRDefault="00CE451E">
      <w:pPr>
        <w:spacing w:before="120" w:after="120"/>
        <w:jc w:val="both"/>
        <w:rPr>
          <w:noProof/>
        </w:rPr>
      </w:pPr>
      <w:r>
        <w:rPr>
          <w:noProof/>
        </w:rPr>
        <w:t>The “legacy” subsidy lines and establishment plans of the current</w:t>
      </w:r>
      <w:r>
        <w:rPr>
          <w:noProof/>
        </w:rPr>
        <w:t xml:space="preserve"> executive agencies will be merged with the new ones either in an Amending Budget in 2021 or in the framework of the budgetary procedure 2022.</w:t>
      </w:r>
    </w:p>
    <w:p w:rsidR="00E473EF" w:rsidRDefault="00CE451E">
      <w:pPr>
        <w:pStyle w:val="ManualHeading1"/>
        <w:spacing w:before="240"/>
        <w:rPr>
          <w:noProof/>
        </w:rPr>
      </w:pPr>
      <w:bookmarkStart w:id="125" w:name="_Toc55807137"/>
      <w:bookmarkStart w:id="126" w:name="_Toc56009551"/>
      <w:r>
        <w:rPr>
          <w:noProof/>
        </w:rPr>
        <w:t>6.</w:t>
      </w:r>
      <w:r>
        <w:rPr>
          <w:noProof/>
        </w:rPr>
        <w:tab/>
        <w:t>Decentralised agencies</w:t>
      </w:r>
      <w:bookmarkEnd w:id="124"/>
      <w:bookmarkEnd w:id="125"/>
      <w:bookmarkEnd w:id="126"/>
    </w:p>
    <w:p w:rsidR="00E473EF" w:rsidRDefault="00CE451E">
      <w:pPr>
        <w:keepNext/>
        <w:tabs>
          <w:tab w:val="left" w:pos="850"/>
        </w:tabs>
        <w:spacing w:before="360" w:after="120"/>
        <w:ind w:left="357" w:hanging="357"/>
        <w:jc w:val="both"/>
        <w:outlineLvl w:val="1"/>
        <w:rPr>
          <w:rFonts w:eastAsia="Calibri"/>
          <w:b/>
          <w:noProof/>
          <w:lang w:eastAsia="en-US"/>
        </w:rPr>
      </w:pPr>
      <w:bookmarkStart w:id="127" w:name="_Toc54770328"/>
      <w:bookmarkStart w:id="128" w:name="_Toc55807138"/>
      <w:bookmarkStart w:id="129" w:name="_Toc56009552"/>
      <w:r>
        <w:rPr>
          <w:rFonts w:eastAsia="Calibri"/>
          <w:b/>
          <w:noProof/>
          <w:lang w:eastAsia="en-US"/>
        </w:rPr>
        <w:t xml:space="preserve">6.1 </w:t>
      </w:r>
      <w:r>
        <w:rPr>
          <w:rFonts w:eastAsia="Calibri"/>
          <w:b/>
          <w:noProof/>
          <w:lang w:eastAsia="en-US"/>
        </w:rPr>
        <w:tab/>
      </w:r>
      <w:bookmarkEnd w:id="105"/>
      <w:r>
        <w:rPr>
          <w:rFonts w:eastAsia="Calibri"/>
          <w:b/>
          <w:noProof/>
          <w:lang w:eastAsia="en-US"/>
        </w:rPr>
        <w:t>European Medicines Agency (EMA)</w:t>
      </w:r>
      <w:bookmarkEnd w:id="127"/>
      <w:bookmarkEnd w:id="128"/>
      <w:bookmarkEnd w:id="129"/>
    </w:p>
    <w:p w:rsidR="00E473EF" w:rsidRDefault="00CE451E">
      <w:pPr>
        <w:spacing w:before="120" w:after="120"/>
        <w:jc w:val="both"/>
        <w:rPr>
          <w:noProof/>
          <w:lang w:val="en-IE"/>
        </w:rPr>
      </w:pPr>
      <w:r>
        <w:rPr>
          <w:noProof/>
          <w:lang w:val="en-IE"/>
        </w:rPr>
        <w:t xml:space="preserve">The medicine industry is developing a high number </w:t>
      </w:r>
      <w:r>
        <w:rPr>
          <w:noProof/>
          <w:lang w:val="en-IE"/>
        </w:rPr>
        <w:t xml:space="preserve">of products in reaction to the COVID-19 pandemic. The European Medicines Agency (EMA) will have to evaluate and authorise the medicines and vaccines currently under development, which are proposed to be brought to the market. This creates a temporary peak </w:t>
      </w:r>
      <w:r>
        <w:rPr>
          <w:noProof/>
          <w:lang w:val="en-IE"/>
        </w:rPr>
        <w:t>in EMA’s scientific work as well as its coordinating role. A two-year temporary staff reinforcement of 40 temporary agents is thus warranted as of 2021. The financial impact will be covered through other revenue (fees and charges) and will not have an impa</w:t>
      </w:r>
      <w:r>
        <w:rPr>
          <w:noProof/>
          <w:lang w:val="en-IE"/>
        </w:rPr>
        <w:t>ct on the Union contribution.</w:t>
      </w:r>
    </w:p>
    <w:p w:rsidR="00E473EF" w:rsidRDefault="00CE451E">
      <w:pPr>
        <w:pStyle w:val="Default"/>
        <w:jc w:val="both"/>
        <w:rPr>
          <w:rFonts w:eastAsia="Calibri"/>
          <w:b/>
          <w:noProof/>
        </w:rPr>
      </w:pPr>
      <w:r>
        <w:rPr>
          <w:noProof/>
        </w:rPr>
        <w:t>In addition, following the adoption of the Autumn Health Package on 11 November 2020, the role of EMA is proposed to be further, and structurally, reinforced. This initiative aims to ensure that critical shortages of medicinal</w:t>
      </w:r>
      <w:r>
        <w:rPr>
          <w:noProof/>
        </w:rPr>
        <w:t xml:space="preserve"> products and medical devices in a health emergency are avoided across the Union. The additional staff will also allow the EMA to establish a permanent task force to provide advice on medicines during times of crises, and will enable the Agency to reuse he</w:t>
      </w:r>
      <w:r>
        <w:rPr>
          <w:noProof/>
        </w:rPr>
        <w:t>alth data for regulatory purposes in the context of the European Health Data Space. The strengthening of EMA’s role will require an increase of the Union contribution by EUR 28 million and 29 additional human resource allocations for 2021 (21 temporary age</w:t>
      </w:r>
      <w:r>
        <w:rPr>
          <w:noProof/>
        </w:rPr>
        <w:t>nts and 8 contract agents).</w:t>
      </w:r>
      <w:bookmarkStart w:id="130" w:name="_Toc54770329"/>
    </w:p>
    <w:p w:rsidR="00E473EF" w:rsidRDefault="00CE451E">
      <w:pPr>
        <w:keepNext/>
        <w:tabs>
          <w:tab w:val="left" w:pos="850"/>
        </w:tabs>
        <w:spacing w:before="360" w:after="120"/>
        <w:ind w:left="357" w:hanging="357"/>
        <w:jc w:val="both"/>
        <w:outlineLvl w:val="1"/>
        <w:rPr>
          <w:rFonts w:eastAsia="Calibri"/>
          <w:b/>
          <w:noProof/>
          <w:lang w:eastAsia="en-US"/>
        </w:rPr>
      </w:pPr>
      <w:bookmarkStart w:id="131" w:name="_Toc55807139"/>
      <w:bookmarkStart w:id="132" w:name="_Toc56009553"/>
      <w:r>
        <w:rPr>
          <w:rFonts w:eastAsia="Calibri"/>
          <w:b/>
          <w:noProof/>
          <w:lang w:eastAsia="en-US"/>
        </w:rPr>
        <w:t>6.2</w:t>
      </w:r>
      <w:r>
        <w:rPr>
          <w:rFonts w:eastAsia="Calibri"/>
          <w:b/>
          <w:noProof/>
          <w:lang w:eastAsia="en-US"/>
        </w:rPr>
        <w:tab/>
      </w:r>
      <w:r>
        <w:rPr>
          <w:rFonts w:eastAsia="Calibri"/>
          <w:b/>
          <w:noProof/>
          <w:lang w:eastAsia="en-US"/>
        </w:rPr>
        <w:tab/>
        <w:t>European Centre for Disease Prevention and Control (ECDC)</w:t>
      </w:r>
      <w:bookmarkEnd w:id="130"/>
      <w:bookmarkEnd w:id="131"/>
      <w:bookmarkEnd w:id="132"/>
    </w:p>
    <w:p w:rsidR="00E473EF" w:rsidRDefault="00CE451E">
      <w:pPr>
        <w:spacing w:before="120" w:after="120"/>
        <w:jc w:val="both"/>
        <w:rPr>
          <w:noProof/>
          <w:lang w:val="en-IE"/>
        </w:rPr>
      </w:pPr>
      <w:r>
        <w:rPr>
          <w:noProof/>
          <w:lang w:val="en-IE"/>
        </w:rPr>
        <w:t>The European Centre for Disease Prevention and Control (ECDC) continuously assesses and communicates current and emerging threats to human health from communicable d</w:t>
      </w:r>
      <w:r>
        <w:rPr>
          <w:noProof/>
          <w:lang w:val="en-IE"/>
        </w:rPr>
        <w:t>iseases and provides recommendations for response at Union and national level. The current pandemic situation has proven that a strong ECDC is a key element in the European Health Union. The Autumn Health Package mentioned above also included a legislative</w:t>
      </w:r>
      <w:r>
        <w:rPr>
          <w:noProof/>
          <w:lang w:val="en-IE"/>
        </w:rPr>
        <w:t xml:space="preserve"> proposal targeted at strengthening the agency’s role, allowing the agency to increase its support to Member States with preparedness preparation and quick interventions in a health crisis. The financial impact of the proposal requires an increase of EUR 1</w:t>
      </w:r>
      <w:r>
        <w:rPr>
          <w:noProof/>
          <w:lang w:val="en-IE"/>
        </w:rPr>
        <w:t xml:space="preserve">6 million of the Union contribution and a strengthening of the human resources for 2021 (18 temporary agents and 13 contract agents). </w:t>
      </w:r>
    </w:p>
    <w:p w:rsidR="00E473EF" w:rsidRDefault="00CE451E">
      <w:pPr>
        <w:keepNext/>
        <w:tabs>
          <w:tab w:val="left" w:pos="850"/>
        </w:tabs>
        <w:spacing w:before="360" w:after="120"/>
        <w:ind w:left="357" w:hanging="357"/>
        <w:jc w:val="both"/>
        <w:outlineLvl w:val="1"/>
        <w:rPr>
          <w:rFonts w:eastAsia="Calibri"/>
          <w:b/>
          <w:noProof/>
          <w:lang w:eastAsia="en-US"/>
        </w:rPr>
      </w:pPr>
      <w:bookmarkStart w:id="133" w:name="_Toc54770330"/>
      <w:bookmarkStart w:id="134" w:name="_Toc55807140"/>
      <w:bookmarkStart w:id="135" w:name="_Toc56009554"/>
      <w:bookmarkStart w:id="136" w:name="_Toc526753788"/>
      <w:r>
        <w:rPr>
          <w:rFonts w:eastAsia="Calibri"/>
          <w:b/>
          <w:noProof/>
          <w:lang w:eastAsia="en-US"/>
        </w:rPr>
        <w:t xml:space="preserve">6.3 </w:t>
      </w:r>
      <w:r>
        <w:rPr>
          <w:rFonts w:eastAsia="Calibri"/>
          <w:b/>
          <w:noProof/>
          <w:lang w:eastAsia="en-US"/>
        </w:rPr>
        <w:tab/>
        <w:t>European Environmental Agency (EEA)</w:t>
      </w:r>
      <w:bookmarkEnd w:id="133"/>
      <w:bookmarkEnd w:id="134"/>
      <w:bookmarkEnd w:id="135"/>
    </w:p>
    <w:p w:rsidR="00E473EF" w:rsidRDefault="00CE451E">
      <w:pPr>
        <w:spacing w:before="120" w:after="120"/>
        <w:jc w:val="both"/>
        <w:rPr>
          <w:noProof/>
          <w:lang w:val="en-IE"/>
        </w:rPr>
      </w:pPr>
      <w:r>
        <w:rPr>
          <w:noProof/>
          <w:lang w:val="en-IE"/>
        </w:rPr>
        <w:t>Following the adoption by Council and Parliament of the Taxonomy Regulation</w:t>
      </w:r>
      <w:r>
        <w:rPr>
          <w:rStyle w:val="FootnoteReference"/>
          <w:noProof/>
          <w:lang w:val="en-IE"/>
        </w:rPr>
        <w:footnoteReference w:id="26"/>
      </w:r>
      <w:r>
        <w:rPr>
          <w:noProof/>
          <w:lang w:val="en-IE"/>
        </w:rPr>
        <w:t xml:space="preserve"> on </w:t>
      </w:r>
      <w:r>
        <w:rPr>
          <w:noProof/>
          <w:lang w:val="en-IE"/>
        </w:rPr>
        <w:t>18 June 2020, one additional Temporary Agent has to be added compared to the establishment plan communicated in the DB 2021.</w:t>
      </w:r>
    </w:p>
    <w:p w:rsidR="00E473EF" w:rsidRDefault="00CE451E">
      <w:pPr>
        <w:spacing w:before="120" w:after="120"/>
        <w:jc w:val="both"/>
        <w:rPr>
          <w:noProof/>
          <w:lang w:val="en-IE"/>
        </w:rPr>
      </w:pPr>
      <w:r>
        <w:rPr>
          <w:noProof/>
          <w:lang w:val="en-IE"/>
        </w:rPr>
        <w:t>Furthermore, additional tasks have been allocated to the agency under the 8</w:t>
      </w:r>
      <w:r>
        <w:rPr>
          <w:noProof/>
          <w:vertAlign w:val="superscript"/>
          <w:lang w:val="en-IE"/>
        </w:rPr>
        <w:t>th</w:t>
      </w:r>
      <w:r>
        <w:rPr>
          <w:noProof/>
          <w:lang w:val="en-IE"/>
        </w:rPr>
        <w:t xml:space="preserve"> Environmental Action Programme, which require 9 Tempo</w:t>
      </w:r>
      <w:r>
        <w:rPr>
          <w:noProof/>
          <w:lang w:val="en-IE"/>
        </w:rPr>
        <w:t>rary Agents and 6 Contract Agents and a reinforcement of the EU contribution of EUR 3,2 million. This increase is offset by a corresponding reduction of the budget of the LIFE programme.</w:t>
      </w:r>
    </w:p>
    <w:p w:rsidR="00E473EF" w:rsidRDefault="00CE451E">
      <w:pPr>
        <w:keepNext/>
        <w:tabs>
          <w:tab w:val="left" w:pos="850"/>
        </w:tabs>
        <w:spacing w:before="360" w:after="120"/>
        <w:ind w:left="357" w:hanging="357"/>
        <w:jc w:val="both"/>
        <w:outlineLvl w:val="1"/>
        <w:rPr>
          <w:rFonts w:eastAsia="Calibri"/>
          <w:b/>
          <w:noProof/>
          <w:lang w:eastAsia="en-US"/>
        </w:rPr>
      </w:pPr>
      <w:bookmarkStart w:id="137" w:name="_Toc54770331"/>
      <w:bookmarkStart w:id="138" w:name="_Toc55807141"/>
      <w:bookmarkStart w:id="139" w:name="_Toc56009555"/>
      <w:r>
        <w:rPr>
          <w:rFonts w:eastAsia="Calibri"/>
          <w:b/>
          <w:noProof/>
          <w:lang w:eastAsia="en-US"/>
        </w:rPr>
        <w:t xml:space="preserve">6.4 </w:t>
      </w:r>
      <w:r>
        <w:rPr>
          <w:rFonts w:eastAsia="Calibri"/>
          <w:b/>
          <w:noProof/>
          <w:lang w:eastAsia="en-US"/>
        </w:rPr>
        <w:tab/>
        <w:t>European Chemicals Agency (ECHA)</w:t>
      </w:r>
      <w:bookmarkEnd w:id="137"/>
      <w:bookmarkEnd w:id="138"/>
      <w:bookmarkEnd w:id="139"/>
    </w:p>
    <w:p w:rsidR="00E473EF" w:rsidRDefault="00CE451E">
      <w:pPr>
        <w:spacing w:before="120" w:after="120"/>
        <w:jc w:val="both"/>
        <w:rPr>
          <w:noProof/>
          <w:lang w:val="en-IE"/>
        </w:rPr>
      </w:pPr>
      <w:r>
        <w:rPr>
          <w:noProof/>
          <w:lang w:val="en-IE"/>
        </w:rPr>
        <w:t>The European Chemicals Agency (</w:t>
      </w:r>
      <w:r>
        <w:rPr>
          <w:noProof/>
          <w:lang w:val="en-IE"/>
        </w:rPr>
        <w:t xml:space="preserve">ECHA) has experienced a steep drop in fee income in 2020 for its activities in the field of biocides legislation. The resulting shortfall needs to be offset by a reinforcement of the Union contribution of EUR 3,2 million. </w:t>
      </w:r>
    </w:p>
    <w:p w:rsidR="00E473EF" w:rsidRDefault="00CE451E">
      <w:pPr>
        <w:spacing w:before="120" w:after="120"/>
        <w:jc w:val="both"/>
        <w:rPr>
          <w:noProof/>
          <w:lang w:val="en-IE"/>
        </w:rPr>
      </w:pPr>
      <w:r>
        <w:rPr>
          <w:noProof/>
          <w:lang w:val="en-IE"/>
        </w:rPr>
        <w:t>The agency is also allocated addi</w:t>
      </w:r>
      <w:r>
        <w:rPr>
          <w:noProof/>
          <w:lang w:val="en-IE"/>
        </w:rPr>
        <w:t>tional tasks in the field of hazardous chemicals under the 8</w:t>
      </w:r>
      <w:r>
        <w:rPr>
          <w:noProof/>
          <w:vertAlign w:val="superscript"/>
          <w:lang w:val="en-IE"/>
        </w:rPr>
        <w:t>th</w:t>
      </w:r>
      <w:r>
        <w:rPr>
          <w:noProof/>
          <w:lang w:val="en-IE"/>
        </w:rPr>
        <w:t xml:space="preserve"> Environmental Action Programme, which require 1 Temporary Agent and 1 Contract Agent and a reinforcement of Union contribution of EUR 0,3 million. This increase is offset by a corresponding red</w:t>
      </w:r>
      <w:r>
        <w:rPr>
          <w:noProof/>
          <w:lang w:val="en-IE"/>
        </w:rPr>
        <w:t>uction of the budget of the LIFE programme.</w:t>
      </w:r>
    </w:p>
    <w:p w:rsidR="00E473EF" w:rsidRDefault="00CE451E">
      <w:pPr>
        <w:keepNext/>
        <w:tabs>
          <w:tab w:val="left" w:pos="850"/>
        </w:tabs>
        <w:spacing w:before="360" w:after="120"/>
        <w:ind w:left="357" w:hanging="357"/>
        <w:jc w:val="both"/>
        <w:outlineLvl w:val="1"/>
        <w:rPr>
          <w:rFonts w:eastAsia="Calibri"/>
          <w:b/>
          <w:noProof/>
          <w:lang w:eastAsia="en-US"/>
        </w:rPr>
      </w:pPr>
      <w:bookmarkStart w:id="140" w:name="_Toc54770332"/>
      <w:bookmarkStart w:id="141" w:name="_Toc55807142"/>
      <w:bookmarkStart w:id="142" w:name="_Toc56009556"/>
      <w:r>
        <w:rPr>
          <w:rFonts w:eastAsia="Calibri"/>
          <w:b/>
          <w:noProof/>
          <w:lang w:eastAsia="en-US"/>
        </w:rPr>
        <w:t xml:space="preserve">6.5 </w:t>
      </w:r>
      <w:r>
        <w:rPr>
          <w:rFonts w:eastAsia="Calibri"/>
          <w:b/>
          <w:noProof/>
          <w:lang w:eastAsia="en-US"/>
        </w:rPr>
        <w:tab/>
        <w:t>European Banking Authority (EBA)</w:t>
      </w:r>
      <w:bookmarkEnd w:id="140"/>
      <w:bookmarkEnd w:id="141"/>
      <w:bookmarkEnd w:id="142"/>
    </w:p>
    <w:p w:rsidR="00E473EF" w:rsidRDefault="00CE451E">
      <w:pPr>
        <w:jc w:val="both"/>
        <w:rPr>
          <w:noProof/>
          <w:lang w:val="en-IE"/>
        </w:rPr>
      </w:pPr>
      <w:r>
        <w:rPr>
          <w:noProof/>
          <w:lang w:val="en-IE"/>
        </w:rPr>
        <w:t>The European Banking Authority (EBA) adjusted the split of the repayment of EBA’s 2019 surplus, which resulted in a higher share for the Union. The increased assigned revenue</w:t>
      </w:r>
      <w:r>
        <w:rPr>
          <w:noProof/>
          <w:lang w:val="en-IE"/>
        </w:rPr>
        <w:t>s lower the need for fresh appropriations in 2021 (-EUR 276 639).</w:t>
      </w:r>
    </w:p>
    <w:p w:rsidR="00E473EF" w:rsidRDefault="00CE451E">
      <w:pPr>
        <w:keepNext/>
        <w:tabs>
          <w:tab w:val="left" w:pos="850"/>
        </w:tabs>
        <w:spacing w:before="360" w:after="120"/>
        <w:ind w:left="357" w:hanging="357"/>
        <w:jc w:val="both"/>
        <w:outlineLvl w:val="1"/>
        <w:rPr>
          <w:rFonts w:eastAsia="Calibri"/>
          <w:b/>
          <w:noProof/>
          <w:lang w:eastAsia="en-US"/>
        </w:rPr>
      </w:pPr>
      <w:bookmarkStart w:id="143" w:name="_Toc54770333"/>
      <w:bookmarkStart w:id="144" w:name="_Toc55807143"/>
      <w:bookmarkStart w:id="145" w:name="_Toc56009557"/>
      <w:r>
        <w:rPr>
          <w:rFonts w:eastAsia="Calibri"/>
          <w:b/>
          <w:noProof/>
          <w:lang w:eastAsia="en-US"/>
        </w:rPr>
        <w:t xml:space="preserve">6.6 </w:t>
      </w:r>
      <w:r>
        <w:rPr>
          <w:rFonts w:eastAsia="Calibri"/>
          <w:b/>
          <w:noProof/>
          <w:lang w:eastAsia="en-US"/>
        </w:rPr>
        <w:tab/>
        <w:t>European Asylum Support Office (EASO)</w:t>
      </w:r>
      <w:bookmarkEnd w:id="143"/>
      <w:bookmarkEnd w:id="144"/>
      <w:bookmarkEnd w:id="145"/>
    </w:p>
    <w:p w:rsidR="00E473EF" w:rsidRDefault="00CE451E">
      <w:pPr>
        <w:jc w:val="both"/>
        <w:rPr>
          <w:b/>
          <w:smallCaps/>
          <w:noProof/>
        </w:rPr>
      </w:pPr>
      <w:r>
        <w:rPr>
          <w:noProof/>
          <w:lang w:val="en-IE"/>
        </w:rPr>
        <w:t>Due to a structural lack of secondment of national experts by Member States, the European Asylum Support office (EASO) had to deliver part of its m</w:t>
      </w:r>
      <w:r>
        <w:rPr>
          <w:noProof/>
          <w:lang w:val="en-IE"/>
        </w:rPr>
        <w:t xml:space="preserve">issions through the use of interim workers. However, as those cannot permanently be prolonged, EASO has informed the Commission of its intention to temporarily replace 58 interim workers with Contract Agents with a contract of maximum 1 year. The proposed </w:t>
      </w:r>
      <w:r>
        <w:rPr>
          <w:noProof/>
          <w:lang w:val="en-IE"/>
        </w:rPr>
        <w:t>replacement of interim workers by Contract Agents will not have an impact on the appropriations foreseen for the agency in the DB 2021. EASO will, together with the Commission, use the year to find a structural solution for the lack of national experts dep</w:t>
      </w:r>
      <w:r>
        <w:rPr>
          <w:noProof/>
          <w:lang w:val="en-IE"/>
        </w:rPr>
        <w:t>loyed by the Member States to EASO.</w:t>
      </w:r>
      <w:bookmarkStart w:id="146" w:name="_Toc54770334"/>
      <w:bookmarkStart w:id="147" w:name="_Toc526753789"/>
      <w:bookmarkEnd w:id="136"/>
    </w:p>
    <w:p w:rsidR="00E473EF" w:rsidRDefault="00CE451E">
      <w:pPr>
        <w:pStyle w:val="ManualHeading1"/>
        <w:spacing w:before="240"/>
        <w:rPr>
          <w:noProof/>
        </w:rPr>
      </w:pPr>
      <w:bookmarkStart w:id="148" w:name="_Toc55807144"/>
      <w:bookmarkStart w:id="149" w:name="_Toc56009558"/>
      <w:r>
        <w:rPr>
          <w:noProof/>
        </w:rPr>
        <w:t>7.</w:t>
      </w:r>
      <w:r>
        <w:rPr>
          <w:noProof/>
        </w:rPr>
        <w:tab/>
        <w:t>Adjustments to the heading 7 “European Public Administration”</w:t>
      </w:r>
      <w:bookmarkEnd w:id="146"/>
      <w:bookmarkEnd w:id="148"/>
      <w:bookmarkEnd w:id="149"/>
    </w:p>
    <w:p w:rsidR="00E473EF" w:rsidRDefault="00CE451E">
      <w:pPr>
        <w:keepNext/>
        <w:tabs>
          <w:tab w:val="left" w:pos="850"/>
        </w:tabs>
        <w:spacing w:before="360" w:after="120"/>
        <w:ind w:left="357" w:hanging="357"/>
        <w:jc w:val="both"/>
        <w:outlineLvl w:val="1"/>
        <w:rPr>
          <w:rFonts w:eastAsia="Calibri"/>
          <w:b/>
          <w:noProof/>
          <w:lang w:eastAsia="en-US"/>
        </w:rPr>
      </w:pPr>
      <w:bookmarkStart w:id="150" w:name="_Toc54770335"/>
      <w:bookmarkStart w:id="151" w:name="_Toc55807145"/>
      <w:bookmarkStart w:id="152" w:name="_Toc56009559"/>
      <w:r>
        <w:rPr>
          <w:rFonts w:eastAsia="Calibri"/>
          <w:b/>
          <w:noProof/>
          <w:lang w:eastAsia="en-US"/>
        </w:rPr>
        <w:t>7.1</w:t>
      </w:r>
      <w:r>
        <w:rPr>
          <w:rFonts w:eastAsia="Calibri"/>
          <w:b/>
          <w:noProof/>
          <w:lang w:eastAsia="en-US"/>
        </w:rPr>
        <w:tab/>
      </w:r>
      <w:r>
        <w:rPr>
          <w:rFonts w:eastAsia="Calibri"/>
          <w:b/>
          <w:noProof/>
          <w:lang w:eastAsia="en-US"/>
        </w:rPr>
        <w:tab/>
        <w:t>Salary indexation as from 1 July 2020</w:t>
      </w:r>
      <w:bookmarkEnd w:id="150"/>
      <w:bookmarkEnd w:id="151"/>
      <w:bookmarkEnd w:id="152"/>
    </w:p>
    <w:p w:rsidR="00E473EF" w:rsidRDefault="00CE451E">
      <w:pPr>
        <w:autoSpaceDE w:val="0"/>
        <w:autoSpaceDN w:val="0"/>
        <w:adjustRightInd w:val="0"/>
        <w:spacing w:before="120" w:after="120"/>
        <w:jc w:val="both"/>
        <w:rPr>
          <w:noProof/>
        </w:rPr>
      </w:pPr>
      <w:r>
        <w:rPr>
          <w:noProof/>
        </w:rPr>
        <w:t>In accordance with articles 64 and 65 of the Staff Regulations</w:t>
      </w:r>
      <w:r>
        <w:rPr>
          <w:rStyle w:val="FootnoteReference"/>
          <w:noProof/>
        </w:rPr>
        <w:footnoteReference w:id="27"/>
      </w:r>
      <w:r>
        <w:rPr>
          <w:noProof/>
        </w:rPr>
        <w:t>, the remuneration of the officials and other ser</w:t>
      </w:r>
      <w:r>
        <w:rPr>
          <w:noProof/>
        </w:rPr>
        <w:t xml:space="preserve">vants of the European Union is updated each year, in the light of a report presented by the Commission, based on statistical data prepared by Eurostat in agreement with the national statistical offices of the Member States, reflecting the situation in the </w:t>
      </w:r>
      <w:r>
        <w:rPr>
          <w:noProof/>
        </w:rPr>
        <w:t>Member States at 1 July.</w:t>
      </w:r>
    </w:p>
    <w:p w:rsidR="00E473EF" w:rsidRDefault="00CE451E">
      <w:pPr>
        <w:autoSpaceDE w:val="0"/>
        <w:autoSpaceDN w:val="0"/>
        <w:adjustRightInd w:val="0"/>
        <w:spacing w:before="120" w:after="120"/>
        <w:jc w:val="both"/>
        <w:rPr>
          <w:noProof/>
        </w:rPr>
      </w:pPr>
      <w:r>
        <w:rPr>
          <w:noProof/>
        </w:rPr>
        <w:t>The calculation of the update is based on the principle of parallelism between the evolution of real (net of inflation) remuneration of Union officials and national civil servants of the Member</w:t>
      </w:r>
      <w:r>
        <w:rPr>
          <w:rFonts w:eastAsia="Calibri"/>
          <w:noProof/>
          <w:lang w:eastAsia="en-US"/>
        </w:rPr>
        <w:t xml:space="preserve"> States. It reflects the combined effe</w:t>
      </w:r>
      <w:r>
        <w:rPr>
          <w:rFonts w:eastAsia="Calibri"/>
          <w:noProof/>
          <w:lang w:eastAsia="en-US"/>
        </w:rPr>
        <w:t>ct of two main variables:</w:t>
      </w:r>
    </w:p>
    <w:p w:rsidR="00E473EF" w:rsidRPr="00CE451E" w:rsidRDefault="00CE451E">
      <w:pPr>
        <w:pStyle w:val="ListParagraph"/>
        <w:numPr>
          <w:ilvl w:val="0"/>
          <w:numId w:val="26"/>
        </w:numPr>
        <w:autoSpaceDE w:val="0"/>
        <w:autoSpaceDN w:val="0"/>
        <w:adjustRightInd w:val="0"/>
        <w:spacing w:before="120" w:after="120" w:line="240" w:lineRule="auto"/>
        <w:ind w:left="360"/>
        <w:contextualSpacing w:val="0"/>
        <w:jc w:val="both"/>
        <w:rPr>
          <w:rFonts w:ascii="Times New Roman" w:hAnsi="Times New Roman"/>
          <w:noProof/>
          <w:sz w:val="24"/>
          <w:szCs w:val="24"/>
          <w:lang w:val="en-GB"/>
        </w:rPr>
      </w:pPr>
      <w:r w:rsidRPr="00CE451E">
        <w:rPr>
          <w:rFonts w:ascii="Times New Roman" w:hAnsi="Times New Roman"/>
          <w:noProof/>
          <w:sz w:val="24"/>
          <w:szCs w:val="24"/>
          <w:lang w:val="en-GB"/>
        </w:rPr>
        <w:t>The specific indicator (SI), reflecting the changes in the purchasing power of salaries of national civil servants in central governments of a sample of 11 Member States representing more than 75% of the Union GDP;</w:t>
      </w:r>
    </w:p>
    <w:p w:rsidR="00E473EF" w:rsidRPr="00CE451E" w:rsidRDefault="00CE451E">
      <w:pPr>
        <w:pStyle w:val="ListParagraph"/>
        <w:numPr>
          <w:ilvl w:val="0"/>
          <w:numId w:val="26"/>
        </w:numPr>
        <w:autoSpaceDE w:val="0"/>
        <w:autoSpaceDN w:val="0"/>
        <w:adjustRightInd w:val="0"/>
        <w:spacing w:before="120" w:after="120" w:line="240" w:lineRule="auto"/>
        <w:ind w:left="360"/>
        <w:contextualSpacing w:val="0"/>
        <w:jc w:val="both"/>
        <w:rPr>
          <w:rFonts w:ascii="Times New Roman" w:hAnsi="Times New Roman"/>
          <w:noProof/>
          <w:sz w:val="24"/>
          <w:szCs w:val="24"/>
          <w:lang w:val="en-GB"/>
        </w:rPr>
      </w:pPr>
      <w:r w:rsidRPr="00CE451E">
        <w:rPr>
          <w:rFonts w:ascii="Times New Roman" w:hAnsi="Times New Roman"/>
          <w:noProof/>
          <w:sz w:val="24"/>
          <w:szCs w:val="24"/>
          <w:lang w:val="en-GB"/>
        </w:rPr>
        <w:t>The joint index</w:t>
      </w:r>
      <w:r w:rsidRPr="00CE451E">
        <w:rPr>
          <w:rFonts w:ascii="Times New Roman" w:hAnsi="Times New Roman"/>
          <w:noProof/>
          <w:sz w:val="24"/>
          <w:szCs w:val="24"/>
          <w:lang w:val="en-GB"/>
        </w:rPr>
        <w:t xml:space="preserve"> (JI), reflecting the annual inflation in Brussels and Luxembourg calculated by weighting national consumer price inflation as measured by the Belgium HICP</w:t>
      </w:r>
      <w:r>
        <w:rPr>
          <w:rStyle w:val="FootnoteReference"/>
          <w:rFonts w:ascii="Times New Roman" w:eastAsia="Times New Roman" w:hAnsi="Times New Roman"/>
          <w:noProof/>
          <w:sz w:val="24"/>
          <w:szCs w:val="24"/>
          <w:lang w:val="en-GB" w:eastAsia="en-GB"/>
        </w:rPr>
        <w:footnoteReference w:id="28"/>
      </w:r>
      <w:r w:rsidRPr="00CE451E">
        <w:rPr>
          <w:rFonts w:ascii="Times New Roman" w:hAnsi="Times New Roman"/>
          <w:noProof/>
          <w:sz w:val="24"/>
          <w:szCs w:val="24"/>
          <w:lang w:val="en-GB"/>
        </w:rPr>
        <w:t xml:space="preserve"> and Luxembourg CPI</w:t>
      </w:r>
      <w:r>
        <w:rPr>
          <w:rStyle w:val="FootnoteReference"/>
          <w:rFonts w:ascii="Times New Roman" w:eastAsia="Times New Roman" w:hAnsi="Times New Roman"/>
          <w:noProof/>
          <w:sz w:val="24"/>
          <w:szCs w:val="24"/>
          <w:lang w:val="en-GB" w:eastAsia="en-GB"/>
        </w:rPr>
        <w:footnoteReference w:id="29"/>
      </w:r>
      <w:r w:rsidRPr="00CE451E">
        <w:rPr>
          <w:rFonts w:ascii="Times New Roman" w:hAnsi="Times New Roman"/>
          <w:noProof/>
          <w:sz w:val="24"/>
          <w:szCs w:val="24"/>
          <w:lang w:val="en-GB"/>
        </w:rPr>
        <w:t xml:space="preserve"> according to the distribution of Union staff serving in those Member States.</w:t>
      </w:r>
    </w:p>
    <w:p w:rsidR="00E473EF" w:rsidRDefault="00CE451E">
      <w:pPr>
        <w:autoSpaceDE w:val="0"/>
        <w:autoSpaceDN w:val="0"/>
        <w:adjustRightInd w:val="0"/>
        <w:spacing w:before="120" w:after="120"/>
        <w:jc w:val="both"/>
        <w:rPr>
          <w:noProof/>
        </w:rPr>
      </w:pPr>
      <w:r>
        <w:rPr>
          <w:noProof/>
        </w:rPr>
        <w:t>Th</w:t>
      </w:r>
      <w:r>
        <w:rPr>
          <w:noProof/>
        </w:rPr>
        <w:t>ose two elements are multiplied in order to obtain the update rate.</w:t>
      </w:r>
    </w:p>
    <w:p w:rsidR="00E473EF" w:rsidRDefault="00CE451E">
      <w:pPr>
        <w:autoSpaceDE w:val="0"/>
        <w:autoSpaceDN w:val="0"/>
        <w:adjustRightInd w:val="0"/>
        <w:spacing w:before="120" w:after="120"/>
        <w:jc w:val="both"/>
        <w:rPr>
          <w:noProof/>
        </w:rPr>
      </w:pPr>
      <w:r>
        <w:rPr>
          <w:noProof/>
        </w:rPr>
        <w:t>As stipulated in Article 11 of Annex XI of the Staff Regulation (‘exception clause’), in case of a decrease in the real Union GDP for the current year as forecast by the Commission and the</w:t>
      </w:r>
      <w:r>
        <w:rPr>
          <w:noProof/>
        </w:rPr>
        <w:t xml:space="preserve"> specific indicator is positive, only part of the specific indicator shall be used to calculate the value of the update. In the case of a drop of the GDP by more than 3 %, the specific indicator will be set to 0 % for the 2020 exercise. The value of the sp</w:t>
      </w:r>
      <w:r>
        <w:rPr>
          <w:noProof/>
        </w:rPr>
        <w:t>ecific indicator that did not serve the update of the remunerations and the pensions in 2020, shall form the basis of the calculation of a future update once the cumulative increase of the Union GDP becomes positive.</w:t>
      </w:r>
    </w:p>
    <w:p w:rsidR="00E473EF" w:rsidRDefault="00CE451E">
      <w:pPr>
        <w:autoSpaceDE w:val="0"/>
        <w:autoSpaceDN w:val="0"/>
        <w:adjustRightInd w:val="0"/>
        <w:spacing w:before="120" w:after="120"/>
        <w:jc w:val="both"/>
        <w:rPr>
          <w:noProof/>
        </w:rPr>
      </w:pPr>
      <w:r>
        <w:rPr>
          <w:noProof/>
        </w:rPr>
        <w:t>According to the latest forecast issued</w:t>
      </w:r>
      <w:r>
        <w:rPr>
          <w:noProof/>
        </w:rPr>
        <w:t xml:space="preserve"> by the Commission, as a consequence of the COVID-19 crisis, the real EU GDP in the calendar year 2020 is expected to decrease by -8,3 %. Therefore, the exception clause will be triggered and the specific indicator will be 0 % and the salary update on 1 Ju</w:t>
      </w:r>
      <w:r>
        <w:rPr>
          <w:noProof/>
        </w:rPr>
        <w:t>ly 2020 will solely correspond to the evolution of the JI for the period July 2019-July 2020.</w:t>
      </w:r>
    </w:p>
    <w:p w:rsidR="00E473EF" w:rsidRDefault="00CE451E">
      <w:pPr>
        <w:autoSpaceDE w:val="0"/>
        <w:autoSpaceDN w:val="0"/>
        <w:adjustRightInd w:val="0"/>
        <w:spacing w:before="120" w:after="120"/>
        <w:jc w:val="both"/>
        <w:rPr>
          <w:noProof/>
        </w:rPr>
      </w:pPr>
      <w:r>
        <w:rPr>
          <w:noProof/>
        </w:rPr>
        <w:t>This JI has been confirmed at 0,7 % by Eurostat in the report for the annual update of remunerations and pensions issued on 31 October 2020, in line with the prov</w:t>
      </w:r>
      <w:r>
        <w:rPr>
          <w:noProof/>
        </w:rPr>
        <w:t>isions set out in Annex XI of the Staff Regulations, whereas the revised forecasted salary update rate as of 1 July 2020 used for the DB 2021 (full year impact) was 0,9 %.</w:t>
      </w:r>
    </w:p>
    <w:p w:rsidR="00E473EF" w:rsidRDefault="00CE451E">
      <w:pPr>
        <w:autoSpaceDE w:val="0"/>
        <w:autoSpaceDN w:val="0"/>
        <w:adjustRightInd w:val="0"/>
        <w:spacing w:before="120" w:after="120"/>
        <w:jc w:val="both"/>
        <w:rPr>
          <w:rFonts w:eastAsia="Calibri"/>
          <w:b/>
          <w:noProof/>
        </w:rPr>
      </w:pPr>
      <w:r>
        <w:rPr>
          <w:noProof/>
        </w:rPr>
        <w:t>The appropriations under the MFF heading 7 “Administration” should therefore be redu</w:t>
      </w:r>
      <w:r>
        <w:rPr>
          <w:noProof/>
        </w:rPr>
        <w:t>ced by EUR 22,0 million for 2021, of which EUR 5,9 million for the Commission, EUR 4,4 million for the pensions of all institutions and EUR 4,8 million for all other Institutions. The remaining reduction of EUR 7,0 million relate to the European Schools fo</w:t>
      </w:r>
      <w:r>
        <w:rPr>
          <w:noProof/>
        </w:rPr>
        <w:t>r which the budget request under DB 2021 corresponds to a salary update rate of 3,1 %, i.e. the initial forecast rate used by the Commission in spring 2020</w:t>
      </w:r>
      <w:r>
        <w:rPr>
          <w:rStyle w:val="FootnoteReference"/>
          <w:noProof/>
        </w:rPr>
        <w:footnoteReference w:id="30"/>
      </w:r>
      <w:r>
        <w:rPr>
          <w:noProof/>
        </w:rPr>
        <w:t>.</w:t>
      </w:r>
      <w:bookmarkStart w:id="153" w:name="_Toc54770336"/>
    </w:p>
    <w:p w:rsidR="00E473EF" w:rsidRDefault="00CE451E">
      <w:pPr>
        <w:keepNext/>
        <w:tabs>
          <w:tab w:val="left" w:pos="850"/>
        </w:tabs>
        <w:spacing w:before="360" w:after="120"/>
        <w:ind w:left="357" w:hanging="357"/>
        <w:jc w:val="both"/>
        <w:outlineLvl w:val="1"/>
        <w:rPr>
          <w:rFonts w:eastAsia="Calibri"/>
          <w:b/>
          <w:noProof/>
          <w:lang w:eastAsia="en-US"/>
        </w:rPr>
      </w:pPr>
      <w:bookmarkStart w:id="154" w:name="_Toc55807146"/>
      <w:bookmarkStart w:id="155" w:name="_Toc56009560"/>
      <w:r>
        <w:rPr>
          <w:rFonts w:eastAsia="Calibri"/>
          <w:b/>
          <w:noProof/>
          <w:lang w:eastAsia="en-US"/>
        </w:rPr>
        <w:t>7.2</w:t>
      </w:r>
      <w:r>
        <w:rPr>
          <w:rFonts w:eastAsia="Calibri"/>
          <w:b/>
          <w:noProof/>
          <w:lang w:eastAsia="en-US"/>
        </w:rPr>
        <w:tab/>
      </w:r>
      <w:r>
        <w:rPr>
          <w:rFonts w:eastAsia="Calibri"/>
          <w:b/>
          <w:noProof/>
          <w:lang w:eastAsia="en-US"/>
        </w:rPr>
        <w:tab/>
        <w:t>Reinforcement of the European Parliament</w:t>
      </w:r>
      <w:bookmarkEnd w:id="153"/>
      <w:bookmarkEnd w:id="154"/>
      <w:bookmarkEnd w:id="155"/>
    </w:p>
    <w:p w:rsidR="00E473EF" w:rsidRDefault="00CE451E">
      <w:pPr>
        <w:autoSpaceDE w:val="0"/>
        <w:autoSpaceDN w:val="0"/>
        <w:adjustRightInd w:val="0"/>
        <w:spacing w:before="120" w:after="120"/>
        <w:jc w:val="both"/>
        <w:rPr>
          <w:noProof/>
        </w:rPr>
      </w:pPr>
      <w:r>
        <w:rPr>
          <w:noProof/>
        </w:rPr>
        <w:t>A total reinforcement of EUR 4,6 million has been re</w:t>
      </w:r>
      <w:r>
        <w:rPr>
          <w:noProof/>
        </w:rPr>
        <w:t>quested by the European Parliament for:</w:t>
      </w:r>
    </w:p>
    <w:p w:rsidR="00E473EF" w:rsidRPr="00CE451E" w:rsidRDefault="00CE451E">
      <w:pPr>
        <w:pStyle w:val="ListParagraph"/>
        <w:numPr>
          <w:ilvl w:val="0"/>
          <w:numId w:val="26"/>
        </w:numPr>
        <w:autoSpaceDE w:val="0"/>
        <w:autoSpaceDN w:val="0"/>
        <w:adjustRightInd w:val="0"/>
        <w:spacing w:before="120" w:after="120" w:line="240" w:lineRule="auto"/>
        <w:ind w:left="360"/>
        <w:contextualSpacing w:val="0"/>
        <w:jc w:val="both"/>
        <w:rPr>
          <w:rFonts w:ascii="Times New Roman" w:hAnsi="Times New Roman"/>
          <w:noProof/>
          <w:sz w:val="24"/>
          <w:szCs w:val="24"/>
          <w:lang w:val="en-GB"/>
        </w:rPr>
      </w:pPr>
      <w:r w:rsidRPr="00CE451E">
        <w:rPr>
          <w:rFonts w:ascii="Times New Roman" w:hAnsi="Times New Roman"/>
          <w:noProof/>
          <w:sz w:val="24"/>
          <w:szCs w:val="24"/>
          <w:lang w:val="en-GB"/>
        </w:rPr>
        <w:t xml:space="preserve">The remaining building construction costs foreseen for 2021 for an amount of EUR 2,1 million (works, consultants’ fees, initial fitting-out work and supplies to make buildings operational, and all related costs), as </w:t>
      </w:r>
      <w:r w:rsidRPr="00CE451E">
        <w:rPr>
          <w:rFonts w:ascii="Times New Roman" w:hAnsi="Times New Roman"/>
          <w:noProof/>
          <w:sz w:val="24"/>
          <w:szCs w:val="24"/>
          <w:lang w:val="en-GB"/>
        </w:rPr>
        <w:t>well as fitting-out costs and related expenditure, and in particular architects’ or engineers’ fees, as estimated by the European Parliament;</w:t>
      </w:r>
    </w:p>
    <w:p w:rsidR="00E473EF" w:rsidRPr="00CE451E" w:rsidRDefault="00CE451E">
      <w:pPr>
        <w:pStyle w:val="ListParagraph"/>
        <w:numPr>
          <w:ilvl w:val="0"/>
          <w:numId w:val="26"/>
        </w:numPr>
        <w:autoSpaceDE w:val="0"/>
        <w:autoSpaceDN w:val="0"/>
        <w:adjustRightInd w:val="0"/>
        <w:spacing w:before="120" w:after="120" w:line="240" w:lineRule="auto"/>
        <w:ind w:left="360"/>
        <w:contextualSpacing w:val="0"/>
        <w:jc w:val="both"/>
        <w:rPr>
          <w:rFonts w:ascii="Times New Roman" w:hAnsi="Times New Roman"/>
          <w:iCs/>
          <w:noProof/>
          <w:sz w:val="24"/>
          <w:szCs w:val="24"/>
          <w:lang w:val="en-GB"/>
        </w:rPr>
      </w:pPr>
      <w:r w:rsidRPr="00CE451E">
        <w:rPr>
          <w:rFonts w:ascii="Times New Roman" w:hAnsi="Times New Roman"/>
          <w:noProof/>
          <w:sz w:val="24"/>
          <w:szCs w:val="24"/>
          <w:lang w:val="en-GB"/>
        </w:rPr>
        <w:t>The increase of the contingency reserve for an amount of EUR 2,6 million to cover additional expenditure resulting</w:t>
      </w:r>
      <w:r w:rsidRPr="00CE451E">
        <w:rPr>
          <w:rFonts w:ascii="Times New Roman" w:hAnsi="Times New Roman"/>
          <w:noProof/>
          <w:sz w:val="24"/>
          <w:szCs w:val="24"/>
          <w:lang w:val="en-GB"/>
        </w:rPr>
        <w:t xml:space="preserve"> from budgetary decisions taken in the course of the financial year, including</w:t>
      </w:r>
      <w:r w:rsidRPr="00CE451E">
        <w:rPr>
          <w:rFonts w:ascii="Times New Roman" w:eastAsia="Times New Roman" w:hAnsi="Times New Roman"/>
          <w:noProof/>
          <w:sz w:val="24"/>
          <w:szCs w:val="24"/>
          <w:lang w:val="en-GB" w:eastAsia="en-GB"/>
        </w:rPr>
        <w:t xml:space="preserve"> those linked to the on-going COVID-19 crisis.</w:t>
      </w:r>
    </w:p>
    <w:p w:rsidR="00E473EF" w:rsidRDefault="00CE451E">
      <w:pPr>
        <w:spacing w:after="200" w:line="276" w:lineRule="auto"/>
        <w:rPr>
          <w:rFonts w:eastAsia="Calibri"/>
          <w:b/>
          <w:noProof/>
          <w:lang w:eastAsia="en-US"/>
        </w:rPr>
      </w:pPr>
      <w:bookmarkStart w:id="156" w:name="_Toc54770337"/>
      <w:bookmarkStart w:id="157" w:name="_Toc55807147"/>
      <w:r>
        <w:rPr>
          <w:rFonts w:eastAsia="Calibri"/>
          <w:b/>
          <w:noProof/>
          <w:lang w:eastAsia="en-US"/>
        </w:rPr>
        <w:br w:type="page"/>
      </w:r>
    </w:p>
    <w:p w:rsidR="00E473EF" w:rsidRDefault="00CE451E">
      <w:pPr>
        <w:spacing w:before="240" w:after="200" w:line="276" w:lineRule="auto"/>
        <w:rPr>
          <w:rFonts w:eastAsia="Calibri"/>
          <w:b/>
          <w:noProof/>
          <w:lang w:eastAsia="en-US"/>
        </w:rPr>
      </w:pPr>
      <w:r>
        <w:rPr>
          <w:rFonts w:eastAsia="Calibri"/>
          <w:b/>
          <w:noProof/>
          <w:lang w:eastAsia="en-US"/>
        </w:rPr>
        <w:t>7.3</w:t>
      </w:r>
      <w:r>
        <w:rPr>
          <w:rFonts w:eastAsia="Calibri"/>
          <w:b/>
          <w:noProof/>
          <w:lang w:eastAsia="en-US"/>
        </w:rPr>
        <w:tab/>
      </w:r>
      <w:r>
        <w:rPr>
          <w:rFonts w:eastAsia="Calibri"/>
          <w:b/>
          <w:noProof/>
          <w:lang w:eastAsia="en-US"/>
        </w:rPr>
        <w:tab/>
        <w:t>Reinforcement of the European External Action Service (EEAS)</w:t>
      </w:r>
      <w:bookmarkEnd w:id="156"/>
      <w:bookmarkEnd w:id="157"/>
    </w:p>
    <w:p w:rsidR="00E473EF" w:rsidRDefault="00CE451E">
      <w:pPr>
        <w:tabs>
          <w:tab w:val="left" w:pos="851"/>
        </w:tabs>
        <w:spacing w:before="240" w:after="120"/>
        <w:jc w:val="both"/>
        <w:rPr>
          <w:bCs/>
          <w:noProof/>
        </w:rPr>
      </w:pPr>
      <w:r>
        <w:rPr>
          <w:rFonts w:eastAsia="Calibri"/>
          <w:i/>
          <w:noProof/>
          <w:lang w:eastAsia="de-DE"/>
        </w:rPr>
        <w:t xml:space="preserve">7.3.1 </w:t>
      </w:r>
      <w:r>
        <w:rPr>
          <w:rFonts w:eastAsia="Calibri"/>
          <w:i/>
          <w:noProof/>
          <w:lang w:eastAsia="de-DE"/>
        </w:rPr>
        <w:tab/>
        <w:t>Additional ressources for the European Peace Facility</w:t>
      </w:r>
      <w:r>
        <w:rPr>
          <w:bCs/>
          <w:noProof/>
        </w:rPr>
        <w:t xml:space="preserve"> (E</w:t>
      </w:r>
      <w:r>
        <w:rPr>
          <w:bCs/>
          <w:noProof/>
        </w:rPr>
        <w:t>PF)</w:t>
      </w:r>
    </w:p>
    <w:p w:rsidR="00E473EF" w:rsidRDefault="00CE451E">
      <w:pPr>
        <w:autoSpaceDE w:val="0"/>
        <w:autoSpaceDN w:val="0"/>
        <w:adjustRightInd w:val="0"/>
        <w:spacing w:before="120" w:after="120"/>
        <w:jc w:val="both"/>
        <w:rPr>
          <w:noProof/>
        </w:rPr>
      </w:pPr>
      <w:r>
        <w:rPr>
          <w:noProof/>
        </w:rPr>
        <w:t>The proposal on the EPF, an off-budget fund of EUR 5,7 billion over the next MFF, attributes the responsibility for a number of new functions to the EEAS. It will notably have to prepare, pilot and follow-up on certain elements of the assistance measur</w:t>
      </w:r>
      <w:r>
        <w:rPr>
          <w:noProof/>
        </w:rPr>
        <w:t>es to be financed under the EPF, covering their political, operational and financial aspects in concept notes, proposals for assistance measures, arrangements with beneficiaries and other subsequent follow-up.</w:t>
      </w:r>
    </w:p>
    <w:p w:rsidR="00E473EF" w:rsidRDefault="00CE451E">
      <w:pPr>
        <w:autoSpaceDE w:val="0"/>
        <w:autoSpaceDN w:val="0"/>
        <w:adjustRightInd w:val="0"/>
        <w:spacing w:before="120" w:after="120"/>
        <w:jc w:val="both"/>
        <w:rPr>
          <w:noProof/>
        </w:rPr>
      </w:pPr>
      <w:r>
        <w:rPr>
          <w:noProof/>
        </w:rPr>
        <w:t>The actions could cover financial support to a</w:t>
      </w:r>
      <w:r>
        <w:rPr>
          <w:noProof/>
        </w:rPr>
        <w:t xml:space="preserve"> third party, the provision of military equipment and infrastructure or integrated packages including the provision of military equipment and infrastructure with military training through an EU Training Mission, and follow up mitigation and control measure</w:t>
      </w:r>
      <w:r>
        <w:rPr>
          <w:noProof/>
        </w:rPr>
        <w:t>s.</w:t>
      </w:r>
    </w:p>
    <w:p w:rsidR="00E473EF" w:rsidRDefault="00CE451E">
      <w:pPr>
        <w:autoSpaceDE w:val="0"/>
        <w:autoSpaceDN w:val="0"/>
        <w:adjustRightInd w:val="0"/>
        <w:spacing w:before="120" w:after="120"/>
        <w:jc w:val="both"/>
        <w:rPr>
          <w:noProof/>
        </w:rPr>
      </w:pPr>
      <w:r>
        <w:rPr>
          <w:noProof/>
        </w:rPr>
        <w:t>EEAS proposals for actions should follow a risk and safeguards methodology comprising a conflict sensitivity and context analysis, risk and impact assessments, possible mitigating measures and arrangements for monitoring and evaluation as necessary to e</w:t>
      </w:r>
      <w:r>
        <w:rPr>
          <w:noProof/>
        </w:rPr>
        <w:t>nsure compliance with EU principles and legislation as well as international law, in particular human rights law and international humanitarian law.</w:t>
      </w:r>
    </w:p>
    <w:p w:rsidR="00E473EF" w:rsidRDefault="00CE451E">
      <w:pPr>
        <w:autoSpaceDE w:val="0"/>
        <w:autoSpaceDN w:val="0"/>
        <w:adjustRightInd w:val="0"/>
        <w:spacing w:before="120" w:after="120"/>
        <w:jc w:val="both"/>
        <w:rPr>
          <w:noProof/>
        </w:rPr>
      </w:pPr>
      <w:r>
        <w:rPr>
          <w:noProof/>
        </w:rPr>
        <w:t>Where an assistance measure involves the provision of equipment and/or infrastructure, the concept note wil</w:t>
      </w:r>
      <w:r>
        <w:rPr>
          <w:noProof/>
        </w:rPr>
        <w:t>l need to be translated in the course of the decision-making process into detailed lists and technical specifications of military equipment and/or infrastructure with estimates of costs.</w:t>
      </w:r>
    </w:p>
    <w:p w:rsidR="00E473EF" w:rsidRDefault="00CE451E">
      <w:pPr>
        <w:autoSpaceDE w:val="0"/>
        <w:autoSpaceDN w:val="0"/>
        <w:adjustRightInd w:val="0"/>
        <w:spacing w:before="120" w:after="120"/>
        <w:jc w:val="both"/>
        <w:rPr>
          <w:noProof/>
        </w:rPr>
      </w:pPr>
      <w:r>
        <w:rPr>
          <w:noProof/>
        </w:rPr>
        <w:t>The EEAS will also be called upon to liaise with the EPF Administrato</w:t>
      </w:r>
      <w:r>
        <w:rPr>
          <w:noProof/>
        </w:rPr>
        <w:t>rs on financial issues. It should also engage on any necessary political and technical agreement with the beneficiary (partner country, international or regional organisation), coordination with the exporting State (coherence in licensing requirements), an</w:t>
      </w:r>
      <w:r>
        <w:rPr>
          <w:noProof/>
        </w:rPr>
        <w:t>d after delivery, follow up inventory and on-the-spot visits and physical inspection of military equipment and infrastructure in a military environment.</w:t>
      </w:r>
    </w:p>
    <w:p w:rsidR="00E473EF" w:rsidRDefault="00CE451E">
      <w:pPr>
        <w:autoSpaceDE w:val="0"/>
        <w:autoSpaceDN w:val="0"/>
        <w:adjustRightInd w:val="0"/>
        <w:spacing w:before="120" w:after="120"/>
        <w:jc w:val="both"/>
        <w:rPr>
          <w:noProof/>
        </w:rPr>
      </w:pPr>
      <w:r>
        <w:rPr>
          <w:noProof/>
        </w:rPr>
        <w:t xml:space="preserve">The EEAS estimates its needs at 16 FTEs (1 AD 13 official (head of division), 1 AD 11, 2 AD 10 and 1 </w:t>
      </w:r>
      <w:r>
        <w:rPr>
          <w:noProof/>
        </w:rPr>
        <w:t>AD 7 + 5 Contrat Agents + 6 seconded national experts) in order to execute these new tasks, with which it has been entrusted by the legislator, for an initial cost in the 2021 budget of EUR 1 362 500.</w:t>
      </w:r>
    </w:p>
    <w:p w:rsidR="00E473EF" w:rsidRDefault="00CE451E">
      <w:pPr>
        <w:tabs>
          <w:tab w:val="left" w:pos="851"/>
        </w:tabs>
        <w:spacing w:before="240" w:after="120"/>
        <w:jc w:val="both"/>
        <w:rPr>
          <w:bCs/>
          <w:noProof/>
        </w:rPr>
      </w:pPr>
      <w:r>
        <w:rPr>
          <w:rFonts w:eastAsia="Calibri"/>
          <w:i/>
          <w:noProof/>
          <w:lang w:eastAsia="de-DE"/>
        </w:rPr>
        <w:t xml:space="preserve">7.3.1 </w:t>
      </w:r>
      <w:r>
        <w:rPr>
          <w:rFonts w:eastAsia="Calibri"/>
          <w:i/>
          <w:noProof/>
          <w:lang w:eastAsia="de-DE"/>
        </w:rPr>
        <w:tab/>
        <w:t>Additional resources for the consular services</w:t>
      </w:r>
    </w:p>
    <w:p w:rsidR="00E473EF" w:rsidRDefault="00CE451E">
      <w:pPr>
        <w:autoSpaceDE w:val="0"/>
        <w:autoSpaceDN w:val="0"/>
        <w:adjustRightInd w:val="0"/>
        <w:spacing w:before="120" w:after="120"/>
        <w:jc w:val="both"/>
        <w:rPr>
          <w:noProof/>
        </w:rPr>
      </w:pPr>
      <w:r>
        <w:rPr>
          <w:noProof/>
        </w:rPr>
        <w:t>T</w:t>
      </w:r>
      <w:r>
        <w:rPr>
          <w:noProof/>
        </w:rPr>
        <w:t xml:space="preserve">he COVID-19 pandemic has triggered a global consular emergency due to the very severe transport restrictions, which created a need to urgently repatriate between March and June 2020 more than half a million EU citizens stranded in third countries. Despite </w:t>
      </w:r>
      <w:r>
        <w:rPr>
          <w:noProof/>
        </w:rPr>
        <w:t xml:space="preserve">EU competences being limited to support to coordination of consular assistance, Member States (MS), citizens and partners have turned to EU Institutions, requesting their active involvement in order to tackle this emergency. </w:t>
      </w:r>
    </w:p>
    <w:p w:rsidR="00E473EF" w:rsidRDefault="00CE451E">
      <w:pPr>
        <w:autoSpaceDE w:val="0"/>
        <w:autoSpaceDN w:val="0"/>
        <w:adjustRightInd w:val="0"/>
        <w:spacing w:before="120" w:after="120"/>
        <w:jc w:val="both"/>
        <w:rPr>
          <w:noProof/>
        </w:rPr>
      </w:pPr>
      <w:r>
        <w:rPr>
          <w:noProof/>
        </w:rPr>
        <w:t>With the clear success of this</w:t>
      </w:r>
      <w:r>
        <w:rPr>
          <w:noProof/>
        </w:rPr>
        <w:t xml:space="preserve"> massive EU repatriation operation, in a context when many MS have been reducing their consular footprint, the EU’s role has been openly acknowledged and welcomed by MS. Smaller MS have almost totally relied on EU coordination, while bigger MS are realisin</w:t>
      </w:r>
      <w:r>
        <w:rPr>
          <w:noProof/>
        </w:rPr>
        <w:t>g that an EU role is increasingly necessary also for them. This has de facto led to the transfer of additional responsibilities to EU Delegations on consular matters.</w:t>
      </w:r>
    </w:p>
    <w:p w:rsidR="00E473EF" w:rsidRDefault="00CE451E">
      <w:pPr>
        <w:autoSpaceDE w:val="0"/>
        <w:autoSpaceDN w:val="0"/>
        <w:adjustRightInd w:val="0"/>
        <w:spacing w:before="120" w:after="120"/>
        <w:jc w:val="both"/>
        <w:rPr>
          <w:noProof/>
        </w:rPr>
      </w:pPr>
      <w:r>
        <w:rPr>
          <w:noProof/>
        </w:rPr>
        <w:t>To face the clear expectations from MS for the EEAS to play an enhanced role in the coord</w:t>
      </w:r>
      <w:r>
        <w:rPr>
          <w:noProof/>
        </w:rPr>
        <w:t xml:space="preserve">ination of consular assistance, and strengthen the role and image of the EU in third countries, the EEAS seeks to reinforce its Consular Affairs Division. </w:t>
      </w:r>
    </w:p>
    <w:p w:rsidR="00E473EF" w:rsidRDefault="00CE451E">
      <w:pPr>
        <w:autoSpaceDE w:val="0"/>
        <w:autoSpaceDN w:val="0"/>
        <w:adjustRightInd w:val="0"/>
        <w:spacing w:before="120" w:after="120"/>
        <w:jc w:val="both"/>
        <w:rPr>
          <w:noProof/>
        </w:rPr>
      </w:pPr>
      <w:r>
        <w:rPr>
          <w:noProof/>
        </w:rPr>
        <w:t>This would allow the EEAS to swiftly engage in a lessons learned process, providing a thorough analy</w:t>
      </w:r>
      <w:r>
        <w:rPr>
          <w:noProof/>
        </w:rPr>
        <w:t xml:space="preserve">sis of the consular crisis, with specific detail on each of its phases, the mechanisms used to facilitate repatriations, an overview of best practices observed on the ground and an outline of main challenges and opportunities. </w:t>
      </w:r>
    </w:p>
    <w:p w:rsidR="00E473EF" w:rsidRDefault="00CE451E">
      <w:pPr>
        <w:autoSpaceDE w:val="0"/>
        <w:autoSpaceDN w:val="0"/>
        <w:adjustRightInd w:val="0"/>
        <w:spacing w:before="120" w:after="120"/>
        <w:jc w:val="both"/>
        <w:rPr>
          <w:noProof/>
        </w:rPr>
      </w:pPr>
      <w:r>
        <w:rPr>
          <w:noProof/>
        </w:rPr>
        <w:t>Additionally, this would pre</w:t>
      </w:r>
      <w:r>
        <w:rPr>
          <w:noProof/>
        </w:rPr>
        <w:t xml:space="preserve">pare the ground for reviews of the legal framework and the EU’s institutional setting of consular crisis management capabilities. </w:t>
      </w:r>
    </w:p>
    <w:p w:rsidR="00E473EF" w:rsidRDefault="00CE451E">
      <w:pPr>
        <w:autoSpaceDE w:val="0"/>
        <w:autoSpaceDN w:val="0"/>
        <w:adjustRightInd w:val="0"/>
        <w:spacing w:before="120" w:after="120"/>
        <w:jc w:val="both"/>
        <w:rPr>
          <w:rFonts w:eastAsia="Calibri"/>
          <w:i/>
          <w:noProof/>
          <w:lang w:eastAsia="de-DE"/>
        </w:rPr>
      </w:pPr>
      <w:r>
        <w:rPr>
          <w:noProof/>
        </w:rPr>
        <w:t>The requested reinforcement of 1 AD 11 and 1 AD 7 official and 1 contract agent requires an initial increase to the EEAS’ bud</w:t>
      </w:r>
      <w:r>
        <w:rPr>
          <w:noProof/>
        </w:rPr>
        <w:t>get of EUR 303 800.</w:t>
      </w:r>
    </w:p>
    <w:p w:rsidR="00E473EF" w:rsidRDefault="00CE451E">
      <w:pPr>
        <w:keepNext/>
        <w:tabs>
          <w:tab w:val="left" w:pos="850"/>
        </w:tabs>
        <w:spacing w:before="360" w:after="120"/>
        <w:ind w:left="357" w:hanging="357"/>
        <w:jc w:val="both"/>
        <w:outlineLvl w:val="1"/>
        <w:rPr>
          <w:rFonts w:eastAsia="Calibri"/>
          <w:b/>
          <w:noProof/>
          <w:lang w:eastAsia="en-US"/>
        </w:rPr>
      </w:pPr>
      <w:bookmarkStart w:id="158" w:name="_Toc54770338"/>
      <w:bookmarkStart w:id="159" w:name="_Toc55807148"/>
      <w:bookmarkStart w:id="160" w:name="_Toc56009561"/>
      <w:r>
        <w:rPr>
          <w:rFonts w:eastAsia="Calibri"/>
          <w:b/>
          <w:noProof/>
          <w:lang w:eastAsia="en-US"/>
        </w:rPr>
        <w:t xml:space="preserve">7.4 </w:t>
      </w:r>
      <w:r>
        <w:rPr>
          <w:rFonts w:eastAsia="Calibri"/>
          <w:b/>
          <w:noProof/>
          <w:lang w:eastAsia="en-US"/>
        </w:rPr>
        <w:tab/>
        <w:t>Transfer of certain staff in Union Delegations from the Commission to the EEAS</w:t>
      </w:r>
      <w:bookmarkEnd w:id="158"/>
      <w:bookmarkEnd w:id="159"/>
      <w:bookmarkEnd w:id="160"/>
    </w:p>
    <w:p w:rsidR="00E473EF" w:rsidRDefault="00CE451E">
      <w:pPr>
        <w:widowControl w:val="0"/>
        <w:spacing w:after="240"/>
        <w:jc w:val="both"/>
        <w:rPr>
          <w:noProof/>
          <w:lang w:val="en-IE" w:eastAsia="en-US"/>
        </w:rPr>
      </w:pPr>
      <w:r>
        <w:rPr>
          <w:noProof/>
          <w:lang w:val="en-IE" w:eastAsia="en-US"/>
        </w:rPr>
        <w:t>According to the Service Level Agreement (SLA) concluded between the Commission and the European External Action Service (EEAS) in December 2010, the Co</w:t>
      </w:r>
      <w:r>
        <w:rPr>
          <w:noProof/>
          <w:lang w:val="en-IE" w:eastAsia="en-US"/>
        </w:rPr>
        <w:t>mmission has continued to finance part of the staff of the administrative sections of the Union Delegations managed by the EEAS, as a contribution to the common administrative tasks. The staff concerned consists mainly of local agents (LA) but also of a li</w:t>
      </w:r>
      <w:r>
        <w:rPr>
          <w:noProof/>
          <w:lang w:val="en-IE" w:eastAsia="en-US"/>
        </w:rPr>
        <w:t xml:space="preserve">mited number of contract agents (CA), mainly in charge of IT support (so-called Regional IT Officers or ‘RITO’). </w:t>
      </w:r>
    </w:p>
    <w:p w:rsidR="00E473EF" w:rsidRDefault="00CE451E">
      <w:pPr>
        <w:widowControl w:val="0"/>
        <w:spacing w:after="240"/>
        <w:jc w:val="both"/>
        <w:rPr>
          <w:noProof/>
          <w:lang w:val="en-IE" w:eastAsia="en-US"/>
        </w:rPr>
      </w:pPr>
      <w:r>
        <w:rPr>
          <w:noProof/>
          <w:lang w:val="en-IE" w:eastAsia="en-US"/>
        </w:rPr>
        <w:t>As a result, the Commission staff working in the administrative sections of the Union Delegations are formally assigned to each of the contrib</w:t>
      </w:r>
      <w:r>
        <w:rPr>
          <w:noProof/>
          <w:lang w:val="en-IE" w:eastAsia="en-US"/>
        </w:rPr>
        <w:t xml:space="preserve">uting Directorates-General (DEVCO, NEAR and FPI). This situation has led to inefficiencies including duplication of workload at various levels for those Commission services (multiplication of administrative acts) without providing any added value, as well </w:t>
      </w:r>
      <w:r>
        <w:rPr>
          <w:noProof/>
          <w:lang w:val="en-IE" w:eastAsia="en-US"/>
        </w:rPr>
        <w:t xml:space="preserve">as parallel administrative and financial circuits. </w:t>
      </w:r>
    </w:p>
    <w:p w:rsidR="00E473EF" w:rsidRDefault="00CE451E">
      <w:pPr>
        <w:widowControl w:val="0"/>
        <w:spacing w:after="240"/>
        <w:jc w:val="both"/>
        <w:rPr>
          <w:noProof/>
          <w:lang w:val="en-IE" w:eastAsia="en-US"/>
        </w:rPr>
      </w:pPr>
      <w:r>
        <w:rPr>
          <w:noProof/>
          <w:lang w:val="en-IE" w:eastAsia="en-US"/>
        </w:rPr>
        <w:t>The Commission, in agreement with the EEAS, proposes to transfer the Commission staff of the administrative sections of the Union Delegations to the EEAS, thus simplifying and streamlining their administr</w:t>
      </w:r>
      <w:r>
        <w:rPr>
          <w:noProof/>
          <w:lang w:val="en-IE" w:eastAsia="en-US"/>
        </w:rPr>
        <w:t>ative and financial circuits and allowing a more efficient management of the staff concerned.</w:t>
      </w:r>
    </w:p>
    <w:p w:rsidR="00E473EF" w:rsidRDefault="00CE451E">
      <w:pPr>
        <w:spacing w:after="200" w:line="276" w:lineRule="auto"/>
        <w:rPr>
          <w:rFonts w:eastAsiaTheme="minorHAnsi"/>
          <w:noProof/>
          <w:color w:val="000000"/>
          <w:lang w:eastAsia="en-US"/>
        </w:rPr>
      </w:pPr>
      <w:r>
        <w:rPr>
          <w:noProof/>
          <w:lang w:eastAsia="en-US"/>
        </w:rPr>
        <w:t>The majority of the CAs to be transferred (18 out of 19) are RITOs who perform very specialised IT activities in Union delegations under the responsibility of the</w:t>
      </w:r>
      <w:r>
        <w:rPr>
          <w:noProof/>
          <w:lang w:eastAsia="en-US"/>
        </w:rPr>
        <w:t xml:space="preserve"> EEAS. They are located in 12 regional centres. To group them all under a single responsibility would simplify the management of this group. There are multiple benefits, simplifications and gains in efficiency expected, both for the RITOs and for the admin</w:t>
      </w:r>
      <w:r>
        <w:rPr>
          <w:noProof/>
          <w:lang w:eastAsia="en-US"/>
        </w:rPr>
        <w:t xml:space="preserve">istration, in terms of </w:t>
      </w:r>
      <w:r>
        <w:rPr>
          <w:rFonts w:eastAsiaTheme="minorHAnsi"/>
          <w:noProof/>
          <w:color w:val="000000"/>
          <w:lang w:eastAsia="en-US"/>
        </w:rPr>
        <w:t>organisation of the regional centres,</w:t>
      </w:r>
      <w:r>
        <w:rPr>
          <w:noProof/>
          <w:szCs w:val="20"/>
          <w:lang w:eastAsia="en-US"/>
        </w:rPr>
        <w:t xml:space="preserve"> </w:t>
      </w:r>
      <w:r>
        <w:rPr>
          <w:rFonts w:eastAsiaTheme="minorHAnsi"/>
          <w:noProof/>
          <w:color w:val="000000"/>
          <w:lang w:eastAsia="en-US"/>
        </w:rPr>
        <w:t>contract management, mobility exercise, appraisal and promotion as well as management of mission costs.</w:t>
      </w:r>
    </w:p>
    <w:p w:rsidR="00E473EF" w:rsidRDefault="00CE451E">
      <w:pPr>
        <w:widowControl w:val="0"/>
        <w:spacing w:after="240"/>
        <w:jc w:val="both"/>
        <w:rPr>
          <w:noProof/>
          <w:lang w:eastAsia="en-US"/>
        </w:rPr>
      </w:pPr>
      <w:r>
        <w:rPr>
          <w:noProof/>
          <w:lang w:eastAsia="en-US"/>
        </w:rPr>
        <w:t>With regard to local agents, the transfer to the EEAS would ensure better coherence and con</w:t>
      </w:r>
      <w:r>
        <w:rPr>
          <w:noProof/>
          <w:lang w:eastAsia="en-US"/>
        </w:rPr>
        <w:t>sistency in the application of the related EEAS’s employment policy. The Commission has delegated to the EEAS its powers related to some areas of the management of local agents, however, decisions on particular matters such as the authorisation of posts, y</w:t>
      </w:r>
      <w:r>
        <w:rPr>
          <w:noProof/>
          <w:lang w:eastAsia="en-US"/>
        </w:rPr>
        <w:t>early evaluation exercise, promotions, authorisation of external activities and termination have been retained within the Commission. Thanks to the transfer, the EEAS would gain more autonomy in managing these posts, including publication, selection and re</w:t>
      </w:r>
      <w:r>
        <w:rPr>
          <w:noProof/>
          <w:lang w:eastAsia="en-US"/>
        </w:rPr>
        <w:t>cruitment and closing or moving these posts.</w:t>
      </w:r>
      <w:r>
        <w:rPr>
          <w:noProof/>
          <w:szCs w:val="20"/>
          <w:lang w:eastAsia="en-US"/>
        </w:rPr>
        <w:t xml:space="preserve"> </w:t>
      </w:r>
      <w:r>
        <w:rPr>
          <w:noProof/>
          <w:lang w:eastAsia="en-US"/>
        </w:rPr>
        <w:t>Appeal procedures during the evaluation and promotion of LA administrative staff would also be improved.</w:t>
      </w:r>
    </w:p>
    <w:p w:rsidR="00E473EF" w:rsidRDefault="00CE451E">
      <w:pPr>
        <w:spacing w:after="240"/>
        <w:jc w:val="both"/>
        <w:rPr>
          <w:noProof/>
          <w:lang w:val="en-IE" w:eastAsia="en-US"/>
        </w:rPr>
      </w:pPr>
      <w:r>
        <w:rPr>
          <w:noProof/>
          <w:szCs w:val="20"/>
          <w:lang w:val="en-IE" w:eastAsia="en-US"/>
        </w:rPr>
        <w:t xml:space="preserve">The proposed transfer would allow the EEAS to gain additional management autonomy for a total of </w:t>
      </w:r>
      <w:r>
        <w:rPr>
          <w:noProof/>
          <w:lang w:val="en-IE" w:eastAsia="en-US"/>
        </w:rPr>
        <w:t>546 full-</w:t>
      </w:r>
      <w:r>
        <w:rPr>
          <w:noProof/>
          <w:lang w:val="en-IE" w:eastAsia="en-US"/>
        </w:rPr>
        <w:t>time equivalent staff (FTE), composed of 527 LAs and 19 CAs, assigned to the administrative sections in Unions Delegations.</w:t>
      </w:r>
    </w:p>
    <w:p w:rsidR="00E473EF" w:rsidRDefault="00CE451E">
      <w:pPr>
        <w:spacing w:after="240"/>
        <w:jc w:val="both"/>
        <w:rPr>
          <w:noProof/>
          <w:lang w:val="en-IE" w:eastAsia="en-US"/>
        </w:rPr>
      </w:pPr>
      <w:r>
        <w:rPr>
          <w:noProof/>
          <w:lang w:val="en-IE" w:eastAsia="en-US"/>
        </w:rPr>
        <w:t>In terms of appropriations, EUR 18,1 million are proposed to be transferred annually from the external instruments (under heading 6)</w:t>
      </w:r>
      <w:r>
        <w:rPr>
          <w:noProof/>
          <w:lang w:val="en-IE" w:eastAsia="en-US"/>
        </w:rPr>
        <w:t xml:space="preserve"> NDICI and IPA III (respectively EUR 16,0 million and EUR 2,1 million) to the section of the EEAS (under heading 7). To respect the overall budget neutrality of this transfer, the respective envelope of the two instruments concerned is proposed to be reduc</w:t>
      </w:r>
      <w:r>
        <w:rPr>
          <w:noProof/>
          <w:lang w:val="en-IE" w:eastAsia="en-US"/>
        </w:rPr>
        <w:t>ed accordingly. As a result, the increased commitment margin available under heading 6 will be offset by a corresponding decrease of the commitment margin under heading 7</w:t>
      </w:r>
      <w:r>
        <w:rPr>
          <w:rStyle w:val="FootnoteReference"/>
          <w:noProof/>
          <w:lang w:val="en-IE" w:eastAsia="en-US"/>
        </w:rPr>
        <w:footnoteReference w:id="31"/>
      </w:r>
      <w:r>
        <w:rPr>
          <w:noProof/>
          <w:lang w:val="en-IE" w:eastAsia="en-US"/>
        </w:rPr>
        <w:t>.</w:t>
      </w:r>
    </w:p>
    <w:p w:rsidR="00E473EF" w:rsidRDefault="00CE451E">
      <w:pPr>
        <w:keepNext/>
        <w:tabs>
          <w:tab w:val="left" w:pos="850"/>
        </w:tabs>
        <w:spacing w:before="360" w:after="120"/>
        <w:ind w:left="357" w:hanging="357"/>
        <w:jc w:val="both"/>
        <w:outlineLvl w:val="1"/>
        <w:rPr>
          <w:rFonts w:eastAsia="Calibri"/>
          <w:b/>
          <w:noProof/>
          <w:lang w:eastAsia="en-US"/>
        </w:rPr>
      </w:pPr>
      <w:bookmarkStart w:id="161" w:name="_Toc526753791"/>
      <w:bookmarkStart w:id="162" w:name="_Toc54770339"/>
      <w:bookmarkStart w:id="163" w:name="_Toc55807149"/>
      <w:bookmarkStart w:id="164" w:name="_Toc56009562"/>
      <w:r>
        <w:rPr>
          <w:rFonts w:eastAsia="Calibri"/>
          <w:b/>
          <w:noProof/>
          <w:lang w:val="en-US" w:eastAsia="en-US"/>
        </w:rPr>
        <w:t xml:space="preserve">7.5 </w:t>
      </w:r>
      <w:r>
        <w:rPr>
          <w:rFonts w:eastAsia="Calibri"/>
          <w:b/>
          <w:noProof/>
          <w:lang w:val="en-US" w:eastAsia="en-US"/>
        </w:rPr>
        <w:tab/>
      </w:r>
      <w:bookmarkEnd w:id="161"/>
      <w:r>
        <w:rPr>
          <w:rFonts w:eastAsia="Calibri"/>
          <w:b/>
          <w:noProof/>
          <w:lang w:eastAsia="en-US"/>
        </w:rPr>
        <w:t>Transfer of the Central Library from the Commission to the Publications Office</w:t>
      </w:r>
      <w:bookmarkEnd w:id="162"/>
      <w:bookmarkEnd w:id="163"/>
      <w:bookmarkEnd w:id="164"/>
    </w:p>
    <w:p w:rsidR="00E473EF" w:rsidRDefault="00CE451E">
      <w:pPr>
        <w:spacing w:before="120" w:after="120"/>
        <w:jc w:val="both"/>
        <w:rPr>
          <w:rFonts w:eastAsia="Calibri"/>
          <w:noProof/>
          <w:lang w:eastAsia="en-US"/>
        </w:rPr>
      </w:pPr>
      <w:r>
        <w:rPr>
          <w:rFonts w:eastAsia="Calibri"/>
          <w:noProof/>
          <w:lang w:eastAsia="en-US"/>
        </w:rPr>
        <w:t>In the framework of the synergies and efficiencies review the Commission has decided to transfer the management of the Commission Central Library to the Publications Office (OP) as from January 2021, with a combined impact on the level of appropriations l</w:t>
      </w:r>
      <w:r>
        <w:rPr>
          <w:rFonts w:eastAsia="Calibri"/>
          <w:noProof/>
          <w:lang w:eastAsia="en-US"/>
        </w:rPr>
        <w:t>imited to EUR 7 888 for 2021. This transfer also encompasses the transfer of staff and IT resources.</w:t>
      </w:r>
    </w:p>
    <w:p w:rsidR="00E473EF" w:rsidRDefault="00CE451E">
      <w:pPr>
        <w:spacing w:before="120" w:after="120"/>
        <w:jc w:val="both"/>
        <w:rPr>
          <w:rFonts w:eastAsia="Calibri"/>
          <w:noProof/>
          <w:lang w:eastAsia="en-US"/>
        </w:rPr>
      </w:pPr>
      <w:r>
        <w:rPr>
          <w:rFonts w:eastAsia="Calibri"/>
          <w:noProof/>
          <w:lang w:eastAsia="en-US"/>
        </w:rPr>
        <w:t>The library modernisation programme rolled out in recent years (with some 80% of purchases in electronic form), is expected to accelerate with the transfer</w:t>
      </w:r>
      <w:r>
        <w:rPr>
          <w:rFonts w:eastAsia="Calibri"/>
          <w:noProof/>
          <w:lang w:eastAsia="en-US"/>
        </w:rPr>
        <w:t xml:space="preserve"> and bring further synergies and complementarities with existing OP activities in the same publications and information management domain.</w:t>
      </w:r>
    </w:p>
    <w:p w:rsidR="00E473EF" w:rsidRDefault="00CE451E">
      <w:pPr>
        <w:keepNext/>
        <w:tabs>
          <w:tab w:val="left" w:pos="850"/>
        </w:tabs>
        <w:spacing w:before="360" w:after="120"/>
        <w:ind w:left="840" w:hanging="840"/>
        <w:jc w:val="both"/>
        <w:outlineLvl w:val="1"/>
        <w:rPr>
          <w:rFonts w:eastAsia="Calibri"/>
          <w:b/>
          <w:noProof/>
          <w:lang w:val="en-US" w:eastAsia="en-US"/>
        </w:rPr>
      </w:pPr>
      <w:bookmarkStart w:id="165" w:name="_Toc54770340"/>
      <w:bookmarkStart w:id="166" w:name="_Toc55807150"/>
      <w:bookmarkStart w:id="167" w:name="_Toc56009563"/>
      <w:r>
        <w:rPr>
          <w:rFonts w:eastAsia="Calibri"/>
          <w:b/>
          <w:noProof/>
          <w:lang w:val="en-US" w:eastAsia="en-US"/>
        </w:rPr>
        <w:t xml:space="preserve">7.6 </w:t>
      </w:r>
      <w:r>
        <w:rPr>
          <w:rFonts w:eastAsia="Calibri"/>
          <w:b/>
          <w:noProof/>
          <w:lang w:val="en-US" w:eastAsia="en-US"/>
        </w:rPr>
        <w:tab/>
        <w:t>Transfer of 2 establishment plan posts from the European Parliament to the Commission</w:t>
      </w:r>
      <w:bookmarkEnd w:id="165"/>
      <w:bookmarkEnd w:id="166"/>
      <w:bookmarkEnd w:id="167"/>
    </w:p>
    <w:p w:rsidR="00E473EF" w:rsidRDefault="00CE451E">
      <w:pPr>
        <w:spacing w:before="120" w:after="120"/>
        <w:jc w:val="both"/>
        <w:rPr>
          <w:rFonts w:eastAsia="Calibri"/>
          <w:noProof/>
          <w:lang w:eastAsia="en-US"/>
        </w:rPr>
      </w:pPr>
      <w:r>
        <w:rPr>
          <w:rFonts w:eastAsia="Calibri"/>
          <w:noProof/>
          <w:lang w:eastAsia="en-US"/>
        </w:rPr>
        <w:t>In</w:t>
      </w:r>
      <w:r>
        <w:rPr>
          <w:noProof/>
        </w:rPr>
        <w:t xml:space="preserve"> line with the</w:t>
      </w:r>
      <w:r>
        <w:rPr>
          <w:rFonts w:eastAsia="Calibri"/>
          <w:noProof/>
          <w:lang w:eastAsia="en-US"/>
        </w:rPr>
        <w:t xml:space="preserve"> Insterinstitutional Agreement on CERT-EU (Computer Emergency Response Team)</w:t>
      </w:r>
      <w:r>
        <w:rPr>
          <w:rStyle w:val="FootnoteReference"/>
          <w:rFonts w:eastAsia="Calibri"/>
          <w:noProof/>
          <w:lang w:eastAsia="en-US"/>
        </w:rPr>
        <w:footnoteReference w:id="32"/>
      </w:r>
      <w:r>
        <w:rPr>
          <w:rFonts w:eastAsia="Calibri"/>
          <w:noProof/>
          <w:lang w:eastAsia="en-US"/>
        </w:rPr>
        <w:t>, two establishment plan posts are transferred from the European Parliament (EP) to the European Commission with a view to support the operations of CERT-EU.</w:t>
      </w:r>
    </w:p>
    <w:p w:rsidR="00E473EF" w:rsidRDefault="00CE451E">
      <w:pPr>
        <w:spacing w:before="120" w:after="120"/>
        <w:jc w:val="both"/>
        <w:rPr>
          <w:rFonts w:eastAsia="Calibri"/>
          <w:noProof/>
          <w:lang w:eastAsia="en-US"/>
        </w:rPr>
      </w:pPr>
      <w:r>
        <w:rPr>
          <w:rFonts w:eastAsia="Calibri"/>
          <w:noProof/>
          <w:lang w:eastAsia="en-US"/>
        </w:rPr>
        <w:t>This operation result</w:t>
      </w:r>
      <w:r>
        <w:rPr>
          <w:rFonts w:eastAsia="Calibri"/>
          <w:noProof/>
          <w:lang w:eastAsia="en-US"/>
        </w:rPr>
        <w:t>s in the reduction of 2 posts (AD 5) from the EP establishment plan and transferring them to the Commission’s establishment plan along with the relating appropriations (with a net impact of EUR 39 000).</w:t>
      </w:r>
    </w:p>
    <w:p w:rsidR="00E473EF" w:rsidRDefault="00CE451E">
      <w:pPr>
        <w:keepNext/>
        <w:tabs>
          <w:tab w:val="left" w:pos="850"/>
        </w:tabs>
        <w:spacing w:before="360" w:after="120"/>
        <w:ind w:left="840" w:hanging="840"/>
        <w:jc w:val="both"/>
        <w:outlineLvl w:val="1"/>
        <w:rPr>
          <w:rFonts w:eastAsia="Calibri"/>
          <w:b/>
          <w:noProof/>
          <w:lang w:val="en-US" w:eastAsia="en-US"/>
        </w:rPr>
      </w:pPr>
      <w:bookmarkStart w:id="168" w:name="_Toc54770341"/>
      <w:bookmarkStart w:id="169" w:name="_Toc55807151"/>
      <w:bookmarkStart w:id="170" w:name="_Toc56009564"/>
      <w:r>
        <w:rPr>
          <w:rFonts w:eastAsia="Calibri"/>
          <w:b/>
          <w:noProof/>
          <w:lang w:val="en-US" w:eastAsia="en-US"/>
        </w:rPr>
        <w:t>7.7</w:t>
      </w:r>
      <w:r>
        <w:rPr>
          <w:rFonts w:eastAsia="Calibri"/>
          <w:b/>
          <w:noProof/>
          <w:lang w:val="en-US" w:eastAsia="en-US"/>
        </w:rPr>
        <w:tab/>
        <w:t>EEAS contribution for the provision of baseline s</w:t>
      </w:r>
      <w:r>
        <w:rPr>
          <w:rFonts w:eastAsia="Calibri"/>
          <w:b/>
          <w:noProof/>
          <w:lang w:val="en-US" w:eastAsia="en-US"/>
        </w:rPr>
        <w:t>ervices by PMO</w:t>
      </w:r>
      <w:bookmarkEnd w:id="168"/>
      <w:bookmarkEnd w:id="169"/>
      <w:bookmarkEnd w:id="170"/>
    </w:p>
    <w:p w:rsidR="00E473EF" w:rsidRDefault="00CE451E">
      <w:pPr>
        <w:tabs>
          <w:tab w:val="left" w:pos="850"/>
        </w:tabs>
        <w:spacing w:before="240" w:after="120"/>
        <w:jc w:val="both"/>
        <w:rPr>
          <w:bCs/>
          <w:noProof/>
        </w:rPr>
      </w:pPr>
      <w:r>
        <w:rPr>
          <w:bCs/>
          <w:noProof/>
        </w:rPr>
        <w:t>As of 2021, the costs of baseline services (including salary and pension calculation and payment, determination of individual entitlements and mission expenses, reimbursement of experts’ expenses, etc.) will no longer be charged from the Pay</w:t>
      </w:r>
      <w:r>
        <w:rPr>
          <w:bCs/>
          <w:noProof/>
        </w:rPr>
        <w:t>ment Master Office (PMO) to the other institutions. The related budget has been requested in the Commission’s budget section and the other Institutions’ budget request has been decreased accordingly.</w:t>
      </w:r>
    </w:p>
    <w:p w:rsidR="00E473EF" w:rsidRDefault="00CE451E">
      <w:pPr>
        <w:tabs>
          <w:tab w:val="left" w:pos="850"/>
        </w:tabs>
        <w:spacing w:before="240" w:after="120"/>
        <w:jc w:val="both"/>
        <w:rPr>
          <w:bCs/>
          <w:noProof/>
        </w:rPr>
      </w:pPr>
      <w:r>
        <w:rPr>
          <w:bCs/>
          <w:noProof/>
        </w:rPr>
        <w:t>However, pending the signature of a new service level ag</w:t>
      </w:r>
      <w:r>
        <w:rPr>
          <w:bCs/>
          <w:noProof/>
        </w:rPr>
        <w:t>reement between PMO and the EEAS, EEAS has not reduced the related amount in its 2021 budget request. In order to avoid double-budgeting, a reduction of EUR 1,2 million is therefore incorporated in the Commission’s section.</w:t>
      </w:r>
    </w:p>
    <w:p w:rsidR="00E473EF" w:rsidRDefault="00CE451E">
      <w:pPr>
        <w:keepNext/>
        <w:tabs>
          <w:tab w:val="left" w:pos="850"/>
        </w:tabs>
        <w:spacing w:before="360" w:after="120"/>
        <w:ind w:left="840" w:hanging="840"/>
        <w:jc w:val="both"/>
        <w:outlineLvl w:val="1"/>
        <w:rPr>
          <w:rFonts w:eastAsia="Calibri"/>
          <w:b/>
          <w:noProof/>
          <w:lang w:val="en-US" w:eastAsia="en-US"/>
        </w:rPr>
      </w:pPr>
      <w:bookmarkStart w:id="171" w:name="_Toc55807152"/>
      <w:bookmarkStart w:id="172" w:name="_Toc56009565"/>
      <w:bookmarkStart w:id="173" w:name="_Toc54770342"/>
      <w:r>
        <w:rPr>
          <w:rFonts w:eastAsia="Calibri"/>
          <w:b/>
          <w:noProof/>
          <w:lang w:val="en-US" w:eastAsia="en-US"/>
        </w:rPr>
        <w:t>7.8</w:t>
      </w:r>
      <w:r>
        <w:rPr>
          <w:rFonts w:eastAsia="Calibri"/>
          <w:b/>
          <w:noProof/>
          <w:lang w:val="en-US" w:eastAsia="en-US"/>
        </w:rPr>
        <w:tab/>
        <w:t>Impact of the COVID-19 pande</w:t>
      </w:r>
      <w:r>
        <w:rPr>
          <w:rFonts w:eastAsia="Calibri"/>
          <w:b/>
          <w:noProof/>
          <w:lang w:val="en-US" w:eastAsia="en-US"/>
        </w:rPr>
        <w:t>mic on the budget of the European Schools</w:t>
      </w:r>
      <w:bookmarkEnd w:id="171"/>
      <w:bookmarkEnd w:id="172"/>
    </w:p>
    <w:p w:rsidR="00E473EF" w:rsidRDefault="00CE451E">
      <w:pPr>
        <w:spacing w:after="240"/>
        <w:jc w:val="both"/>
        <w:rPr>
          <w:noProof/>
          <w:sz w:val="22"/>
          <w:szCs w:val="22"/>
        </w:rPr>
      </w:pPr>
      <w:r>
        <w:rPr>
          <w:noProof/>
        </w:rPr>
        <w:t>The COVID-19 pandemic makes it necessary for the European Schools to prepare for further periods of distance teaching in 2021 and to buy the necessary material. Furthermore, it might become necessary to engage addi</w:t>
      </w:r>
      <w:r>
        <w:rPr>
          <w:noProof/>
        </w:rPr>
        <w:t>tional teaching staff depending on the evolution of the situation in particular classes and teachers. The additional budgetary needs have been estimated until the end of the school year 2020/2021, i.e. they cover the first 8 months of 2021.</w:t>
      </w:r>
    </w:p>
    <w:p w:rsidR="00E473EF" w:rsidRDefault="00CE451E">
      <w:pPr>
        <w:spacing w:after="240"/>
        <w:jc w:val="both"/>
        <w:rPr>
          <w:noProof/>
        </w:rPr>
      </w:pPr>
      <w:r>
        <w:rPr>
          <w:noProof/>
        </w:rPr>
        <w:t>In the same con</w:t>
      </w:r>
      <w:r>
        <w:rPr>
          <w:noProof/>
        </w:rPr>
        <w:t>text, the budget request of the Office of the Secretary-General of the European Schools has been revised downwards to take account of the fact that appropriations initially foreseen for the organisation of meetings and for missions organised for the benefi</w:t>
      </w:r>
      <w:r>
        <w:rPr>
          <w:noProof/>
        </w:rPr>
        <w:t xml:space="preserve">t of the European School system as a whole will not be needed. </w:t>
      </w:r>
    </w:p>
    <w:p w:rsidR="00E473EF" w:rsidRDefault="00CE451E">
      <w:pPr>
        <w:spacing w:after="240"/>
        <w:jc w:val="both"/>
        <w:rPr>
          <w:noProof/>
        </w:rPr>
      </w:pPr>
      <w:r>
        <w:rPr>
          <w:noProof/>
        </w:rPr>
        <w:t>Based on the above elements, EUR 4 898 380 of additional appropriations for the European Schools are requested.</w:t>
      </w:r>
    </w:p>
    <w:p w:rsidR="00E473EF" w:rsidRDefault="00CE451E">
      <w:pPr>
        <w:keepNext/>
        <w:tabs>
          <w:tab w:val="left" w:pos="850"/>
        </w:tabs>
        <w:spacing w:before="360" w:after="120"/>
        <w:ind w:left="840" w:hanging="840"/>
        <w:jc w:val="both"/>
        <w:outlineLvl w:val="1"/>
        <w:rPr>
          <w:rFonts w:eastAsia="Calibri"/>
          <w:b/>
          <w:noProof/>
          <w:lang w:val="en-US" w:eastAsia="en-US"/>
        </w:rPr>
      </w:pPr>
      <w:bookmarkStart w:id="174" w:name="_Toc55807153"/>
      <w:bookmarkStart w:id="175" w:name="_Toc56009566"/>
      <w:r>
        <w:rPr>
          <w:rFonts w:eastAsia="Calibri"/>
          <w:b/>
          <w:noProof/>
          <w:lang w:val="en-US" w:eastAsia="en-US"/>
        </w:rPr>
        <w:t xml:space="preserve">7.9 </w:t>
      </w:r>
      <w:r>
        <w:rPr>
          <w:rFonts w:eastAsia="Calibri"/>
          <w:b/>
          <w:noProof/>
          <w:lang w:val="en-US" w:eastAsia="en-US"/>
        </w:rPr>
        <w:tab/>
        <w:t>Impact of the relocation of the Ombudsman’s Brussels office</w:t>
      </w:r>
      <w:bookmarkEnd w:id="173"/>
      <w:bookmarkEnd w:id="174"/>
      <w:bookmarkEnd w:id="175"/>
    </w:p>
    <w:p w:rsidR="00E473EF" w:rsidRDefault="00CE451E">
      <w:pPr>
        <w:autoSpaceDE w:val="0"/>
        <w:autoSpaceDN w:val="0"/>
        <w:adjustRightInd w:val="0"/>
        <w:spacing w:before="120" w:after="120"/>
        <w:jc w:val="both"/>
        <w:rPr>
          <w:noProof/>
        </w:rPr>
      </w:pPr>
      <w:r>
        <w:rPr>
          <w:noProof/>
        </w:rPr>
        <w:t>The European Om</w:t>
      </w:r>
      <w:r>
        <w:rPr>
          <w:noProof/>
        </w:rPr>
        <w:t>budsman has requested additional appropriations to finance expenditure linked to the relocation of the Ombudsman’s Brussels offices. The information leading to this request was not available at the time when the Estimates for the 2021 budget were submitted</w:t>
      </w:r>
      <w:r>
        <w:rPr>
          <w:noProof/>
        </w:rPr>
        <w:t xml:space="preserve"> in March 2020.</w:t>
      </w:r>
    </w:p>
    <w:p w:rsidR="00E473EF" w:rsidRDefault="00CE451E">
      <w:pPr>
        <w:autoSpaceDE w:val="0"/>
        <w:autoSpaceDN w:val="0"/>
        <w:adjustRightInd w:val="0"/>
        <w:spacing w:before="120" w:after="120"/>
        <w:jc w:val="both"/>
        <w:rPr>
          <w:noProof/>
        </w:rPr>
      </w:pPr>
      <w:r>
        <w:rPr>
          <w:noProof/>
        </w:rPr>
        <w:t>Based on the information available since early September, the increased needs required in the Ombudsman’s budget amount to EUR 416 000.</w:t>
      </w:r>
    </w:p>
    <w:p w:rsidR="00E473EF" w:rsidRDefault="00CE451E">
      <w:pPr>
        <w:pStyle w:val="ManualHeading1"/>
        <w:spacing w:before="240"/>
        <w:rPr>
          <w:noProof/>
        </w:rPr>
      </w:pPr>
      <w:bookmarkStart w:id="176" w:name="_Toc54770343"/>
      <w:bookmarkStart w:id="177" w:name="_Toc55807154"/>
      <w:bookmarkStart w:id="178" w:name="_Toc56009567"/>
      <w:r>
        <w:rPr>
          <w:noProof/>
        </w:rPr>
        <w:t>8.</w:t>
      </w:r>
      <w:r>
        <w:rPr>
          <w:noProof/>
        </w:rPr>
        <w:tab/>
        <w:t>Other adjustments</w:t>
      </w:r>
      <w:bookmarkEnd w:id="176"/>
      <w:bookmarkEnd w:id="177"/>
      <w:bookmarkEnd w:id="178"/>
    </w:p>
    <w:p w:rsidR="00E473EF" w:rsidRDefault="00CE451E">
      <w:pPr>
        <w:keepNext/>
        <w:tabs>
          <w:tab w:val="left" w:pos="850"/>
        </w:tabs>
        <w:spacing w:before="360" w:after="120"/>
        <w:ind w:left="840" w:hanging="840"/>
        <w:jc w:val="both"/>
        <w:outlineLvl w:val="1"/>
        <w:rPr>
          <w:rFonts w:eastAsia="Calibri"/>
          <w:b/>
          <w:noProof/>
          <w:lang w:eastAsia="en-US"/>
        </w:rPr>
      </w:pPr>
      <w:bookmarkStart w:id="179" w:name="_Toc55807155"/>
      <w:bookmarkStart w:id="180" w:name="_Toc56009568"/>
      <w:bookmarkStart w:id="181" w:name="_Toc54770344"/>
      <w:r>
        <w:rPr>
          <w:rFonts w:eastAsia="Calibri"/>
          <w:b/>
          <w:noProof/>
          <w:lang w:eastAsia="en-US"/>
        </w:rPr>
        <w:t xml:space="preserve">8.1 </w:t>
      </w:r>
      <w:r>
        <w:rPr>
          <w:rFonts w:eastAsia="Calibri"/>
          <w:b/>
          <w:noProof/>
          <w:lang w:eastAsia="en-US"/>
        </w:rPr>
        <w:tab/>
        <w:t>Targeted reinforcements</w:t>
      </w:r>
      <w:bookmarkEnd w:id="179"/>
      <w:bookmarkEnd w:id="180"/>
    </w:p>
    <w:p w:rsidR="00E473EF" w:rsidRDefault="00CE451E">
      <w:pPr>
        <w:keepNext/>
        <w:tabs>
          <w:tab w:val="left" w:pos="851"/>
        </w:tabs>
        <w:spacing w:before="240" w:after="120"/>
        <w:ind w:left="850" w:hanging="850"/>
        <w:jc w:val="both"/>
        <w:outlineLvl w:val="1"/>
        <w:rPr>
          <w:rFonts w:eastAsia="Calibri"/>
          <w:i/>
          <w:noProof/>
          <w:lang w:eastAsia="de-DE"/>
        </w:rPr>
      </w:pPr>
      <w:bookmarkStart w:id="182" w:name="_Toc55807156"/>
      <w:bookmarkStart w:id="183" w:name="_Toc56009569"/>
      <w:r>
        <w:rPr>
          <w:rFonts w:eastAsia="Calibri"/>
          <w:i/>
          <w:noProof/>
          <w:lang w:eastAsia="de-DE"/>
        </w:rPr>
        <w:t xml:space="preserve">8.1.1 </w:t>
      </w:r>
      <w:r>
        <w:rPr>
          <w:rFonts w:eastAsia="Calibri"/>
          <w:i/>
          <w:noProof/>
          <w:lang w:eastAsia="de-DE"/>
        </w:rPr>
        <w:tab/>
        <w:t>Support to the Turkish-Cypriot Community</w:t>
      </w:r>
      <w:bookmarkEnd w:id="182"/>
      <w:bookmarkEnd w:id="183"/>
    </w:p>
    <w:p w:rsidR="00E473EF" w:rsidRDefault="00CE451E">
      <w:pPr>
        <w:autoSpaceDE w:val="0"/>
        <w:autoSpaceDN w:val="0"/>
        <w:adjustRightInd w:val="0"/>
        <w:spacing w:before="120" w:after="120"/>
        <w:jc w:val="both"/>
        <w:rPr>
          <w:noProof/>
        </w:rPr>
      </w:pPr>
      <w:r>
        <w:rPr>
          <w:noProof/>
        </w:rPr>
        <w:t xml:space="preserve">The </w:t>
      </w:r>
      <w:r>
        <w:rPr>
          <w:noProof/>
        </w:rPr>
        <w:t>Union remains committed to Cyprus settlement and to the Turkish Cypriot community. Against the backdrop of increased regional tensions a budget increase of EUR 6 million in commitment appropriations is necessary compared to the level proposed in the DB 202</w:t>
      </w:r>
      <w:r>
        <w:rPr>
          <w:noProof/>
        </w:rPr>
        <w:t>1.</w:t>
      </w:r>
    </w:p>
    <w:p w:rsidR="00E473EF" w:rsidRDefault="00CE451E">
      <w:pPr>
        <w:autoSpaceDE w:val="0"/>
        <w:autoSpaceDN w:val="0"/>
        <w:adjustRightInd w:val="0"/>
        <w:spacing w:before="120" w:after="120"/>
        <w:jc w:val="both"/>
        <w:rPr>
          <w:noProof/>
        </w:rPr>
      </w:pPr>
      <w:r>
        <w:rPr>
          <w:noProof/>
        </w:rPr>
        <w:t>Union support is needed for a solution within the well-known United Nations parameters of a bi-zonal, bi-communal Federation, even more so after the election of a Turkish Cypriot leader that regrettably backs a two State model. Hence, it is crucial that</w:t>
      </w:r>
      <w:r>
        <w:rPr>
          <w:noProof/>
        </w:rPr>
        <w:t xml:space="preserve"> the Union continues with sufficient funding level for the Aid Programme to continue the efforts of supporting socio economic development of the Turkish Cypriot community and bringing the two communities together on concrete cooperation initiatives.</w:t>
      </w:r>
    </w:p>
    <w:p w:rsidR="00E473EF" w:rsidRDefault="00CE451E">
      <w:pPr>
        <w:keepNext/>
        <w:tabs>
          <w:tab w:val="left" w:pos="851"/>
        </w:tabs>
        <w:spacing w:before="240" w:after="120"/>
        <w:ind w:left="850" w:hanging="850"/>
        <w:jc w:val="both"/>
        <w:outlineLvl w:val="1"/>
        <w:rPr>
          <w:rFonts w:eastAsia="Calibri"/>
          <w:i/>
          <w:noProof/>
          <w:lang w:val="en-US" w:eastAsia="de-DE"/>
        </w:rPr>
      </w:pPr>
      <w:bookmarkStart w:id="184" w:name="_Toc55807157"/>
      <w:bookmarkStart w:id="185" w:name="_Toc56009570"/>
      <w:r>
        <w:rPr>
          <w:rFonts w:eastAsia="Calibri"/>
          <w:i/>
          <w:noProof/>
          <w:lang w:val="en-US" w:eastAsia="de-DE"/>
        </w:rPr>
        <w:t xml:space="preserve">8.1.2 </w:t>
      </w:r>
      <w:r>
        <w:rPr>
          <w:rFonts w:eastAsia="Calibri"/>
          <w:i/>
          <w:noProof/>
          <w:lang w:val="en-US" w:eastAsia="de-DE"/>
        </w:rPr>
        <w:tab/>
        <w:t>Social dialogue</w:t>
      </w:r>
      <w:bookmarkEnd w:id="184"/>
      <w:bookmarkEnd w:id="185"/>
    </w:p>
    <w:p w:rsidR="00E473EF" w:rsidRDefault="00CE451E">
      <w:pPr>
        <w:autoSpaceDE w:val="0"/>
        <w:autoSpaceDN w:val="0"/>
        <w:adjustRightInd w:val="0"/>
        <w:spacing w:before="120" w:after="120"/>
        <w:jc w:val="both"/>
        <w:rPr>
          <w:noProof/>
        </w:rPr>
      </w:pPr>
      <w:r>
        <w:rPr>
          <w:noProof/>
        </w:rPr>
        <w:t>Social partners play a key role in designing and implementing the measures that are introduced at Member States level to mitigate the effects of the COVID-19 pandemic on workers and companies. However, the socioeconomic impact of the pande</w:t>
      </w:r>
      <w:r>
        <w:rPr>
          <w:noProof/>
        </w:rPr>
        <w:t>mic on employers and workers has had significant knock-on effects on national social partner organisations.</w:t>
      </w:r>
    </w:p>
    <w:p w:rsidR="00E473EF" w:rsidRDefault="00CE451E">
      <w:pPr>
        <w:autoSpaceDE w:val="0"/>
        <w:autoSpaceDN w:val="0"/>
        <w:adjustRightInd w:val="0"/>
        <w:spacing w:before="120" w:after="120"/>
        <w:jc w:val="both"/>
        <w:rPr>
          <w:noProof/>
        </w:rPr>
      </w:pPr>
      <w:r>
        <w:rPr>
          <w:noProof/>
        </w:rPr>
        <w:t>It is therefore necessary to provide additional support targeting European and national cross-industry and sectoral employer and trade union organis</w:t>
      </w:r>
      <w:r>
        <w:rPr>
          <w:noProof/>
        </w:rPr>
        <w:t>ations and especially the ones mostly affected by the COVID-19 crisis and being in the most vulnerable situation with a view to ensure their activities and to address the employment and social impact of COVID-19 crisis and strengthen the resilience of work</w:t>
      </w:r>
      <w:r>
        <w:rPr>
          <w:noProof/>
        </w:rPr>
        <w:t>ers and employers organisations in the context of COVID-19.</w:t>
      </w:r>
    </w:p>
    <w:p w:rsidR="00E473EF" w:rsidRDefault="00CE451E">
      <w:pPr>
        <w:autoSpaceDE w:val="0"/>
        <w:autoSpaceDN w:val="0"/>
        <w:adjustRightInd w:val="0"/>
        <w:spacing w:before="120" w:after="120"/>
        <w:jc w:val="both"/>
        <w:rPr>
          <w:noProof/>
        </w:rPr>
      </w:pPr>
      <w:r>
        <w:rPr>
          <w:noProof/>
        </w:rPr>
        <w:t>As a result, EUR 5 million of commitment appropriations (and EUR 4,4 million in payment appropriations)  are added to the budget line 07 20 04 06 “</w:t>
      </w:r>
      <w:r>
        <w:rPr>
          <w:i/>
          <w:noProof/>
        </w:rPr>
        <w:t>Specific competences in the area of social policy</w:t>
      </w:r>
      <w:r>
        <w:rPr>
          <w:i/>
          <w:noProof/>
        </w:rPr>
        <w:t>, including social dialogue</w:t>
      </w:r>
      <w:r>
        <w:rPr>
          <w:noProof/>
        </w:rPr>
        <w:t>”.</w:t>
      </w:r>
    </w:p>
    <w:p w:rsidR="00E473EF" w:rsidRDefault="00CE451E">
      <w:pPr>
        <w:keepNext/>
        <w:tabs>
          <w:tab w:val="left" w:pos="850"/>
        </w:tabs>
        <w:spacing w:before="360" w:after="120"/>
        <w:ind w:left="840" w:hanging="840"/>
        <w:jc w:val="both"/>
        <w:outlineLvl w:val="1"/>
        <w:rPr>
          <w:rFonts w:eastAsia="Calibri"/>
          <w:b/>
          <w:noProof/>
          <w:lang w:eastAsia="en-US"/>
        </w:rPr>
      </w:pPr>
      <w:bookmarkStart w:id="186" w:name="_Toc55807158"/>
      <w:bookmarkStart w:id="187" w:name="_Toc56009571"/>
      <w:r>
        <w:rPr>
          <w:rFonts w:eastAsia="Calibri"/>
          <w:b/>
          <w:noProof/>
          <w:lang w:eastAsia="en-US"/>
        </w:rPr>
        <w:t xml:space="preserve">8.2 </w:t>
      </w:r>
      <w:r>
        <w:rPr>
          <w:rFonts w:eastAsia="Calibri"/>
          <w:b/>
          <w:noProof/>
          <w:lang w:eastAsia="en-US"/>
        </w:rPr>
        <w:tab/>
        <w:t>Adaptation of the nomenclature</w:t>
      </w:r>
      <w:bookmarkEnd w:id="181"/>
      <w:bookmarkEnd w:id="186"/>
      <w:bookmarkEnd w:id="187"/>
    </w:p>
    <w:p w:rsidR="00E473EF" w:rsidRDefault="00CE451E">
      <w:pPr>
        <w:autoSpaceDE w:val="0"/>
        <w:autoSpaceDN w:val="0"/>
        <w:adjustRightInd w:val="0"/>
        <w:spacing w:before="120" w:after="120"/>
        <w:jc w:val="both"/>
        <w:rPr>
          <w:noProof/>
        </w:rPr>
      </w:pPr>
      <w:r>
        <w:rPr>
          <w:noProof/>
        </w:rPr>
        <w:t>On top of the modifications to the nomenclature described in previous sections, AL 1/2021 also includes the following adaptations.</w:t>
      </w:r>
      <w:bookmarkStart w:id="188" w:name="_Toc54770346"/>
    </w:p>
    <w:p w:rsidR="00E473EF" w:rsidRDefault="00CE451E">
      <w:pPr>
        <w:autoSpaceDE w:val="0"/>
        <w:autoSpaceDN w:val="0"/>
        <w:adjustRightInd w:val="0"/>
        <w:spacing w:before="120" w:after="120"/>
        <w:jc w:val="both"/>
        <w:rPr>
          <w:rFonts w:eastAsia="Calibri"/>
          <w:i/>
          <w:noProof/>
          <w:lang w:eastAsia="de-DE"/>
        </w:rPr>
      </w:pPr>
      <w:bookmarkStart w:id="189" w:name="_Toc55807159"/>
      <w:r>
        <w:rPr>
          <w:rFonts w:eastAsia="Calibri"/>
          <w:i/>
          <w:noProof/>
          <w:lang w:eastAsia="de-DE"/>
        </w:rPr>
        <w:t xml:space="preserve">8.2.1 </w:t>
      </w:r>
      <w:r>
        <w:rPr>
          <w:rFonts w:eastAsia="Calibri"/>
          <w:i/>
          <w:noProof/>
          <w:lang w:eastAsia="de-DE"/>
        </w:rPr>
        <w:tab/>
        <w:t>Neighbourhood, Development and International Coopera</w:t>
      </w:r>
      <w:r>
        <w:rPr>
          <w:rFonts w:eastAsia="Calibri"/>
          <w:i/>
          <w:noProof/>
          <w:lang w:eastAsia="de-DE"/>
        </w:rPr>
        <w:t>tion Instrument (NDICI)</w:t>
      </w:r>
      <w:bookmarkEnd w:id="188"/>
      <w:bookmarkEnd w:id="189"/>
    </w:p>
    <w:p w:rsidR="00E473EF" w:rsidRDefault="00CE451E">
      <w:pPr>
        <w:autoSpaceDE w:val="0"/>
        <w:autoSpaceDN w:val="0"/>
        <w:adjustRightInd w:val="0"/>
        <w:spacing w:before="120" w:after="120"/>
        <w:jc w:val="both"/>
        <w:rPr>
          <w:noProof/>
        </w:rPr>
      </w:pPr>
      <w:r>
        <w:rPr>
          <w:noProof/>
        </w:rPr>
        <w:t>The DB 2021 included one budget item in the geographic programme for the Neighbourhood, the “Sub-Saharan Africa”, the “Asia and the Pacific” as well as the “Americas and the Caribbean”. One single budget item was also included for t</w:t>
      </w:r>
      <w:r>
        <w:rPr>
          <w:noProof/>
        </w:rPr>
        <w:t>he thematic budget lines on “global challenges” and “human rights and democracy”. It is proposed to further split each of these lines to enhance further the visibility of the spending allocated to each of the sub-regions or component concerned.</w:t>
      </w:r>
    </w:p>
    <w:p w:rsidR="00E473EF" w:rsidRDefault="00CE451E">
      <w:pPr>
        <w:spacing w:after="200" w:line="276" w:lineRule="auto"/>
        <w:rPr>
          <w:noProof/>
        </w:rPr>
      </w:pPr>
      <w:r>
        <w:rPr>
          <w:noProof/>
        </w:rPr>
        <w:t>The table b</w:t>
      </w:r>
      <w:r>
        <w:rPr>
          <w:noProof/>
        </w:rPr>
        <w:t>elow details for this instrument the changes compared to the DB 2021:</w:t>
      </w:r>
    </w:p>
    <w:tbl>
      <w:tblPr>
        <w:tblW w:w="9844" w:type="dxa"/>
        <w:tblInd w:w="113" w:type="dxa"/>
        <w:tblLook w:val="04A0" w:firstRow="1" w:lastRow="0" w:firstColumn="1" w:lastColumn="0" w:noHBand="0" w:noVBand="1"/>
      </w:tblPr>
      <w:tblGrid>
        <w:gridCol w:w="953"/>
        <w:gridCol w:w="1922"/>
        <w:gridCol w:w="1166"/>
        <w:gridCol w:w="2045"/>
        <w:gridCol w:w="1200"/>
        <w:gridCol w:w="2558"/>
      </w:tblGrid>
      <w:tr w:rsidR="00E473EF">
        <w:trPr>
          <w:trHeight w:val="260"/>
          <w:tblHeader/>
        </w:trPr>
        <w:tc>
          <w:tcPr>
            <w:tcW w:w="6086"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rsidR="00E473EF" w:rsidRDefault="00CE451E">
            <w:pPr>
              <w:jc w:val="center"/>
              <w:rPr>
                <w:b/>
                <w:bCs/>
                <w:noProof/>
                <w:sz w:val="18"/>
                <w:szCs w:val="18"/>
                <w:lang w:val="en-US" w:eastAsia="en-US"/>
              </w:rPr>
            </w:pPr>
            <w:r>
              <w:rPr>
                <w:b/>
                <w:bCs/>
                <w:noProof/>
                <w:sz w:val="18"/>
                <w:szCs w:val="18"/>
                <w:lang w:val="en-US" w:eastAsia="en-US"/>
              </w:rPr>
              <w:t>Nomenclature In DB 2021</w:t>
            </w:r>
          </w:p>
        </w:tc>
        <w:tc>
          <w:tcPr>
            <w:tcW w:w="3758" w:type="dxa"/>
            <w:gridSpan w:val="2"/>
            <w:tcBorders>
              <w:top w:val="single" w:sz="4" w:space="0" w:color="auto"/>
              <w:left w:val="nil"/>
              <w:bottom w:val="single" w:sz="4" w:space="0" w:color="auto"/>
              <w:right w:val="single" w:sz="4" w:space="0" w:color="000000"/>
            </w:tcBorders>
            <w:shd w:val="clear" w:color="000000" w:fill="D9D9D9"/>
            <w:vAlign w:val="center"/>
            <w:hideMark/>
          </w:tcPr>
          <w:p w:rsidR="00E473EF" w:rsidRDefault="00CE451E">
            <w:pPr>
              <w:jc w:val="center"/>
              <w:rPr>
                <w:b/>
                <w:bCs/>
                <w:noProof/>
                <w:sz w:val="18"/>
                <w:szCs w:val="18"/>
                <w:lang w:val="en-US" w:eastAsia="en-US"/>
              </w:rPr>
            </w:pPr>
            <w:r>
              <w:rPr>
                <w:b/>
                <w:bCs/>
                <w:noProof/>
                <w:sz w:val="18"/>
                <w:szCs w:val="18"/>
                <w:lang w:val="en-US" w:eastAsia="en-US"/>
              </w:rPr>
              <w:t>Nomenclature in AL 1/2021</w:t>
            </w:r>
          </w:p>
        </w:tc>
      </w:tr>
      <w:tr w:rsidR="00E473EF">
        <w:trPr>
          <w:trHeight w:val="302"/>
        </w:trPr>
        <w:tc>
          <w:tcPr>
            <w:tcW w:w="953" w:type="dxa"/>
            <w:vMerge w:val="restart"/>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sz w:val="18"/>
                <w:szCs w:val="18"/>
                <w:lang w:val="en-US" w:eastAsia="en-US"/>
              </w:rPr>
            </w:pPr>
            <w:r>
              <w:rPr>
                <w:noProof/>
                <w:sz w:val="18"/>
                <w:szCs w:val="18"/>
                <w:lang w:val="en-US" w:eastAsia="en-US"/>
              </w:rPr>
              <w:t>15 02 01</w:t>
            </w:r>
          </w:p>
        </w:tc>
        <w:tc>
          <w:tcPr>
            <w:tcW w:w="1922" w:type="dxa"/>
            <w:vMerge w:val="restart"/>
            <w:tcBorders>
              <w:top w:val="nil"/>
              <w:left w:val="single" w:sz="4" w:space="0" w:color="auto"/>
              <w:bottom w:val="nil"/>
              <w:right w:val="single" w:sz="4" w:space="0" w:color="auto"/>
            </w:tcBorders>
            <w:shd w:val="clear" w:color="auto" w:fill="auto"/>
            <w:vAlign w:val="center"/>
            <w:hideMark/>
          </w:tcPr>
          <w:p w:rsidR="00E473EF" w:rsidRDefault="00CE451E">
            <w:pPr>
              <w:jc w:val="center"/>
              <w:rPr>
                <w:noProof/>
                <w:sz w:val="18"/>
                <w:szCs w:val="18"/>
                <w:lang w:val="en-US" w:eastAsia="en-US"/>
              </w:rPr>
            </w:pPr>
            <w:r>
              <w:rPr>
                <w:noProof/>
                <w:sz w:val="18"/>
                <w:szCs w:val="18"/>
                <w:lang w:val="en-US" w:eastAsia="en-US"/>
              </w:rPr>
              <w:t>Geographic programmes</w:t>
            </w: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15 02 01 01</w:t>
            </w:r>
          </w:p>
        </w:tc>
        <w:tc>
          <w:tcPr>
            <w:tcW w:w="2045" w:type="dxa"/>
            <w:vMerge w:val="restart"/>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rPr>
              <w:t>European Neighbourhood</w:t>
            </w: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15 02 01 10</w:t>
            </w:r>
          </w:p>
          <w:p w:rsidR="00E473EF" w:rsidRDefault="00CE451E">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Southern neighbourhood</w:t>
            </w:r>
          </w:p>
        </w:tc>
      </w:tr>
      <w:tr w:rsidR="00E473EF">
        <w:trPr>
          <w:trHeight w:val="362"/>
        </w:trPr>
        <w:tc>
          <w:tcPr>
            <w:tcW w:w="953" w:type="dxa"/>
            <w:vMerge/>
            <w:tcBorders>
              <w:top w:val="nil"/>
              <w:left w:val="single" w:sz="4" w:space="0" w:color="auto"/>
              <w:bottom w:val="nil"/>
              <w:right w:val="single" w:sz="4" w:space="0" w:color="auto"/>
            </w:tcBorders>
            <w:vAlign w:val="center"/>
            <w:hideMark/>
          </w:tcPr>
          <w:p w:rsidR="00E473EF" w:rsidRDefault="00E473EF">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rsidR="00E473EF" w:rsidRDefault="00E473EF">
            <w:pPr>
              <w:rPr>
                <w:noProof/>
                <w:sz w:val="18"/>
                <w:szCs w:val="18"/>
                <w:lang w:val="en-US" w:eastAsia="en-US"/>
              </w:rPr>
            </w:pPr>
          </w:p>
        </w:tc>
        <w:tc>
          <w:tcPr>
            <w:tcW w:w="1166"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2045"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15 02 01 11</w:t>
            </w:r>
          </w:p>
          <w:p w:rsidR="00E473EF" w:rsidRDefault="00CE451E">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Eastern neighbourhood</w:t>
            </w:r>
          </w:p>
        </w:tc>
      </w:tr>
      <w:tr w:rsidR="00E473EF">
        <w:trPr>
          <w:trHeight w:val="686"/>
        </w:trPr>
        <w:tc>
          <w:tcPr>
            <w:tcW w:w="953" w:type="dxa"/>
            <w:vMerge/>
            <w:tcBorders>
              <w:top w:val="nil"/>
              <w:left w:val="single" w:sz="4" w:space="0" w:color="auto"/>
              <w:bottom w:val="nil"/>
              <w:right w:val="single" w:sz="4" w:space="0" w:color="auto"/>
            </w:tcBorders>
            <w:vAlign w:val="center"/>
            <w:hideMark/>
          </w:tcPr>
          <w:p w:rsidR="00E473EF" w:rsidRDefault="00E473EF">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rsidR="00E473EF" w:rsidRDefault="00E473EF">
            <w:pPr>
              <w:rPr>
                <w:noProof/>
                <w:sz w:val="18"/>
                <w:szCs w:val="18"/>
                <w:lang w:val="en-US" w:eastAsia="en-US"/>
              </w:rPr>
            </w:pPr>
          </w:p>
        </w:tc>
        <w:tc>
          <w:tcPr>
            <w:tcW w:w="1166"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2045"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15 02 01 12</w:t>
            </w:r>
          </w:p>
          <w:p w:rsidR="00E473EF" w:rsidRDefault="00CE451E">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Neighbourhood — Cross border, territorial cooperation and supporting measures</w:t>
            </w:r>
          </w:p>
        </w:tc>
      </w:tr>
      <w:tr w:rsidR="00E473EF">
        <w:trPr>
          <w:trHeight w:val="182"/>
        </w:trPr>
        <w:tc>
          <w:tcPr>
            <w:tcW w:w="953" w:type="dxa"/>
            <w:vMerge/>
            <w:tcBorders>
              <w:top w:val="nil"/>
              <w:left w:val="single" w:sz="4" w:space="0" w:color="auto"/>
              <w:bottom w:val="nil"/>
              <w:right w:val="single" w:sz="4" w:space="0" w:color="auto"/>
            </w:tcBorders>
            <w:vAlign w:val="center"/>
            <w:hideMark/>
          </w:tcPr>
          <w:p w:rsidR="00E473EF" w:rsidRDefault="00E473EF">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rsidR="00E473EF" w:rsidRDefault="00E473EF">
            <w:pPr>
              <w:rPr>
                <w:noProof/>
                <w:sz w:val="18"/>
                <w:szCs w:val="18"/>
                <w:lang w:val="en-US" w:eastAsia="en-US"/>
              </w:rPr>
            </w:pP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15 02 01 02</w:t>
            </w:r>
          </w:p>
        </w:tc>
        <w:tc>
          <w:tcPr>
            <w:tcW w:w="2045" w:type="dxa"/>
            <w:vMerge w:val="restart"/>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Sub-Saharan Africa</w:t>
            </w: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15 02 01 20</w:t>
            </w:r>
          </w:p>
          <w:p w:rsidR="00E473EF" w:rsidRDefault="00CE451E">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West Africa</w:t>
            </w:r>
          </w:p>
        </w:tc>
      </w:tr>
      <w:tr w:rsidR="00E473EF">
        <w:trPr>
          <w:trHeight w:val="206"/>
        </w:trPr>
        <w:tc>
          <w:tcPr>
            <w:tcW w:w="953" w:type="dxa"/>
            <w:vMerge/>
            <w:tcBorders>
              <w:top w:val="nil"/>
              <w:left w:val="single" w:sz="4" w:space="0" w:color="auto"/>
              <w:bottom w:val="nil"/>
              <w:right w:val="single" w:sz="4" w:space="0" w:color="auto"/>
            </w:tcBorders>
            <w:vAlign w:val="center"/>
            <w:hideMark/>
          </w:tcPr>
          <w:p w:rsidR="00E473EF" w:rsidRDefault="00E473EF">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rsidR="00E473EF" w:rsidRDefault="00E473EF">
            <w:pPr>
              <w:rPr>
                <w:noProof/>
                <w:sz w:val="18"/>
                <w:szCs w:val="18"/>
                <w:lang w:val="en-US" w:eastAsia="en-US"/>
              </w:rPr>
            </w:pPr>
          </w:p>
        </w:tc>
        <w:tc>
          <w:tcPr>
            <w:tcW w:w="1166"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2045"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15 02 01 21</w:t>
            </w:r>
          </w:p>
          <w:p w:rsidR="00E473EF" w:rsidRDefault="00CE451E">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East and Central Africa</w:t>
            </w:r>
          </w:p>
        </w:tc>
      </w:tr>
      <w:tr w:rsidR="00E473EF">
        <w:trPr>
          <w:trHeight w:val="110"/>
        </w:trPr>
        <w:tc>
          <w:tcPr>
            <w:tcW w:w="953" w:type="dxa"/>
            <w:vMerge/>
            <w:tcBorders>
              <w:top w:val="nil"/>
              <w:left w:val="single" w:sz="4" w:space="0" w:color="auto"/>
              <w:bottom w:val="nil"/>
              <w:right w:val="single" w:sz="4" w:space="0" w:color="auto"/>
            </w:tcBorders>
            <w:vAlign w:val="center"/>
            <w:hideMark/>
          </w:tcPr>
          <w:p w:rsidR="00E473EF" w:rsidRDefault="00E473EF">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rsidR="00E473EF" w:rsidRDefault="00E473EF">
            <w:pPr>
              <w:rPr>
                <w:noProof/>
                <w:sz w:val="18"/>
                <w:szCs w:val="18"/>
                <w:lang w:val="en-US" w:eastAsia="en-US"/>
              </w:rPr>
            </w:pPr>
          </w:p>
        </w:tc>
        <w:tc>
          <w:tcPr>
            <w:tcW w:w="1166"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2045"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15 02 01 22</w:t>
            </w:r>
          </w:p>
          <w:p w:rsidR="00E473EF" w:rsidRDefault="00CE451E">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Southern Africa and Indian Ocean</w:t>
            </w:r>
          </w:p>
        </w:tc>
      </w:tr>
      <w:tr w:rsidR="00E473EF">
        <w:trPr>
          <w:trHeight w:val="48"/>
        </w:trPr>
        <w:tc>
          <w:tcPr>
            <w:tcW w:w="953" w:type="dxa"/>
            <w:vMerge/>
            <w:tcBorders>
              <w:top w:val="nil"/>
              <w:left w:val="single" w:sz="4" w:space="0" w:color="auto"/>
              <w:bottom w:val="nil"/>
              <w:right w:val="single" w:sz="4" w:space="0" w:color="auto"/>
            </w:tcBorders>
            <w:vAlign w:val="center"/>
            <w:hideMark/>
          </w:tcPr>
          <w:p w:rsidR="00E473EF" w:rsidRDefault="00E473EF">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rsidR="00E473EF" w:rsidRDefault="00E473EF">
            <w:pPr>
              <w:rPr>
                <w:noProof/>
                <w:sz w:val="18"/>
                <w:szCs w:val="18"/>
                <w:lang w:val="en-US" w:eastAsia="en-US"/>
              </w:rPr>
            </w:pP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15 02 01 03</w:t>
            </w:r>
          </w:p>
        </w:tc>
        <w:tc>
          <w:tcPr>
            <w:tcW w:w="2045" w:type="dxa"/>
            <w:vMerge w:val="restart"/>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Asia and the Pacific</w:t>
            </w: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15 02 01 30</w:t>
            </w:r>
          </w:p>
          <w:p w:rsidR="00E473EF" w:rsidRDefault="00CE451E">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Middle East and Central Asia</w:t>
            </w:r>
          </w:p>
        </w:tc>
      </w:tr>
      <w:tr w:rsidR="00E473EF">
        <w:trPr>
          <w:trHeight w:val="62"/>
        </w:trPr>
        <w:tc>
          <w:tcPr>
            <w:tcW w:w="953" w:type="dxa"/>
            <w:vMerge/>
            <w:tcBorders>
              <w:top w:val="nil"/>
              <w:left w:val="single" w:sz="4" w:space="0" w:color="auto"/>
              <w:bottom w:val="nil"/>
              <w:right w:val="single" w:sz="4" w:space="0" w:color="auto"/>
            </w:tcBorders>
            <w:vAlign w:val="center"/>
            <w:hideMark/>
          </w:tcPr>
          <w:p w:rsidR="00E473EF" w:rsidRDefault="00E473EF">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rsidR="00E473EF" w:rsidRDefault="00E473EF">
            <w:pPr>
              <w:rPr>
                <w:noProof/>
                <w:sz w:val="18"/>
                <w:szCs w:val="18"/>
                <w:lang w:val="en-US" w:eastAsia="en-US"/>
              </w:rPr>
            </w:pPr>
          </w:p>
        </w:tc>
        <w:tc>
          <w:tcPr>
            <w:tcW w:w="1166"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2045"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15 02 01 31</w:t>
            </w:r>
          </w:p>
          <w:p w:rsidR="00E473EF" w:rsidRDefault="00CE451E">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South and East Asia</w:t>
            </w:r>
          </w:p>
        </w:tc>
      </w:tr>
      <w:tr w:rsidR="00E473EF">
        <w:trPr>
          <w:trHeight w:val="86"/>
        </w:trPr>
        <w:tc>
          <w:tcPr>
            <w:tcW w:w="953" w:type="dxa"/>
            <w:vMerge/>
            <w:tcBorders>
              <w:top w:val="nil"/>
              <w:left w:val="single" w:sz="4" w:space="0" w:color="auto"/>
              <w:bottom w:val="nil"/>
              <w:right w:val="single" w:sz="4" w:space="0" w:color="auto"/>
            </w:tcBorders>
            <w:vAlign w:val="center"/>
            <w:hideMark/>
          </w:tcPr>
          <w:p w:rsidR="00E473EF" w:rsidRDefault="00E473EF">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rsidR="00E473EF" w:rsidRDefault="00E473EF">
            <w:pPr>
              <w:rPr>
                <w:noProof/>
                <w:sz w:val="18"/>
                <w:szCs w:val="18"/>
                <w:lang w:val="en-US" w:eastAsia="en-US"/>
              </w:rPr>
            </w:pPr>
          </w:p>
        </w:tc>
        <w:tc>
          <w:tcPr>
            <w:tcW w:w="1166"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2045"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15 02 01 32</w:t>
            </w:r>
          </w:p>
          <w:p w:rsidR="00E473EF" w:rsidRDefault="00CE451E">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The Pacific</w:t>
            </w:r>
          </w:p>
        </w:tc>
      </w:tr>
      <w:tr w:rsidR="00E473EF">
        <w:trPr>
          <w:trHeight w:val="48"/>
        </w:trPr>
        <w:tc>
          <w:tcPr>
            <w:tcW w:w="953" w:type="dxa"/>
            <w:vMerge/>
            <w:tcBorders>
              <w:top w:val="nil"/>
              <w:left w:val="single" w:sz="4" w:space="0" w:color="auto"/>
              <w:bottom w:val="nil"/>
              <w:right w:val="single" w:sz="4" w:space="0" w:color="auto"/>
            </w:tcBorders>
            <w:vAlign w:val="center"/>
            <w:hideMark/>
          </w:tcPr>
          <w:p w:rsidR="00E473EF" w:rsidRDefault="00E473EF">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rsidR="00E473EF" w:rsidRDefault="00E473EF">
            <w:pPr>
              <w:rPr>
                <w:noProof/>
                <w:sz w:val="18"/>
                <w:szCs w:val="18"/>
                <w:lang w:val="en-US" w:eastAsia="en-US"/>
              </w:rPr>
            </w:pP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15 02 01 04</w:t>
            </w:r>
          </w:p>
        </w:tc>
        <w:tc>
          <w:tcPr>
            <w:tcW w:w="2045" w:type="dxa"/>
            <w:vMerge w:val="restart"/>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Americas and the Caribbean</w:t>
            </w: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15 02 01 40</w:t>
            </w:r>
          </w:p>
          <w:p w:rsidR="00E473EF" w:rsidRDefault="00CE451E">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The Americas</w:t>
            </w:r>
          </w:p>
        </w:tc>
      </w:tr>
      <w:tr w:rsidR="00E473EF">
        <w:trPr>
          <w:trHeight w:val="48"/>
        </w:trPr>
        <w:tc>
          <w:tcPr>
            <w:tcW w:w="953" w:type="dxa"/>
            <w:vMerge/>
            <w:tcBorders>
              <w:top w:val="nil"/>
              <w:left w:val="single" w:sz="4" w:space="0" w:color="auto"/>
              <w:bottom w:val="nil"/>
              <w:right w:val="single" w:sz="4" w:space="0" w:color="auto"/>
            </w:tcBorders>
            <w:vAlign w:val="center"/>
            <w:hideMark/>
          </w:tcPr>
          <w:p w:rsidR="00E473EF" w:rsidRDefault="00E473EF">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rsidR="00E473EF" w:rsidRDefault="00E473EF">
            <w:pPr>
              <w:rPr>
                <w:noProof/>
                <w:sz w:val="18"/>
                <w:szCs w:val="18"/>
                <w:lang w:val="en-US" w:eastAsia="en-US"/>
              </w:rPr>
            </w:pPr>
          </w:p>
        </w:tc>
        <w:tc>
          <w:tcPr>
            <w:tcW w:w="1166"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2045"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15 02 01 41</w:t>
            </w:r>
          </w:p>
          <w:p w:rsidR="00E473EF" w:rsidRDefault="00CE451E">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The Caribbean</w:t>
            </w:r>
          </w:p>
        </w:tc>
      </w:tr>
      <w:tr w:rsidR="00E473EF">
        <w:trPr>
          <w:trHeight w:val="278"/>
        </w:trPr>
        <w:tc>
          <w:tcPr>
            <w:tcW w:w="953" w:type="dxa"/>
            <w:vMerge/>
            <w:tcBorders>
              <w:top w:val="nil"/>
              <w:left w:val="single" w:sz="4" w:space="0" w:color="auto"/>
              <w:bottom w:val="nil"/>
              <w:right w:val="single" w:sz="4" w:space="0" w:color="auto"/>
            </w:tcBorders>
            <w:vAlign w:val="center"/>
            <w:hideMark/>
          </w:tcPr>
          <w:p w:rsidR="00E473EF" w:rsidRDefault="00E473EF">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rsidR="00E473EF" w:rsidRDefault="00E473EF">
            <w:pPr>
              <w:rPr>
                <w:noProof/>
                <w:sz w:val="18"/>
                <w:szCs w:val="18"/>
                <w:lang w:val="en-US" w:eastAsia="en-US"/>
              </w:rPr>
            </w:pPr>
          </w:p>
        </w:tc>
        <w:tc>
          <w:tcPr>
            <w:tcW w:w="1166"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15 02 01 05</w:t>
            </w:r>
          </w:p>
        </w:tc>
        <w:tc>
          <w:tcPr>
            <w:tcW w:w="2045"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Erasmus+ — NDICI contribution</w:t>
            </w:r>
          </w:p>
        </w:tc>
        <w:tc>
          <w:tcPr>
            <w:tcW w:w="1200"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15 02 01 50</w:t>
            </w:r>
          </w:p>
        </w:tc>
        <w:tc>
          <w:tcPr>
            <w:tcW w:w="2558"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Erasmus+ — NDICI contribution</w:t>
            </w:r>
          </w:p>
        </w:tc>
      </w:tr>
      <w:tr w:rsidR="00E473EF">
        <w:trPr>
          <w:trHeight w:val="338"/>
        </w:trPr>
        <w:tc>
          <w:tcPr>
            <w:tcW w:w="953" w:type="dxa"/>
            <w:vMerge/>
            <w:tcBorders>
              <w:top w:val="nil"/>
              <w:left w:val="single" w:sz="4" w:space="0" w:color="auto"/>
              <w:bottom w:val="nil"/>
              <w:right w:val="single" w:sz="4" w:space="0" w:color="auto"/>
            </w:tcBorders>
            <w:vAlign w:val="center"/>
            <w:hideMark/>
          </w:tcPr>
          <w:p w:rsidR="00E473EF" w:rsidRDefault="00E473EF">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rsidR="00E473EF" w:rsidRDefault="00E473EF">
            <w:pPr>
              <w:rPr>
                <w:noProof/>
                <w:sz w:val="18"/>
                <w:szCs w:val="18"/>
                <w:lang w:val="en-US" w:eastAsia="en-US"/>
              </w:rPr>
            </w:pPr>
          </w:p>
        </w:tc>
        <w:tc>
          <w:tcPr>
            <w:tcW w:w="1166"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15 02 01 08</w:t>
            </w:r>
          </w:p>
        </w:tc>
        <w:tc>
          <w:tcPr>
            <w:tcW w:w="2045"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 xml:space="preserve">European Development Fund — ACP Investment Facility Reflows </w:t>
            </w:r>
          </w:p>
        </w:tc>
        <w:tc>
          <w:tcPr>
            <w:tcW w:w="1200"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15 02 01 60</w:t>
            </w:r>
          </w:p>
        </w:tc>
        <w:tc>
          <w:tcPr>
            <w:tcW w:w="2558"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 xml:space="preserve">European Development Fund — ACP Investment Facility Reflows </w:t>
            </w:r>
          </w:p>
        </w:tc>
      </w:tr>
      <w:tr w:rsidR="00E473EF">
        <w:trPr>
          <w:trHeight w:val="422"/>
        </w:trPr>
        <w:tc>
          <w:tcPr>
            <w:tcW w:w="953" w:type="dxa"/>
            <w:vMerge/>
            <w:tcBorders>
              <w:top w:val="nil"/>
              <w:left w:val="single" w:sz="4" w:space="0" w:color="auto"/>
              <w:bottom w:val="nil"/>
              <w:right w:val="single" w:sz="4" w:space="0" w:color="auto"/>
            </w:tcBorders>
            <w:vAlign w:val="center"/>
            <w:hideMark/>
          </w:tcPr>
          <w:p w:rsidR="00E473EF" w:rsidRDefault="00E473EF">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rsidR="00E473EF" w:rsidRDefault="00E473EF">
            <w:pPr>
              <w:rPr>
                <w:noProof/>
                <w:sz w:val="18"/>
                <w:szCs w:val="18"/>
                <w:lang w:val="en-US" w:eastAsia="en-US"/>
              </w:rPr>
            </w:pPr>
          </w:p>
        </w:tc>
        <w:tc>
          <w:tcPr>
            <w:tcW w:w="1166"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15 02 01 06</w:t>
            </w:r>
          </w:p>
        </w:tc>
        <w:tc>
          <w:tcPr>
            <w:tcW w:w="2045"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 xml:space="preserve">NDICI — Provisioning of the Common Provisioning Fund </w:t>
            </w:r>
          </w:p>
        </w:tc>
        <w:tc>
          <w:tcPr>
            <w:tcW w:w="1200"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15 02 01 70</w:t>
            </w:r>
          </w:p>
        </w:tc>
        <w:tc>
          <w:tcPr>
            <w:tcW w:w="2558"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 xml:space="preserve">NDICI — Provisioning of the Common Provisioning Fund </w:t>
            </w:r>
          </w:p>
        </w:tc>
      </w:tr>
      <w:tr w:rsidR="00E473EF">
        <w:trPr>
          <w:trHeight w:val="710"/>
        </w:trPr>
        <w:tc>
          <w:tcPr>
            <w:tcW w:w="953" w:type="dxa"/>
            <w:vMerge/>
            <w:tcBorders>
              <w:top w:val="nil"/>
              <w:left w:val="single" w:sz="4" w:space="0" w:color="auto"/>
              <w:bottom w:val="nil"/>
              <w:right w:val="single" w:sz="4" w:space="0" w:color="auto"/>
            </w:tcBorders>
            <w:vAlign w:val="center"/>
            <w:hideMark/>
          </w:tcPr>
          <w:p w:rsidR="00E473EF" w:rsidRDefault="00E473EF">
            <w:pPr>
              <w:rPr>
                <w:noProof/>
                <w:sz w:val="18"/>
                <w:szCs w:val="18"/>
                <w:lang w:val="en-US" w:eastAsia="en-US"/>
              </w:rPr>
            </w:pPr>
          </w:p>
        </w:tc>
        <w:tc>
          <w:tcPr>
            <w:tcW w:w="1922" w:type="dxa"/>
            <w:vMerge/>
            <w:tcBorders>
              <w:top w:val="nil"/>
              <w:left w:val="single" w:sz="4" w:space="0" w:color="auto"/>
              <w:bottom w:val="nil"/>
              <w:right w:val="single" w:sz="4" w:space="0" w:color="auto"/>
            </w:tcBorders>
            <w:vAlign w:val="center"/>
            <w:hideMark/>
          </w:tcPr>
          <w:p w:rsidR="00E473EF" w:rsidRDefault="00E473EF">
            <w:pPr>
              <w:rPr>
                <w:noProof/>
                <w:sz w:val="18"/>
                <w:szCs w:val="18"/>
                <w:lang w:val="en-US" w:eastAsia="en-US"/>
              </w:rPr>
            </w:pPr>
          </w:p>
        </w:tc>
        <w:tc>
          <w:tcPr>
            <w:tcW w:w="1166"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15 02 01 07</w:t>
            </w:r>
          </w:p>
        </w:tc>
        <w:tc>
          <w:tcPr>
            <w:tcW w:w="2045"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 xml:space="preserve"> European Union Recovery Instrument (EURI) — Provisioning of the Common Provisioning Fund</w:t>
            </w: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deleted</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w:t>
            </w:r>
          </w:p>
        </w:tc>
      </w:tr>
      <w:tr w:rsidR="00E473EF">
        <w:trPr>
          <w:trHeight w:val="230"/>
        </w:trPr>
        <w:tc>
          <w:tcPr>
            <w:tcW w:w="953" w:type="dxa"/>
            <w:vMerge w:val="restart"/>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15 02 02</w:t>
            </w:r>
          </w:p>
        </w:tc>
        <w:tc>
          <w:tcPr>
            <w:tcW w:w="1922" w:type="dxa"/>
            <w:vMerge w:val="restart"/>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Thematic programmes</w:t>
            </w:r>
          </w:p>
        </w:tc>
        <w:tc>
          <w:tcPr>
            <w:tcW w:w="1166" w:type="dxa"/>
            <w:vMerge w:val="restart"/>
            <w:tcBorders>
              <w:top w:val="nil"/>
              <w:left w:val="nil"/>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15 02 02 01</w:t>
            </w:r>
          </w:p>
        </w:tc>
        <w:tc>
          <w:tcPr>
            <w:tcW w:w="2045" w:type="dxa"/>
            <w:vMerge w:val="restart"/>
            <w:tcBorders>
              <w:top w:val="nil"/>
              <w:left w:val="nil"/>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Human Rights and Democracy</w:t>
            </w: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15 02 02 10</w:t>
            </w:r>
          </w:p>
          <w:p w:rsidR="00E473EF" w:rsidRDefault="00CE451E">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rPr>
              <w:t>Election observation missions — human rights and democracy</w:t>
            </w:r>
          </w:p>
        </w:tc>
      </w:tr>
      <w:tr w:rsidR="00E473EF">
        <w:trPr>
          <w:trHeight w:val="230"/>
        </w:trPr>
        <w:tc>
          <w:tcPr>
            <w:tcW w:w="953" w:type="dxa"/>
            <w:vMerge/>
            <w:tcBorders>
              <w:top w:val="nil"/>
              <w:left w:val="single" w:sz="4" w:space="0" w:color="auto"/>
              <w:bottom w:val="single" w:sz="4" w:space="0" w:color="auto"/>
              <w:right w:val="single" w:sz="4" w:space="0" w:color="auto"/>
            </w:tcBorders>
            <w:shd w:val="clear" w:color="auto" w:fill="auto"/>
            <w:vAlign w:val="center"/>
          </w:tcPr>
          <w:p w:rsidR="00E473EF" w:rsidRDefault="00E473EF">
            <w:pPr>
              <w:rPr>
                <w:noProof/>
                <w:sz w:val="18"/>
                <w:szCs w:val="18"/>
                <w:lang w:val="en-US" w:eastAsia="en-US"/>
              </w:rPr>
            </w:pPr>
          </w:p>
        </w:tc>
        <w:tc>
          <w:tcPr>
            <w:tcW w:w="1922" w:type="dxa"/>
            <w:vMerge/>
            <w:tcBorders>
              <w:top w:val="nil"/>
              <w:left w:val="single" w:sz="4" w:space="0" w:color="auto"/>
              <w:bottom w:val="single" w:sz="4" w:space="0" w:color="auto"/>
              <w:right w:val="single" w:sz="4" w:space="0" w:color="auto"/>
            </w:tcBorders>
            <w:shd w:val="clear" w:color="auto" w:fill="auto"/>
            <w:vAlign w:val="center"/>
          </w:tcPr>
          <w:p w:rsidR="00E473EF" w:rsidRDefault="00E473EF">
            <w:pPr>
              <w:rPr>
                <w:noProof/>
                <w:sz w:val="18"/>
                <w:szCs w:val="18"/>
                <w:lang w:val="en-US" w:eastAsia="en-US"/>
              </w:rPr>
            </w:pPr>
          </w:p>
        </w:tc>
        <w:tc>
          <w:tcPr>
            <w:tcW w:w="1166" w:type="dxa"/>
            <w:vMerge/>
            <w:tcBorders>
              <w:left w:val="nil"/>
              <w:bottom w:val="single" w:sz="4" w:space="0" w:color="auto"/>
              <w:right w:val="single" w:sz="4" w:space="0" w:color="auto"/>
            </w:tcBorders>
            <w:shd w:val="clear" w:color="auto" w:fill="auto"/>
            <w:vAlign w:val="center"/>
          </w:tcPr>
          <w:p w:rsidR="00E473EF" w:rsidRDefault="00E473EF">
            <w:pPr>
              <w:rPr>
                <w:noProof/>
                <w:sz w:val="18"/>
                <w:szCs w:val="18"/>
                <w:lang w:val="en-US" w:eastAsia="en-US"/>
              </w:rPr>
            </w:pPr>
          </w:p>
        </w:tc>
        <w:tc>
          <w:tcPr>
            <w:tcW w:w="2045" w:type="dxa"/>
            <w:vMerge/>
            <w:tcBorders>
              <w:left w:val="nil"/>
              <w:bottom w:val="single" w:sz="4" w:space="0" w:color="auto"/>
              <w:right w:val="single" w:sz="4" w:space="0" w:color="auto"/>
            </w:tcBorders>
            <w:shd w:val="clear" w:color="auto" w:fill="auto"/>
            <w:vAlign w:val="center"/>
          </w:tcPr>
          <w:p w:rsidR="00E473EF" w:rsidRDefault="00E473EF">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tcPr>
          <w:p w:rsidR="00E473EF" w:rsidRDefault="00CE451E">
            <w:pPr>
              <w:rPr>
                <w:i/>
                <w:noProof/>
                <w:sz w:val="18"/>
                <w:szCs w:val="18"/>
                <w:lang w:val="en-US" w:eastAsia="en-US"/>
              </w:rPr>
            </w:pPr>
            <w:r>
              <w:rPr>
                <w:i/>
                <w:noProof/>
                <w:sz w:val="18"/>
                <w:szCs w:val="18"/>
                <w:lang w:val="en-US" w:eastAsia="en-US"/>
              </w:rPr>
              <w:t>15 02</w:t>
            </w:r>
            <w:r>
              <w:rPr>
                <w:i/>
                <w:noProof/>
                <w:sz w:val="18"/>
                <w:szCs w:val="18"/>
                <w:lang w:val="en-US" w:eastAsia="en-US"/>
              </w:rPr>
              <w:t xml:space="preserve"> 02 11</w:t>
            </w:r>
          </w:p>
          <w:p w:rsidR="00E473EF" w:rsidRDefault="00CE451E">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tcPr>
          <w:p w:rsidR="00E473EF" w:rsidRDefault="00CE451E">
            <w:pPr>
              <w:rPr>
                <w:i/>
                <w:noProof/>
                <w:sz w:val="18"/>
                <w:szCs w:val="18"/>
                <w:lang w:val="en-US" w:eastAsia="en-US"/>
              </w:rPr>
            </w:pPr>
            <w:r>
              <w:rPr>
                <w:i/>
                <w:noProof/>
                <w:sz w:val="18"/>
                <w:szCs w:val="18"/>
              </w:rPr>
              <w:t>Fundamental rights and freedoms — human rights and democracy</w:t>
            </w:r>
          </w:p>
        </w:tc>
      </w:tr>
      <w:tr w:rsidR="00E473EF">
        <w:trPr>
          <w:trHeight w:val="170"/>
        </w:trPr>
        <w:tc>
          <w:tcPr>
            <w:tcW w:w="953"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1922"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1166"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15 02 02 02</w:t>
            </w:r>
          </w:p>
        </w:tc>
        <w:tc>
          <w:tcPr>
            <w:tcW w:w="2045"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Civil Society Organisations</w:t>
            </w:r>
          </w:p>
        </w:tc>
        <w:tc>
          <w:tcPr>
            <w:tcW w:w="1200"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15 02 02 20</w:t>
            </w:r>
          </w:p>
        </w:tc>
        <w:tc>
          <w:tcPr>
            <w:tcW w:w="2558"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Civil Society Organisations</w:t>
            </w:r>
          </w:p>
        </w:tc>
      </w:tr>
      <w:tr w:rsidR="00E473EF">
        <w:trPr>
          <w:trHeight w:val="194"/>
        </w:trPr>
        <w:tc>
          <w:tcPr>
            <w:tcW w:w="953"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1922"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1166"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15 02 02 03</w:t>
            </w:r>
          </w:p>
        </w:tc>
        <w:tc>
          <w:tcPr>
            <w:tcW w:w="2045"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Stability and Peace</w:t>
            </w:r>
          </w:p>
        </w:tc>
        <w:tc>
          <w:tcPr>
            <w:tcW w:w="1200"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15 02 02 30</w:t>
            </w:r>
          </w:p>
        </w:tc>
        <w:tc>
          <w:tcPr>
            <w:tcW w:w="2558"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Stability and Peace</w:t>
            </w:r>
          </w:p>
        </w:tc>
      </w:tr>
      <w:tr w:rsidR="00E473EF">
        <w:trPr>
          <w:trHeight w:val="86"/>
        </w:trPr>
        <w:tc>
          <w:tcPr>
            <w:tcW w:w="953"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1922"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E473EF" w:rsidRDefault="00CE451E">
            <w:pPr>
              <w:jc w:val="center"/>
              <w:rPr>
                <w:noProof/>
                <w:sz w:val="18"/>
                <w:szCs w:val="18"/>
                <w:lang w:val="en-US" w:eastAsia="en-US"/>
              </w:rPr>
            </w:pPr>
            <w:r>
              <w:rPr>
                <w:noProof/>
                <w:sz w:val="18"/>
                <w:szCs w:val="18"/>
                <w:lang w:val="en-US" w:eastAsia="en-US"/>
              </w:rPr>
              <w:t>15 02 02 04</w:t>
            </w:r>
          </w:p>
        </w:tc>
        <w:tc>
          <w:tcPr>
            <w:tcW w:w="2045" w:type="dxa"/>
            <w:vMerge w:val="restart"/>
            <w:tcBorders>
              <w:top w:val="nil"/>
              <w:left w:val="single" w:sz="4" w:space="0" w:color="auto"/>
              <w:bottom w:val="single" w:sz="4" w:space="0" w:color="000000"/>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Global Challenges</w:t>
            </w: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15 02 02 40</w:t>
            </w:r>
          </w:p>
          <w:p w:rsidR="00E473EF" w:rsidRDefault="00CE451E">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rPr>
              <w:t>People — Global challenges</w:t>
            </w:r>
          </w:p>
        </w:tc>
      </w:tr>
      <w:tr w:rsidR="00E473EF">
        <w:trPr>
          <w:trHeight w:val="122"/>
        </w:trPr>
        <w:tc>
          <w:tcPr>
            <w:tcW w:w="953"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1922"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1166" w:type="dxa"/>
            <w:vMerge/>
            <w:tcBorders>
              <w:top w:val="nil"/>
              <w:left w:val="single" w:sz="4" w:space="0" w:color="auto"/>
              <w:bottom w:val="single" w:sz="4" w:space="0" w:color="000000"/>
              <w:right w:val="single" w:sz="4" w:space="0" w:color="auto"/>
            </w:tcBorders>
            <w:vAlign w:val="center"/>
            <w:hideMark/>
          </w:tcPr>
          <w:p w:rsidR="00E473EF" w:rsidRDefault="00E473EF">
            <w:pPr>
              <w:rPr>
                <w:noProof/>
                <w:sz w:val="18"/>
                <w:szCs w:val="18"/>
                <w:lang w:val="en-US" w:eastAsia="en-US"/>
              </w:rPr>
            </w:pPr>
          </w:p>
        </w:tc>
        <w:tc>
          <w:tcPr>
            <w:tcW w:w="2045" w:type="dxa"/>
            <w:vMerge/>
            <w:tcBorders>
              <w:top w:val="nil"/>
              <w:left w:val="single" w:sz="4" w:space="0" w:color="auto"/>
              <w:bottom w:val="single" w:sz="4" w:space="0" w:color="000000"/>
              <w:right w:val="single" w:sz="4" w:space="0" w:color="auto"/>
            </w:tcBorders>
            <w:vAlign w:val="center"/>
            <w:hideMark/>
          </w:tcPr>
          <w:p w:rsidR="00E473EF" w:rsidRDefault="00E473EF">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15 02 02 41</w:t>
            </w:r>
          </w:p>
          <w:p w:rsidR="00E473EF" w:rsidRDefault="00CE451E">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rPr>
              <w:t>Planet — Global challenges</w:t>
            </w:r>
          </w:p>
        </w:tc>
      </w:tr>
      <w:tr w:rsidR="00E473EF">
        <w:trPr>
          <w:trHeight w:val="48"/>
        </w:trPr>
        <w:tc>
          <w:tcPr>
            <w:tcW w:w="953"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1922"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1166" w:type="dxa"/>
            <w:vMerge/>
            <w:tcBorders>
              <w:top w:val="nil"/>
              <w:left w:val="single" w:sz="4" w:space="0" w:color="auto"/>
              <w:bottom w:val="single" w:sz="4" w:space="0" w:color="000000"/>
              <w:right w:val="single" w:sz="4" w:space="0" w:color="auto"/>
            </w:tcBorders>
            <w:vAlign w:val="center"/>
            <w:hideMark/>
          </w:tcPr>
          <w:p w:rsidR="00E473EF" w:rsidRDefault="00E473EF">
            <w:pPr>
              <w:rPr>
                <w:noProof/>
                <w:sz w:val="18"/>
                <w:szCs w:val="18"/>
                <w:lang w:val="en-US" w:eastAsia="en-US"/>
              </w:rPr>
            </w:pPr>
          </w:p>
        </w:tc>
        <w:tc>
          <w:tcPr>
            <w:tcW w:w="2045" w:type="dxa"/>
            <w:vMerge/>
            <w:tcBorders>
              <w:top w:val="nil"/>
              <w:left w:val="single" w:sz="4" w:space="0" w:color="auto"/>
              <w:bottom w:val="single" w:sz="4" w:space="0" w:color="000000"/>
              <w:right w:val="single" w:sz="4" w:space="0" w:color="auto"/>
            </w:tcBorders>
            <w:vAlign w:val="center"/>
            <w:hideMark/>
          </w:tcPr>
          <w:p w:rsidR="00E473EF" w:rsidRDefault="00E473EF">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15 02 02 42</w:t>
            </w:r>
          </w:p>
          <w:p w:rsidR="00E473EF" w:rsidRDefault="00CE451E">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rPr>
              <w:t>Prosperity — Global challenges</w:t>
            </w:r>
          </w:p>
        </w:tc>
      </w:tr>
      <w:tr w:rsidR="00E473EF">
        <w:trPr>
          <w:trHeight w:val="260"/>
        </w:trPr>
        <w:tc>
          <w:tcPr>
            <w:tcW w:w="953"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1922"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1166" w:type="dxa"/>
            <w:vMerge/>
            <w:tcBorders>
              <w:top w:val="nil"/>
              <w:left w:val="single" w:sz="4" w:space="0" w:color="auto"/>
              <w:bottom w:val="single" w:sz="4" w:space="0" w:color="000000"/>
              <w:right w:val="single" w:sz="4" w:space="0" w:color="auto"/>
            </w:tcBorders>
            <w:vAlign w:val="center"/>
            <w:hideMark/>
          </w:tcPr>
          <w:p w:rsidR="00E473EF" w:rsidRDefault="00E473EF">
            <w:pPr>
              <w:rPr>
                <w:noProof/>
                <w:sz w:val="18"/>
                <w:szCs w:val="18"/>
                <w:lang w:val="en-US" w:eastAsia="en-US"/>
              </w:rPr>
            </w:pPr>
          </w:p>
        </w:tc>
        <w:tc>
          <w:tcPr>
            <w:tcW w:w="2045" w:type="dxa"/>
            <w:vMerge/>
            <w:tcBorders>
              <w:top w:val="nil"/>
              <w:left w:val="single" w:sz="4" w:space="0" w:color="auto"/>
              <w:bottom w:val="single" w:sz="4" w:space="0" w:color="000000"/>
              <w:right w:val="single" w:sz="4" w:space="0" w:color="auto"/>
            </w:tcBorders>
            <w:vAlign w:val="center"/>
            <w:hideMark/>
          </w:tcPr>
          <w:p w:rsidR="00E473EF" w:rsidRDefault="00E473EF">
            <w:pPr>
              <w:rPr>
                <w:noProof/>
                <w:sz w:val="18"/>
                <w:szCs w:val="18"/>
                <w:lang w:val="en-US" w:eastAsia="en-US"/>
              </w:rPr>
            </w:pPr>
          </w:p>
        </w:tc>
        <w:tc>
          <w:tcPr>
            <w:tcW w:w="1200"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15 02 02 43</w:t>
            </w:r>
          </w:p>
          <w:p w:rsidR="00E473EF" w:rsidRDefault="00CE451E">
            <w:pPr>
              <w:rPr>
                <w:i/>
                <w:noProof/>
                <w:sz w:val="18"/>
                <w:szCs w:val="18"/>
                <w:lang w:val="en-US" w:eastAsia="en-US"/>
              </w:rPr>
            </w:pPr>
            <w:r>
              <w:rPr>
                <w:i/>
                <w:noProof/>
                <w:sz w:val="18"/>
                <w:szCs w:val="18"/>
                <w:lang w:val="en-US" w:eastAsia="en-US"/>
              </w:rPr>
              <w:t>(new)</w:t>
            </w:r>
          </w:p>
        </w:tc>
        <w:tc>
          <w:tcPr>
            <w:tcW w:w="2558"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rPr>
              <w:t>Partnerships — Global challenges</w:t>
            </w:r>
          </w:p>
        </w:tc>
      </w:tr>
      <w:tr w:rsidR="00E473EF">
        <w:trPr>
          <w:trHeight w:val="48"/>
        </w:trPr>
        <w:tc>
          <w:tcPr>
            <w:tcW w:w="953" w:type="dxa"/>
            <w:vMerge w:val="restart"/>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15 02 03</w:t>
            </w:r>
          </w:p>
        </w:tc>
        <w:tc>
          <w:tcPr>
            <w:tcW w:w="1922" w:type="dxa"/>
            <w:vMerge w:val="restart"/>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Rapid Response action</w:t>
            </w:r>
          </w:p>
        </w:tc>
        <w:tc>
          <w:tcPr>
            <w:tcW w:w="1166"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15 02 03 01</w:t>
            </w:r>
          </w:p>
        </w:tc>
        <w:tc>
          <w:tcPr>
            <w:tcW w:w="2045"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Crisis</w:t>
            </w:r>
            <w:r>
              <w:rPr>
                <w:noProof/>
                <w:sz w:val="18"/>
                <w:szCs w:val="18"/>
                <w:lang w:val="en-US" w:eastAsia="en-US"/>
              </w:rPr>
              <w:t xml:space="preserve"> response</w:t>
            </w:r>
          </w:p>
        </w:tc>
        <w:tc>
          <w:tcPr>
            <w:tcW w:w="1200"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15 02 03 10</w:t>
            </w:r>
          </w:p>
        </w:tc>
        <w:tc>
          <w:tcPr>
            <w:tcW w:w="2558"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Crisis response</w:t>
            </w:r>
          </w:p>
        </w:tc>
      </w:tr>
      <w:tr w:rsidR="00E473EF">
        <w:trPr>
          <w:trHeight w:val="122"/>
        </w:trPr>
        <w:tc>
          <w:tcPr>
            <w:tcW w:w="953"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1922"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1166"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15 02 03 02</w:t>
            </w:r>
          </w:p>
        </w:tc>
        <w:tc>
          <w:tcPr>
            <w:tcW w:w="2045"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Resilience</w:t>
            </w:r>
          </w:p>
        </w:tc>
        <w:tc>
          <w:tcPr>
            <w:tcW w:w="1200"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15 02 03 20</w:t>
            </w:r>
          </w:p>
        </w:tc>
        <w:tc>
          <w:tcPr>
            <w:tcW w:w="2558"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Resilience</w:t>
            </w:r>
          </w:p>
        </w:tc>
      </w:tr>
      <w:tr w:rsidR="00E473EF">
        <w:trPr>
          <w:trHeight w:val="48"/>
        </w:trPr>
        <w:tc>
          <w:tcPr>
            <w:tcW w:w="953"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1922"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1166"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15 02 03 03</w:t>
            </w:r>
          </w:p>
        </w:tc>
        <w:tc>
          <w:tcPr>
            <w:tcW w:w="2045"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Foreign policy needs</w:t>
            </w:r>
          </w:p>
        </w:tc>
        <w:tc>
          <w:tcPr>
            <w:tcW w:w="1200"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15 02 03 30</w:t>
            </w:r>
          </w:p>
        </w:tc>
        <w:tc>
          <w:tcPr>
            <w:tcW w:w="2558"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Foreign policy needs</w:t>
            </w:r>
          </w:p>
        </w:tc>
      </w:tr>
      <w:tr w:rsidR="00E473EF">
        <w:trPr>
          <w:trHeight w:val="410"/>
        </w:trPr>
        <w:tc>
          <w:tcPr>
            <w:tcW w:w="953" w:type="dxa"/>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15 02 04</w:t>
            </w:r>
          </w:p>
        </w:tc>
        <w:tc>
          <w:tcPr>
            <w:tcW w:w="1922"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Emerging challenges and priorities cushion</w:t>
            </w:r>
          </w:p>
        </w:tc>
        <w:tc>
          <w:tcPr>
            <w:tcW w:w="1166"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15 02 04</w:t>
            </w:r>
          </w:p>
        </w:tc>
        <w:tc>
          <w:tcPr>
            <w:tcW w:w="2045"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 xml:space="preserve">Emerging challenges and priorities </w:t>
            </w:r>
            <w:r>
              <w:rPr>
                <w:noProof/>
                <w:sz w:val="18"/>
                <w:szCs w:val="18"/>
                <w:lang w:val="en-US" w:eastAsia="en-US"/>
              </w:rPr>
              <w:t>cushion</w:t>
            </w:r>
          </w:p>
        </w:tc>
        <w:tc>
          <w:tcPr>
            <w:tcW w:w="1200"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15 02 04</w:t>
            </w:r>
          </w:p>
        </w:tc>
        <w:tc>
          <w:tcPr>
            <w:tcW w:w="2558"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Emerging challenges and priorities cushion</w:t>
            </w:r>
          </w:p>
        </w:tc>
      </w:tr>
    </w:tbl>
    <w:p w:rsidR="00E473EF" w:rsidRDefault="00CE451E">
      <w:pPr>
        <w:keepNext/>
        <w:tabs>
          <w:tab w:val="left" w:pos="851"/>
        </w:tabs>
        <w:spacing w:before="240" w:after="120"/>
        <w:ind w:left="850" w:hanging="850"/>
        <w:jc w:val="both"/>
        <w:outlineLvl w:val="1"/>
        <w:rPr>
          <w:rFonts w:eastAsia="Calibri"/>
          <w:i/>
          <w:noProof/>
          <w:lang w:eastAsia="de-DE"/>
        </w:rPr>
      </w:pPr>
      <w:bookmarkStart w:id="190" w:name="_Toc55807160"/>
      <w:bookmarkStart w:id="191" w:name="_Toc56009572"/>
      <w:bookmarkStart w:id="192" w:name="_Toc54770347"/>
      <w:r>
        <w:rPr>
          <w:rFonts w:eastAsia="Calibri"/>
          <w:i/>
          <w:noProof/>
          <w:lang w:eastAsia="de-DE"/>
        </w:rPr>
        <w:t xml:space="preserve">8.2.2 </w:t>
      </w:r>
      <w:r>
        <w:rPr>
          <w:rFonts w:eastAsia="Calibri"/>
          <w:i/>
          <w:noProof/>
          <w:lang w:eastAsia="de-DE"/>
        </w:rPr>
        <w:tab/>
        <w:t>Single Market Programme</w:t>
      </w:r>
      <w:bookmarkEnd w:id="190"/>
      <w:bookmarkEnd w:id="191"/>
    </w:p>
    <w:p w:rsidR="00E473EF" w:rsidRDefault="00CE451E">
      <w:pPr>
        <w:autoSpaceDE w:val="0"/>
        <w:autoSpaceDN w:val="0"/>
        <w:adjustRightInd w:val="0"/>
        <w:spacing w:before="120" w:after="120"/>
        <w:jc w:val="both"/>
        <w:rPr>
          <w:noProof/>
        </w:rPr>
      </w:pPr>
      <w:r>
        <w:rPr>
          <w:noProof/>
        </w:rPr>
        <w:t xml:space="preserve">In the light of the recent agreement between the co-legislators on the objectives of the Single Market Programme, it is proposed to create a new specific budget item for the “Market surveillance” within the Article 03 02 01 </w:t>
      </w:r>
      <w:r>
        <w:rPr>
          <w:i/>
          <w:noProof/>
        </w:rPr>
        <w:t xml:space="preserve">Making the internal market more </w:t>
      </w:r>
      <w:r>
        <w:rPr>
          <w:i/>
          <w:noProof/>
        </w:rPr>
        <w:t>effective</w:t>
      </w:r>
      <w:r>
        <w:rPr>
          <w:noProof/>
        </w:rPr>
        <w:t>.</w:t>
      </w:r>
    </w:p>
    <w:p w:rsidR="00E473EF" w:rsidRDefault="00CE451E">
      <w:pPr>
        <w:keepNext/>
        <w:tabs>
          <w:tab w:val="left" w:pos="851"/>
        </w:tabs>
        <w:spacing w:before="240" w:after="120"/>
        <w:ind w:left="850" w:hanging="850"/>
        <w:jc w:val="both"/>
        <w:outlineLvl w:val="1"/>
        <w:rPr>
          <w:rFonts w:eastAsia="Calibri"/>
          <w:i/>
          <w:noProof/>
          <w:lang w:eastAsia="de-DE"/>
        </w:rPr>
      </w:pPr>
      <w:bookmarkStart w:id="193" w:name="_Toc55807161"/>
      <w:bookmarkStart w:id="194" w:name="_Toc56009573"/>
      <w:r>
        <w:rPr>
          <w:rFonts w:eastAsia="Calibri"/>
          <w:i/>
          <w:noProof/>
          <w:lang w:eastAsia="de-DE"/>
        </w:rPr>
        <w:t xml:space="preserve">8.2.3 </w:t>
      </w:r>
      <w:r>
        <w:rPr>
          <w:rFonts w:eastAsia="Calibri"/>
          <w:i/>
          <w:noProof/>
          <w:lang w:eastAsia="de-DE"/>
        </w:rPr>
        <w:tab/>
        <w:t>Social policy (including social dialogue)</w:t>
      </w:r>
      <w:bookmarkEnd w:id="192"/>
      <w:bookmarkEnd w:id="193"/>
      <w:bookmarkEnd w:id="194"/>
    </w:p>
    <w:p w:rsidR="00E473EF" w:rsidRDefault="00CE451E">
      <w:pPr>
        <w:autoSpaceDE w:val="0"/>
        <w:autoSpaceDN w:val="0"/>
        <w:adjustRightInd w:val="0"/>
        <w:spacing w:before="120" w:after="120"/>
        <w:jc w:val="both"/>
        <w:rPr>
          <w:noProof/>
          <w:lang w:val="en-IE"/>
        </w:rPr>
      </w:pPr>
      <w:r>
        <w:rPr>
          <w:noProof/>
        </w:rPr>
        <w:t xml:space="preserve">It is proposed to split the budget line (and the related appropriations) covering the expenditure linked to social policy (including social dialogue) in order create a new one fully dedicated to </w:t>
      </w:r>
      <w:r>
        <w:rPr>
          <w:noProof/>
          <w:lang w:val="en-IE"/>
        </w:rPr>
        <w:t>s</w:t>
      </w:r>
      <w:r>
        <w:rPr>
          <w:noProof/>
          <w:lang w:val="en-IE"/>
        </w:rPr>
        <w:t>tudies or surveys or grants to research organisations.</w:t>
      </w:r>
    </w:p>
    <w:p w:rsidR="00E473EF" w:rsidRDefault="00CE451E">
      <w:pPr>
        <w:autoSpaceDE w:val="0"/>
        <w:autoSpaceDN w:val="0"/>
        <w:adjustRightInd w:val="0"/>
        <w:spacing w:before="120" w:after="120"/>
        <w:jc w:val="both"/>
        <w:rPr>
          <w:noProof/>
        </w:rPr>
      </w:pPr>
      <w:r>
        <w:rPr>
          <w:noProof/>
        </w:rPr>
        <w:t>The table below details the change compared to the DB 2021:</w:t>
      </w:r>
    </w:p>
    <w:tbl>
      <w:tblPr>
        <w:tblW w:w="9835" w:type="dxa"/>
        <w:tblInd w:w="113" w:type="dxa"/>
        <w:tblLook w:val="04A0" w:firstRow="1" w:lastRow="0" w:firstColumn="1" w:lastColumn="0" w:noHBand="0" w:noVBand="1"/>
      </w:tblPr>
      <w:tblGrid>
        <w:gridCol w:w="951"/>
        <w:gridCol w:w="1924"/>
        <w:gridCol w:w="1153"/>
        <w:gridCol w:w="2087"/>
        <w:gridCol w:w="1153"/>
        <w:gridCol w:w="2567"/>
      </w:tblGrid>
      <w:tr w:rsidR="00E473EF">
        <w:trPr>
          <w:trHeight w:val="245"/>
        </w:trPr>
        <w:tc>
          <w:tcPr>
            <w:tcW w:w="6115"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rsidR="00E473EF" w:rsidRDefault="00CE451E">
            <w:pPr>
              <w:jc w:val="center"/>
              <w:rPr>
                <w:b/>
                <w:bCs/>
                <w:noProof/>
                <w:sz w:val="18"/>
                <w:szCs w:val="18"/>
                <w:lang w:val="en-US" w:eastAsia="en-US"/>
              </w:rPr>
            </w:pPr>
            <w:r>
              <w:rPr>
                <w:b/>
                <w:bCs/>
                <w:noProof/>
                <w:sz w:val="18"/>
                <w:szCs w:val="18"/>
                <w:lang w:val="en-US" w:eastAsia="en-US"/>
              </w:rPr>
              <w:t>Nomenclature In DB 2021</w:t>
            </w:r>
          </w:p>
        </w:tc>
        <w:tc>
          <w:tcPr>
            <w:tcW w:w="3720" w:type="dxa"/>
            <w:gridSpan w:val="2"/>
            <w:tcBorders>
              <w:top w:val="single" w:sz="4" w:space="0" w:color="auto"/>
              <w:left w:val="nil"/>
              <w:bottom w:val="single" w:sz="4" w:space="0" w:color="auto"/>
              <w:right w:val="single" w:sz="4" w:space="0" w:color="000000"/>
            </w:tcBorders>
            <w:shd w:val="clear" w:color="000000" w:fill="D9D9D9"/>
            <w:vAlign w:val="center"/>
            <w:hideMark/>
          </w:tcPr>
          <w:p w:rsidR="00E473EF" w:rsidRDefault="00CE451E">
            <w:pPr>
              <w:jc w:val="center"/>
              <w:rPr>
                <w:b/>
                <w:bCs/>
                <w:noProof/>
                <w:sz w:val="18"/>
                <w:szCs w:val="18"/>
                <w:lang w:val="en-US" w:eastAsia="en-US"/>
              </w:rPr>
            </w:pPr>
            <w:r>
              <w:rPr>
                <w:b/>
                <w:bCs/>
                <w:noProof/>
                <w:sz w:val="18"/>
                <w:szCs w:val="18"/>
                <w:lang w:val="en-US" w:eastAsia="en-US"/>
              </w:rPr>
              <w:t>Nomenclature in AL 1/2021</w:t>
            </w:r>
          </w:p>
        </w:tc>
      </w:tr>
      <w:tr w:rsidR="00E473EF">
        <w:trPr>
          <w:trHeight w:val="650"/>
        </w:trPr>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rsidR="00E473EF" w:rsidRDefault="00CE451E">
            <w:pPr>
              <w:jc w:val="center"/>
              <w:rPr>
                <w:noProof/>
                <w:sz w:val="18"/>
                <w:szCs w:val="18"/>
                <w:lang w:val="en-US" w:eastAsia="en-US"/>
              </w:rPr>
            </w:pPr>
            <w:r>
              <w:rPr>
                <w:noProof/>
                <w:sz w:val="18"/>
                <w:szCs w:val="18"/>
                <w:lang w:val="en-US" w:eastAsia="en-US"/>
              </w:rPr>
              <w:t>07 20 04</w:t>
            </w:r>
          </w:p>
        </w:tc>
        <w:tc>
          <w:tcPr>
            <w:tcW w:w="1924" w:type="dxa"/>
            <w:vMerge w:val="restart"/>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 xml:space="preserve">Actions financed under the prerogatives of the Commission and specific powers </w:t>
            </w:r>
            <w:r>
              <w:rPr>
                <w:noProof/>
                <w:sz w:val="18"/>
                <w:szCs w:val="18"/>
                <w:lang w:val="en-US" w:eastAsia="en-US"/>
              </w:rPr>
              <w:t>conferred on the Commission</w:t>
            </w:r>
          </w:p>
        </w:tc>
        <w:tc>
          <w:tcPr>
            <w:tcW w:w="1153" w:type="dxa"/>
            <w:vMerge w:val="restart"/>
            <w:tcBorders>
              <w:top w:val="nil"/>
              <w:left w:val="single" w:sz="4" w:space="0" w:color="auto"/>
              <w:bottom w:val="single" w:sz="4" w:space="0" w:color="auto"/>
              <w:right w:val="single" w:sz="4" w:space="0" w:color="auto"/>
            </w:tcBorders>
            <w:shd w:val="clear" w:color="auto" w:fill="auto"/>
            <w:vAlign w:val="center"/>
            <w:hideMark/>
          </w:tcPr>
          <w:p w:rsidR="00E473EF" w:rsidRDefault="00CE451E">
            <w:pPr>
              <w:jc w:val="center"/>
              <w:rPr>
                <w:noProof/>
                <w:sz w:val="18"/>
                <w:szCs w:val="18"/>
                <w:lang w:val="en-US" w:eastAsia="en-US"/>
              </w:rPr>
            </w:pPr>
            <w:r>
              <w:rPr>
                <w:noProof/>
                <w:sz w:val="18"/>
                <w:szCs w:val="18"/>
                <w:lang w:val="en-US" w:eastAsia="en-US"/>
              </w:rPr>
              <w:t>07 20 04 06</w:t>
            </w:r>
          </w:p>
        </w:tc>
        <w:tc>
          <w:tcPr>
            <w:tcW w:w="2087" w:type="dxa"/>
            <w:vMerge w:val="restart"/>
            <w:tcBorders>
              <w:top w:val="nil"/>
              <w:left w:val="single" w:sz="4" w:space="0" w:color="auto"/>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Specific competences in the area of social policy, including social dialogue</w:t>
            </w:r>
          </w:p>
        </w:tc>
        <w:tc>
          <w:tcPr>
            <w:tcW w:w="1153"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07 20 04 06</w:t>
            </w:r>
          </w:p>
        </w:tc>
        <w:tc>
          <w:tcPr>
            <w:tcW w:w="2567" w:type="dxa"/>
            <w:tcBorders>
              <w:top w:val="nil"/>
              <w:left w:val="nil"/>
              <w:bottom w:val="single" w:sz="4" w:space="0" w:color="auto"/>
              <w:right w:val="single" w:sz="4" w:space="0" w:color="auto"/>
            </w:tcBorders>
            <w:shd w:val="clear" w:color="auto" w:fill="auto"/>
            <w:vAlign w:val="center"/>
            <w:hideMark/>
          </w:tcPr>
          <w:p w:rsidR="00E473EF" w:rsidRDefault="00CE451E">
            <w:pPr>
              <w:rPr>
                <w:noProof/>
                <w:sz w:val="18"/>
                <w:szCs w:val="18"/>
                <w:lang w:val="en-US" w:eastAsia="en-US"/>
              </w:rPr>
            </w:pPr>
            <w:r>
              <w:rPr>
                <w:noProof/>
                <w:sz w:val="18"/>
                <w:szCs w:val="18"/>
                <w:lang w:val="en-US" w:eastAsia="en-US"/>
              </w:rPr>
              <w:t>Specific competences in the area of social policy, including social dialogue</w:t>
            </w:r>
          </w:p>
        </w:tc>
      </w:tr>
      <w:tr w:rsidR="00E473EF">
        <w:trPr>
          <w:trHeight w:val="482"/>
        </w:trPr>
        <w:tc>
          <w:tcPr>
            <w:tcW w:w="951"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1924"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1153"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2087" w:type="dxa"/>
            <w:vMerge/>
            <w:tcBorders>
              <w:top w:val="nil"/>
              <w:left w:val="single" w:sz="4" w:space="0" w:color="auto"/>
              <w:bottom w:val="single" w:sz="4" w:space="0" w:color="auto"/>
              <w:right w:val="single" w:sz="4" w:space="0" w:color="auto"/>
            </w:tcBorders>
            <w:vAlign w:val="center"/>
            <w:hideMark/>
          </w:tcPr>
          <w:p w:rsidR="00E473EF" w:rsidRDefault="00E473EF">
            <w:pPr>
              <w:rPr>
                <w:noProof/>
                <w:sz w:val="18"/>
                <w:szCs w:val="18"/>
                <w:lang w:val="en-US" w:eastAsia="en-US"/>
              </w:rPr>
            </w:pPr>
          </w:p>
        </w:tc>
        <w:tc>
          <w:tcPr>
            <w:tcW w:w="1153"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07 20 04 08</w:t>
            </w:r>
          </w:p>
          <w:p w:rsidR="00E473EF" w:rsidRDefault="00CE451E">
            <w:pPr>
              <w:rPr>
                <w:i/>
                <w:noProof/>
                <w:sz w:val="18"/>
                <w:szCs w:val="18"/>
                <w:lang w:val="en-US" w:eastAsia="en-US"/>
              </w:rPr>
            </w:pPr>
            <w:r>
              <w:rPr>
                <w:i/>
                <w:noProof/>
                <w:sz w:val="18"/>
                <w:szCs w:val="18"/>
                <w:lang w:val="en-US" w:eastAsia="en-US"/>
              </w:rPr>
              <w:t>(new)</w:t>
            </w:r>
          </w:p>
        </w:tc>
        <w:tc>
          <w:tcPr>
            <w:tcW w:w="2567" w:type="dxa"/>
            <w:tcBorders>
              <w:top w:val="nil"/>
              <w:left w:val="nil"/>
              <w:bottom w:val="single" w:sz="4" w:space="0" w:color="auto"/>
              <w:right w:val="single" w:sz="4" w:space="0" w:color="auto"/>
            </w:tcBorders>
            <w:shd w:val="clear" w:color="auto" w:fill="F2F2F2" w:themeFill="background1" w:themeFillShade="F2"/>
            <w:vAlign w:val="center"/>
            <w:hideMark/>
          </w:tcPr>
          <w:p w:rsidR="00E473EF" w:rsidRDefault="00CE451E">
            <w:pPr>
              <w:rPr>
                <w:i/>
                <w:noProof/>
                <w:sz w:val="18"/>
                <w:szCs w:val="18"/>
                <w:lang w:val="en-US" w:eastAsia="en-US"/>
              </w:rPr>
            </w:pPr>
            <w:r>
              <w:rPr>
                <w:i/>
                <w:noProof/>
                <w:sz w:val="18"/>
                <w:szCs w:val="18"/>
                <w:lang w:val="en-US" w:eastAsia="en-US"/>
              </w:rPr>
              <w:t xml:space="preserve">Analysis of and studies on the social situation, demographies and the family </w:t>
            </w:r>
          </w:p>
        </w:tc>
      </w:tr>
    </w:tbl>
    <w:p w:rsidR="00E473EF" w:rsidRDefault="00CE451E">
      <w:pPr>
        <w:keepNext/>
        <w:tabs>
          <w:tab w:val="left" w:pos="850"/>
        </w:tabs>
        <w:spacing w:before="240" w:after="120"/>
        <w:ind w:left="850" w:hanging="850"/>
        <w:jc w:val="both"/>
        <w:outlineLvl w:val="1"/>
        <w:rPr>
          <w:rFonts w:eastAsia="Calibri"/>
          <w:i/>
          <w:noProof/>
          <w:lang w:eastAsia="de-DE"/>
        </w:rPr>
      </w:pPr>
      <w:bookmarkStart w:id="195" w:name="_Toc54770348"/>
      <w:bookmarkStart w:id="196" w:name="_Toc55807162"/>
      <w:bookmarkStart w:id="197" w:name="_Toc56009574"/>
      <w:r>
        <w:rPr>
          <w:rFonts w:eastAsia="Calibri"/>
          <w:i/>
          <w:noProof/>
          <w:lang w:eastAsia="de-DE"/>
        </w:rPr>
        <w:t>8.2.4</w:t>
      </w:r>
      <w:r>
        <w:rPr>
          <w:rFonts w:eastAsia="Calibri"/>
          <w:i/>
          <w:noProof/>
          <w:lang w:eastAsia="de-DE"/>
        </w:rPr>
        <w:tab/>
        <w:t>Extension of the European High Performance Computing Joint Undertaking (EuroHPC)</w:t>
      </w:r>
      <w:bookmarkEnd w:id="195"/>
      <w:bookmarkEnd w:id="196"/>
      <w:bookmarkEnd w:id="197"/>
    </w:p>
    <w:p w:rsidR="00E473EF" w:rsidRDefault="00CE451E">
      <w:pPr>
        <w:jc w:val="both"/>
        <w:rPr>
          <w:noProof/>
        </w:rPr>
      </w:pPr>
      <w:r>
        <w:rPr>
          <w:noProof/>
        </w:rPr>
        <w:t xml:space="preserve">In September, the Commission has adopted a proposal for a Council regulation on </w:t>
      </w:r>
      <w:r>
        <w:rPr>
          <w:noProof/>
        </w:rPr>
        <w:t>establishing the European High Performance Computing Joint Undertaking</w:t>
      </w:r>
      <w:r>
        <w:rPr>
          <w:rStyle w:val="FootnoteReference"/>
          <w:noProof/>
        </w:rPr>
        <w:footnoteReference w:id="33"/>
      </w:r>
      <w:r>
        <w:rPr>
          <w:noProof/>
        </w:rPr>
        <w:t xml:space="preserve"> under the next MFF building on the existing EuroHPC, which was established in October 2018.</w:t>
      </w:r>
    </w:p>
    <w:p w:rsidR="00E473EF" w:rsidRDefault="00CE451E">
      <w:pPr>
        <w:spacing w:before="120" w:after="120"/>
        <w:jc w:val="both"/>
        <w:rPr>
          <w:noProof/>
        </w:rPr>
      </w:pPr>
      <w:r>
        <w:rPr>
          <w:noProof/>
        </w:rPr>
        <w:t xml:space="preserve">Following this decision, the corresponding budget lines have been included in AL 1/2021 for </w:t>
      </w:r>
      <w:r>
        <w:rPr>
          <w:noProof/>
        </w:rPr>
        <w:t xml:space="preserve">the contributions coming from Horizon Europe, the Digital Europe Programme (DEP) and the Connecting Europe Facility (CEF). At this stage, no appropriations have been allocated to these new lines as the exact contribution from the three programmes is still </w:t>
      </w:r>
      <w:r>
        <w:rPr>
          <w:noProof/>
        </w:rPr>
        <w:t>to be determined during their strategic planning and programming.</w:t>
      </w:r>
    </w:p>
    <w:p w:rsidR="00E473EF" w:rsidRDefault="00CE451E">
      <w:pPr>
        <w:keepNext/>
        <w:tabs>
          <w:tab w:val="left" w:pos="850"/>
        </w:tabs>
        <w:spacing w:before="240" w:after="120"/>
        <w:ind w:left="850" w:hanging="850"/>
        <w:jc w:val="both"/>
        <w:outlineLvl w:val="1"/>
        <w:rPr>
          <w:rFonts w:eastAsia="Calibri"/>
          <w:i/>
          <w:noProof/>
          <w:lang w:eastAsia="de-DE"/>
        </w:rPr>
      </w:pPr>
      <w:bookmarkStart w:id="198" w:name="_Toc55807163"/>
      <w:bookmarkStart w:id="199" w:name="_Toc56009575"/>
      <w:bookmarkStart w:id="200" w:name="_Toc54770349"/>
      <w:bookmarkEnd w:id="147"/>
      <w:r>
        <w:rPr>
          <w:rFonts w:eastAsia="Calibri"/>
          <w:i/>
          <w:noProof/>
          <w:lang w:eastAsia="de-DE"/>
        </w:rPr>
        <w:t xml:space="preserve">8.2.5 </w:t>
      </w:r>
      <w:r>
        <w:rPr>
          <w:rFonts w:eastAsia="Calibri"/>
          <w:i/>
          <w:noProof/>
          <w:lang w:eastAsia="de-DE"/>
        </w:rPr>
        <w:tab/>
        <w:t>Creation of new budget lines for the two consultative bodies</w:t>
      </w:r>
      <w:bookmarkEnd w:id="198"/>
      <w:bookmarkEnd w:id="199"/>
    </w:p>
    <w:p w:rsidR="00E473EF" w:rsidRDefault="00CE451E">
      <w:pPr>
        <w:autoSpaceDE w:val="0"/>
        <w:autoSpaceDN w:val="0"/>
        <w:adjustRightInd w:val="0"/>
        <w:spacing w:before="120" w:after="120"/>
        <w:jc w:val="both"/>
        <w:rPr>
          <w:noProof/>
        </w:rPr>
      </w:pPr>
      <w:r>
        <w:rPr>
          <w:noProof/>
        </w:rPr>
        <w:t xml:space="preserve">In spring 2020, the two consultative bodies, the European Economic and Social Committee and the European Committee of the </w:t>
      </w:r>
      <w:r>
        <w:rPr>
          <w:noProof/>
        </w:rPr>
        <w:t xml:space="preserve">Regions, agreed on the establishment of a carbon emission reduction target and the related timeline. Amongst other recommendations concerning the implementation of this objective, the Committees have requested the creation in their respective section of a </w:t>
      </w:r>
      <w:r>
        <w:rPr>
          <w:noProof/>
        </w:rPr>
        <w:t>new budget line without appropriations for the CO2 offsetting as a preparatory measure.</w:t>
      </w:r>
    </w:p>
    <w:p w:rsidR="00E473EF" w:rsidRDefault="00CE451E">
      <w:pPr>
        <w:autoSpaceDE w:val="0"/>
        <w:autoSpaceDN w:val="0"/>
        <w:adjustRightInd w:val="0"/>
        <w:spacing w:before="120" w:after="120"/>
        <w:jc w:val="both"/>
        <w:rPr>
          <w:noProof/>
        </w:rPr>
      </w:pPr>
      <w:r>
        <w:rPr>
          <w:noProof/>
        </w:rPr>
        <w:t xml:space="preserve">Due to the timing of the political decision on the introduction of a carbon emission scheme, the new budget lines (without appropriations) for CO2 compensation could </w:t>
      </w:r>
      <w:r>
        <w:rPr>
          <w:noProof/>
        </w:rPr>
        <w:t>not be requested by the Committees in the DB 2021.</w:t>
      </w:r>
    </w:p>
    <w:p w:rsidR="00E473EF" w:rsidRDefault="00CE451E">
      <w:pPr>
        <w:keepNext/>
        <w:tabs>
          <w:tab w:val="left" w:pos="850"/>
        </w:tabs>
        <w:spacing w:before="240" w:after="120"/>
        <w:ind w:left="850" w:hanging="850"/>
        <w:jc w:val="both"/>
        <w:outlineLvl w:val="1"/>
        <w:rPr>
          <w:rFonts w:eastAsia="Calibri"/>
          <w:i/>
          <w:noProof/>
          <w:lang w:eastAsia="de-DE"/>
        </w:rPr>
      </w:pPr>
      <w:bookmarkStart w:id="201" w:name="_Toc55807164"/>
      <w:bookmarkStart w:id="202" w:name="_Toc56009576"/>
      <w:r>
        <w:rPr>
          <w:rFonts w:eastAsia="Calibri"/>
          <w:i/>
          <w:noProof/>
          <w:lang w:eastAsia="de-DE"/>
        </w:rPr>
        <w:t xml:space="preserve">8.2.6 </w:t>
      </w:r>
      <w:r>
        <w:rPr>
          <w:rFonts w:eastAsia="Calibri"/>
          <w:i/>
          <w:noProof/>
          <w:lang w:eastAsia="de-DE"/>
        </w:rPr>
        <w:tab/>
        <w:t>Deletion of budget lines in the section of the European Data Protection Supervisor</w:t>
      </w:r>
      <w:bookmarkEnd w:id="201"/>
      <w:bookmarkEnd w:id="202"/>
    </w:p>
    <w:p w:rsidR="00E473EF" w:rsidRDefault="00CE451E">
      <w:pPr>
        <w:autoSpaceDE w:val="0"/>
        <w:autoSpaceDN w:val="0"/>
        <w:adjustRightInd w:val="0"/>
        <w:spacing w:before="120" w:after="120"/>
        <w:jc w:val="both"/>
        <w:rPr>
          <w:rFonts w:eastAsia="Calibri"/>
          <w:i/>
          <w:noProof/>
          <w:lang w:eastAsia="de-DE"/>
        </w:rPr>
      </w:pPr>
      <w:r>
        <w:rPr>
          <w:noProof/>
        </w:rPr>
        <w:t>AL 1/2021 includes the deletion of three lines under title 3 of the section of the European Data Protection Supervi</w:t>
      </w:r>
      <w:r>
        <w:rPr>
          <w:noProof/>
        </w:rPr>
        <w:t>sor.</w:t>
      </w:r>
    </w:p>
    <w:p w:rsidR="00E473EF" w:rsidRDefault="00CE451E">
      <w:pPr>
        <w:keepNext/>
        <w:tabs>
          <w:tab w:val="left" w:pos="850"/>
        </w:tabs>
        <w:spacing w:before="360" w:after="120"/>
        <w:ind w:left="840" w:hanging="840"/>
        <w:jc w:val="both"/>
        <w:outlineLvl w:val="1"/>
        <w:rPr>
          <w:rFonts w:eastAsia="Calibri"/>
          <w:b/>
          <w:noProof/>
          <w:lang w:val="en-US" w:eastAsia="en-US"/>
        </w:rPr>
      </w:pPr>
      <w:bookmarkStart w:id="203" w:name="_Toc55807165"/>
      <w:bookmarkStart w:id="204" w:name="_Toc56009577"/>
      <w:r>
        <w:rPr>
          <w:rFonts w:eastAsia="Calibri"/>
          <w:b/>
          <w:noProof/>
          <w:lang w:val="en-US" w:eastAsia="en-US"/>
        </w:rPr>
        <w:t xml:space="preserve">8.3 </w:t>
      </w:r>
      <w:r>
        <w:rPr>
          <w:rFonts w:eastAsia="Calibri"/>
          <w:b/>
          <w:noProof/>
          <w:lang w:val="en-US" w:eastAsia="en-US"/>
        </w:rPr>
        <w:tab/>
        <w:t>Technical updates</w:t>
      </w:r>
      <w:bookmarkEnd w:id="200"/>
      <w:bookmarkEnd w:id="203"/>
      <w:bookmarkEnd w:id="204"/>
    </w:p>
    <w:p w:rsidR="00E473EF" w:rsidRDefault="00CE451E">
      <w:pPr>
        <w:keepNext/>
        <w:tabs>
          <w:tab w:val="left" w:pos="850"/>
        </w:tabs>
        <w:spacing w:before="240" w:after="120"/>
        <w:ind w:left="850" w:hanging="850"/>
        <w:jc w:val="both"/>
        <w:outlineLvl w:val="1"/>
        <w:rPr>
          <w:rFonts w:eastAsia="Calibri"/>
          <w:i/>
          <w:noProof/>
          <w:lang w:eastAsia="de-DE"/>
        </w:rPr>
      </w:pPr>
      <w:bookmarkStart w:id="205" w:name="_Toc54770350"/>
      <w:bookmarkStart w:id="206" w:name="_Toc55807166"/>
      <w:bookmarkStart w:id="207" w:name="_Toc56009578"/>
      <w:r>
        <w:rPr>
          <w:rFonts w:eastAsia="Calibri"/>
          <w:i/>
          <w:noProof/>
          <w:lang w:eastAsia="de-DE"/>
        </w:rPr>
        <w:t xml:space="preserve">8.3.1 </w:t>
      </w:r>
      <w:r>
        <w:rPr>
          <w:rFonts w:eastAsia="Calibri"/>
          <w:i/>
          <w:noProof/>
          <w:lang w:eastAsia="de-DE"/>
        </w:rPr>
        <w:tab/>
        <w:t>Modification of the establishment plans further to the recourse to Article 53(1) of the Financial Regulation</w:t>
      </w:r>
      <w:bookmarkEnd w:id="205"/>
      <w:bookmarkEnd w:id="206"/>
      <w:bookmarkEnd w:id="207"/>
    </w:p>
    <w:p w:rsidR="00E473EF" w:rsidRDefault="00CE451E">
      <w:pPr>
        <w:autoSpaceDE w:val="0"/>
        <w:autoSpaceDN w:val="0"/>
        <w:adjustRightInd w:val="0"/>
        <w:spacing w:before="120" w:after="120"/>
        <w:jc w:val="both"/>
        <w:rPr>
          <w:noProof/>
        </w:rPr>
      </w:pPr>
      <w:r>
        <w:rPr>
          <w:noProof/>
        </w:rPr>
        <w:t>During 2020, the European Committee of the Regions and the European Data Protection Supervisor (EDPS) have modif</w:t>
      </w:r>
      <w:r>
        <w:rPr>
          <w:noProof/>
        </w:rPr>
        <w:t>ied their respective establishment plans under the terms of Article 53(1) of the Financial Regulation.</w:t>
      </w:r>
    </w:p>
    <w:p w:rsidR="00E473EF" w:rsidRDefault="00CE451E">
      <w:pPr>
        <w:autoSpaceDE w:val="0"/>
        <w:autoSpaceDN w:val="0"/>
        <w:adjustRightInd w:val="0"/>
        <w:spacing w:before="120" w:after="120"/>
        <w:jc w:val="both"/>
        <w:rPr>
          <w:noProof/>
        </w:rPr>
      </w:pPr>
      <w:r>
        <w:rPr>
          <w:noProof/>
        </w:rPr>
        <w:t>For the Committee of the Regions, this operation involved the conversion of one permanent AD 9 post into one temporary AD 9 post as well as one AST 4 pos</w:t>
      </w:r>
      <w:r>
        <w:rPr>
          <w:noProof/>
        </w:rPr>
        <w:t>t into one AST/SC 5 post, whereas for the EDPS, it involved the conversion, within the establishment plan of the European Data Protection Board, of one AST 1 post into one AST/SC 2 post.</w:t>
      </w:r>
    </w:p>
    <w:p w:rsidR="00E473EF" w:rsidRDefault="00CE451E">
      <w:pPr>
        <w:autoSpaceDE w:val="0"/>
        <w:autoSpaceDN w:val="0"/>
        <w:adjustRightInd w:val="0"/>
        <w:spacing w:before="120" w:after="120"/>
        <w:jc w:val="both"/>
        <w:rPr>
          <w:noProof/>
        </w:rPr>
      </w:pPr>
      <w:r>
        <w:rPr>
          <w:noProof/>
        </w:rPr>
        <w:t>Each of these conversions requires the modification of the related es</w:t>
      </w:r>
      <w:r>
        <w:rPr>
          <w:noProof/>
        </w:rPr>
        <w:t>tablishment plans for 2021. For the Committee, it also entails a limited reduction of the appropriations (-EUR 2 705).</w:t>
      </w:r>
    </w:p>
    <w:p w:rsidR="00E473EF" w:rsidRDefault="00CE451E">
      <w:pPr>
        <w:keepNext/>
        <w:tabs>
          <w:tab w:val="left" w:pos="850"/>
        </w:tabs>
        <w:spacing w:before="240" w:after="120"/>
        <w:ind w:left="850" w:hanging="850"/>
        <w:jc w:val="both"/>
        <w:outlineLvl w:val="1"/>
        <w:rPr>
          <w:rFonts w:eastAsia="Calibri"/>
          <w:i/>
          <w:noProof/>
          <w:lang w:eastAsia="de-DE"/>
        </w:rPr>
      </w:pPr>
      <w:bookmarkStart w:id="208" w:name="_Toc54770353"/>
      <w:bookmarkStart w:id="209" w:name="_Toc55807167"/>
      <w:bookmarkStart w:id="210" w:name="_Toc56009579"/>
      <w:r>
        <w:rPr>
          <w:rFonts w:eastAsia="Calibri"/>
          <w:i/>
          <w:noProof/>
          <w:lang w:eastAsia="de-DE"/>
        </w:rPr>
        <w:t>8.3.1</w:t>
      </w:r>
      <w:r>
        <w:rPr>
          <w:rFonts w:eastAsia="Calibri"/>
          <w:i/>
          <w:noProof/>
          <w:lang w:eastAsia="de-DE"/>
        </w:rPr>
        <w:tab/>
        <w:t>Modification of the text of some budget remarks</w:t>
      </w:r>
      <w:bookmarkEnd w:id="208"/>
      <w:bookmarkEnd w:id="209"/>
      <w:bookmarkEnd w:id="210"/>
    </w:p>
    <w:p w:rsidR="00E473EF" w:rsidRDefault="00CE451E">
      <w:pPr>
        <w:autoSpaceDE w:val="0"/>
        <w:autoSpaceDN w:val="0"/>
        <w:adjustRightInd w:val="0"/>
        <w:spacing w:before="120" w:after="120"/>
        <w:jc w:val="both"/>
        <w:rPr>
          <w:rFonts w:eastAsia="Calibri"/>
          <w:i/>
          <w:noProof/>
          <w:lang w:eastAsia="de-DE"/>
        </w:rPr>
      </w:pPr>
      <w:r>
        <w:rPr>
          <w:noProof/>
        </w:rPr>
        <w:t xml:space="preserve">On top of the adaptations linked to the NGEU contribution (see section 2.5 above), </w:t>
      </w:r>
      <w:r>
        <w:rPr>
          <w:noProof/>
        </w:rPr>
        <w:t>AL 1/2021 also includes technical modifications of some budget remarks, which are visible in the budgetary annex.</w:t>
      </w:r>
    </w:p>
    <w:p w:rsidR="00E473EF" w:rsidRDefault="00CE451E">
      <w:pPr>
        <w:jc w:val="both"/>
        <w:rPr>
          <w:rFonts w:eastAsia="Calibri"/>
          <w:b/>
          <w:noProof/>
          <w:lang w:eastAsia="en-US"/>
        </w:rPr>
      </w:pPr>
      <w:r>
        <w:rPr>
          <w:rFonts w:eastAsia="Calibri"/>
          <w:b/>
          <w:noProof/>
          <w:lang w:eastAsia="en-US"/>
        </w:rPr>
        <w:br w:type="page"/>
      </w:r>
    </w:p>
    <w:p w:rsidR="00E473EF" w:rsidRDefault="00CE451E">
      <w:pPr>
        <w:pStyle w:val="ManualHeading1"/>
        <w:spacing w:before="240"/>
        <w:rPr>
          <w:noProof/>
        </w:rPr>
      </w:pPr>
      <w:bookmarkStart w:id="211" w:name="_Toc526753799"/>
      <w:bookmarkStart w:id="212" w:name="_Toc54770354"/>
      <w:bookmarkStart w:id="213" w:name="_Toc55807168"/>
      <w:bookmarkStart w:id="214" w:name="_Toc56009580"/>
      <w:r>
        <w:rPr>
          <w:noProof/>
        </w:rPr>
        <w:t>9.</w:t>
      </w:r>
      <w:r>
        <w:rPr>
          <w:noProof/>
        </w:rPr>
        <w:tab/>
        <w:t>Summary Table by MFF Heading</w:t>
      </w:r>
      <w:bookmarkEnd w:id="211"/>
      <w:bookmarkEnd w:id="212"/>
      <w:bookmarkEnd w:id="213"/>
      <w:bookmarkEnd w:id="214"/>
    </w:p>
    <w:tbl>
      <w:tblPr>
        <w:tblW w:w="10502" w:type="dxa"/>
        <w:jc w:val="center"/>
        <w:tblLook w:val="04A0" w:firstRow="1" w:lastRow="0" w:firstColumn="1" w:lastColumn="0" w:noHBand="0" w:noVBand="1"/>
      </w:tblPr>
      <w:tblGrid>
        <w:gridCol w:w="356"/>
        <w:gridCol w:w="2311"/>
        <w:gridCol w:w="1302"/>
        <w:gridCol w:w="1292"/>
        <w:gridCol w:w="1297"/>
        <w:gridCol w:w="1332"/>
        <w:gridCol w:w="1292"/>
        <w:gridCol w:w="1296"/>
        <w:gridCol w:w="24"/>
      </w:tblGrid>
      <w:tr w:rsidR="00E473EF">
        <w:trPr>
          <w:trHeight w:val="260"/>
          <w:jc w:val="center"/>
        </w:trPr>
        <w:tc>
          <w:tcPr>
            <w:tcW w:w="10502" w:type="dxa"/>
            <w:gridSpan w:val="9"/>
            <w:tcBorders>
              <w:top w:val="nil"/>
              <w:left w:val="nil"/>
              <w:bottom w:val="single" w:sz="4" w:space="0" w:color="auto"/>
              <w:right w:val="nil"/>
            </w:tcBorders>
            <w:shd w:val="clear" w:color="auto" w:fill="auto"/>
            <w:noWrap/>
            <w:vAlign w:val="bottom"/>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In EUR</w:t>
            </w:r>
          </w:p>
        </w:tc>
      </w:tr>
      <w:tr w:rsidR="00E473EF">
        <w:trPr>
          <w:gridAfter w:val="1"/>
          <w:wAfter w:w="24" w:type="dxa"/>
          <w:trHeight w:val="260"/>
          <w:jc w:val="center"/>
        </w:trPr>
        <w:tc>
          <w:tcPr>
            <w:tcW w:w="2667"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rsidR="00E473EF" w:rsidRDefault="00CE451E">
            <w:pPr>
              <w:jc w:val="center"/>
              <w:rPr>
                <w:b/>
                <w:bCs/>
                <w:noProof/>
                <w:color w:val="000000"/>
                <w:sz w:val="14"/>
                <w:szCs w:val="14"/>
                <w:lang w:val="en-US" w:eastAsia="en-US"/>
              </w:rPr>
            </w:pPr>
            <w:r>
              <w:rPr>
                <w:b/>
                <w:bCs/>
                <w:noProof/>
                <w:color w:val="000000"/>
                <w:sz w:val="14"/>
                <w:szCs w:val="14"/>
                <w:lang w:val="en-US" w:eastAsia="en-US"/>
              </w:rPr>
              <w:t>Heading</w:t>
            </w:r>
          </w:p>
        </w:tc>
        <w:tc>
          <w:tcPr>
            <w:tcW w:w="2594"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E473EF" w:rsidRDefault="00CE451E">
            <w:pPr>
              <w:jc w:val="center"/>
              <w:rPr>
                <w:b/>
                <w:bCs/>
                <w:noProof/>
                <w:color w:val="000000"/>
                <w:sz w:val="14"/>
                <w:szCs w:val="14"/>
                <w:lang w:val="en-US" w:eastAsia="en-US"/>
              </w:rPr>
            </w:pPr>
            <w:r>
              <w:rPr>
                <w:b/>
                <w:bCs/>
                <w:noProof/>
                <w:color w:val="000000"/>
                <w:sz w:val="14"/>
                <w:szCs w:val="14"/>
                <w:lang w:val="en-US" w:eastAsia="en-US"/>
              </w:rPr>
              <w:t>Draft Budget 2021</w:t>
            </w:r>
          </w:p>
        </w:tc>
        <w:tc>
          <w:tcPr>
            <w:tcW w:w="2629"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E473EF" w:rsidRDefault="00CE451E">
            <w:pPr>
              <w:jc w:val="center"/>
              <w:rPr>
                <w:b/>
                <w:bCs/>
                <w:noProof/>
                <w:color w:val="000000"/>
                <w:sz w:val="14"/>
                <w:szCs w:val="14"/>
                <w:lang w:val="en-US" w:eastAsia="en-US"/>
              </w:rPr>
            </w:pPr>
            <w:r>
              <w:rPr>
                <w:b/>
                <w:bCs/>
                <w:noProof/>
                <w:color w:val="000000"/>
                <w:sz w:val="14"/>
                <w:szCs w:val="14"/>
                <w:lang w:val="en-US" w:eastAsia="en-US"/>
              </w:rPr>
              <w:t>Amending Letter No 1/2021</w:t>
            </w:r>
          </w:p>
        </w:tc>
        <w:tc>
          <w:tcPr>
            <w:tcW w:w="2588" w:type="dxa"/>
            <w:gridSpan w:val="2"/>
            <w:tcBorders>
              <w:top w:val="single" w:sz="4" w:space="0" w:color="auto"/>
              <w:left w:val="nil"/>
              <w:bottom w:val="nil"/>
              <w:right w:val="single" w:sz="4" w:space="0" w:color="000000"/>
            </w:tcBorders>
            <w:shd w:val="clear" w:color="000000" w:fill="D9D9D9"/>
            <w:vAlign w:val="center"/>
            <w:hideMark/>
          </w:tcPr>
          <w:p w:rsidR="00E473EF" w:rsidRDefault="00CE451E">
            <w:pPr>
              <w:jc w:val="center"/>
              <w:rPr>
                <w:b/>
                <w:bCs/>
                <w:noProof/>
                <w:color w:val="000000"/>
                <w:sz w:val="14"/>
                <w:szCs w:val="14"/>
                <w:lang w:val="en-US" w:eastAsia="en-US"/>
              </w:rPr>
            </w:pPr>
            <w:r>
              <w:rPr>
                <w:b/>
                <w:bCs/>
                <w:noProof/>
                <w:color w:val="000000"/>
                <w:sz w:val="14"/>
                <w:szCs w:val="14"/>
                <w:lang w:val="en-US" w:eastAsia="en-US"/>
              </w:rPr>
              <w:t>Draft Budget 2021</w:t>
            </w:r>
          </w:p>
        </w:tc>
      </w:tr>
      <w:tr w:rsidR="00E473EF">
        <w:trPr>
          <w:gridAfter w:val="1"/>
          <w:wAfter w:w="24" w:type="dxa"/>
          <w:trHeight w:val="260"/>
          <w:jc w:val="center"/>
        </w:trPr>
        <w:tc>
          <w:tcPr>
            <w:tcW w:w="2667" w:type="dxa"/>
            <w:gridSpan w:val="2"/>
            <w:vMerge/>
            <w:tcBorders>
              <w:top w:val="single" w:sz="4" w:space="0" w:color="auto"/>
              <w:left w:val="single" w:sz="4" w:space="0" w:color="auto"/>
              <w:bottom w:val="nil"/>
              <w:right w:val="single" w:sz="4" w:space="0" w:color="000000"/>
            </w:tcBorders>
            <w:vAlign w:val="center"/>
            <w:hideMark/>
          </w:tcPr>
          <w:p w:rsidR="00E473EF" w:rsidRDefault="00E473EF">
            <w:pPr>
              <w:rPr>
                <w:b/>
                <w:bCs/>
                <w:noProof/>
                <w:color w:val="000000"/>
                <w:sz w:val="14"/>
                <w:szCs w:val="14"/>
                <w:lang w:val="en-US" w:eastAsia="en-US"/>
              </w:rPr>
            </w:pPr>
          </w:p>
        </w:tc>
        <w:tc>
          <w:tcPr>
            <w:tcW w:w="2594" w:type="dxa"/>
            <w:gridSpan w:val="2"/>
            <w:vMerge/>
            <w:tcBorders>
              <w:top w:val="single" w:sz="4" w:space="0" w:color="auto"/>
              <w:left w:val="single" w:sz="4" w:space="0" w:color="auto"/>
              <w:bottom w:val="single" w:sz="4" w:space="0" w:color="000000"/>
              <w:right w:val="single" w:sz="4" w:space="0" w:color="000000"/>
            </w:tcBorders>
            <w:vAlign w:val="center"/>
            <w:hideMark/>
          </w:tcPr>
          <w:p w:rsidR="00E473EF" w:rsidRDefault="00E473EF">
            <w:pPr>
              <w:rPr>
                <w:b/>
                <w:bCs/>
                <w:noProof/>
                <w:color w:val="000000"/>
                <w:sz w:val="14"/>
                <w:szCs w:val="14"/>
                <w:lang w:val="en-US" w:eastAsia="en-US"/>
              </w:rPr>
            </w:pPr>
          </w:p>
        </w:tc>
        <w:tc>
          <w:tcPr>
            <w:tcW w:w="2629" w:type="dxa"/>
            <w:gridSpan w:val="2"/>
            <w:vMerge/>
            <w:tcBorders>
              <w:top w:val="single" w:sz="4" w:space="0" w:color="auto"/>
              <w:left w:val="single" w:sz="4" w:space="0" w:color="auto"/>
              <w:bottom w:val="single" w:sz="4" w:space="0" w:color="000000"/>
              <w:right w:val="single" w:sz="4" w:space="0" w:color="000000"/>
            </w:tcBorders>
            <w:vAlign w:val="center"/>
            <w:hideMark/>
          </w:tcPr>
          <w:p w:rsidR="00E473EF" w:rsidRDefault="00E473EF">
            <w:pPr>
              <w:rPr>
                <w:b/>
                <w:bCs/>
                <w:noProof/>
                <w:color w:val="000000"/>
                <w:sz w:val="14"/>
                <w:szCs w:val="14"/>
                <w:lang w:val="en-US" w:eastAsia="en-US"/>
              </w:rPr>
            </w:pPr>
          </w:p>
        </w:tc>
        <w:tc>
          <w:tcPr>
            <w:tcW w:w="2588" w:type="dxa"/>
            <w:gridSpan w:val="2"/>
            <w:tcBorders>
              <w:top w:val="nil"/>
              <w:left w:val="nil"/>
              <w:bottom w:val="single" w:sz="4" w:space="0" w:color="auto"/>
              <w:right w:val="single" w:sz="4" w:space="0" w:color="000000"/>
            </w:tcBorders>
            <w:shd w:val="clear" w:color="000000" w:fill="D9D9D9"/>
            <w:vAlign w:val="center"/>
            <w:hideMark/>
          </w:tcPr>
          <w:p w:rsidR="00E473EF" w:rsidRDefault="00CE451E">
            <w:pPr>
              <w:jc w:val="center"/>
              <w:rPr>
                <w:b/>
                <w:bCs/>
                <w:noProof/>
                <w:color w:val="000000"/>
                <w:sz w:val="14"/>
                <w:szCs w:val="14"/>
                <w:lang w:val="en-US" w:eastAsia="en-US"/>
              </w:rPr>
            </w:pPr>
            <w:r>
              <w:rPr>
                <w:b/>
                <w:bCs/>
                <w:noProof/>
                <w:color w:val="000000"/>
                <w:sz w:val="14"/>
                <w:szCs w:val="14"/>
                <w:lang w:val="en-US" w:eastAsia="en-US"/>
              </w:rPr>
              <w:t>(incl. AL 1/2021)</w:t>
            </w:r>
          </w:p>
        </w:tc>
      </w:tr>
      <w:tr w:rsidR="00E473EF">
        <w:trPr>
          <w:gridAfter w:val="1"/>
          <w:wAfter w:w="24" w:type="dxa"/>
          <w:trHeight w:val="260"/>
          <w:jc w:val="center"/>
        </w:trPr>
        <w:tc>
          <w:tcPr>
            <w:tcW w:w="2667" w:type="dxa"/>
            <w:gridSpan w:val="2"/>
            <w:vMerge/>
            <w:tcBorders>
              <w:top w:val="single" w:sz="4" w:space="0" w:color="auto"/>
              <w:left w:val="single" w:sz="4" w:space="0" w:color="auto"/>
              <w:bottom w:val="nil"/>
              <w:right w:val="single" w:sz="4" w:space="0" w:color="000000"/>
            </w:tcBorders>
            <w:vAlign w:val="center"/>
            <w:hideMark/>
          </w:tcPr>
          <w:p w:rsidR="00E473EF" w:rsidRDefault="00E473EF">
            <w:pPr>
              <w:rPr>
                <w:b/>
                <w:bCs/>
                <w:noProof/>
                <w:color w:val="000000"/>
                <w:sz w:val="14"/>
                <w:szCs w:val="14"/>
                <w:lang w:val="en-US" w:eastAsia="en-US"/>
              </w:rPr>
            </w:pPr>
          </w:p>
        </w:tc>
        <w:tc>
          <w:tcPr>
            <w:tcW w:w="1302" w:type="dxa"/>
            <w:tcBorders>
              <w:top w:val="nil"/>
              <w:left w:val="nil"/>
              <w:bottom w:val="nil"/>
              <w:right w:val="single" w:sz="4" w:space="0" w:color="auto"/>
            </w:tcBorders>
            <w:shd w:val="clear" w:color="000000" w:fill="D9D9D9"/>
            <w:vAlign w:val="center"/>
            <w:hideMark/>
          </w:tcPr>
          <w:p w:rsidR="00E473EF" w:rsidRDefault="00CE451E">
            <w:pPr>
              <w:jc w:val="center"/>
              <w:rPr>
                <w:b/>
                <w:bCs/>
                <w:noProof/>
                <w:color w:val="000000"/>
                <w:sz w:val="14"/>
                <w:szCs w:val="14"/>
                <w:lang w:val="en-US" w:eastAsia="en-US"/>
              </w:rPr>
            </w:pPr>
            <w:r>
              <w:rPr>
                <w:b/>
                <w:bCs/>
                <w:noProof/>
                <w:color w:val="000000"/>
                <w:sz w:val="14"/>
                <w:szCs w:val="14"/>
                <w:lang w:val="en-US" w:eastAsia="en-US"/>
              </w:rPr>
              <w:t>CA</w:t>
            </w:r>
          </w:p>
        </w:tc>
        <w:tc>
          <w:tcPr>
            <w:tcW w:w="1292" w:type="dxa"/>
            <w:tcBorders>
              <w:top w:val="nil"/>
              <w:left w:val="nil"/>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14"/>
                <w:szCs w:val="14"/>
                <w:lang w:val="en-US" w:eastAsia="en-US"/>
              </w:rPr>
            </w:pPr>
            <w:r>
              <w:rPr>
                <w:b/>
                <w:bCs/>
                <w:noProof/>
                <w:color w:val="000000"/>
                <w:sz w:val="14"/>
                <w:szCs w:val="14"/>
                <w:lang w:val="en-US" w:eastAsia="en-US"/>
              </w:rPr>
              <w:t>PA</w:t>
            </w:r>
          </w:p>
        </w:tc>
        <w:tc>
          <w:tcPr>
            <w:tcW w:w="1297" w:type="dxa"/>
            <w:tcBorders>
              <w:top w:val="nil"/>
              <w:left w:val="nil"/>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14"/>
                <w:szCs w:val="14"/>
                <w:lang w:val="en-US" w:eastAsia="en-US"/>
              </w:rPr>
            </w:pPr>
            <w:r>
              <w:rPr>
                <w:b/>
                <w:bCs/>
                <w:noProof/>
                <w:color w:val="000000"/>
                <w:sz w:val="14"/>
                <w:szCs w:val="14"/>
                <w:lang w:val="en-US" w:eastAsia="en-US"/>
              </w:rPr>
              <w:t>CA</w:t>
            </w:r>
          </w:p>
        </w:tc>
        <w:tc>
          <w:tcPr>
            <w:tcW w:w="1332" w:type="dxa"/>
            <w:tcBorders>
              <w:top w:val="nil"/>
              <w:left w:val="nil"/>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14"/>
                <w:szCs w:val="14"/>
                <w:lang w:val="en-US" w:eastAsia="en-US"/>
              </w:rPr>
            </w:pPr>
            <w:r>
              <w:rPr>
                <w:b/>
                <w:bCs/>
                <w:noProof/>
                <w:color w:val="000000"/>
                <w:sz w:val="14"/>
                <w:szCs w:val="14"/>
                <w:lang w:val="en-US" w:eastAsia="en-US"/>
              </w:rPr>
              <w:t>PA</w:t>
            </w:r>
          </w:p>
        </w:tc>
        <w:tc>
          <w:tcPr>
            <w:tcW w:w="1292" w:type="dxa"/>
            <w:tcBorders>
              <w:top w:val="nil"/>
              <w:left w:val="nil"/>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14"/>
                <w:szCs w:val="14"/>
                <w:lang w:val="en-US" w:eastAsia="en-US"/>
              </w:rPr>
            </w:pPr>
            <w:r>
              <w:rPr>
                <w:b/>
                <w:bCs/>
                <w:noProof/>
                <w:color w:val="000000"/>
                <w:sz w:val="14"/>
                <w:szCs w:val="14"/>
                <w:lang w:val="en-US" w:eastAsia="en-US"/>
              </w:rPr>
              <w:t>CA</w:t>
            </w:r>
          </w:p>
        </w:tc>
        <w:tc>
          <w:tcPr>
            <w:tcW w:w="1296" w:type="dxa"/>
            <w:tcBorders>
              <w:top w:val="nil"/>
              <w:left w:val="nil"/>
              <w:bottom w:val="single" w:sz="4" w:space="0" w:color="auto"/>
              <w:right w:val="single" w:sz="4" w:space="0" w:color="auto"/>
            </w:tcBorders>
            <w:shd w:val="clear" w:color="000000" w:fill="D9D9D9"/>
            <w:vAlign w:val="center"/>
            <w:hideMark/>
          </w:tcPr>
          <w:p w:rsidR="00E473EF" w:rsidRDefault="00CE451E">
            <w:pPr>
              <w:jc w:val="center"/>
              <w:rPr>
                <w:b/>
                <w:bCs/>
                <w:noProof/>
                <w:color w:val="000000"/>
                <w:sz w:val="14"/>
                <w:szCs w:val="14"/>
                <w:lang w:val="en-US" w:eastAsia="en-US"/>
              </w:rPr>
            </w:pPr>
            <w:r>
              <w:rPr>
                <w:b/>
                <w:bCs/>
                <w:noProof/>
                <w:color w:val="000000"/>
                <w:sz w:val="14"/>
                <w:szCs w:val="14"/>
                <w:lang w:val="en-US" w:eastAsia="en-US"/>
              </w:rPr>
              <w:t>PA</w:t>
            </w:r>
          </w:p>
        </w:tc>
      </w:tr>
      <w:tr w:rsidR="00E473EF">
        <w:trPr>
          <w:gridAfter w:val="1"/>
          <w:wAfter w:w="24" w:type="dxa"/>
          <w:trHeight w:val="260"/>
          <w:jc w:val="center"/>
        </w:trPr>
        <w:tc>
          <w:tcPr>
            <w:tcW w:w="356" w:type="dxa"/>
            <w:tcBorders>
              <w:top w:val="single" w:sz="4" w:space="0" w:color="auto"/>
              <w:left w:val="single" w:sz="4" w:space="0" w:color="auto"/>
              <w:bottom w:val="dotted" w:sz="4" w:space="0" w:color="auto"/>
              <w:right w:val="nil"/>
            </w:tcBorders>
            <w:shd w:val="clear" w:color="auto" w:fill="auto"/>
            <w:vAlign w:val="center"/>
            <w:hideMark/>
          </w:tcPr>
          <w:p w:rsidR="00E473EF" w:rsidRDefault="00CE451E">
            <w:pPr>
              <w:rPr>
                <w:b/>
                <w:bCs/>
                <w:noProof/>
                <w:color w:val="000000"/>
                <w:sz w:val="14"/>
                <w:szCs w:val="14"/>
                <w:lang w:val="en-US" w:eastAsia="en-US"/>
              </w:rPr>
            </w:pPr>
            <w:r>
              <w:rPr>
                <w:b/>
                <w:bCs/>
                <w:noProof/>
                <w:color w:val="000000"/>
                <w:sz w:val="14"/>
                <w:szCs w:val="14"/>
                <w:lang w:val="en-US" w:eastAsia="en-US"/>
              </w:rPr>
              <w:t>1.</w:t>
            </w:r>
          </w:p>
        </w:tc>
        <w:tc>
          <w:tcPr>
            <w:tcW w:w="2311" w:type="dxa"/>
            <w:tcBorders>
              <w:top w:val="single" w:sz="4" w:space="0" w:color="auto"/>
              <w:left w:val="nil"/>
              <w:bottom w:val="dotted" w:sz="4" w:space="0" w:color="auto"/>
              <w:right w:val="single" w:sz="4" w:space="0" w:color="auto"/>
            </w:tcBorders>
            <w:shd w:val="clear" w:color="auto" w:fill="auto"/>
            <w:noWrap/>
            <w:vAlign w:val="center"/>
            <w:hideMark/>
          </w:tcPr>
          <w:p w:rsidR="00E473EF" w:rsidRDefault="00CE451E">
            <w:pPr>
              <w:rPr>
                <w:b/>
                <w:bCs/>
                <w:noProof/>
                <w:color w:val="000000"/>
                <w:sz w:val="14"/>
                <w:szCs w:val="14"/>
                <w:lang w:val="en-US" w:eastAsia="en-US"/>
              </w:rPr>
            </w:pPr>
            <w:r>
              <w:rPr>
                <w:b/>
                <w:bCs/>
                <w:noProof/>
                <w:color w:val="000000"/>
                <w:sz w:val="14"/>
                <w:szCs w:val="14"/>
                <w:lang w:val="en-US" w:eastAsia="en-US"/>
              </w:rPr>
              <w:t>Single Market, Innovation and Digital</w:t>
            </w:r>
          </w:p>
        </w:tc>
        <w:tc>
          <w:tcPr>
            <w:tcW w:w="1302" w:type="dxa"/>
            <w:tcBorders>
              <w:top w:val="single" w:sz="4" w:space="0" w:color="auto"/>
              <w:left w:val="nil"/>
              <w:bottom w:val="dotted" w:sz="4" w:space="0" w:color="auto"/>
              <w:right w:val="single" w:sz="4" w:space="0" w:color="auto"/>
            </w:tcBorders>
            <w:shd w:val="clear" w:color="000000" w:fill="FFFFFF"/>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21 359 970 100</w:t>
            </w:r>
          </w:p>
        </w:tc>
        <w:tc>
          <w:tcPr>
            <w:tcW w:w="129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17 573 316 806</w:t>
            </w:r>
          </w:p>
        </w:tc>
        <w:tc>
          <w:tcPr>
            <w:tcW w:w="1297"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- 665 439 753</w:t>
            </w:r>
          </w:p>
        </w:tc>
        <w:tc>
          <w:tcPr>
            <w:tcW w:w="133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- 404 704 406</w:t>
            </w:r>
          </w:p>
        </w:tc>
        <w:tc>
          <w:tcPr>
            <w:tcW w:w="129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20 694 530 347</w:t>
            </w:r>
          </w:p>
        </w:tc>
        <w:tc>
          <w:tcPr>
            <w:tcW w:w="1296"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17 168 612 400</w:t>
            </w:r>
          </w:p>
        </w:tc>
      </w:tr>
      <w:tr w:rsidR="00E473EF">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Ceiling </w:t>
            </w:r>
          </w:p>
        </w:tc>
        <w:tc>
          <w:tcPr>
            <w:tcW w:w="130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21 805 000 000</w:t>
            </w:r>
          </w:p>
        </w:tc>
        <w:tc>
          <w:tcPr>
            <w:tcW w:w="129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- 886 000 000</w:t>
            </w:r>
          </w:p>
        </w:tc>
        <w:tc>
          <w:tcPr>
            <w:tcW w:w="133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20 919 000 000</w:t>
            </w:r>
          </w:p>
        </w:tc>
        <w:tc>
          <w:tcPr>
            <w:tcW w:w="1296"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r>
      <w:tr w:rsidR="00E473EF">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Margin</w:t>
            </w:r>
          </w:p>
        </w:tc>
        <w:tc>
          <w:tcPr>
            <w:tcW w:w="130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445 029 900</w:t>
            </w:r>
          </w:p>
        </w:tc>
        <w:tc>
          <w:tcPr>
            <w:tcW w:w="129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single"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- 220 560 247</w:t>
            </w:r>
          </w:p>
        </w:tc>
        <w:tc>
          <w:tcPr>
            <w:tcW w:w="1332" w:type="dxa"/>
            <w:tcBorders>
              <w:top w:val="nil"/>
              <w:left w:val="nil"/>
              <w:bottom w:val="single"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224 469 653</w:t>
            </w:r>
          </w:p>
        </w:tc>
        <w:tc>
          <w:tcPr>
            <w:tcW w:w="1296" w:type="dxa"/>
            <w:tcBorders>
              <w:top w:val="nil"/>
              <w:left w:val="nil"/>
              <w:bottom w:val="single"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r>
      <w:tr w:rsidR="00E473EF">
        <w:trPr>
          <w:gridAfter w:val="1"/>
          <w:wAfter w:w="24" w:type="dxa"/>
          <w:trHeight w:val="260"/>
          <w:jc w:val="center"/>
        </w:trPr>
        <w:tc>
          <w:tcPr>
            <w:tcW w:w="356" w:type="dxa"/>
            <w:tcBorders>
              <w:top w:val="single" w:sz="4" w:space="0" w:color="auto"/>
              <w:left w:val="single" w:sz="4" w:space="0" w:color="auto"/>
              <w:bottom w:val="dotted" w:sz="4" w:space="0" w:color="auto"/>
              <w:right w:val="nil"/>
            </w:tcBorders>
            <w:shd w:val="clear" w:color="auto" w:fill="auto"/>
            <w:vAlign w:val="center"/>
            <w:hideMark/>
          </w:tcPr>
          <w:p w:rsidR="00E473EF" w:rsidRDefault="00CE451E">
            <w:pPr>
              <w:rPr>
                <w:b/>
                <w:bCs/>
                <w:noProof/>
                <w:color w:val="000000"/>
                <w:sz w:val="14"/>
                <w:szCs w:val="14"/>
                <w:lang w:val="en-US" w:eastAsia="en-US"/>
              </w:rPr>
            </w:pPr>
            <w:r>
              <w:rPr>
                <w:b/>
                <w:bCs/>
                <w:noProof/>
                <w:color w:val="000000"/>
                <w:sz w:val="14"/>
                <w:szCs w:val="14"/>
                <w:lang w:val="en-US" w:eastAsia="en-US"/>
              </w:rPr>
              <w:t>2.</w:t>
            </w:r>
          </w:p>
        </w:tc>
        <w:tc>
          <w:tcPr>
            <w:tcW w:w="2311" w:type="dxa"/>
            <w:tcBorders>
              <w:top w:val="single" w:sz="4" w:space="0" w:color="auto"/>
              <w:left w:val="nil"/>
              <w:bottom w:val="dotted" w:sz="4" w:space="0" w:color="auto"/>
              <w:right w:val="single" w:sz="4" w:space="0" w:color="auto"/>
            </w:tcBorders>
            <w:shd w:val="clear" w:color="auto" w:fill="auto"/>
            <w:vAlign w:val="center"/>
            <w:hideMark/>
          </w:tcPr>
          <w:p w:rsidR="00E473EF" w:rsidRDefault="00CE451E">
            <w:pPr>
              <w:rPr>
                <w:b/>
                <w:bCs/>
                <w:noProof/>
                <w:color w:val="000000"/>
                <w:sz w:val="14"/>
                <w:szCs w:val="14"/>
                <w:lang w:val="en-US" w:eastAsia="en-US"/>
              </w:rPr>
            </w:pPr>
            <w:r>
              <w:rPr>
                <w:b/>
                <w:bCs/>
                <w:noProof/>
                <w:color w:val="000000"/>
                <w:sz w:val="14"/>
                <w:szCs w:val="14"/>
                <w:lang w:val="en-US" w:eastAsia="en-US"/>
              </w:rPr>
              <w:t>Cohesion, Resilience and Values</w:t>
            </w:r>
          </w:p>
        </w:tc>
        <w:tc>
          <w:tcPr>
            <w:tcW w:w="130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51 487 150 161</w:t>
            </w:r>
          </w:p>
        </w:tc>
        <w:tc>
          <w:tcPr>
            <w:tcW w:w="129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62 625 181 841</w:t>
            </w:r>
          </w:p>
        </w:tc>
        <w:tc>
          <w:tcPr>
            <w:tcW w:w="1297"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1 396 134 087</w:t>
            </w:r>
          </w:p>
        </w:tc>
        <w:tc>
          <w:tcPr>
            <w:tcW w:w="133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3 579 956 198</w:t>
            </w:r>
          </w:p>
        </w:tc>
        <w:tc>
          <w:tcPr>
            <w:tcW w:w="129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52 883 284 248</w:t>
            </w:r>
          </w:p>
        </w:tc>
        <w:tc>
          <w:tcPr>
            <w:tcW w:w="1296"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66 205 138 039</w:t>
            </w:r>
          </w:p>
        </w:tc>
      </w:tr>
      <w:tr w:rsidR="00E473EF">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Ceiling </w:t>
            </w:r>
          </w:p>
        </w:tc>
        <w:tc>
          <w:tcPr>
            <w:tcW w:w="130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51 730 000 000</w:t>
            </w:r>
          </w:p>
        </w:tc>
        <w:tc>
          <w:tcPr>
            <w:tcW w:w="129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1 056 000 000</w:t>
            </w:r>
          </w:p>
        </w:tc>
        <w:tc>
          <w:tcPr>
            <w:tcW w:w="133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52 786 000 000</w:t>
            </w:r>
          </w:p>
        </w:tc>
        <w:tc>
          <w:tcPr>
            <w:tcW w:w="1296"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r>
      <w:tr w:rsidR="00E473EF">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Of which under Flexibility Instrument</w:t>
            </w:r>
          </w:p>
        </w:tc>
        <w:tc>
          <w:tcPr>
            <w:tcW w:w="130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w:t>
            </w:r>
          </w:p>
        </w:tc>
        <w:tc>
          <w:tcPr>
            <w:tcW w:w="129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97 768 248</w:t>
            </w:r>
          </w:p>
        </w:tc>
        <w:tc>
          <w:tcPr>
            <w:tcW w:w="133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97 768 248</w:t>
            </w:r>
          </w:p>
        </w:tc>
        <w:tc>
          <w:tcPr>
            <w:tcW w:w="1296"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r>
      <w:tr w:rsidR="00E473EF">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Margin</w:t>
            </w:r>
          </w:p>
        </w:tc>
        <w:tc>
          <w:tcPr>
            <w:tcW w:w="130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242 849 839</w:t>
            </w:r>
          </w:p>
        </w:tc>
        <w:tc>
          <w:tcPr>
            <w:tcW w:w="129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single"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- 242 365 839</w:t>
            </w:r>
          </w:p>
        </w:tc>
        <w:tc>
          <w:tcPr>
            <w:tcW w:w="1332" w:type="dxa"/>
            <w:tcBorders>
              <w:top w:val="nil"/>
              <w:left w:val="nil"/>
              <w:bottom w:val="single"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484 000</w:t>
            </w:r>
          </w:p>
        </w:tc>
        <w:tc>
          <w:tcPr>
            <w:tcW w:w="1296" w:type="dxa"/>
            <w:tcBorders>
              <w:top w:val="nil"/>
              <w:left w:val="nil"/>
              <w:bottom w:val="single"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r>
      <w:tr w:rsidR="00E473EF">
        <w:trPr>
          <w:gridAfter w:val="1"/>
          <w:wAfter w:w="24" w:type="dxa"/>
          <w:trHeight w:val="260"/>
          <w:jc w:val="center"/>
        </w:trPr>
        <w:tc>
          <w:tcPr>
            <w:tcW w:w="356" w:type="dxa"/>
            <w:tcBorders>
              <w:top w:val="nil"/>
              <w:left w:val="single" w:sz="4" w:space="0" w:color="auto"/>
              <w:bottom w:val="dotted" w:sz="4" w:space="0" w:color="auto"/>
              <w:right w:val="nil"/>
            </w:tcBorders>
            <w:shd w:val="clear" w:color="auto" w:fill="auto"/>
            <w:vAlign w:val="center"/>
            <w:hideMark/>
          </w:tcPr>
          <w:p w:rsidR="00E473EF" w:rsidRDefault="00CE451E">
            <w:pPr>
              <w:rPr>
                <w:noProof/>
                <w:color w:val="000000"/>
                <w:sz w:val="14"/>
                <w:szCs w:val="14"/>
                <w:lang w:val="en-US" w:eastAsia="en-US"/>
              </w:rPr>
            </w:pPr>
            <w:r>
              <w:rPr>
                <w:noProof/>
                <w:color w:val="000000"/>
                <w:sz w:val="14"/>
                <w:szCs w:val="14"/>
                <w:lang w:val="en-US" w:eastAsia="en-US"/>
              </w:rPr>
              <w:t>2a</w:t>
            </w:r>
          </w:p>
        </w:tc>
        <w:tc>
          <w:tcPr>
            <w:tcW w:w="2311" w:type="dxa"/>
            <w:tcBorders>
              <w:top w:val="nil"/>
              <w:left w:val="nil"/>
              <w:bottom w:val="dotted" w:sz="4" w:space="0" w:color="auto"/>
              <w:right w:val="single" w:sz="4" w:space="0" w:color="auto"/>
            </w:tcBorders>
            <w:shd w:val="clear" w:color="auto" w:fill="auto"/>
            <w:vAlign w:val="center"/>
            <w:hideMark/>
          </w:tcPr>
          <w:p w:rsidR="00E473EF" w:rsidRDefault="00CE451E">
            <w:pPr>
              <w:rPr>
                <w:noProof/>
                <w:color w:val="000000"/>
                <w:sz w:val="14"/>
                <w:szCs w:val="14"/>
                <w:lang w:val="en-US" w:eastAsia="en-US"/>
              </w:rPr>
            </w:pPr>
            <w:r>
              <w:rPr>
                <w:noProof/>
                <w:color w:val="000000"/>
                <w:sz w:val="14"/>
                <w:szCs w:val="14"/>
                <w:lang w:val="en-US" w:eastAsia="en-US"/>
              </w:rPr>
              <w:t>Economic, social and territoral cohesion</w:t>
            </w:r>
          </w:p>
        </w:tc>
        <w:tc>
          <w:tcPr>
            <w:tcW w:w="130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noProof/>
                <w:color w:val="000000"/>
                <w:sz w:val="14"/>
                <w:szCs w:val="14"/>
                <w:lang w:val="en-US" w:eastAsia="en-US"/>
              </w:rPr>
            </w:pPr>
            <w:r>
              <w:rPr>
                <w:noProof/>
                <w:color w:val="000000"/>
                <w:sz w:val="14"/>
                <w:szCs w:val="14"/>
                <w:lang w:val="en-US" w:eastAsia="en-US"/>
              </w:rPr>
              <w:t>47 149 471 441</w:t>
            </w:r>
          </w:p>
        </w:tc>
        <w:tc>
          <w:tcPr>
            <w:tcW w:w="129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noProof/>
                <w:color w:val="000000"/>
                <w:sz w:val="14"/>
                <w:szCs w:val="14"/>
                <w:lang w:val="en-US" w:eastAsia="en-US"/>
              </w:rPr>
            </w:pPr>
            <w:r>
              <w:rPr>
                <w:noProof/>
                <w:color w:val="000000"/>
                <w:sz w:val="14"/>
                <w:szCs w:val="14"/>
                <w:lang w:val="en-US" w:eastAsia="en-US"/>
              </w:rPr>
              <w:t>58 687 290 538</w:t>
            </w:r>
          </w:p>
        </w:tc>
        <w:tc>
          <w:tcPr>
            <w:tcW w:w="1297"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noProof/>
                <w:color w:val="000000"/>
                <w:sz w:val="14"/>
                <w:szCs w:val="14"/>
                <w:lang w:val="en-US" w:eastAsia="en-US"/>
              </w:rPr>
            </w:pPr>
            <w:r>
              <w:rPr>
                <w:noProof/>
                <w:color w:val="000000"/>
                <w:sz w:val="14"/>
                <w:szCs w:val="14"/>
                <w:lang w:val="en-US" w:eastAsia="en-US"/>
              </w:rPr>
              <w:t>1 041 044 559</w:t>
            </w:r>
          </w:p>
        </w:tc>
        <w:tc>
          <w:tcPr>
            <w:tcW w:w="133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noProof/>
                <w:color w:val="000000"/>
                <w:sz w:val="14"/>
                <w:szCs w:val="14"/>
                <w:lang w:val="en-US" w:eastAsia="en-US"/>
              </w:rPr>
            </w:pPr>
            <w:r>
              <w:rPr>
                <w:noProof/>
                <w:color w:val="000000"/>
                <w:sz w:val="14"/>
                <w:szCs w:val="14"/>
                <w:lang w:val="en-US" w:eastAsia="en-US"/>
              </w:rPr>
              <w:t>3 180 607 007</w:t>
            </w:r>
          </w:p>
        </w:tc>
        <w:tc>
          <w:tcPr>
            <w:tcW w:w="129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noProof/>
                <w:color w:val="000000"/>
                <w:sz w:val="14"/>
                <w:szCs w:val="14"/>
                <w:lang w:val="en-US" w:eastAsia="en-US"/>
              </w:rPr>
            </w:pPr>
            <w:r>
              <w:rPr>
                <w:noProof/>
                <w:color w:val="000000"/>
                <w:sz w:val="14"/>
                <w:szCs w:val="14"/>
                <w:lang w:val="en-US" w:eastAsia="en-US"/>
              </w:rPr>
              <w:t>48 190 516 000</w:t>
            </w:r>
          </w:p>
        </w:tc>
        <w:tc>
          <w:tcPr>
            <w:tcW w:w="1296"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noProof/>
                <w:color w:val="000000"/>
                <w:sz w:val="14"/>
                <w:szCs w:val="14"/>
                <w:lang w:val="en-US" w:eastAsia="en-US"/>
              </w:rPr>
            </w:pPr>
            <w:r>
              <w:rPr>
                <w:noProof/>
                <w:color w:val="000000"/>
                <w:sz w:val="14"/>
                <w:szCs w:val="14"/>
                <w:lang w:val="en-US" w:eastAsia="en-US"/>
              </w:rPr>
              <w:t>61 867 897 545</w:t>
            </w:r>
          </w:p>
        </w:tc>
      </w:tr>
      <w:tr w:rsidR="00E473EF">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Ceiling</w:t>
            </w:r>
          </w:p>
        </w:tc>
        <w:tc>
          <w:tcPr>
            <w:tcW w:w="130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47 150 000 000</w:t>
            </w:r>
          </w:p>
        </w:tc>
        <w:tc>
          <w:tcPr>
            <w:tcW w:w="129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1 041 000 000</w:t>
            </w:r>
          </w:p>
        </w:tc>
        <w:tc>
          <w:tcPr>
            <w:tcW w:w="133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48 191 000 000</w:t>
            </w:r>
          </w:p>
        </w:tc>
        <w:tc>
          <w:tcPr>
            <w:tcW w:w="1296"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r>
      <w:tr w:rsidR="00E473EF">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Margin</w:t>
            </w:r>
          </w:p>
        </w:tc>
        <w:tc>
          <w:tcPr>
            <w:tcW w:w="130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528 559</w:t>
            </w:r>
          </w:p>
        </w:tc>
        <w:tc>
          <w:tcPr>
            <w:tcW w:w="129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single"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44 559</w:t>
            </w:r>
          </w:p>
        </w:tc>
        <w:tc>
          <w:tcPr>
            <w:tcW w:w="1332" w:type="dxa"/>
            <w:tcBorders>
              <w:top w:val="nil"/>
              <w:left w:val="nil"/>
              <w:bottom w:val="single"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484 000</w:t>
            </w:r>
          </w:p>
        </w:tc>
        <w:tc>
          <w:tcPr>
            <w:tcW w:w="1296" w:type="dxa"/>
            <w:tcBorders>
              <w:top w:val="nil"/>
              <w:left w:val="nil"/>
              <w:bottom w:val="single"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r>
      <w:tr w:rsidR="00E473EF">
        <w:trPr>
          <w:gridAfter w:val="1"/>
          <w:wAfter w:w="24" w:type="dxa"/>
          <w:trHeight w:val="260"/>
          <w:jc w:val="center"/>
        </w:trPr>
        <w:tc>
          <w:tcPr>
            <w:tcW w:w="356" w:type="dxa"/>
            <w:tcBorders>
              <w:top w:val="nil"/>
              <w:left w:val="single" w:sz="4" w:space="0" w:color="auto"/>
              <w:bottom w:val="dotted" w:sz="4" w:space="0" w:color="auto"/>
              <w:right w:val="nil"/>
            </w:tcBorders>
            <w:shd w:val="clear" w:color="auto" w:fill="auto"/>
            <w:vAlign w:val="center"/>
            <w:hideMark/>
          </w:tcPr>
          <w:p w:rsidR="00E473EF" w:rsidRDefault="00CE451E">
            <w:pPr>
              <w:rPr>
                <w:noProof/>
                <w:color w:val="000000"/>
                <w:sz w:val="14"/>
                <w:szCs w:val="14"/>
                <w:lang w:val="en-US" w:eastAsia="en-US"/>
              </w:rPr>
            </w:pPr>
            <w:r>
              <w:rPr>
                <w:noProof/>
                <w:color w:val="000000"/>
                <w:sz w:val="14"/>
                <w:szCs w:val="14"/>
                <w:lang w:val="en-US" w:eastAsia="en-US"/>
              </w:rPr>
              <w:t xml:space="preserve">2b </w:t>
            </w:r>
          </w:p>
        </w:tc>
        <w:tc>
          <w:tcPr>
            <w:tcW w:w="2311" w:type="dxa"/>
            <w:tcBorders>
              <w:top w:val="nil"/>
              <w:left w:val="nil"/>
              <w:bottom w:val="dotted" w:sz="4" w:space="0" w:color="auto"/>
              <w:right w:val="single" w:sz="4" w:space="0" w:color="auto"/>
            </w:tcBorders>
            <w:shd w:val="clear" w:color="auto" w:fill="auto"/>
            <w:vAlign w:val="center"/>
            <w:hideMark/>
          </w:tcPr>
          <w:p w:rsidR="00E473EF" w:rsidRDefault="00CE451E">
            <w:pPr>
              <w:rPr>
                <w:noProof/>
                <w:color w:val="000000"/>
                <w:sz w:val="14"/>
                <w:szCs w:val="14"/>
                <w:lang w:val="en-US" w:eastAsia="en-US"/>
              </w:rPr>
            </w:pPr>
            <w:r>
              <w:rPr>
                <w:noProof/>
                <w:color w:val="000000"/>
                <w:sz w:val="14"/>
                <w:szCs w:val="14"/>
                <w:lang w:val="en-US" w:eastAsia="en-US"/>
              </w:rPr>
              <w:t>Resilience and Values</w:t>
            </w:r>
          </w:p>
        </w:tc>
        <w:tc>
          <w:tcPr>
            <w:tcW w:w="130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noProof/>
                <w:color w:val="000000"/>
                <w:sz w:val="14"/>
                <w:szCs w:val="14"/>
                <w:lang w:val="en-US" w:eastAsia="en-US"/>
              </w:rPr>
            </w:pPr>
            <w:r>
              <w:rPr>
                <w:noProof/>
                <w:color w:val="000000"/>
                <w:sz w:val="14"/>
                <w:szCs w:val="14"/>
                <w:lang w:val="en-US" w:eastAsia="en-US"/>
              </w:rPr>
              <w:t>4 337 678 720</w:t>
            </w:r>
          </w:p>
        </w:tc>
        <w:tc>
          <w:tcPr>
            <w:tcW w:w="129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noProof/>
                <w:color w:val="000000"/>
                <w:sz w:val="14"/>
                <w:szCs w:val="14"/>
                <w:lang w:val="en-US" w:eastAsia="en-US"/>
              </w:rPr>
            </w:pPr>
            <w:r>
              <w:rPr>
                <w:noProof/>
                <w:color w:val="000000"/>
                <w:sz w:val="14"/>
                <w:szCs w:val="14"/>
                <w:lang w:val="en-US" w:eastAsia="en-US"/>
              </w:rPr>
              <w:t>3 937 891 303</w:t>
            </w:r>
          </w:p>
        </w:tc>
        <w:tc>
          <w:tcPr>
            <w:tcW w:w="1297"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noProof/>
                <w:color w:val="000000"/>
                <w:sz w:val="14"/>
                <w:szCs w:val="14"/>
                <w:lang w:val="en-US" w:eastAsia="en-US"/>
              </w:rPr>
            </w:pPr>
            <w:r>
              <w:rPr>
                <w:noProof/>
                <w:color w:val="000000"/>
                <w:sz w:val="14"/>
                <w:szCs w:val="14"/>
                <w:lang w:val="en-US" w:eastAsia="en-US"/>
              </w:rPr>
              <w:t xml:space="preserve"> 355 089 528</w:t>
            </w:r>
          </w:p>
        </w:tc>
        <w:tc>
          <w:tcPr>
            <w:tcW w:w="133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noProof/>
                <w:color w:val="000000"/>
                <w:sz w:val="14"/>
                <w:szCs w:val="14"/>
                <w:lang w:val="en-US" w:eastAsia="en-US"/>
              </w:rPr>
            </w:pPr>
            <w:r>
              <w:rPr>
                <w:noProof/>
                <w:color w:val="000000"/>
                <w:sz w:val="14"/>
                <w:szCs w:val="14"/>
                <w:lang w:val="en-US" w:eastAsia="en-US"/>
              </w:rPr>
              <w:t xml:space="preserve"> 399 349 191</w:t>
            </w:r>
          </w:p>
        </w:tc>
        <w:tc>
          <w:tcPr>
            <w:tcW w:w="129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noProof/>
                <w:color w:val="000000"/>
                <w:sz w:val="14"/>
                <w:szCs w:val="14"/>
                <w:lang w:val="en-US" w:eastAsia="en-US"/>
              </w:rPr>
            </w:pPr>
            <w:r>
              <w:rPr>
                <w:noProof/>
                <w:color w:val="000000"/>
                <w:sz w:val="14"/>
                <w:szCs w:val="14"/>
                <w:lang w:val="en-US" w:eastAsia="en-US"/>
              </w:rPr>
              <w:t>4 692 768 248</w:t>
            </w:r>
          </w:p>
        </w:tc>
        <w:tc>
          <w:tcPr>
            <w:tcW w:w="1296"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noProof/>
                <w:color w:val="000000"/>
                <w:sz w:val="14"/>
                <w:szCs w:val="14"/>
                <w:lang w:val="en-US" w:eastAsia="en-US"/>
              </w:rPr>
            </w:pPr>
            <w:r>
              <w:rPr>
                <w:noProof/>
                <w:color w:val="000000"/>
                <w:sz w:val="14"/>
                <w:szCs w:val="14"/>
                <w:lang w:val="en-US" w:eastAsia="en-US"/>
              </w:rPr>
              <w:t>4 337 240 494</w:t>
            </w:r>
          </w:p>
        </w:tc>
      </w:tr>
      <w:tr w:rsidR="00E473EF">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Ceiling</w:t>
            </w:r>
          </w:p>
        </w:tc>
        <w:tc>
          <w:tcPr>
            <w:tcW w:w="130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4 580 000 000</w:t>
            </w:r>
          </w:p>
        </w:tc>
        <w:tc>
          <w:tcPr>
            <w:tcW w:w="129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15 000 000</w:t>
            </w:r>
          </w:p>
        </w:tc>
        <w:tc>
          <w:tcPr>
            <w:tcW w:w="133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4 595 000 000</w:t>
            </w:r>
          </w:p>
        </w:tc>
        <w:tc>
          <w:tcPr>
            <w:tcW w:w="1296"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r>
      <w:tr w:rsidR="00E473EF">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Of which under Flexibility Instrument</w:t>
            </w:r>
          </w:p>
        </w:tc>
        <w:tc>
          <w:tcPr>
            <w:tcW w:w="130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w:t>
            </w:r>
          </w:p>
        </w:tc>
        <w:tc>
          <w:tcPr>
            <w:tcW w:w="129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97 768 248</w:t>
            </w:r>
          </w:p>
        </w:tc>
        <w:tc>
          <w:tcPr>
            <w:tcW w:w="133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97 768 248</w:t>
            </w:r>
          </w:p>
        </w:tc>
        <w:tc>
          <w:tcPr>
            <w:tcW w:w="1296"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r>
      <w:tr w:rsidR="00E473EF">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Margin</w:t>
            </w:r>
          </w:p>
        </w:tc>
        <w:tc>
          <w:tcPr>
            <w:tcW w:w="130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242 321 280</w:t>
            </w:r>
          </w:p>
        </w:tc>
        <w:tc>
          <w:tcPr>
            <w:tcW w:w="129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single"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- 242 321 280</w:t>
            </w:r>
          </w:p>
        </w:tc>
        <w:tc>
          <w:tcPr>
            <w:tcW w:w="1332" w:type="dxa"/>
            <w:tcBorders>
              <w:top w:val="nil"/>
              <w:left w:val="nil"/>
              <w:bottom w:val="single"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w:t>
            </w:r>
          </w:p>
        </w:tc>
        <w:tc>
          <w:tcPr>
            <w:tcW w:w="1296" w:type="dxa"/>
            <w:tcBorders>
              <w:top w:val="nil"/>
              <w:left w:val="nil"/>
              <w:bottom w:val="single"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r>
      <w:tr w:rsidR="00E473EF">
        <w:trPr>
          <w:gridAfter w:val="1"/>
          <w:wAfter w:w="24" w:type="dxa"/>
          <w:trHeight w:val="260"/>
          <w:jc w:val="center"/>
        </w:trPr>
        <w:tc>
          <w:tcPr>
            <w:tcW w:w="356" w:type="dxa"/>
            <w:tcBorders>
              <w:top w:val="nil"/>
              <w:left w:val="single" w:sz="4" w:space="0" w:color="auto"/>
              <w:bottom w:val="dotted" w:sz="4" w:space="0" w:color="auto"/>
              <w:right w:val="nil"/>
            </w:tcBorders>
            <w:shd w:val="clear" w:color="auto" w:fill="auto"/>
            <w:vAlign w:val="center"/>
            <w:hideMark/>
          </w:tcPr>
          <w:p w:rsidR="00E473EF" w:rsidRDefault="00CE451E">
            <w:pPr>
              <w:rPr>
                <w:b/>
                <w:bCs/>
                <w:noProof/>
                <w:color w:val="000000"/>
                <w:sz w:val="14"/>
                <w:szCs w:val="14"/>
                <w:lang w:val="en-US" w:eastAsia="en-US"/>
              </w:rPr>
            </w:pPr>
            <w:r>
              <w:rPr>
                <w:b/>
                <w:bCs/>
                <w:noProof/>
                <w:color w:val="000000"/>
                <w:sz w:val="14"/>
                <w:szCs w:val="14"/>
                <w:lang w:val="en-US" w:eastAsia="en-US"/>
              </w:rPr>
              <w:t>3.</w:t>
            </w:r>
          </w:p>
        </w:tc>
        <w:tc>
          <w:tcPr>
            <w:tcW w:w="2311" w:type="dxa"/>
            <w:tcBorders>
              <w:top w:val="nil"/>
              <w:left w:val="nil"/>
              <w:bottom w:val="dotted" w:sz="4" w:space="0" w:color="auto"/>
              <w:right w:val="single" w:sz="4" w:space="0" w:color="auto"/>
            </w:tcBorders>
            <w:shd w:val="clear" w:color="auto" w:fill="auto"/>
            <w:vAlign w:val="center"/>
            <w:hideMark/>
          </w:tcPr>
          <w:p w:rsidR="00E473EF" w:rsidRDefault="00CE451E">
            <w:pPr>
              <w:rPr>
                <w:b/>
                <w:bCs/>
                <w:noProof/>
                <w:color w:val="000000"/>
                <w:sz w:val="14"/>
                <w:szCs w:val="14"/>
                <w:lang w:val="en-US" w:eastAsia="en-US"/>
              </w:rPr>
            </w:pPr>
            <w:r>
              <w:rPr>
                <w:b/>
                <w:bCs/>
                <w:noProof/>
                <w:color w:val="000000"/>
                <w:sz w:val="14"/>
                <w:szCs w:val="14"/>
                <w:lang w:val="en-US" w:eastAsia="en-US"/>
              </w:rPr>
              <w:t>Natural Resources and Environment</w:t>
            </w:r>
          </w:p>
        </w:tc>
        <w:tc>
          <w:tcPr>
            <w:tcW w:w="130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58 441 127 005</w:t>
            </w:r>
          </w:p>
        </w:tc>
        <w:tc>
          <w:tcPr>
            <w:tcW w:w="129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56 249 546 448</w:t>
            </w:r>
          </w:p>
        </w:tc>
        <w:tc>
          <w:tcPr>
            <w:tcW w:w="1297"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 xml:space="preserve"> 81 685 531</w:t>
            </w:r>
          </w:p>
        </w:tc>
        <w:tc>
          <w:tcPr>
            <w:tcW w:w="133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 xml:space="preserve"> 552 385 050</w:t>
            </w:r>
          </w:p>
        </w:tc>
        <w:tc>
          <w:tcPr>
            <w:tcW w:w="129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58 522 812 536</w:t>
            </w:r>
          </w:p>
        </w:tc>
        <w:tc>
          <w:tcPr>
            <w:tcW w:w="1296"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56 801 931 498</w:t>
            </w:r>
          </w:p>
        </w:tc>
      </w:tr>
      <w:tr w:rsidR="00E473EF">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Ceiling</w:t>
            </w:r>
          </w:p>
        </w:tc>
        <w:tc>
          <w:tcPr>
            <w:tcW w:w="130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58 656 000 000</w:t>
            </w:r>
          </w:p>
        </w:tc>
        <w:tc>
          <w:tcPr>
            <w:tcW w:w="129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- 32 000 000</w:t>
            </w:r>
          </w:p>
        </w:tc>
        <w:tc>
          <w:tcPr>
            <w:tcW w:w="133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58 624 000 000</w:t>
            </w:r>
          </w:p>
        </w:tc>
        <w:tc>
          <w:tcPr>
            <w:tcW w:w="1296"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r>
      <w:tr w:rsidR="00E473EF">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Margin</w:t>
            </w:r>
          </w:p>
        </w:tc>
        <w:tc>
          <w:tcPr>
            <w:tcW w:w="130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214 872 995</w:t>
            </w:r>
          </w:p>
        </w:tc>
        <w:tc>
          <w:tcPr>
            <w:tcW w:w="129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single"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- 113 685 531</w:t>
            </w:r>
          </w:p>
        </w:tc>
        <w:tc>
          <w:tcPr>
            <w:tcW w:w="1332" w:type="dxa"/>
            <w:tcBorders>
              <w:top w:val="nil"/>
              <w:left w:val="nil"/>
              <w:bottom w:val="single"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101 187 464</w:t>
            </w:r>
          </w:p>
        </w:tc>
        <w:tc>
          <w:tcPr>
            <w:tcW w:w="1296" w:type="dxa"/>
            <w:tcBorders>
              <w:top w:val="nil"/>
              <w:left w:val="nil"/>
              <w:bottom w:val="single"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r>
      <w:tr w:rsidR="00E473EF">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E473EF" w:rsidRDefault="00CE451E">
            <w:pPr>
              <w:rPr>
                <w:noProof/>
                <w:color w:val="000000"/>
                <w:sz w:val="14"/>
                <w:szCs w:val="14"/>
                <w:lang w:val="en-US" w:eastAsia="en-US"/>
              </w:rPr>
            </w:pPr>
            <w:r>
              <w:rPr>
                <w:noProof/>
                <w:color w:val="000000"/>
                <w:sz w:val="14"/>
                <w:szCs w:val="14"/>
                <w:lang w:val="en-US" w:eastAsia="en-US"/>
              </w:rPr>
              <w:t>Of which: European Agricultural Guarantee Fund (EAGF) — Market related expenditure and direct payments</w:t>
            </w:r>
          </w:p>
        </w:tc>
        <w:tc>
          <w:tcPr>
            <w:tcW w:w="130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noProof/>
                <w:color w:val="000000"/>
                <w:sz w:val="14"/>
                <w:szCs w:val="14"/>
                <w:lang w:val="en-US" w:eastAsia="en-US"/>
              </w:rPr>
            </w:pPr>
            <w:r>
              <w:rPr>
                <w:noProof/>
                <w:color w:val="000000"/>
                <w:sz w:val="14"/>
                <w:szCs w:val="14"/>
                <w:lang w:val="en-US" w:eastAsia="en-US"/>
              </w:rPr>
              <w:t>40 179 072 000</w:t>
            </w:r>
          </w:p>
        </w:tc>
        <w:tc>
          <w:tcPr>
            <w:tcW w:w="129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noProof/>
                <w:color w:val="000000"/>
                <w:sz w:val="14"/>
                <w:szCs w:val="14"/>
                <w:lang w:val="en-US" w:eastAsia="en-US"/>
              </w:rPr>
            </w:pPr>
            <w:r>
              <w:rPr>
                <w:noProof/>
                <w:color w:val="000000"/>
                <w:sz w:val="14"/>
                <w:szCs w:val="14"/>
                <w:lang w:val="en-US" w:eastAsia="en-US"/>
              </w:rPr>
              <w:t>40 164 860 883</w:t>
            </w:r>
          </w:p>
        </w:tc>
        <w:tc>
          <w:tcPr>
            <w:tcW w:w="1297"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noProof/>
                <w:color w:val="000000"/>
                <w:sz w:val="14"/>
                <w:szCs w:val="14"/>
                <w:lang w:val="en-US" w:eastAsia="en-US"/>
              </w:rPr>
            </w:pPr>
            <w:r>
              <w:rPr>
                <w:noProof/>
                <w:color w:val="000000"/>
                <w:sz w:val="14"/>
                <w:szCs w:val="14"/>
                <w:lang w:val="en-US" w:eastAsia="en-US"/>
              </w:rPr>
              <w:t xml:space="preserve"> 188 882 000</w:t>
            </w:r>
          </w:p>
        </w:tc>
        <w:tc>
          <w:tcPr>
            <w:tcW w:w="133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noProof/>
                <w:color w:val="000000"/>
                <w:sz w:val="14"/>
                <w:szCs w:val="14"/>
                <w:lang w:val="en-US" w:eastAsia="en-US"/>
              </w:rPr>
            </w:pPr>
            <w:r>
              <w:rPr>
                <w:noProof/>
                <w:color w:val="000000"/>
                <w:sz w:val="14"/>
                <w:szCs w:val="14"/>
                <w:lang w:val="en-US" w:eastAsia="en-US"/>
              </w:rPr>
              <w:t xml:space="preserve"> 188 882 000</w:t>
            </w:r>
          </w:p>
        </w:tc>
        <w:tc>
          <w:tcPr>
            <w:tcW w:w="129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noProof/>
                <w:color w:val="000000"/>
                <w:sz w:val="14"/>
                <w:szCs w:val="14"/>
                <w:lang w:val="en-US" w:eastAsia="en-US"/>
              </w:rPr>
            </w:pPr>
            <w:r>
              <w:rPr>
                <w:noProof/>
                <w:color w:val="000000"/>
                <w:sz w:val="14"/>
                <w:szCs w:val="14"/>
                <w:lang w:val="en-US" w:eastAsia="en-US"/>
              </w:rPr>
              <w:t>40 367 954 000</w:t>
            </w:r>
          </w:p>
        </w:tc>
        <w:tc>
          <w:tcPr>
            <w:tcW w:w="1296"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noProof/>
                <w:color w:val="000000"/>
                <w:sz w:val="14"/>
                <w:szCs w:val="14"/>
                <w:lang w:val="en-US" w:eastAsia="en-US"/>
              </w:rPr>
            </w:pPr>
            <w:r>
              <w:rPr>
                <w:noProof/>
                <w:color w:val="000000"/>
                <w:sz w:val="14"/>
                <w:szCs w:val="14"/>
                <w:lang w:val="en-US" w:eastAsia="en-US"/>
              </w:rPr>
              <w:t>40 353 742 883</w:t>
            </w:r>
          </w:p>
        </w:tc>
      </w:tr>
      <w:tr w:rsidR="00E473EF">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Sub-ceiling</w:t>
            </w:r>
          </w:p>
        </w:tc>
        <w:tc>
          <w:tcPr>
            <w:tcW w:w="130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40 932 </w:t>
            </w:r>
            <w:r>
              <w:rPr>
                <w:i/>
                <w:iCs/>
                <w:noProof/>
                <w:color w:val="000000"/>
                <w:sz w:val="14"/>
                <w:szCs w:val="14"/>
                <w:lang w:val="en-US" w:eastAsia="en-US"/>
              </w:rPr>
              <w:t>000 000</w:t>
            </w:r>
          </w:p>
        </w:tc>
        <w:tc>
          <w:tcPr>
            <w:tcW w:w="129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- 7 000 000</w:t>
            </w:r>
          </w:p>
        </w:tc>
        <w:tc>
          <w:tcPr>
            <w:tcW w:w="133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40 925 000 000</w:t>
            </w:r>
          </w:p>
        </w:tc>
        <w:tc>
          <w:tcPr>
            <w:tcW w:w="1296"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r>
      <w:tr w:rsidR="00E473EF">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Transfers between pillars</w:t>
            </w:r>
          </w:p>
        </w:tc>
        <w:tc>
          <w:tcPr>
            <w:tcW w:w="130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- 753 928 000</w:t>
            </w:r>
          </w:p>
        </w:tc>
        <w:tc>
          <w:tcPr>
            <w:tcW w:w="129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196 882 000</w:t>
            </w:r>
          </w:p>
        </w:tc>
        <w:tc>
          <w:tcPr>
            <w:tcW w:w="133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- 557 046 000</w:t>
            </w:r>
          </w:p>
        </w:tc>
        <w:tc>
          <w:tcPr>
            <w:tcW w:w="1296"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r>
      <w:tr w:rsidR="00E473EF">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Rounding difference excluded from margin calculation</w:t>
            </w:r>
          </w:p>
        </w:tc>
        <w:tc>
          <w:tcPr>
            <w:tcW w:w="130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1 000 000</w:t>
            </w:r>
          </w:p>
        </w:tc>
        <w:tc>
          <w:tcPr>
            <w:tcW w:w="129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- 1 000 000</w:t>
            </w:r>
          </w:p>
        </w:tc>
        <w:tc>
          <w:tcPr>
            <w:tcW w:w="133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w:t>
            </w:r>
          </w:p>
        </w:tc>
        <w:tc>
          <w:tcPr>
            <w:tcW w:w="1296"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r>
      <w:tr w:rsidR="00E473EF">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EAGF Margin</w:t>
            </w:r>
          </w:p>
        </w:tc>
        <w:tc>
          <w:tcPr>
            <w:tcW w:w="130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w:t>
            </w:r>
          </w:p>
        </w:tc>
        <w:tc>
          <w:tcPr>
            <w:tcW w:w="129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w:t>
            </w:r>
          </w:p>
        </w:tc>
        <w:tc>
          <w:tcPr>
            <w:tcW w:w="1332" w:type="dxa"/>
            <w:tcBorders>
              <w:top w:val="nil"/>
              <w:left w:val="nil"/>
              <w:bottom w:val="single"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w:t>
            </w:r>
          </w:p>
        </w:tc>
        <w:tc>
          <w:tcPr>
            <w:tcW w:w="1296" w:type="dxa"/>
            <w:tcBorders>
              <w:top w:val="nil"/>
              <w:left w:val="nil"/>
              <w:bottom w:val="single"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r>
      <w:tr w:rsidR="00E473EF">
        <w:trPr>
          <w:gridAfter w:val="1"/>
          <w:wAfter w:w="24" w:type="dxa"/>
          <w:trHeight w:val="260"/>
          <w:jc w:val="center"/>
        </w:trPr>
        <w:tc>
          <w:tcPr>
            <w:tcW w:w="356" w:type="dxa"/>
            <w:tcBorders>
              <w:top w:val="nil"/>
              <w:left w:val="single" w:sz="4" w:space="0" w:color="auto"/>
              <w:bottom w:val="dotted" w:sz="4" w:space="0" w:color="auto"/>
              <w:right w:val="nil"/>
            </w:tcBorders>
            <w:shd w:val="clear" w:color="auto" w:fill="auto"/>
            <w:vAlign w:val="center"/>
            <w:hideMark/>
          </w:tcPr>
          <w:p w:rsidR="00E473EF" w:rsidRDefault="00CE451E">
            <w:pPr>
              <w:rPr>
                <w:b/>
                <w:bCs/>
                <w:noProof/>
                <w:color w:val="000000"/>
                <w:sz w:val="14"/>
                <w:szCs w:val="14"/>
                <w:lang w:val="en-US" w:eastAsia="en-US"/>
              </w:rPr>
            </w:pPr>
            <w:r>
              <w:rPr>
                <w:b/>
                <w:bCs/>
                <w:noProof/>
                <w:color w:val="000000"/>
                <w:sz w:val="14"/>
                <w:szCs w:val="14"/>
                <w:lang w:val="en-US" w:eastAsia="en-US"/>
              </w:rPr>
              <w:t>4.</w:t>
            </w:r>
          </w:p>
        </w:tc>
        <w:tc>
          <w:tcPr>
            <w:tcW w:w="2311" w:type="dxa"/>
            <w:tcBorders>
              <w:top w:val="nil"/>
              <w:left w:val="nil"/>
              <w:bottom w:val="dotted" w:sz="4" w:space="0" w:color="auto"/>
              <w:right w:val="single" w:sz="4" w:space="0" w:color="auto"/>
            </w:tcBorders>
            <w:shd w:val="clear" w:color="auto" w:fill="auto"/>
            <w:noWrap/>
            <w:vAlign w:val="center"/>
            <w:hideMark/>
          </w:tcPr>
          <w:p w:rsidR="00E473EF" w:rsidRDefault="00CE451E">
            <w:pPr>
              <w:rPr>
                <w:b/>
                <w:bCs/>
                <w:noProof/>
                <w:color w:val="000000"/>
                <w:sz w:val="14"/>
                <w:szCs w:val="14"/>
                <w:lang w:val="en-US" w:eastAsia="en-US"/>
              </w:rPr>
            </w:pPr>
            <w:r>
              <w:rPr>
                <w:b/>
                <w:bCs/>
                <w:noProof/>
                <w:color w:val="000000"/>
                <w:sz w:val="14"/>
                <w:szCs w:val="14"/>
                <w:lang w:val="en-US" w:eastAsia="en-US"/>
              </w:rPr>
              <w:t xml:space="preserve">Migration and </w:t>
            </w:r>
            <w:r>
              <w:rPr>
                <w:b/>
                <w:bCs/>
                <w:noProof/>
                <w:color w:val="000000"/>
                <w:sz w:val="14"/>
                <w:szCs w:val="14"/>
                <w:lang w:val="en-US" w:eastAsia="en-US"/>
              </w:rPr>
              <w:t>Border Management</w:t>
            </w:r>
          </w:p>
        </w:tc>
        <w:tc>
          <w:tcPr>
            <w:tcW w:w="130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3 060 813 759</w:t>
            </w:r>
          </w:p>
        </w:tc>
        <w:tc>
          <w:tcPr>
            <w:tcW w:w="129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2 723 483 549</w:t>
            </w:r>
          </w:p>
        </w:tc>
        <w:tc>
          <w:tcPr>
            <w:tcW w:w="1297" w:type="dxa"/>
            <w:tcBorders>
              <w:top w:val="single" w:sz="4" w:space="0" w:color="auto"/>
              <w:left w:val="nil"/>
              <w:bottom w:val="dotted"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- 721 484 000</w:t>
            </w:r>
          </w:p>
        </w:tc>
        <w:tc>
          <w:tcPr>
            <w:tcW w:w="133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 xml:space="preserve"> 23 262 429</w:t>
            </w:r>
          </w:p>
        </w:tc>
        <w:tc>
          <w:tcPr>
            <w:tcW w:w="129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2 339 329 759</w:t>
            </w:r>
          </w:p>
        </w:tc>
        <w:tc>
          <w:tcPr>
            <w:tcW w:w="1296"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2 746 745 978</w:t>
            </w:r>
          </w:p>
        </w:tc>
      </w:tr>
      <w:tr w:rsidR="00E473EF">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Ceiling</w:t>
            </w:r>
          </w:p>
        </w:tc>
        <w:tc>
          <w:tcPr>
            <w:tcW w:w="130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3 287 000 000</w:t>
            </w:r>
          </w:p>
        </w:tc>
        <w:tc>
          <w:tcPr>
            <w:tcW w:w="129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- 820 000 000</w:t>
            </w:r>
          </w:p>
        </w:tc>
        <w:tc>
          <w:tcPr>
            <w:tcW w:w="133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2 467 000 000</w:t>
            </w:r>
          </w:p>
        </w:tc>
        <w:tc>
          <w:tcPr>
            <w:tcW w:w="1296"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r>
      <w:tr w:rsidR="00E473EF">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Margin</w:t>
            </w:r>
          </w:p>
        </w:tc>
        <w:tc>
          <w:tcPr>
            <w:tcW w:w="130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226 186 241</w:t>
            </w:r>
          </w:p>
        </w:tc>
        <w:tc>
          <w:tcPr>
            <w:tcW w:w="129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- 98 516 000</w:t>
            </w:r>
          </w:p>
        </w:tc>
        <w:tc>
          <w:tcPr>
            <w:tcW w:w="1332" w:type="dxa"/>
            <w:tcBorders>
              <w:top w:val="nil"/>
              <w:left w:val="nil"/>
              <w:bottom w:val="single"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127 670 241</w:t>
            </w:r>
          </w:p>
        </w:tc>
        <w:tc>
          <w:tcPr>
            <w:tcW w:w="1296" w:type="dxa"/>
            <w:tcBorders>
              <w:top w:val="nil"/>
              <w:left w:val="nil"/>
              <w:bottom w:val="single"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r>
      <w:tr w:rsidR="00E473EF">
        <w:trPr>
          <w:gridAfter w:val="1"/>
          <w:wAfter w:w="24" w:type="dxa"/>
          <w:trHeight w:val="260"/>
          <w:jc w:val="center"/>
        </w:trPr>
        <w:tc>
          <w:tcPr>
            <w:tcW w:w="356" w:type="dxa"/>
            <w:tcBorders>
              <w:top w:val="nil"/>
              <w:left w:val="single" w:sz="4" w:space="0" w:color="auto"/>
              <w:bottom w:val="dotted" w:sz="4" w:space="0" w:color="auto"/>
              <w:right w:val="nil"/>
            </w:tcBorders>
            <w:shd w:val="clear" w:color="auto" w:fill="auto"/>
            <w:vAlign w:val="center"/>
            <w:hideMark/>
          </w:tcPr>
          <w:p w:rsidR="00E473EF" w:rsidRDefault="00CE451E">
            <w:pPr>
              <w:rPr>
                <w:b/>
                <w:bCs/>
                <w:noProof/>
                <w:color w:val="000000"/>
                <w:sz w:val="14"/>
                <w:szCs w:val="14"/>
                <w:lang w:val="en-US" w:eastAsia="en-US"/>
              </w:rPr>
            </w:pPr>
            <w:r>
              <w:rPr>
                <w:b/>
                <w:bCs/>
                <w:noProof/>
                <w:color w:val="000000"/>
                <w:sz w:val="14"/>
                <w:szCs w:val="14"/>
                <w:lang w:val="en-US" w:eastAsia="en-US"/>
              </w:rPr>
              <w:t>5.</w:t>
            </w:r>
          </w:p>
        </w:tc>
        <w:tc>
          <w:tcPr>
            <w:tcW w:w="2311" w:type="dxa"/>
            <w:tcBorders>
              <w:top w:val="nil"/>
              <w:left w:val="nil"/>
              <w:bottom w:val="dotted" w:sz="4" w:space="0" w:color="auto"/>
              <w:right w:val="single" w:sz="4" w:space="0" w:color="auto"/>
            </w:tcBorders>
            <w:shd w:val="clear" w:color="auto" w:fill="auto"/>
            <w:vAlign w:val="center"/>
            <w:hideMark/>
          </w:tcPr>
          <w:p w:rsidR="00E473EF" w:rsidRDefault="00CE451E">
            <w:pPr>
              <w:rPr>
                <w:b/>
                <w:bCs/>
                <w:noProof/>
                <w:color w:val="000000"/>
                <w:sz w:val="14"/>
                <w:szCs w:val="14"/>
                <w:lang w:val="en-US" w:eastAsia="en-US"/>
              </w:rPr>
            </w:pPr>
            <w:r>
              <w:rPr>
                <w:b/>
                <w:bCs/>
                <w:noProof/>
                <w:color w:val="000000"/>
                <w:sz w:val="14"/>
                <w:szCs w:val="14"/>
                <w:lang w:val="en-US" w:eastAsia="en-US"/>
              </w:rPr>
              <w:t>Security and Defence</w:t>
            </w:r>
          </w:p>
        </w:tc>
        <w:tc>
          <w:tcPr>
            <w:tcW w:w="130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2 189 025 780</w:t>
            </w:r>
          </w:p>
        </w:tc>
        <w:tc>
          <w:tcPr>
            <w:tcW w:w="129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 xml:space="preserve">1 810 </w:t>
            </w:r>
            <w:r>
              <w:rPr>
                <w:b/>
                <w:bCs/>
                <w:noProof/>
                <w:color w:val="000000"/>
                <w:sz w:val="14"/>
                <w:szCs w:val="14"/>
                <w:lang w:val="en-US" w:eastAsia="en-US"/>
              </w:rPr>
              <w:t>456 628</w:t>
            </w:r>
          </w:p>
        </w:tc>
        <w:tc>
          <w:tcPr>
            <w:tcW w:w="1297" w:type="dxa"/>
            <w:tcBorders>
              <w:top w:val="single" w:sz="4" w:space="0" w:color="auto"/>
              <w:left w:val="nil"/>
              <w:bottom w:val="dotted"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- 479 764 339</w:t>
            </w:r>
          </w:p>
        </w:tc>
        <w:tc>
          <w:tcPr>
            <w:tcW w:w="133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-1 139 828 385</w:t>
            </w:r>
          </w:p>
        </w:tc>
        <w:tc>
          <w:tcPr>
            <w:tcW w:w="129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1 709 261 441</w:t>
            </w:r>
          </w:p>
        </w:tc>
        <w:tc>
          <w:tcPr>
            <w:tcW w:w="1296"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 xml:space="preserve"> 670 628 243</w:t>
            </w:r>
          </w:p>
        </w:tc>
      </w:tr>
      <w:tr w:rsidR="00E473EF">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Ceiling</w:t>
            </w:r>
          </w:p>
        </w:tc>
        <w:tc>
          <w:tcPr>
            <w:tcW w:w="130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2 359 000 000</w:t>
            </w:r>
          </w:p>
        </w:tc>
        <w:tc>
          <w:tcPr>
            <w:tcW w:w="129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- 554 000 000</w:t>
            </w:r>
          </w:p>
        </w:tc>
        <w:tc>
          <w:tcPr>
            <w:tcW w:w="133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1 805 000 000</w:t>
            </w:r>
          </w:p>
        </w:tc>
        <w:tc>
          <w:tcPr>
            <w:tcW w:w="1296"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r>
      <w:tr w:rsidR="00E473EF">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Margin</w:t>
            </w:r>
          </w:p>
        </w:tc>
        <w:tc>
          <w:tcPr>
            <w:tcW w:w="130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169 974 220</w:t>
            </w:r>
          </w:p>
        </w:tc>
        <w:tc>
          <w:tcPr>
            <w:tcW w:w="129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- 74 235 661</w:t>
            </w:r>
          </w:p>
        </w:tc>
        <w:tc>
          <w:tcPr>
            <w:tcW w:w="1332" w:type="dxa"/>
            <w:tcBorders>
              <w:top w:val="nil"/>
              <w:left w:val="nil"/>
              <w:bottom w:val="single"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95 738 559</w:t>
            </w:r>
          </w:p>
        </w:tc>
        <w:tc>
          <w:tcPr>
            <w:tcW w:w="1296" w:type="dxa"/>
            <w:tcBorders>
              <w:top w:val="nil"/>
              <w:left w:val="nil"/>
              <w:bottom w:val="single"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r>
      <w:tr w:rsidR="00E473EF">
        <w:trPr>
          <w:gridAfter w:val="1"/>
          <w:wAfter w:w="24" w:type="dxa"/>
          <w:trHeight w:val="260"/>
          <w:jc w:val="center"/>
        </w:trPr>
        <w:tc>
          <w:tcPr>
            <w:tcW w:w="356" w:type="dxa"/>
            <w:tcBorders>
              <w:top w:val="nil"/>
              <w:left w:val="single" w:sz="4" w:space="0" w:color="auto"/>
              <w:bottom w:val="dotted" w:sz="4" w:space="0" w:color="auto"/>
              <w:right w:val="nil"/>
            </w:tcBorders>
            <w:shd w:val="clear" w:color="auto" w:fill="auto"/>
            <w:vAlign w:val="center"/>
            <w:hideMark/>
          </w:tcPr>
          <w:p w:rsidR="00E473EF" w:rsidRDefault="00CE451E">
            <w:pPr>
              <w:rPr>
                <w:b/>
                <w:bCs/>
                <w:noProof/>
                <w:color w:val="000000"/>
                <w:sz w:val="14"/>
                <w:szCs w:val="14"/>
                <w:lang w:val="en-US" w:eastAsia="en-US"/>
              </w:rPr>
            </w:pPr>
            <w:r>
              <w:rPr>
                <w:b/>
                <w:bCs/>
                <w:noProof/>
                <w:color w:val="000000"/>
                <w:sz w:val="14"/>
                <w:szCs w:val="14"/>
                <w:lang w:val="en-US" w:eastAsia="en-US"/>
              </w:rPr>
              <w:t>6.</w:t>
            </w:r>
          </w:p>
        </w:tc>
        <w:tc>
          <w:tcPr>
            <w:tcW w:w="2311" w:type="dxa"/>
            <w:tcBorders>
              <w:top w:val="nil"/>
              <w:left w:val="nil"/>
              <w:bottom w:val="dotted" w:sz="4" w:space="0" w:color="auto"/>
              <w:right w:val="single" w:sz="4" w:space="0" w:color="auto"/>
            </w:tcBorders>
            <w:shd w:val="clear" w:color="auto" w:fill="auto"/>
            <w:vAlign w:val="center"/>
            <w:hideMark/>
          </w:tcPr>
          <w:p w:rsidR="00E473EF" w:rsidRDefault="00CE451E">
            <w:pPr>
              <w:rPr>
                <w:b/>
                <w:bCs/>
                <w:noProof/>
                <w:color w:val="000000"/>
                <w:sz w:val="14"/>
                <w:szCs w:val="14"/>
                <w:lang w:val="en-US" w:eastAsia="en-US"/>
              </w:rPr>
            </w:pPr>
            <w:r>
              <w:rPr>
                <w:b/>
                <w:bCs/>
                <w:noProof/>
                <w:color w:val="000000"/>
                <w:sz w:val="14"/>
                <w:szCs w:val="14"/>
                <w:lang w:val="en-US" w:eastAsia="en-US"/>
              </w:rPr>
              <w:t>Neighbourhood and the World</w:t>
            </w:r>
          </w:p>
        </w:tc>
        <w:tc>
          <w:tcPr>
            <w:tcW w:w="130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16 113 620 000</w:t>
            </w:r>
          </w:p>
        </w:tc>
        <w:tc>
          <w:tcPr>
            <w:tcW w:w="129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10 418 805 355</w:t>
            </w:r>
          </w:p>
        </w:tc>
        <w:tc>
          <w:tcPr>
            <w:tcW w:w="1297" w:type="dxa"/>
            <w:tcBorders>
              <w:top w:val="single" w:sz="4" w:space="0" w:color="auto"/>
              <w:left w:val="nil"/>
              <w:bottom w:val="dotted"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- 53 405 718</w:t>
            </w:r>
          </w:p>
        </w:tc>
        <w:tc>
          <w:tcPr>
            <w:tcW w:w="133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 xml:space="preserve"> 360 653 839</w:t>
            </w:r>
          </w:p>
        </w:tc>
        <w:tc>
          <w:tcPr>
            <w:tcW w:w="129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16 060 214 282</w:t>
            </w:r>
          </w:p>
        </w:tc>
        <w:tc>
          <w:tcPr>
            <w:tcW w:w="1296"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10 779 459 194</w:t>
            </w:r>
          </w:p>
        </w:tc>
      </w:tr>
      <w:tr w:rsidR="00E473EF">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Ceiling</w:t>
            </w:r>
          </w:p>
        </w:tc>
        <w:tc>
          <w:tcPr>
            <w:tcW w:w="130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16 179 000 000</w:t>
            </w:r>
          </w:p>
        </w:tc>
        <w:tc>
          <w:tcPr>
            <w:tcW w:w="129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68 000 000</w:t>
            </w:r>
          </w:p>
        </w:tc>
        <w:tc>
          <w:tcPr>
            <w:tcW w:w="133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16 247 000 000</w:t>
            </w:r>
          </w:p>
        </w:tc>
        <w:tc>
          <w:tcPr>
            <w:tcW w:w="1296"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r>
      <w:tr w:rsidR="00E473EF">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Margin</w:t>
            </w:r>
          </w:p>
        </w:tc>
        <w:tc>
          <w:tcPr>
            <w:tcW w:w="130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65 380 000</w:t>
            </w:r>
          </w:p>
        </w:tc>
        <w:tc>
          <w:tcPr>
            <w:tcW w:w="129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121 405 718</w:t>
            </w:r>
          </w:p>
        </w:tc>
        <w:tc>
          <w:tcPr>
            <w:tcW w:w="1332" w:type="dxa"/>
            <w:tcBorders>
              <w:top w:val="nil"/>
              <w:left w:val="nil"/>
              <w:bottom w:val="single"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186 785 718</w:t>
            </w:r>
          </w:p>
        </w:tc>
        <w:tc>
          <w:tcPr>
            <w:tcW w:w="1296" w:type="dxa"/>
            <w:tcBorders>
              <w:top w:val="nil"/>
              <w:left w:val="nil"/>
              <w:bottom w:val="single"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r>
      <w:tr w:rsidR="00E473EF">
        <w:trPr>
          <w:gridAfter w:val="1"/>
          <w:wAfter w:w="24" w:type="dxa"/>
          <w:trHeight w:val="260"/>
          <w:jc w:val="center"/>
        </w:trPr>
        <w:tc>
          <w:tcPr>
            <w:tcW w:w="356" w:type="dxa"/>
            <w:tcBorders>
              <w:top w:val="nil"/>
              <w:left w:val="single" w:sz="4" w:space="0" w:color="auto"/>
              <w:bottom w:val="dotted" w:sz="4" w:space="0" w:color="auto"/>
              <w:right w:val="nil"/>
            </w:tcBorders>
            <w:shd w:val="clear" w:color="auto" w:fill="auto"/>
            <w:vAlign w:val="center"/>
            <w:hideMark/>
          </w:tcPr>
          <w:p w:rsidR="00E473EF" w:rsidRDefault="00CE451E">
            <w:pPr>
              <w:rPr>
                <w:b/>
                <w:bCs/>
                <w:noProof/>
                <w:color w:val="000000"/>
                <w:sz w:val="14"/>
                <w:szCs w:val="14"/>
                <w:lang w:val="en-US" w:eastAsia="en-US"/>
              </w:rPr>
            </w:pPr>
            <w:r>
              <w:rPr>
                <w:b/>
                <w:bCs/>
                <w:noProof/>
                <w:color w:val="000000"/>
                <w:sz w:val="14"/>
                <w:szCs w:val="14"/>
                <w:lang w:val="en-US" w:eastAsia="en-US"/>
              </w:rPr>
              <w:t>7.</w:t>
            </w:r>
          </w:p>
        </w:tc>
        <w:tc>
          <w:tcPr>
            <w:tcW w:w="2311" w:type="dxa"/>
            <w:tcBorders>
              <w:top w:val="nil"/>
              <w:left w:val="nil"/>
              <w:bottom w:val="dotted" w:sz="4" w:space="0" w:color="auto"/>
              <w:right w:val="single" w:sz="4" w:space="0" w:color="auto"/>
            </w:tcBorders>
            <w:shd w:val="clear" w:color="auto" w:fill="auto"/>
            <w:vAlign w:val="center"/>
            <w:hideMark/>
          </w:tcPr>
          <w:p w:rsidR="00E473EF" w:rsidRDefault="00CE451E">
            <w:pPr>
              <w:rPr>
                <w:b/>
                <w:bCs/>
                <w:noProof/>
                <w:color w:val="000000"/>
                <w:sz w:val="14"/>
                <w:szCs w:val="14"/>
                <w:lang w:val="en-US" w:eastAsia="en-US"/>
              </w:rPr>
            </w:pPr>
            <w:r>
              <w:rPr>
                <w:b/>
                <w:bCs/>
                <w:noProof/>
                <w:color w:val="000000"/>
                <w:sz w:val="14"/>
                <w:szCs w:val="14"/>
                <w:lang w:val="en-US" w:eastAsia="en-US"/>
              </w:rPr>
              <w:t>European Public Administration</w:t>
            </w:r>
          </w:p>
        </w:tc>
        <w:tc>
          <w:tcPr>
            <w:tcW w:w="130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10 451 225 171</w:t>
            </w:r>
          </w:p>
        </w:tc>
        <w:tc>
          <w:tcPr>
            <w:tcW w:w="129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10 452 500 260</w:t>
            </w:r>
          </w:p>
        </w:tc>
        <w:tc>
          <w:tcPr>
            <w:tcW w:w="1297" w:type="dxa"/>
            <w:tcBorders>
              <w:top w:val="single" w:sz="4" w:space="0" w:color="auto"/>
              <w:left w:val="nil"/>
              <w:bottom w:val="dotted"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 xml:space="preserve"> 5 912 740</w:t>
            </w:r>
          </w:p>
        </w:tc>
        <w:tc>
          <w:tcPr>
            <w:tcW w:w="133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 xml:space="preserve"> 5 912 740</w:t>
            </w:r>
          </w:p>
        </w:tc>
        <w:tc>
          <w:tcPr>
            <w:tcW w:w="129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10 457 137 911</w:t>
            </w:r>
          </w:p>
        </w:tc>
        <w:tc>
          <w:tcPr>
            <w:tcW w:w="1296"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10</w:t>
            </w:r>
            <w:r>
              <w:rPr>
                <w:b/>
                <w:bCs/>
                <w:noProof/>
                <w:color w:val="000000"/>
                <w:sz w:val="14"/>
                <w:szCs w:val="14"/>
                <w:lang w:val="en-US" w:eastAsia="en-US"/>
              </w:rPr>
              <w:t xml:space="preserve"> 458 413 000</w:t>
            </w:r>
          </w:p>
        </w:tc>
      </w:tr>
      <w:tr w:rsidR="00E473EF">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Ceiling</w:t>
            </w:r>
          </w:p>
        </w:tc>
        <w:tc>
          <w:tcPr>
            <w:tcW w:w="130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10 875 000 000</w:t>
            </w:r>
          </w:p>
        </w:tc>
        <w:tc>
          <w:tcPr>
            <w:tcW w:w="129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- 240 000 000</w:t>
            </w:r>
          </w:p>
        </w:tc>
        <w:tc>
          <w:tcPr>
            <w:tcW w:w="133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10 635 000 000</w:t>
            </w:r>
          </w:p>
        </w:tc>
        <w:tc>
          <w:tcPr>
            <w:tcW w:w="1296"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r>
      <w:tr w:rsidR="00E473EF">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Margin</w:t>
            </w:r>
          </w:p>
        </w:tc>
        <w:tc>
          <w:tcPr>
            <w:tcW w:w="130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423 774 829</w:t>
            </w:r>
          </w:p>
        </w:tc>
        <w:tc>
          <w:tcPr>
            <w:tcW w:w="129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- 245 912 740</w:t>
            </w:r>
          </w:p>
        </w:tc>
        <w:tc>
          <w:tcPr>
            <w:tcW w:w="133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177 862 089</w:t>
            </w:r>
          </w:p>
        </w:tc>
        <w:tc>
          <w:tcPr>
            <w:tcW w:w="1296"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r>
      <w:tr w:rsidR="00E473EF">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E473EF" w:rsidRDefault="00CE451E">
            <w:pPr>
              <w:rPr>
                <w:noProof/>
                <w:color w:val="000000"/>
                <w:sz w:val="14"/>
                <w:szCs w:val="14"/>
                <w:lang w:val="en-US" w:eastAsia="en-US"/>
              </w:rPr>
            </w:pPr>
            <w:r>
              <w:rPr>
                <w:noProof/>
                <w:color w:val="000000"/>
                <w:sz w:val="14"/>
                <w:szCs w:val="14"/>
                <w:lang w:val="en-US" w:eastAsia="en-US"/>
              </w:rPr>
              <w:t>Of which: Administrative expenditure of the institutions</w:t>
            </w:r>
          </w:p>
        </w:tc>
        <w:tc>
          <w:tcPr>
            <w:tcW w:w="1302" w:type="dxa"/>
            <w:tcBorders>
              <w:top w:val="single" w:sz="4" w:space="0" w:color="auto"/>
              <w:left w:val="nil"/>
              <w:bottom w:val="dotted" w:sz="4" w:space="0" w:color="auto"/>
              <w:right w:val="single" w:sz="4" w:space="0" w:color="auto"/>
            </w:tcBorders>
            <w:shd w:val="clear" w:color="000000" w:fill="FFFFFF"/>
            <w:vAlign w:val="center"/>
            <w:hideMark/>
          </w:tcPr>
          <w:p w:rsidR="00E473EF" w:rsidRDefault="00CE451E">
            <w:pPr>
              <w:jc w:val="right"/>
              <w:rPr>
                <w:noProof/>
                <w:color w:val="000000"/>
                <w:sz w:val="14"/>
                <w:szCs w:val="14"/>
                <w:lang w:val="en-US" w:eastAsia="en-US"/>
              </w:rPr>
            </w:pPr>
            <w:r>
              <w:rPr>
                <w:noProof/>
                <w:color w:val="000000"/>
                <w:sz w:val="14"/>
                <w:szCs w:val="14"/>
                <w:lang w:val="en-US" w:eastAsia="en-US"/>
              </w:rPr>
              <w:t>8 032 227 818</w:t>
            </w:r>
          </w:p>
        </w:tc>
        <w:tc>
          <w:tcPr>
            <w:tcW w:w="1292" w:type="dxa"/>
            <w:tcBorders>
              <w:top w:val="single" w:sz="4" w:space="0" w:color="auto"/>
              <w:left w:val="nil"/>
              <w:bottom w:val="dotted" w:sz="4" w:space="0" w:color="auto"/>
              <w:right w:val="single" w:sz="4" w:space="0" w:color="auto"/>
            </w:tcBorders>
            <w:shd w:val="clear" w:color="000000" w:fill="FFFFFF"/>
            <w:vAlign w:val="center"/>
            <w:hideMark/>
          </w:tcPr>
          <w:p w:rsidR="00E473EF" w:rsidRDefault="00CE451E">
            <w:pPr>
              <w:jc w:val="right"/>
              <w:rPr>
                <w:noProof/>
                <w:color w:val="000000"/>
                <w:sz w:val="14"/>
                <w:szCs w:val="14"/>
                <w:lang w:val="en-US" w:eastAsia="en-US"/>
              </w:rPr>
            </w:pPr>
            <w:r>
              <w:rPr>
                <w:noProof/>
                <w:color w:val="000000"/>
                <w:sz w:val="14"/>
                <w:szCs w:val="14"/>
                <w:lang w:val="en-US" w:eastAsia="en-US"/>
              </w:rPr>
              <w:t>8 033 502 907</w:t>
            </w:r>
          </w:p>
        </w:tc>
        <w:tc>
          <w:tcPr>
            <w:tcW w:w="1297" w:type="dxa"/>
            <w:tcBorders>
              <w:top w:val="single" w:sz="4" w:space="0" w:color="auto"/>
              <w:left w:val="nil"/>
              <w:bottom w:val="dotted" w:sz="4" w:space="0" w:color="auto"/>
              <w:right w:val="single" w:sz="4" w:space="0" w:color="auto"/>
            </w:tcBorders>
            <w:shd w:val="clear" w:color="auto" w:fill="auto"/>
            <w:vAlign w:val="center"/>
            <w:hideMark/>
          </w:tcPr>
          <w:p w:rsidR="00E473EF" w:rsidRDefault="00CE451E">
            <w:pPr>
              <w:jc w:val="right"/>
              <w:rPr>
                <w:noProof/>
                <w:color w:val="000000"/>
                <w:sz w:val="14"/>
                <w:szCs w:val="14"/>
                <w:lang w:val="en-US" w:eastAsia="en-US"/>
              </w:rPr>
            </w:pPr>
            <w:r>
              <w:rPr>
                <w:noProof/>
                <w:color w:val="000000"/>
                <w:sz w:val="14"/>
                <w:szCs w:val="14"/>
                <w:lang w:val="en-US" w:eastAsia="en-US"/>
              </w:rPr>
              <w:t xml:space="preserve"> 12 421 811</w:t>
            </w:r>
          </w:p>
        </w:tc>
        <w:tc>
          <w:tcPr>
            <w:tcW w:w="1332" w:type="dxa"/>
            <w:tcBorders>
              <w:top w:val="single" w:sz="4" w:space="0" w:color="auto"/>
              <w:left w:val="nil"/>
              <w:bottom w:val="dotted" w:sz="4" w:space="0" w:color="auto"/>
              <w:right w:val="single" w:sz="4" w:space="0" w:color="auto"/>
            </w:tcBorders>
            <w:shd w:val="clear" w:color="auto" w:fill="auto"/>
            <w:vAlign w:val="center"/>
            <w:hideMark/>
          </w:tcPr>
          <w:p w:rsidR="00E473EF" w:rsidRDefault="00CE451E">
            <w:pPr>
              <w:jc w:val="right"/>
              <w:rPr>
                <w:noProof/>
                <w:color w:val="000000"/>
                <w:sz w:val="14"/>
                <w:szCs w:val="14"/>
                <w:lang w:val="en-US" w:eastAsia="en-US"/>
              </w:rPr>
            </w:pPr>
            <w:r>
              <w:rPr>
                <w:noProof/>
                <w:color w:val="000000"/>
                <w:sz w:val="14"/>
                <w:szCs w:val="14"/>
                <w:lang w:val="en-US" w:eastAsia="en-US"/>
              </w:rPr>
              <w:t xml:space="preserve"> 12 421 811</w:t>
            </w:r>
          </w:p>
        </w:tc>
        <w:tc>
          <w:tcPr>
            <w:tcW w:w="1292" w:type="dxa"/>
            <w:tcBorders>
              <w:top w:val="single" w:sz="4" w:space="0" w:color="auto"/>
              <w:left w:val="nil"/>
              <w:bottom w:val="dotted" w:sz="4" w:space="0" w:color="auto"/>
              <w:right w:val="single" w:sz="4" w:space="0" w:color="auto"/>
            </w:tcBorders>
            <w:shd w:val="clear" w:color="auto" w:fill="auto"/>
            <w:vAlign w:val="center"/>
            <w:hideMark/>
          </w:tcPr>
          <w:p w:rsidR="00E473EF" w:rsidRDefault="00CE451E">
            <w:pPr>
              <w:jc w:val="right"/>
              <w:rPr>
                <w:noProof/>
                <w:color w:val="000000"/>
                <w:sz w:val="14"/>
                <w:szCs w:val="14"/>
                <w:lang w:val="en-US" w:eastAsia="en-US"/>
              </w:rPr>
            </w:pPr>
            <w:r>
              <w:rPr>
                <w:noProof/>
                <w:color w:val="000000"/>
                <w:sz w:val="14"/>
                <w:szCs w:val="14"/>
                <w:lang w:val="en-US" w:eastAsia="en-US"/>
              </w:rPr>
              <w:t>8 044 649 629</w:t>
            </w:r>
          </w:p>
        </w:tc>
        <w:tc>
          <w:tcPr>
            <w:tcW w:w="1296" w:type="dxa"/>
            <w:tcBorders>
              <w:top w:val="single" w:sz="4" w:space="0" w:color="auto"/>
              <w:left w:val="nil"/>
              <w:bottom w:val="dotted" w:sz="4" w:space="0" w:color="auto"/>
              <w:right w:val="single" w:sz="4" w:space="0" w:color="auto"/>
            </w:tcBorders>
            <w:shd w:val="clear" w:color="auto" w:fill="auto"/>
            <w:vAlign w:val="center"/>
            <w:hideMark/>
          </w:tcPr>
          <w:p w:rsidR="00E473EF" w:rsidRDefault="00CE451E">
            <w:pPr>
              <w:jc w:val="right"/>
              <w:rPr>
                <w:noProof/>
                <w:color w:val="000000"/>
                <w:sz w:val="14"/>
                <w:szCs w:val="14"/>
                <w:lang w:val="en-US" w:eastAsia="en-US"/>
              </w:rPr>
            </w:pPr>
            <w:r>
              <w:rPr>
                <w:noProof/>
                <w:color w:val="000000"/>
                <w:sz w:val="14"/>
                <w:szCs w:val="14"/>
                <w:lang w:val="en-US" w:eastAsia="en-US"/>
              </w:rPr>
              <w:t xml:space="preserve">8 045 </w:t>
            </w:r>
            <w:r>
              <w:rPr>
                <w:noProof/>
                <w:color w:val="000000"/>
                <w:sz w:val="14"/>
                <w:szCs w:val="14"/>
                <w:lang w:val="en-US" w:eastAsia="en-US"/>
              </w:rPr>
              <w:t>924 718</w:t>
            </w:r>
          </w:p>
        </w:tc>
      </w:tr>
      <w:tr w:rsidR="00E473EF">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Sub-ceiling</w:t>
            </w:r>
          </w:p>
        </w:tc>
        <w:tc>
          <w:tcPr>
            <w:tcW w:w="130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8 467 000 000</w:t>
            </w:r>
          </w:p>
        </w:tc>
        <w:tc>
          <w:tcPr>
            <w:tcW w:w="1292" w:type="dxa"/>
            <w:tcBorders>
              <w:top w:val="nil"/>
              <w:left w:val="nil"/>
              <w:bottom w:val="dotted"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- 250 000 000</w:t>
            </w:r>
          </w:p>
        </w:tc>
        <w:tc>
          <w:tcPr>
            <w:tcW w:w="133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8 217 000 000</w:t>
            </w:r>
          </w:p>
        </w:tc>
        <w:tc>
          <w:tcPr>
            <w:tcW w:w="1296"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r>
      <w:tr w:rsidR="00E473EF">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Margin</w:t>
            </w:r>
          </w:p>
        </w:tc>
        <w:tc>
          <w:tcPr>
            <w:tcW w:w="130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434 772 182</w:t>
            </w:r>
          </w:p>
        </w:tc>
        <w:tc>
          <w:tcPr>
            <w:tcW w:w="129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7" w:type="dxa"/>
            <w:tcBorders>
              <w:top w:val="nil"/>
              <w:left w:val="nil"/>
              <w:bottom w:val="dotted"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- 262 421 811</w:t>
            </w:r>
          </w:p>
        </w:tc>
        <w:tc>
          <w:tcPr>
            <w:tcW w:w="1332" w:type="dxa"/>
            <w:tcBorders>
              <w:top w:val="nil"/>
              <w:left w:val="nil"/>
              <w:bottom w:val="single"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c>
          <w:tcPr>
            <w:tcW w:w="129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xml:space="preserve"> 172 350 371</w:t>
            </w:r>
          </w:p>
        </w:tc>
        <w:tc>
          <w:tcPr>
            <w:tcW w:w="1296" w:type="dxa"/>
            <w:tcBorders>
              <w:top w:val="nil"/>
              <w:left w:val="nil"/>
              <w:bottom w:val="single" w:sz="4" w:space="0" w:color="auto"/>
              <w:right w:val="single" w:sz="4" w:space="0" w:color="auto"/>
            </w:tcBorders>
            <w:shd w:val="clear" w:color="auto" w:fill="auto"/>
            <w:vAlign w:val="center"/>
            <w:hideMark/>
          </w:tcPr>
          <w:p w:rsidR="00E473EF" w:rsidRDefault="00CE451E">
            <w:pPr>
              <w:jc w:val="right"/>
              <w:rPr>
                <w:i/>
                <w:iCs/>
                <w:noProof/>
                <w:color w:val="000000"/>
                <w:sz w:val="14"/>
                <w:szCs w:val="14"/>
                <w:lang w:val="en-US" w:eastAsia="en-US"/>
              </w:rPr>
            </w:pPr>
            <w:r>
              <w:rPr>
                <w:i/>
                <w:iCs/>
                <w:noProof/>
                <w:color w:val="000000"/>
                <w:sz w:val="14"/>
                <w:szCs w:val="14"/>
                <w:lang w:val="en-US" w:eastAsia="en-US"/>
              </w:rPr>
              <w:t> </w:t>
            </w:r>
          </w:p>
        </w:tc>
      </w:tr>
      <w:tr w:rsidR="00E473EF">
        <w:trPr>
          <w:gridAfter w:val="1"/>
          <w:wAfter w:w="24" w:type="dxa"/>
          <w:trHeight w:val="260"/>
          <w:jc w:val="center"/>
        </w:trPr>
        <w:tc>
          <w:tcPr>
            <w:tcW w:w="2667"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Total</w:t>
            </w:r>
          </w:p>
        </w:tc>
        <w:tc>
          <w:tcPr>
            <w:tcW w:w="1302" w:type="dxa"/>
            <w:tcBorders>
              <w:top w:val="nil"/>
              <w:left w:val="nil"/>
              <w:bottom w:val="dotted" w:sz="4" w:space="0" w:color="auto"/>
              <w:right w:val="single" w:sz="4" w:space="0" w:color="auto"/>
            </w:tcBorders>
            <w:shd w:val="clear" w:color="000000" w:fill="D9D9D9"/>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163 102 931 976</w:t>
            </w:r>
          </w:p>
        </w:tc>
        <w:tc>
          <w:tcPr>
            <w:tcW w:w="1292" w:type="dxa"/>
            <w:tcBorders>
              <w:top w:val="nil"/>
              <w:left w:val="nil"/>
              <w:bottom w:val="dotted" w:sz="4" w:space="0" w:color="auto"/>
              <w:right w:val="single" w:sz="4" w:space="0" w:color="auto"/>
            </w:tcBorders>
            <w:shd w:val="clear" w:color="000000" w:fill="D9D9D9"/>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161 853 290 887</w:t>
            </w:r>
          </w:p>
        </w:tc>
        <w:tc>
          <w:tcPr>
            <w:tcW w:w="1297" w:type="dxa"/>
            <w:tcBorders>
              <w:top w:val="single" w:sz="4" w:space="0" w:color="auto"/>
              <w:left w:val="nil"/>
              <w:bottom w:val="dotted" w:sz="4" w:space="0" w:color="auto"/>
              <w:right w:val="single" w:sz="4" w:space="0" w:color="auto"/>
            </w:tcBorders>
            <w:shd w:val="clear" w:color="000000" w:fill="D9D9D9"/>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- 436 361 452</w:t>
            </w:r>
          </w:p>
        </w:tc>
        <w:tc>
          <w:tcPr>
            <w:tcW w:w="1332" w:type="dxa"/>
            <w:tcBorders>
              <w:top w:val="nil"/>
              <w:left w:val="nil"/>
              <w:bottom w:val="dotted" w:sz="4" w:space="0" w:color="auto"/>
              <w:right w:val="single" w:sz="4" w:space="0" w:color="auto"/>
            </w:tcBorders>
            <w:shd w:val="clear" w:color="000000" w:fill="D9D9D9"/>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2 977 637 465</w:t>
            </w:r>
          </w:p>
        </w:tc>
        <w:tc>
          <w:tcPr>
            <w:tcW w:w="1292" w:type="dxa"/>
            <w:tcBorders>
              <w:top w:val="nil"/>
              <w:left w:val="nil"/>
              <w:bottom w:val="dotted" w:sz="4" w:space="0" w:color="auto"/>
              <w:right w:val="single" w:sz="4" w:space="0" w:color="auto"/>
            </w:tcBorders>
            <w:shd w:val="clear" w:color="000000" w:fill="D9D9D9"/>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162 666 570 524</w:t>
            </w:r>
          </w:p>
        </w:tc>
        <w:tc>
          <w:tcPr>
            <w:tcW w:w="1296" w:type="dxa"/>
            <w:tcBorders>
              <w:top w:val="nil"/>
              <w:left w:val="nil"/>
              <w:bottom w:val="dotted" w:sz="4" w:space="0" w:color="auto"/>
              <w:right w:val="single" w:sz="4" w:space="0" w:color="auto"/>
            </w:tcBorders>
            <w:shd w:val="clear" w:color="000000" w:fill="D9D9D9"/>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164 830 928 352</w:t>
            </w:r>
          </w:p>
        </w:tc>
      </w:tr>
      <w:tr w:rsidR="00E473EF">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E473EF" w:rsidRDefault="00CE451E">
            <w:pPr>
              <w:jc w:val="right"/>
              <w:rPr>
                <w:b/>
                <w:bCs/>
                <w:i/>
                <w:iCs/>
                <w:noProof/>
                <w:color w:val="000000"/>
                <w:sz w:val="14"/>
                <w:szCs w:val="14"/>
                <w:lang w:val="en-US" w:eastAsia="en-US"/>
              </w:rPr>
            </w:pPr>
            <w:r>
              <w:rPr>
                <w:b/>
                <w:bCs/>
                <w:i/>
                <w:iCs/>
                <w:noProof/>
                <w:color w:val="000000"/>
                <w:sz w:val="14"/>
                <w:szCs w:val="14"/>
                <w:lang w:val="en-US" w:eastAsia="en-US"/>
              </w:rPr>
              <w:t>Ceiling</w:t>
            </w:r>
          </w:p>
        </w:tc>
        <w:tc>
          <w:tcPr>
            <w:tcW w:w="1302" w:type="dxa"/>
            <w:tcBorders>
              <w:top w:val="nil"/>
              <w:left w:val="nil"/>
              <w:bottom w:val="dotted" w:sz="4" w:space="0" w:color="auto"/>
              <w:right w:val="single" w:sz="4" w:space="0" w:color="auto"/>
            </w:tcBorders>
            <w:shd w:val="clear" w:color="000000" w:fill="D9D9D9"/>
            <w:vAlign w:val="center"/>
            <w:hideMark/>
          </w:tcPr>
          <w:p w:rsidR="00E473EF" w:rsidRDefault="00CE451E">
            <w:pPr>
              <w:jc w:val="right"/>
              <w:rPr>
                <w:b/>
                <w:bCs/>
                <w:i/>
                <w:iCs/>
                <w:noProof/>
                <w:color w:val="000000"/>
                <w:sz w:val="14"/>
                <w:szCs w:val="14"/>
                <w:lang w:val="en-US" w:eastAsia="en-US"/>
              </w:rPr>
            </w:pPr>
            <w:r>
              <w:rPr>
                <w:b/>
                <w:bCs/>
                <w:i/>
                <w:iCs/>
                <w:noProof/>
                <w:color w:val="000000"/>
                <w:sz w:val="14"/>
                <w:szCs w:val="14"/>
                <w:lang w:val="en-US" w:eastAsia="en-US"/>
              </w:rPr>
              <w:t>164 891 000 000</w:t>
            </w:r>
          </w:p>
        </w:tc>
        <w:tc>
          <w:tcPr>
            <w:tcW w:w="1292" w:type="dxa"/>
            <w:tcBorders>
              <w:top w:val="nil"/>
              <w:left w:val="nil"/>
              <w:bottom w:val="dotted" w:sz="4" w:space="0" w:color="auto"/>
              <w:right w:val="single" w:sz="4" w:space="0" w:color="auto"/>
            </w:tcBorders>
            <w:shd w:val="clear" w:color="000000" w:fill="D9D9D9"/>
            <w:vAlign w:val="center"/>
            <w:hideMark/>
          </w:tcPr>
          <w:p w:rsidR="00E473EF" w:rsidRDefault="00CE451E">
            <w:pPr>
              <w:jc w:val="right"/>
              <w:rPr>
                <w:b/>
                <w:bCs/>
                <w:i/>
                <w:iCs/>
                <w:noProof/>
                <w:color w:val="000000"/>
                <w:sz w:val="14"/>
                <w:szCs w:val="14"/>
                <w:lang w:val="en-US" w:eastAsia="en-US"/>
              </w:rPr>
            </w:pPr>
            <w:r>
              <w:rPr>
                <w:b/>
                <w:bCs/>
                <w:i/>
                <w:iCs/>
                <w:noProof/>
                <w:color w:val="000000"/>
                <w:sz w:val="14"/>
                <w:szCs w:val="14"/>
                <w:lang w:val="en-US" w:eastAsia="en-US"/>
              </w:rPr>
              <w:t xml:space="preserve">165 599 </w:t>
            </w:r>
            <w:r>
              <w:rPr>
                <w:b/>
                <w:bCs/>
                <w:i/>
                <w:iCs/>
                <w:noProof/>
                <w:color w:val="000000"/>
                <w:sz w:val="14"/>
                <w:szCs w:val="14"/>
                <w:lang w:val="en-US" w:eastAsia="en-US"/>
              </w:rPr>
              <w:t>000 000</w:t>
            </w:r>
          </w:p>
        </w:tc>
        <w:tc>
          <w:tcPr>
            <w:tcW w:w="1297" w:type="dxa"/>
            <w:tcBorders>
              <w:top w:val="nil"/>
              <w:left w:val="nil"/>
              <w:bottom w:val="dotted" w:sz="4" w:space="0" w:color="auto"/>
              <w:right w:val="single" w:sz="4" w:space="0" w:color="auto"/>
            </w:tcBorders>
            <w:shd w:val="clear" w:color="000000" w:fill="D9D9D9"/>
            <w:vAlign w:val="center"/>
            <w:hideMark/>
          </w:tcPr>
          <w:p w:rsidR="00E473EF" w:rsidRDefault="00CE451E">
            <w:pPr>
              <w:jc w:val="right"/>
              <w:rPr>
                <w:b/>
                <w:bCs/>
                <w:i/>
                <w:iCs/>
                <w:noProof/>
                <w:color w:val="000000"/>
                <w:sz w:val="14"/>
                <w:szCs w:val="14"/>
                <w:lang w:val="en-US" w:eastAsia="en-US"/>
              </w:rPr>
            </w:pPr>
            <w:r>
              <w:rPr>
                <w:b/>
                <w:bCs/>
                <w:i/>
                <w:iCs/>
                <w:noProof/>
                <w:color w:val="000000"/>
                <w:sz w:val="14"/>
                <w:szCs w:val="14"/>
                <w:lang w:val="en-US" w:eastAsia="en-US"/>
              </w:rPr>
              <w:t>-1 408 000 000</w:t>
            </w:r>
          </w:p>
        </w:tc>
        <w:tc>
          <w:tcPr>
            <w:tcW w:w="1332" w:type="dxa"/>
            <w:tcBorders>
              <w:top w:val="nil"/>
              <w:left w:val="nil"/>
              <w:bottom w:val="dotted" w:sz="4" w:space="0" w:color="auto"/>
              <w:right w:val="single" w:sz="4" w:space="0" w:color="auto"/>
            </w:tcBorders>
            <w:shd w:val="clear" w:color="000000" w:fill="D9D9D9"/>
            <w:vAlign w:val="center"/>
            <w:hideMark/>
          </w:tcPr>
          <w:p w:rsidR="00E473EF" w:rsidRDefault="00CE451E">
            <w:pPr>
              <w:jc w:val="right"/>
              <w:rPr>
                <w:b/>
                <w:bCs/>
                <w:i/>
                <w:iCs/>
                <w:noProof/>
                <w:color w:val="000000"/>
                <w:sz w:val="14"/>
                <w:szCs w:val="14"/>
                <w:lang w:val="en-US" w:eastAsia="en-US"/>
              </w:rPr>
            </w:pPr>
            <w:r>
              <w:rPr>
                <w:b/>
                <w:bCs/>
                <w:i/>
                <w:iCs/>
                <w:noProof/>
                <w:color w:val="000000"/>
                <w:sz w:val="14"/>
                <w:szCs w:val="14"/>
                <w:lang w:val="en-US" w:eastAsia="en-US"/>
              </w:rPr>
              <w:t xml:space="preserve"> 541 000 000</w:t>
            </w:r>
          </w:p>
        </w:tc>
        <w:tc>
          <w:tcPr>
            <w:tcW w:w="1292" w:type="dxa"/>
            <w:tcBorders>
              <w:top w:val="nil"/>
              <w:left w:val="nil"/>
              <w:bottom w:val="dotted" w:sz="4" w:space="0" w:color="auto"/>
              <w:right w:val="single" w:sz="4" w:space="0" w:color="auto"/>
            </w:tcBorders>
            <w:shd w:val="clear" w:color="000000" w:fill="D9D9D9"/>
            <w:vAlign w:val="center"/>
            <w:hideMark/>
          </w:tcPr>
          <w:p w:rsidR="00E473EF" w:rsidRDefault="00CE451E">
            <w:pPr>
              <w:jc w:val="right"/>
              <w:rPr>
                <w:b/>
                <w:bCs/>
                <w:i/>
                <w:iCs/>
                <w:noProof/>
                <w:color w:val="000000"/>
                <w:sz w:val="14"/>
                <w:szCs w:val="14"/>
                <w:lang w:val="en-US" w:eastAsia="en-US"/>
              </w:rPr>
            </w:pPr>
            <w:r>
              <w:rPr>
                <w:b/>
                <w:bCs/>
                <w:i/>
                <w:iCs/>
                <w:noProof/>
                <w:color w:val="000000"/>
                <w:sz w:val="14"/>
                <w:szCs w:val="14"/>
                <w:lang w:val="en-US" w:eastAsia="en-US"/>
              </w:rPr>
              <w:t>163 483 000 000</w:t>
            </w:r>
          </w:p>
        </w:tc>
        <w:tc>
          <w:tcPr>
            <w:tcW w:w="1296" w:type="dxa"/>
            <w:tcBorders>
              <w:top w:val="nil"/>
              <w:left w:val="nil"/>
              <w:bottom w:val="dotted" w:sz="4" w:space="0" w:color="auto"/>
              <w:right w:val="single" w:sz="4" w:space="0" w:color="auto"/>
            </w:tcBorders>
            <w:shd w:val="clear" w:color="000000" w:fill="D9D9D9"/>
            <w:vAlign w:val="center"/>
            <w:hideMark/>
          </w:tcPr>
          <w:p w:rsidR="00E473EF" w:rsidRDefault="00CE451E">
            <w:pPr>
              <w:jc w:val="right"/>
              <w:rPr>
                <w:b/>
                <w:bCs/>
                <w:i/>
                <w:iCs/>
                <w:noProof/>
                <w:color w:val="000000"/>
                <w:sz w:val="14"/>
                <w:szCs w:val="14"/>
                <w:lang w:val="en-US" w:eastAsia="en-US"/>
              </w:rPr>
            </w:pPr>
            <w:r>
              <w:rPr>
                <w:b/>
                <w:bCs/>
                <w:i/>
                <w:iCs/>
                <w:noProof/>
                <w:color w:val="000000"/>
                <w:sz w:val="14"/>
                <w:szCs w:val="14"/>
                <w:lang w:val="en-US" w:eastAsia="en-US"/>
              </w:rPr>
              <w:t>166 140 000 000</w:t>
            </w:r>
          </w:p>
        </w:tc>
      </w:tr>
      <w:tr w:rsidR="00E473EF">
        <w:trPr>
          <w:gridAfter w:val="1"/>
          <w:wAfter w:w="24" w:type="dxa"/>
          <w:trHeight w:val="260"/>
          <w:jc w:val="center"/>
        </w:trPr>
        <w:tc>
          <w:tcPr>
            <w:tcW w:w="2667"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E473EF" w:rsidRDefault="00CE451E">
            <w:pPr>
              <w:jc w:val="right"/>
              <w:rPr>
                <w:b/>
                <w:bCs/>
                <w:i/>
                <w:iCs/>
                <w:noProof/>
                <w:color w:val="000000"/>
                <w:sz w:val="14"/>
                <w:szCs w:val="14"/>
                <w:lang w:val="en-US" w:eastAsia="en-US"/>
              </w:rPr>
            </w:pPr>
            <w:r>
              <w:rPr>
                <w:b/>
                <w:bCs/>
                <w:i/>
                <w:iCs/>
                <w:noProof/>
                <w:color w:val="000000"/>
                <w:sz w:val="14"/>
                <w:szCs w:val="14"/>
                <w:lang w:val="en-US" w:eastAsia="en-US"/>
              </w:rPr>
              <w:t>Of which under Flexibility Instrument</w:t>
            </w:r>
          </w:p>
        </w:tc>
        <w:tc>
          <w:tcPr>
            <w:tcW w:w="1302" w:type="dxa"/>
            <w:tcBorders>
              <w:top w:val="nil"/>
              <w:left w:val="nil"/>
              <w:bottom w:val="dotted" w:sz="4" w:space="0" w:color="auto"/>
              <w:right w:val="single" w:sz="4" w:space="0" w:color="auto"/>
            </w:tcBorders>
            <w:shd w:val="clear" w:color="000000" w:fill="D9D9D9"/>
            <w:vAlign w:val="center"/>
            <w:hideMark/>
          </w:tcPr>
          <w:p w:rsidR="00E473EF" w:rsidRDefault="00CE451E">
            <w:pPr>
              <w:jc w:val="right"/>
              <w:rPr>
                <w:b/>
                <w:bCs/>
                <w:i/>
                <w:iCs/>
                <w:noProof/>
                <w:color w:val="000000"/>
                <w:sz w:val="14"/>
                <w:szCs w:val="14"/>
                <w:lang w:val="en-US" w:eastAsia="en-US"/>
              </w:rPr>
            </w:pPr>
            <w:r>
              <w:rPr>
                <w:b/>
                <w:bCs/>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000000" w:fill="D9D9D9"/>
            <w:vAlign w:val="center"/>
            <w:hideMark/>
          </w:tcPr>
          <w:p w:rsidR="00E473EF" w:rsidRDefault="00CE451E">
            <w:pPr>
              <w:jc w:val="right"/>
              <w:rPr>
                <w:b/>
                <w:bCs/>
                <w:i/>
                <w:iCs/>
                <w:noProof/>
                <w:color w:val="000000"/>
                <w:sz w:val="14"/>
                <w:szCs w:val="14"/>
                <w:lang w:val="en-US" w:eastAsia="en-US"/>
              </w:rPr>
            </w:pPr>
            <w:r>
              <w:rPr>
                <w:b/>
                <w:bCs/>
                <w:i/>
                <w:iCs/>
                <w:noProof/>
                <w:color w:val="000000"/>
                <w:sz w:val="14"/>
                <w:szCs w:val="14"/>
                <w:lang w:val="en-US" w:eastAsia="en-US"/>
              </w:rPr>
              <w:t xml:space="preserve"> 582 907 835</w:t>
            </w:r>
          </w:p>
        </w:tc>
        <w:tc>
          <w:tcPr>
            <w:tcW w:w="1297" w:type="dxa"/>
            <w:tcBorders>
              <w:top w:val="nil"/>
              <w:left w:val="nil"/>
              <w:bottom w:val="dotted" w:sz="4" w:space="0" w:color="auto"/>
              <w:right w:val="single" w:sz="4" w:space="0" w:color="auto"/>
            </w:tcBorders>
            <w:shd w:val="clear" w:color="000000" w:fill="D9D9D9"/>
            <w:vAlign w:val="center"/>
            <w:hideMark/>
          </w:tcPr>
          <w:p w:rsidR="00E473EF" w:rsidRDefault="00CE451E">
            <w:pPr>
              <w:jc w:val="right"/>
              <w:rPr>
                <w:b/>
                <w:bCs/>
                <w:i/>
                <w:iCs/>
                <w:noProof/>
                <w:color w:val="000000"/>
                <w:sz w:val="14"/>
                <w:szCs w:val="14"/>
                <w:lang w:val="en-US" w:eastAsia="en-US"/>
              </w:rPr>
            </w:pPr>
            <w:r>
              <w:rPr>
                <w:b/>
                <w:bCs/>
                <w:i/>
                <w:iCs/>
                <w:noProof/>
                <w:color w:val="000000"/>
                <w:sz w:val="14"/>
                <w:szCs w:val="14"/>
                <w:lang w:val="en-US" w:eastAsia="en-US"/>
              </w:rPr>
              <w:t> </w:t>
            </w:r>
          </w:p>
        </w:tc>
        <w:tc>
          <w:tcPr>
            <w:tcW w:w="1332" w:type="dxa"/>
            <w:tcBorders>
              <w:top w:val="nil"/>
              <w:left w:val="nil"/>
              <w:bottom w:val="dotted" w:sz="4" w:space="0" w:color="auto"/>
              <w:right w:val="single" w:sz="4" w:space="0" w:color="auto"/>
            </w:tcBorders>
            <w:shd w:val="clear" w:color="000000" w:fill="D9D9D9"/>
            <w:vAlign w:val="center"/>
            <w:hideMark/>
          </w:tcPr>
          <w:p w:rsidR="00E473EF" w:rsidRDefault="00CE451E">
            <w:pPr>
              <w:jc w:val="right"/>
              <w:rPr>
                <w:b/>
                <w:bCs/>
                <w:i/>
                <w:iCs/>
                <w:noProof/>
                <w:color w:val="000000"/>
                <w:sz w:val="14"/>
                <w:szCs w:val="14"/>
                <w:lang w:val="en-US" w:eastAsia="en-US"/>
              </w:rPr>
            </w:pPr>
            <w:r>
              <w:rPr>
                <w:b/>
                <w:bCs/>
                <w:i/>
                <w:iCs/>
                <w:noProof/>
                <w:color w:val="000000"/>
                <w:sz w:val="14"/>
                <w:szCs w:val="14"/>
                <w:lang w:val="en-US" w:eastAsia="en-US"/>
              </w:rPr>
              <w:t> </w:t>
            </w:r>
          </w:p>
        </w:tc>
        <w:tc>
          <w:tcPr>
            <w:tcW w:w="1292" w:type="dxa"/>
            <w:tcBorders>
              <w:top w:val="nil"/>
              <w:left w:val="nil"/>
              <w:bottom w:val="dotted" w:sz="4" w:space="0" w:color="auto"/>
              <w:right w:val="single" w:sz="4" w:space="0" w:color="auto"/>
            </w:tcBorders>
            <w:shd w:val="clear" w:color="000000" w:fill="D9D9D9"/>
            <w:vAlign w:val="center"/>
            <w:hideMark/>
          </w:tcPr>
          <w:p w:rsidR="00E473EF" w:rsidRDefault="00CE451E">
            <w:pPr>
              <w:jc w:val="right"/>
              <w:rPr>
                <w:b/>
                <w:bCs/>
                <w:i/>
                <w:iCs/>
                <w:noProof/>
                <w:color w:val="000000"/>
                <w:sz w:val="14"/>
                <w:szCs w:val="14"/>
                <w:lang w:val="en-US" w:eastAsia="en-US"/>
              </w:rPr>
            </w:pPr>
            <w:r>
              <w:rPr>
                <w:b/>
                <w:bCs/>
                <w:i/>
                <w:iCs/>
                <w:noProof/>
                <w:color w:val="000000"/>
                <w:sz w:val="14"/>
                <w:szCs w:val="14"/>
                <w:lang w:val="en-US" w:eastAsia="en-US"/>
              </w:rPr>
              <w:t xml:space="preserve"> 97 768 248</w:t>
            </w:r>
          </w:p>
        </w:tc>
        <w:tc>
          <w:tcPr>
            <w:tcW w:w="1296" w:type="dxa"/>
            <w:tcBorders>
              <w:top w:val="nil"/>
              <w:left w:val="nil"/>
              <w:bottom w:val="dotted" w:sz="4" w:space="0" w:color="auto"/>
              <w:right w:val="single" w:sz="4" w:space="0" w:color="auto"/>
            </w:tcBorders>
            <w:shd w:val="clear" w:color="000000" w:fill="D9D9D9"/>
            <w:vAlign w:val="center"/>
            <w:hideMark/>
          </w:tcPr>
          <w:p w:rsidR="00E473EF" w:rsidRDefault="00CE451E">
            <w:pPr>
              <w:jc w:val="right"/>
              <w:rPr>
                <w:b/>
                <w:bCs/>
                <w:i/>
                <w:iCs/>
                <w:noProof/>
                <w:color w:val="000000"/>
                <w:sz w:val="14"/>
                <w:szCs w:val="14"/>
                <w:lang w:val="en-US" w:eastAsia="en-US"/>
              </w:rPr>
            </w:pPr>
            <w:r>
              <w:rPr>
                <w:b/>
                <w:bCs/>
                <w:i/>
                <w:iCs/>
                <w:noProof/>
                <w:color w:val="000000"/>
                <w:sz w:val="14"/>
                <w:szCs w:val="14"/>
                <w:lang w:val="en-US" w:eastAsia="en-US"/>
              </w:rPr>
              <w:t xml:space="preserve"> 641 077 815</w:t>
            </w:r>
          </w:p>
        </w:tc>
      </w:tr>
      <w:tr w:rsidR="00E473EF">
        <w:trPr>
          <w:gridAfter w:val="1"/>
          <w:wAfter w:w="24" w:type="dxa"/>
          <w:trHeight w:val="260"/>
          <w:jc w:val="center"/>
        </w:trPr>
        <w:tc>
          <w:tcPr>
            <w:tcW w:w="2667" w:type="dxa"/>
            <w:gridSpan w:val="2"/>
            <w:tcBorders>
              <w:top w:val="dotted" w:sz="4" w:space="0" w:color="auto"/>
              <w:left w:val="single" w:sz="4" w:space="0" w:color="auto"/>
              <w:bottom w:val="nil"/>
              <w:right w:val="single" w:sz="4" w:space="0" w:color="000000"/>
            </w:tcBorders>
            <w:shd w:val="clear" w:color="000000" w:fill="D9D9D9"/>
            <w:vAlign w:val="center"/>
            <w:hideMark/>
          </w:tcPr>
          <w:p w:rsidR="00E473EF" w:rsidRDefault="00CE451E">
            <w:pPr>
              <w:jc w:val="right"/>
              <w:rPr>
                <w:b/>
                <w:bCs/>
                <w:i/>
                <w:iCs/>
                <w:noProof/>
                <w:color w:val="000000"/>
                <w:sz w:val="14"/>
                <w:szCs w:val="14"/>
                <w:lang w:val="en-US" w:eastAsia="en-US"/>
              </w:rPr>
            </w:pPr>
            <w:r>
              <w:rPr>
                <w:b/>
                <w:bCs/>
                <w:i/>
                <w:iCs/>
                <w:noProof/>
                <w:color w:val="000000"/>
                <w:sz w:val="14"/>
                <w:szCs w:val="14"/>
                <w:lang w:val="en-US" w:eastAsia="en-US"/>
              </w:rPr>
              <w:t>Margin</w:t>
            </w:r>
          </w:p>
        </w:tc>
        <w:tc>
          <w:tcPr>
            <w:tcW w:w="1302" w:type="dxa"/>
            <w:tcBorders>
              <w:top w:val="nil"/>
              <w:left w:val="nil"/>
              <w:bottom w:val="single" w:sz="4" w:space="0" w:color="auto"/>
              <w:right w:val="single" w:sz="4" w:space="0" w:color="auto"/>
            </w:tcBorders>
            <w:shd w:val="clear" w:color="000000" w:fill="D9D9D9"/>
            <w:vAlign w:val="center"/>
            <w:hideMark/>
          </w:tcPr>
          <w:p w:rsidR="00E473EF" w:rsidRDefault="00CE451E">
            <w:pPr>
              <w:jc w:val="right"/>
              <w:rPr>
                <w:b/>
                <w:bCs/>
                <w:i/>
                <w:iCs/>
                <w:noProof/>
                <w:color w:val="000000"/>
                <w:sz w:val="14"/>
                <w:szCs w:val="14"/>
                <w:lang w:val="en-US" w:eastAsia="en-US"/>
              </w:rPr>
            </w:pPr>
            <w:r>
              <w:rPr>
                <w:b/>
                <w:bCs/>
                <w:i/>
                <w:iCs/>
                <w:noProof/>
                <w:color w:val="000000"/>
                <w:sz w:val="14"/>
                <w:szCs w:val="14"/>
                <w:lang w:val="en-US" w:eastAsia="en-US"/>
              </w:rPr>
              <w:t>1 788 068 024</w:t>
            </w:r>
          </w:p>
        </w:tc>
        <w:tc>
          <w:tcPr>
            <w:tcW w:w="1292" w:type="dxa"/>
            <w:tcBorders>
              <w:top w:val="nil"/>
              <w:left w:val="nil"/>
              <w:bottom w:val="single" w:sz="4" w:space="0" w:color="auto"/>
              <w:right w:val="single" w:sz="4" w:space="0" w:color="auto"/>
            </w:tcBorders>
            <w:shd w:val="clear" w:color="000000" w:fill="D9D9D9"/>
            <w:vAlign w:val="center"/>
            <w:hideMark/>
          </w:tcPr>
          <w:p w:rsidR="00E473EF" w:rsidRDefault="00CE451E">
            <w:pPr>
              <w:jc w:val="right"/>
              <w:rPr>
                <w:b/>
                <w:bCs/>
                <w:i/>
                <w:iCs/>
                <w:noProof/>
                <w:color w:val="000000"/>
                <w:sz w:val="14"/>
                <w:szCs w:val="14"/>
                <w:lang w:val="en-US" w:eastAsia="en-US"/>
              </w:rPr>
            </w:pPr>
            <w:r>
              <w:rPr>
                <w:b/>
                <w:bCs/>
                <w:i/>
                <w:iCs/>
                <w:noProof/>
                <w:color w:val="000000"/>
                <w:sz w:val="14"/>
                <w:szCs w:val="14"/>
                <w:lang w:val="en-US" w:eastAsia="en-US"/>
              </w:rPr>
              <w:t>4 328 616 948</w:t>
            </w:r>
          </w:p>
        </w:tc>
        <w:tc>
          <w:tcPr>
            <w:tcW w:w="1297" w:type="dxa"/>
            <w:tcBorders>
              <w:top w:val="nil"/>
              <w:left w:val="nil"/>
              <w:bottom w:val="single" w:sz="4" w:space="0" w:color="auto"/>
              <w:right w:val="single" w:sz="4" w:space="0" w:color="auto"/>
            </w:tcBorders>
            <w:shd w:val="clear" w:color="000000" w:fill="D9D9D9"/>
            <w:vAlign w:val="center"/>
            <w:hideMark/>
          </w:tcPr>
          <w:p w:rsidR="00E473EF" w:rsidRDefault="00CE451E">
            <w:pPr>
              <w:jc w:val="right"/>
              <w:rPr>
                <w:b/>
                <w:bCs/>
                <w:i/>
                <w:iCs/>
                <w:noProof/>
                <w:color w:val="000000"/>
                <w:sz w:val="14"/>
                <w:szCs w:val="14"/>
                <w:lang w:val="en-US" w:eastAsia="en-US"/>
              </w:rPr>
            </w:pPr>
            <w:r>
              <w:rPr>
                <w:b/>
                <w:bCs/>
                <w:i/>
                <w:iCs/>
                <w:noProof/>
                <w:color w:val="000000"/>
                <w:sz w:val="14"/>
                <w:szCs w:val="14"/>
                <w:lang w:val="en-US" w:eastAsia="en-US"/>
              </w:rPr>
              <w:t>- 873 870 300</w:t>
            </w:r>
          </w:p>
        </w:tc>
        <w:tc>
          <w:tcPr>
            <w:tcW w:w="1332" w:type="dxa"/>
            <w:tcBorders>
              <w:top w:val="nil"/>
              <w:left w:val="nil"/>
              <w:bottom w:val="single" w:sz="4" w:space="0" w:color="auto"/>
              <w:right w:val="single" w:sz="4" w:space="0" w:color="auto"/>
            </w:tcBorders>
            <w:shd w:val="clear" w:color="000000" w:fill="D9D9D9"/>
            <w:vAlign w:val="center"/>
            <w:hideMark/>
          </w:tcPr>
          <w:p w:rsidR="00E473EF" w:rsidRDefault="00CE451E">
            <w:pPr>
              <w:jc w:val="right"/>
              <w:rPr>
                <w:b/>
                <w:bCs/>
                <w:i/>
                <w:iCs/>
                <w:noProof/>
                <w:color w:val="000000"/>
                <w:sz w:val="14"/>
                <w:szCs w:val="14"/>
                <w:lang w:val="en-US" w:eastAsia="en-US"/>
              </w:rPr>
            </w:pPr>
            <w:r>
              <w:rPr>
                <w:b/>
                <w:bCs/>
                <w:i/>
                <w:iCs/>
                <w:noProof/>
                <w:color w:val="000000"/>
                <w:sz w:val="14"/>
                <w:szCs w:val="14"/>
                <w:lang w:val="en-US" w:eastAsia="en-US"/>
              </w:rPr>
              <w:t>-2 378 467 485</w:t>
            </w:r>
          </w:p>
        </w:tc>
        <w:tc>
          <w:tcPr>
            <w:tcW w:w="1292" w:type="dxa"/>
            <w:tcBorders>
              <w:top w:val="nil"/>
              <w:left w:val="nil"/>
              <w:bottom w:val="single" w:sz="4" w:space="0" w:color="auto"/>
              <w:right w:val="single" w:sz="4" w:space="0" w:color="auto"/>
            </w:tcBorders>
            <w:shd w:val="clear" w:color="000000" w:fill="D9D9D9"/>
            <w:vAlign w:val="center"/>
            <w:hideMark/>
          </w:tcPr>
          <w:p w:rsidR="00E473EF" w:rsidRDefault="00CE451E">
            <w:pPr>
              <w:jc w:val="right"/>
              <w:rPr>
                <w:b/>
                <w:bCs/>
                <w:i/>
                <w:iCs/>
                <w:noProof/>
                <w:color w:val="000000"/>
                <w:sz w:val="14"/>
                <w:szCs w:val="14"/>
                <w:lang w:val="en-US" w:eastAsia="en-US"/>
              </w:rPr>
            </w:pPr>
            <w:r>
              <w:rPr>
                <w:b/>
                <w:bCs/>
                <w:i/>
                <w:iCs/>
                <w:noProof/>
                <w:color w:val="000000"/>
                <w:sz w:val="14"/>
                <w:szCs w:val="14"/>
                <w:lang w:val="en-US" w:eastAsia="en-US"/>
              </w:rPr>
              <w:t xml:space="preserve"> 914 197 724</w:t>
            </w:r>
          </w:p>
        </w:tc>
        <w:tc>
          <w:tcPr>
            <w:tcW w:w="1296" w:type="dxa"/>
            <w:tcBorders>
              <w:top w:val="nil"/>
              <w:left w:val="nil"/>
              <w:bottom w:val="single" w:sz="4" w:space="0" w:color="auto"/>
              <w:right w:val="single" w:sz="4" w:space="0" w:color="auto"/>
            </w:tcBorders>
            <w:shd w:val="clear" w:color="000000" w:fill="D9D9D9"/>
            <w:vAlign w:val="center"/>
            <w:hideMark/>
          </w:tcPr>
          <w:p w:rsidR="00E473EF" w:rsidRDefault="00CE451E">
            <w:pPr>
              <w:jc w:val="right"/>
              <w:rPr>
                <w:b/>
                <w:bCs/>
                <w:i/>
                <w:iCs/>
                <w:noProof/>
                <w:color w:val="000000"/>
                <w:sz w:val="14"/>
                <w:szCs w:val="14"/>
                <w:lang w:val="en-US" w:eastAsia="en-US"/>
              </w:rPr>
            </w:pPr>
            <w:r>
              <w:rPr>
                <w:b/>
                <w:bCs/>
                <w:i/>
                <w:iCs/>
                <w:noProof/>
                <w:color w:val="000000"/>
                <w:sz w:val="14"/>
                <w:szCs w:val="14"/>
                <w:lang w:val="en-US" w:eastAsia="en-US"/>
              </w:rPr>
              <w:t>1 950 149 463</w:t>
            </w:r>
          </w:p>
        </w:tc>
      </w:tr>
      <w:tr w:rsidR="00E473EF">
        <w:trPr>
          <w:gridAfter w:val="1"/>
          <w:wAfter w:w="24" w:type="dxa"/>
          <w:trHeight w:val="260"/>
          <w:jc w:val="center"/>
        </w:trPr>
        <w:tc>
          <w:tcPr>
            <w:tcW w:w="356" w:type="dxa"/>
            <w:tcBorders>
              <w:top w:val="single" w:sz="4" w:space="0" w:color="auto"/>
              <w:left w:val="single" w:sz="4" w:space="0" w:color="auto"/>
              <w:bottom w:val="single" w:sz="4" w:space="0" w:color="auto"/>
              <w:right w:val="nil"/>
            </w:tcBorders>
            <w:shd w:val="clear" w:color="auto" w:fill="auto"/>
            <w:vAlign w:val="center"/>
            <w:hideMark/>
          </w:tcPr>
          <w:p w:rsidR="00E473EF" w:rsidRDefault="00CE451E">
            <w:pPr>
              <w:rPr>
                <w:b/>
                <w:bCs/>
                <w:noProof/>
                <w:color w:val="000000"/>
                <w:sz w:val="14"/>
                <w:szCs w:val="14"/>
                <w:lang w:val="en-US" w:eastAsia="en-US"/>
              </w:rPr>
            </w:pPr>
            <w:r>
              <w:rPr>
                <w:b/>
                <w:bCs/>
                <w:noProof/>
                <w:color w:val="000000"/>
                <w:sz w:val="14"/>
                <w:szCs w:val="14"/>
                <w:lang w:val="en-US" w:eastAsia="en-US"/>
              </w:rPr>
              <w:t> </w:t>
            </w:r>
          </w:p>
        </w:tc>
        <w:tc>
          <w:tcPr>
            <w:tcW w:w="2311" w:type="dxa"/>
            <w:tcBorders>
              <w:top w:val="single" w:sz="4" w:space="0" w:color="auto"/>
              <w:left w:val="nil"/>
              <w:bottom w:val="single" w:sz="4" w:space="0" w:color="auto"/>
              <w:right w:val="single" w:sz="4" w:space="0" w:color="auto"/>
            </w:tcBorders>
            <w:shd w:val="clear" w:color="000000" w:fill="FFFFFF"/>
            <w:vAlign w:val="center"/>
            <w:hideMark/>
          </w:tcPr>
          <w:p w:rsidR="00E473EF" w:rsidRDefault="00CE451E">
            <w:pPr>
              <w:rPr>
                <w:b/>
                <w:bCs/>
                <w:noProof/>
                <w:color w:val="000000"/>
                <w:sz w:val="14"/>
                <w:szCs w:val="14"/>
                <w:lang w:val="en-US" w:eastAsia="en-US"/>
              </w:rPr>
            </w:pPr>
            <w:r>
              <w:rPr>
                <w:b/>
                <w:bCs/>
                <w:noProof/>
                <w:color w:val="000000"/>
                <w:sz w:val="14"/>
                <w:szCs w:val="14"/>
                <w:lang w:val="en-US" w:eastAsia="en-US"/>
              </w:rPr>
              <w:t xml:space="preserve">Other </w:t>
            </w:r>
            <w:r>
              <w:rPr>
                <w:b/>
                <w:bCs/>
                <w:noProof/>
                <w:color w:val="000000"/>
                <w:sz w:val="14"/>
                <w:szCs w:val="14"/>
                <w:lang w:val="en-US" w:eastAsia="en-US"/>
              </w:rPr>
              <w:t>special Instruments</w:t>
            </w:r>
          </w:p>
        </w:tc>
        <w:tc>
          <w:tcPr>
            <w:tcW w:w="130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3 643 250 000</w:t>
            </w:r>
          </w:p>
        </w:tc>
        <w:tc>
          <w:tcPr>
            <w:tcW w:w="1292" w:type="dxa"/>
            <w:tcBorders>
              <w:top w:val="nil"/>
              <w:left w:val="nil"/>
              <w:bottom w:val="single" w:sz="4" w:space="0" w:color="auto"/>
              <w:right w:val="single" w:sz="4" w:space="0" w:color="auto"/>
            </w:tcBorders>
            <w:shd w:val="clear" w:color="000000" w:fill="FFFFFF"/>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1 661 812 000</w:t>
            </w:r>
          </w:p>
        </w:tc>
        <w:tc>
          <w:tcPr>
            <w:tcW w:w="1297" w:type="dxa"/>
            <w:tcBorders>
              <w:top w:val="nil"/>
              <w:left w:val="nil"/>
              <w:bottom w:val="single"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-2 172 415 000</w:t>
            </w:r>
          </w:p>
        </w:tc>
        <w:tc>
          <w:tcPr>
            <w:tcW w:w="1332" w:type="dxa"/>
            <w:tcBorders>
              <w:top w:val="nil"/>
              <w:left w:val="nil"/>
              <w:bottom w:val="single"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- 368 362 000</w:t>
            </w:r>
          </w:p>
        </w:tc>
        <w:tc>
          <w:tcPr>
            <w:tcW w:w="1292" w:type="dxa"/>
            <w:tcBorders>
              <w:top w:val="nil"/>
              <w:left w:val="nil"/>
              <w:bottom w:val="single"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1 470 835 000</w:t>
            </w:r>
          </w:p>
        </w:tc>
        <w:tc>
          <w:tcPr>
            <w:tcW w:w="1296" w:type="dxa"/>
            <w:tcBorders>
              <w:top w:val="nil"/>
              <w:left w:val="nil"/>
              <w:bottom w:val="single" w:sz="4" w:space="0" w:color="auto"/>
              <w:right w:val="single" w:sz="4" w:space="0" w:color="auto"/>
            </w:tcBorders>
            <w:shd w:val="clear" w:color="auto" w:fill="auto"/>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1 293 450 000</w:t>
            </w:r>
          </w:p>
        </w:tc>
      </w:tr>
      <w:tr w:rsidR="00E473EF">
        <w:trPr>
          <w:gridAfter w:val="1"/>
          <w:wAfter w:w="24" w:type="dxa"/>
          <w:trHeight w:val="260"/>
          <w:jc w:val="center"/>
        </w:trPr>
        <w:tc>
          <w:tcPr>
            <w:tcW w:w="2667" w:type="dxa"/>
            <w:gridSpan w:val="2"/>
            <w:tcBorders>
              <w:top w:val="nil"/>
              <w:left w:val="single" w:sz="4" w:space="0" w:color="auto"/>
              <w:bottom w:val="single" w:sz="4" w:space="0" w:color="auto"/>
              <w:right w:val="single" w:sz="4" w:space="0" w:color="000000"/>
            </w:tcBorders>
            <w:shd w:val="clear" w:color="000000" w:fill="D9D9D9"/>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Grand Total</w:t>
            </w:r>
          </w:p>
        </w:tc>
        <w:tc>
          <w:tcPr>
            <w:tcW w:w="1302" w:type="dxa"/>
            <w:tcBorders>
              <w:top w:val="nil"/>
              <w:left w:val="nil"/>
              <w:bottom w:val="single" w:sz="4" w:space="0" w:color="auto"/>
              <w:right w:val="single" w:sz="4" w:space="0" w:color="auto"/>
            </w:tcBorders>
            <w:shd w:val="clear" w:color="000000" w:fill="D9D9D9"/>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166 746 181 976</w:t>
            </w:r>
          </w:p>
        </w:tc>
        <w:tc>
          <w:tcPr>
            <w:tcW w:w="1292" w:type="dxa"/>
            <w:tcBorders>
              <w:top w:val="nil"/>
              <w:left w:val="nil"/>
              <w:bottom w:val="single" w:sz="4" w:space="0" w:color="auto"/>
              <w:right w:val="single" w:sz="4" w:space="0" w:color="auto"/>
            </w:tcBorders>
            <w:shd w:val="clear" w:color="000000" w:fill="D9D9D9"/>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163 515 102 887</w:t>
            </w:r>
          </w:p>
        </w:tc>
        <w:tc>
          <w:tcPr>
            <w:tcW w:w="1297" w:type="dxa"/>
            <w:tcBorders>
              <w:top w:val="nil"/>
              <w:left w:val="nil"/>
              <w:bottom w:val="single" w:sz="4" w:space="0" w:color="auto"/>
              <w:right w:val="single" w:sz="4" w:space="0" w:color="auto"/>
            </w:tcBorders>
            <w:shd w:val="clear" w:color="000000" w:fill="D9D9D9"/>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-2 608 776 452</w:t>
            </w:r>
          </w:p>
        </w:tc>
        <w:tc>
          <w:tcPr>
            <w:tcW w:w="1332" w:type="dxa"/>
            <w:tcBorders>
              <w:top w:val="nil"/>
              <w:left w:val="nil"/>
              <w:bottom w:val="single" w:sz="4" w:space="0" w:color="auto"/>
              <w:right w:val="single" w:sz="4" w:space="0" w:color="auto"/>
            </w:tcBorders>
            <w:shd w:val="clear" w:color="000000" w:fill="D9D9D9"/>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2 609 275 465</w:t>
            </w:r>
          </w:p>
        </w:tc>
        <w:tc>
          <w:tcPr>
            <w:tcW w:w="1292" w:type="dxa"/>
            <w:tcBorders>
              <w:top w:val="nil"/>
              <w:left w:val="nil"/>
              <w:bottom w:val="single" w:sz="4" w:space="0" w:color="auto"/>
              <w:right w:val="single" w:sz="4" w:space="0" w:color="auto"/>
            </w:tcBorders>
            <w:shd w:val="clear" w:color="000000" w:fill="D9D9D9"/>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164 137 405 524</w:t>
            </w:r>
          </w:p>
        </w:tc>
        <w:tc>
          <w:tcPr>
            <w:tcW w:w="1296" w:type="dxa"/>
            <w:tcBorders>
              <w:top w:val="nil"/>
              <w:left w:val="nil"/>
              <w:bottom w:val="single" w:sz="4" w:space="0" w:color="auto"/>
              <w:right w:val="single" w:sz="4" w:space="0" w:color="auto"/>
            </w:tcBorders>
            <w:shd w:val="clear" w:color="000000" w:fill="D9D9D9"/>
            <w:vAlign w:val="center"/>
            <w:hideMark/>
          </w:tcPr>
          <w:p w:rsidR="00E473EF" w:rsidRDefault="00CE451E">
            <w:pPr>
              <w:jc w:val="right"/>
              <w:rPr>
                <w:b/>
                <w:bCs/>
                <w:noProof/>
                <w:color w:val="000000"/>
                <w:sz w:val="14"/>
                <w:szCs w:val="14"/>
                <w:lang w:val="en-US" w:eastAsia="en-US"/>
              </w:rPr>
            </w:pPr>
            <w:r>
              <w:rPr>
                <w:b/>
                <w:bCs/>
                <w:noProof/>
                <w:color w:val="000000"/>
                <w:sz w:val="14"/>
                <w:szCs w:val="14"/>
                <w:lang w:val="en-US" w:eastAsia="en-US"/>
              </w:rPr>
              <w:t>166 124 378 352</w:t>
            </w:r>
          </w:p>
        </w:tc>
      </w:tr>
    </w:tbl>
    <w:p w:rsidR="00E473EF" w:rsidRDefault="00E473EF">
      <w:pPr>
        <w:rPr>
          <w:noProof/>
        </w:rPr>
      </w:pPr>
    </w:p>
    <w:p w:rsidR="00E473EF" w:rsidRDefault="00E473EF">
      <w:pPr>
        <w:rPr>
          <w:noProof/>
        </w:rPr>
      </w:pPr>
    </w:p>
    <w:p w:rsidR="00E473EF" w:rsidRDefault="00E473EF">
      <w:pPr>
        <w:rPr>
          <w:noProof/>
        </w:rPr>
      </w:pPr>
    </w:p>
    <w:p w:rsidR="00E473EF" w:rsidRDefault="00E473EF">
      <w:pPr>
        <w:rPr>
          <w:noProof/>
        </w:rPr>
      </w:pPr>
    </w:p>
    <w:sectPr w:rsidR="00E473EF">
      <w:headerReference w:type="even" r:id="rId29"/>
      <w:headerReference w:type="default" r:id="rId30"/>
      <w:footerReference w:type="even" r:id="rId31"/>
      <w:footerReference w:type="default" r:id="rId32"/>
      <w:headerReference w:type="first" r:id="rId33"/>
      <w:footerReference w:type="first" r:id="rId34"/>
      <w:pgSz w:w="11907" w:h="16839"/>
      <w:pgMar w:top="720" w:right="1021" w:bottom="600" w:left="1021" w:header="280"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3EF" w:rsidRDefault="00CE451E">
      <w:r>
        <w:separator/>
      </w:r>
    </w:p>
  </w:endnote>
  <w:endnote w:type="continuationSeparator" w:id="0">
    <w:p w:rsidR="00E473EF" w:rsidRDefault="00CE451E">
      <w:r>
        <w:continuationSeparator/>
      </w:r>
    </w:p>
  </w:endnote>
  <w:endnote w:type="continuationNotice" w:id="1">
    <w:p w:rsidR="00E473EF" w:rsidRDefault="00E47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KOJOD P+ Adv T T 5843c 571">
    <w:altName w:val="Adv TT 584 3c"/>
    <w:panose1 w:val="00000000000000000000"/>
    <w:charset w:val="00"/>
    <w:family w:val="roman"/>
    <w:notTrueType/>
    <w:pitch w:val="default"/>
    <w:sig w:usb0="00000003" w:usb1="00000000" w:usb2="00000000" w:usb3="00000000" w:csb0="00000001" w:csb1="00000000"/>
  </w:font>
  <w:font w:name="10">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51E" w:rsidRPr="00CE451E" w:rsidRDefault="00CE451E" w:rsidP="00CE451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EF" w:rsidRDefault="00E473E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EF" w:rsidRDefault="00CE451E">
    <w:pPr>
      <w:pStyle w:val="Footer"/>
      <w:tabs>
        <w:tab w:val="clear" w:pos="4535"/>
        <w:tab w:val="center" w:pos="5040"/>
      </w:tabs>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3</w:t>
    </w:r>
    <w:r>
      <w:rPr>
        <w:noProof/>
      </w:rPr>
      <w:fldChar w:fldCharType="end"/>
    </w:r>
    <w: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EF" w:rsidRDefault="00E47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51E" w:rsidRPr="00CE451E" w:rsidRDefault="00CE451E" w:rsidP="00CE451E">
    <w:pPr>
      <w:pStyle w:val="FooterCoverPage"/>
      <w:rPr>
        <w:rFonts w:ascii="Arial" w:hAnsi="Arial" w:cs="Arial"/>
        <w:b/>
        <w:sz w:val="48"/>
      </w:rPr>
    </w:pPr>
    <w:r w:rsidRPr="00CE451E">
      <w:rPr>
        <w:rFonts w:ascii="Arial" w:hAnsi="Arial" w:cs="Arial"/>
        <w:b/>
        <w:sz w:val="48"/>
      </w:rPr>
      <w:t>EN</w:t>
    </w:r>
    <w:r w:rsidRPr="00CE451E">
      <w:rPr>
        <w:rFonts w:ascii="Arial" w:hAnsi="Arial" w:cs="Arial"/>
        <w:b/>
        <w:sz w:val="48"/>
      </w:rPr>
      <w:tab/>
    </w:r>
    <w:r w:rsidRPr="00CE451E">
      <w:rPr>
        <w:rFonts w:ascii="Arial" w:hAnsi="Arial" w:cs="Arial"/>
        <w:b/>
        <w:sz w:val="48"/>
      </w:rPr>
      <w:tab/>
    </w:r>
    <w:r w:rsidRPr="00CE451E">
      <w:tab/>
    </w:r>
    <w:r w:rsidRPr="00CE451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51E" w:rsidRPr="00CE451E" w:rsidRDefault="00CE451E" w:rsidP="00CE451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EF" w:rsidRDefault="00E473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EF" w:rsidRDefault="00CE451E">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1</w:t>
    </w:r>
    <w:r>
      <w:rPr>
        <w:noProof/>
      </w:rPr>
      <w:fldChar w:fldCharType="end"/>
    </w:r>
    <w:r>
      <w:tab/>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EF" w:rsidRDefault="00E473E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EF" w:rsidRDefault="00E473E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EF" w:rsidRDefault="00CE451E">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w:t>
    </w:r>
    <w:r>
      <w:rPr>
        <w:noProof/>
      </w:rPr>
      <w:fldChar w:fldCharType="end"/>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EF" w:rsidRDefault="00E47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3EF" w:rsidRDefault="00CE451E">
      <w:r>
        <w:separator/>
      </w:r>
    </w:p>
  </w:footnote>
  <w:footnote w:type="continuationSeparator" w:id="0">
    <w:p w:rsidR="00E473EF" w:rsidRDefault="00CE451E">
      <w:r>
        <w:continuationSeparator/>
      </w:r>
    </w:p>
  </w:footnote>
  <w:footnote w:type="continuationNotice" w:id="1">
    <w:p w:rsidR="00E473EF" w:rsidRDefault="00E473EF"/>
  </w:footnote>
  <w:footnote w:id="2">
    <w:p w:rsidR="00E473EF" w:rsidRDefault="00CE451E">
      <w:pPr>
        <w:pStyle w:val="FootnoteText"/>
        <w:rPr>
          <w:lang w:val="en-US"/>
        </w:rPr>
      </w:pPr>
      <w:r>
        <w:rPr>
          <w:rStyle w:val="FootnoteReference"/>
        </w:rPr>
        <w:footnoteRef/>
      </w:r>
      <w:r>
        <w:rPr>
          <w:lang w:val="en-US"/>
        </w:rPr>
        <w:t xml:space="preserve"> </w:t>
      </w:r>
      <w:r>
        <w:rPr>
          <w:lang w:val="en-US"/>
        </w:rPr>
        <w:tab/>
        <w:t>OJ L 193, 30.7.2018, p. 1.</w:t>
      </w:r>
    </w:p>
  </w:footnote>
  <w:footnote w:id="3">
    <w:p w:rsidR="00E473EF" w:rsidRDefault="00CE451E">
      <w:pPr>
        <w:pStyle w:val="FootnoteText"/>
        <w:rPr>
          <w:lang w:val="en-US"/>
        </w:rPr>
      </w:pPr>
      <w:r>
        <w:rPr>
          <w:rStyle w:val="FootnoteReference"/>
        </w:rPr>
        <w:footnoteRef/>
      </w:r>
      <w:r>
        <w:rPr>
          <w:lang w:val="en-US"/>
        </w:rPr>
        <w:tab/>
        <w:t>COM(2020) 300 final, 27.7.2020.</w:t>
      </w:r>
    </w:p>
  </w:footnote>
  <w:footnote w:id="4">
    <w:p w:rsidR="00E473EF" w:rsidRPr="00CE451E" w:rsidRDefault="00CE451E">
      <w:pPr>
        <w:pStyle w:val="FootnoteText"/>
        <w:rPr>
          <w:lang w:val="en-GB"/>
        </w:rPr>
      </w:pPr>
      <w:r>
        <w:rPr>
          <w:rStyle w:val="FootnoteReference"/>
        </w:rPr>
        <w:footnoteRef/>
      </w:r>
      <w:r w:rsidRPr="00CE451E">
        <w:rPr>
          <w:lang w:val="en-GB"/>
        </w:rPr>
        <w:t xml:space="preserve"> </w:t>
      </w:r>
      <w:r w:rsidRPr="00CE451E">
        <w:rPr>
          <w:lang w:val="en-GB"/>
        </w:rPr>
        <w:tab/>
        <w:t>EUCO 10/20, 21.7.2020.</w:t>
      </w:r>
    </w:p>
  </w:footnote>
  <w:footnote w:id="5">
    <w:p w:rsidR="00E473EF" w:rsidRPr="00CE451E" w:rsidRDefault="00CE451E">
      <w:pPr>
        <w:pStyle w:val="FootnoteText"/>
        <w:rPr>
          <w:lang w:val="en-GB"/>
        </w:rPr>
      </w:pPr>
      <w:r>
        <w:rPr>
          <w:rStyle w:val="FootnoteReference"/>
        </w:rPr>
        <w:footnoteRef/>
      </w:r>
      <w:r w:rsidRPr="00CE451E">
        <w:rPr>
          <w:lang w:val="en-GB"/>
        </w:rPr>
        <w:t xml:space="preserve"> </w:t>
      </w:r>
      <w:r w:rsidRPr="00CE451E">
        <w:rPr>
          <w:lang w:val="en-GB"/>
        </w:rPr>
        <w:tab/>
        <w:t>Council Regulation (EC) No 58/2003 of 19 December 2002 laying down the statute for executive agencies to be entrusted with certain tasks in the management of Commu</w:t>
      </w:r>
      <w:r w:rsidRPr="00CE451E">
        <w:rPr>
          <w:lang w:val="en-GB"/>
        </w:rPr>
        <w:t>nity programmes (</w:t>
      </w:r>
      <w:r w:rsidRPr="00CE451E">
        <w:rPr>
          <w:rFonts w:eastAsia="Arial Unicode MS"/>
          <w:lang w:val="en-GB"/>
        </w:rPr>
        <w:t>OJ L 11, 16.1.2003, p. 1).</w:t>
      </w:r>
    </w:p>
  </w:footnote>
  <w:footnote w:id="6">
    <w:p w:rsidR="00E473EF" w:rsidRPr="00CE451E" w:rsidRDefault="00CE451E">
      <w:pPr>
        <w:pStyle w:val="FootnoteText"/>
        <w:rPr>
          <w:lang w:val="en-GB"/>
        </w:rPr>
      </w:pPr>
      <w:r>
        <w:rPr>
          <w:rStyle w:val="FootnoteReference"/>
        </w:rPr>
        <w:footnoteRef/>
      </w:r>
      <w:r w:rsidRPr="00CE451E">
        <w:rPr>
          <w:lang w:val="en-GB"/>
        </w:rPr>
        <w:t xml:space="preserve"> </w:t>
      </w:r>
      <w:r w:rsidRPr="00CE451E">
        <w:rPr>
          <w:lang w:val="en-GB"/>
        </w:rPr>
        <w:tab/>
        <w:t>The necessary level of appropriations for administrative support lines has been reassessed specifically for each programmes and, as a result, not systematically included in the proportional adjustments.</w:t>
      </w:r>
    </w:p>
  </w:footnote>
  <w:footnote w:id="7">
    <w:p w:rsidR="00E473EF" w:rsidRDefault="00CE451E">
      <w:pPr>
        <w:pStyle w:val="FootnoteText"/>
        <w:rPr>
          <w:lang w:val="en-GB"/>
        </w:rPr>
      </w:pPr>
      <w:r>
        <w:rPr>
          <w:rStyle w:val="FootnoteReference"/>
        </w:rPr>
        <w:footnoteRef/>
      </w:r>
      <w:r>
        <w:rPr>
          <w:lang w:val="en-GB"/>
        </w:rPr>
        <w:t xml:space="preserve"> </w:t>
      </w:r>
      <w:r>
        <w:rPr>
          <w:lang w:val="en-GB"/>
        </w:rPr>
        <w:tab/>
      </w:r>
      <w:r>
        <w:rPr>
          <w:lang w:val="en-GB"/>
        </w:rPr>
        <w:t xml:space="preserve">Regulation (EU) 2020/872 of  the European Parliament and of the Council of 24 June 2020 amending Regulation (EU) No 1305/2013 as regards a specific measure to provide exceptional temporary support under the European Agricultural Fund for Rural Development </w:t>
      </w:r>
      <w:r>
        <w:rPr>
          <w:lang w:val="en-GB"/>
        </w:rPr>
        <w:t>(EAFRD) in response to the COVID-19 outbreak.</w:t>
      </w:r>
    </w:p>
  </w:footnote>
  <w:footnote w:id="8">
    <w:p w:rsidR="00E473EF" w:rsidRPr="00CE451E" w:rsidRDefault="00CE451E">
      <w:pPr>
        <w:pStyle w:val="FootnoteText"/>
        <w:rPr>
          <w:lang w:val="en-GB"/>
        </w:rPr>
      </w:pPr>
      <w:r>
        <w:rPr>
          <w:rStyle w:val="FootnoteReference"/>
        </w:rPr>
        <w:footnoteRef/>
      </w:r>
      <w:r w:rsidRPr="00CE451E">
        <w:rPr>
          <w:lang w:val="en-GB"/>
        </w:rPr>
        <w:t xml:space="preserve"> </w:t>
      </w:r>
      <w:r w:rsidRPr="00CE451E">
        <w:rPr>
          <w:lang w:val="en-GB"/>
        </w:rPr>
        <w:tab/>
      </w:r>
      <w:r w:rsidRPr="00CE451E">
        <w:rPr>
          <w:color w:val="000000"/>
          <w:lang w:val="en-GB"/>
        </w:rPr>
        <w:t>The reductions in commitment appropriations are offset within the IPA and NDICI (geographic pillar) programmes</w:t>
      </w:r>
      <w:r>
        <w:rPr>
          <w:lang w:val="en-GB"/>
        </w:rPr>
        <w:t>.</w:t>
      </w:r>
    </w:p>
  </w:footnote>
  <w:footnote w:id="9">
    <w:p w:rsidR="00E473EF" w:rsidRDefault="00CE451E">
      <w:pPr>
        <w:pStyle w:val="FootnoteText"/>
        <w:rPr>
          <w:lang w:val="en-US"/>
        </w:rPr>
      </w:pPr>
      <w:r>
        <w:rPr>
          <w:rStyle w:val="FootnoteReference"/>
        </w:rPr>
        <w:footnoteRef/>
      </w:r>
      <w:r w:rsidRPr="00CE451E">
        <w:rPr>
          <w:lang w:val="en-GB"/>
        </w:rPr>
        <w:t xml:space="preserve"> </w:t>
      </w:r>
      <w:r>
        <w:rPr>
          <w:lang w:val="en-US"/>
        </w:rPr>
        <w:tab/>
      </w:r>
      <w:r>
        <w:rPr>
          <w:lang w:val="en-GB"/>
        </w:rPr>
        <w:t>The increase in commitment appropriations is offset by a corresponding decrease of EFSD+ pro</w:t>
      </w:r>
      <w:r>
        <w:rPr>
          <w:lang w:val="en-GB"/>
        </w:rPr>
        <w:t>visioning in 2021, which will be compensated by an increase of EFSD+ provisioning in 2022-2027.</w:t>
      </w:r>
    </w:p>
  </w:footnote>
  <w:footnote w:id="10">
    <w:p w:rsidR="00E473EF" w:rsidRPr="00CE451E" w:rsidRDefault="00CE451E">
      <w:pPr>
        <w:pStyle w:val="FootnoteText"/>
        <w:rPr>
          <w:lang w:val="en-GB"/>
        </w:rPr>
      </w:pPr>
      <w:r>
        <w:rPr>
          <w:rStyle w:val="FootnoteReference"/>
        </w:rPr>
        <w:footnoteRef/>
      </w:r>
      <w:r w:rsidRPr="00CE451E">
        <w:rPr>
          <w:lang w:val="en-GB"/>
        </w:rPr>
        <w:t xml:space="preserve"> </w:t>
      </w:r>
      <w:r w:rsidRPr="00CE451E">
        <w:rPr>
          <w:lang w:val="en-GB"/>
        </w:rPr>
        <w:tab/>
      </w:r>
      <w:r>
        <w:rPr>
          <w:lang w:val="pl-PL"/>
        </w:rPr>
        <w:t>COM(2020) 423 final, 3.6.2020.</w:t>
      </w:r>
    </w:p>
  </w:footnote>
  <w:footnote w:id="11">
    <w:p w:rsidR="00E473EF" w:rsidRDefault="00CE451E">
      <w:pPr>
        <w:pStyle w:val="FootnoteText"/>
        <w:rPr>
          <w:lang w:val="en-US"/>
        </w:rPr>
      </w:pPr>
      <w:r>
        <w:rPr>
          <w:rStyle w:val="FootnoteReference"/>
        </w:rPr>
        <w:footnoteRef/>
      </w:r>
      <w:r w:rsidRPr="00CE451E">
        <w:rPr>
          <w:lang w:val="en-GB"/>
        </w:rPr>
        <w:t xml:space="preserve"> </w:t>
      </w:r>
      <w:r>
        <w:rPr>
          <w:lang w:val="en-US"/>
        </w:rPr>
        <w:tab/>
        <w:t>One budget line under the title 30 “Reserves” and one budget line under the title 17 “</w:t>
      </w:r>
      <w:r w:rsidRPr="00CE451E">
        <w:rPr>
          <w:lang w:val="en-GB"/>
        </w:rPr>
        <w:t>Expenditure outside the annual ceilin</w:t>
      </w:r>
      <w:r w:rsidRPr="00CE451E">
        <w:rPr>
          <w:lang w:val="en-GB"/>
        </w:rPr>
        <w:t>gs set out in the Multiannual Financial Framework“, based on the model already applied for the EGF.</w:t>
      </w:r>
    </w:p>
  </w:footnote>
  <w:footnote w:id="12">
    <w:p w:rsidR="00E473EF" w:rsidRDefault="00CE451E">
      <w:pPr>
        <w:pStyle w:val="FootnoteText"/>
        <w:rPr>
          <w:sz w:val="18"/>
          <w:szCs w:val="18"/>
          <w:lang w:val="pl-PL"/>
        </w:rPr>
      </w:pPr>
      <w:r>
        <w:rPr>
          <w:vertAlign w:val="superscript"/>
          <w:lang w:val="pl-PL"/>
        </w:rPr>
        <w:footnoteRef/>
      </w:r>
      <w:r>
        <w:rPr>
          <w:sz w:val="18"/>
          <w:szCs w:val="18"/>
          <w:lang w:val="pl-PL"/>
        </w:rPr>
        <w:t xml:space="preserve"> </w:t>
      </w:r>
      <w:r>
        <w:rPr>
          <w:sz w:val="18"/>
          <w:szCs w:val="18"/>
          <w:lang w:val="pl-PL"/>
        </w:rPr>
        <w:tab/>
      </w:r>
      <w:r>
        <w:rPr>
          <w:lang w:val="pl-PL"/>
        </w:rPr>
        <w:t>COM(2020) 456 final, 27.5.2020.</w:t>
      </w:r>
    </w:p>
  </w:footnote>
  <w:footnote w:id="13">
    <w:p w:rsidR="00E473EF" w:rsidRDefault="00CE451E">
      <w:pPr>
        <w:pStyle w:val="FootnoteText"/>
        <w:rPr>
          <w:sz w:val="18"/>
          <w:szCs w:val="18"/>
          <w:highlight w:val="yellow"/>
          <w:lang w:val="pl-PL"/>
        </w:rPr>
      </w:pPr>
      <w:r>
        <w:rPr>
          <w:rStyle w:val="FootnoteReference"/>
        </w:rPr>
        <w:footnoteRef/>
      </w:r>
      <w:r w:rsidRPr="00CE451E">
        <w:rPr>
          <w:lang w:val="en-GB"/>
        </w:rPr>
        <w:t xml:space="preserve"> </w:t>
      </w:r>
      <w:r w:rsidRPr="00CE451E">
        <w:rPr>
          <w:lang w:val="en-GB"/>
        </w:rPr>
        <w:tab/>
      </w:r>
      <w:r>
        <w:rPr>
          <w:lang w:val="pl-PL"/>
        </w:rPr>
        <w:t>COM(2020) 446 final, 28.5.2020.</w:t>
      </w:r>
    </w:p>
  </w:footnote>
  <w:footnote w:id="14">
    <w:p w:rsidR="00E473EF" w:rsidRDefault="00CE451E">
      <w:pPr>
        <w:pStyle w:val="FootnoteText"/>
        <w:rPr>
          <w:sz w:val="18"/>
          <w:szCs w:val="18"/>
          <w:lang w:val="pl-PL"/>
        </w:rPr>
      </w:pPr>
      <w:r>
        <w:rPr>
          <w:rStyle w:val="FootnoteReference"/>
        </w:rPr>
        <w:footnoteRef/>
      </w:r>
      <w:r w:rsidRPr="00CE451E">
        <w:rPr>
          <w:rStyle w:val="FootnoteReference"/>
          <w:lang w:val="en-GB"/>
        </w:rPr>
        <w:t xml:space="preserve"> </w:t>
      </w:r>
      <w:r>
        <w:rPr>
          <w:sz w:val="18"/>
          <w:szCs w:val="18"/>
          <w:lang w:val="pl-PL"/>
        </w:rPr>
        <w:tab/>
      </w:r>
      <w:r>
        <w:rPr>
          <w:lang w:val="pl-PL"/>
        </w:rPr>
        <w:t>COM(2020) 451 final, 28.5.2020.</w:t>
      </w:r>
    </w:p>
  </w:footnote>
  <w:footnote w:id="15">
    <w:p w:rsidR="00E473EF" w:rsidRPr="00CE451E" w:rsidRDefault="00CE451E">
      <w:pPr>
        <w:pStyle w:val="FootnoteText"/>
        <w:rPr>
          <w:lang w:val="en-GB"/>
        </w:rPr>
      </w:pPr>
      <w:r>
        <w:rPr>
          <w:rStyle w:val="FootnoteReference"/>
        </w:rPr>
        <w:footnoteRef/>
      </w:r>
      <w:r w:rsidRPr="00CE451E">
        <w:rPr>
          <w:lang w:val="en-GB"/>
        </w:rPr>
        <w:t xml:space="preserve"> </w:t>
      </w:r>
      <w:r w:rsidRPr="00CE451E">
        <w:rPr>
          <w:lang w:val="en-GB"/>
        </w:rPr>
        <w:tab/>
        <w:t>Adopted by the European Parliament on 17 Septemb</w:t>
      </w:r>
      <w:r w:rsidRPr="00CE451E">
        <w:rPr>
          <w:lang w:val="en-GB"/>
        </w:rPr>
        <w:t>er 2020 but pending publication in the Official Journal (tabled as Draft Amending Budget No 8/2020 by the Commission on 28 August 2020).</w:t>
      </w:r>
    </w:p>
  </w:footnote>
  <w:footnote w:id="16">
    <w:p w:rsidR="00E473EF" w:rsidRPr="00CE451E" w:rsidRDefault="00CE451E">
      <w:pPr>
        <w:pStyle w:val="FootnoteText"/>
        <w:rPr>
          <w:lang w:val="en-GB"/>
        </w:rPr>
      </w:pPr>
      <w:r>
        <w:rPr>
          <w:rStyle w:val="FootnoteReference"/>
        </w:rPr>
        <w:footnoteRef/>
      </w:r>
      <w:r w:rsidRPr="00CE451E">
        <w:rPr>
          <w:lang w:val="en-GB"/>
        </w:rPr>
        <w:t xml:space="preserve"> </w:t>
      </w:r>
      <w:r w:rsidRPr="00CE451E">
        <w:rPr>
          <w:lang w:val="en-GB"/>
        </w:rPr>
        <w:tab/>
        <w:t>Adopted by the European Parliament on 17 April 2020 (</w:t>
      </w:r>
      <w:r>
        <w:rPr>
          <w:lang w:val="pt-PT"/>
        </w:rPr>
        <w:t>OJ L 126, 21.4.2020).</w:t>
      </w:r>
    </w:p>
  </w:footnote>
  <w:footnote w:id="17">
    <w:p w:rsidR="00E473EF" w:rsidRDefault="00CE451E">
      <w:pPr>
        <w:pStyle w:val="FootnoteText"/>
        <w:rPr>
          <w:lang w:val="en-IE"/>
        </w:rPr>
      </w:pPr>
      <w:r>
        <w:rPr>
          <w:rStyle w:val="FootnoteReference"/>
        </w:rPr>
        <w:footnoteRef/>
      </w:r>
      <w:r>
        <w:rPr>
          <w:lang w:val="en-IE"/>
        </w:rPr>
        <w:t xml:space="preserve"> </w:t>
      </w:r>
      <w:r>
        <w:rPr>
          <w:lang w:val="en-IE"/>
        </w:rPr>
        <w:tab/>
      </w:r>
      <w:r>
        <w:rPr>
          <w:lang w:val="en-GB"/>
        </w:rPr>
        <w:t>COM(2018) 614 final, 7.9.2018.</w:t>
      </w:r>
    </w:p>
  </w:footnote>
  <w:footnote w:id="18">
    <w:p w:rsidR="00E473EF" w:rsidRDefault="00CE451E">
      <w:pPr>
        <w:pStyle w:val="FootnoteText"/>
        <w:rPr>
          <w:lang w:val="en-GB"/>
        </w:rPr>
      </w:pPr>
      <w:r>
        <w:rPr>
          <w:rStyle w:val="FootnoteReference"/>
        </w:rPr>
        <w:footnoteRef/>
      </w:r>
      <w:r>
        <w:rPr>
          <w:lang w:val="en-GB"/>
        </w:rPr>
        <w:t xml:space="preserve"> </w:t>
      </w:r>
      <w:r>
        <w:rPr>
          <w:lang w:val="en-GB"/>
        </w:rPr>
        <w:tab/>
      </w:r>
      <w:r>
        <w:rPr>
          <w:lang w:val="en-GB"/>
        </w:rPr>
        <w:t>JOIN(2020) 11 final, 8.4.2020.</w:t>
      </w:r>
    </w:p>
  </w:footnote>
  <w:footnote w:id="19">
    <w:p w:rsidR="00E473EF" w:rsidRPr="00CE451E" w:rsidRDefault="00CE451E">
      <w:pPr>
        <w:pStyle w:val="FootnoteText"/>
        <w:rPr>
          <w:lang w:val="en-GB"/>
        </w:rPr>
      </w:pPr>
      <w:r>
        <w:rPr>
          <w:rStyle w:val="FootnoteReference"/>
        </w:rPr>
        <w:footnoteRef/>
      </w:r>
      <w:r w:rsidRPr="00CE451E">
        <w:rPr>
          <w:lang w:val="en-GB"/>
        </w:rPr>
        <w:t xml:space="preserve"> </w:t>
      </w:r>
      <w:r w:rsidRPr="00CE451E">
        <w:rPr>
          <w:lang w:val="en-GB"/>
        </w:rPr>
        <w:tab/>
      </w:r>
      <w:r>
        <w:rPr>
          <w:lang w:val="en-GB"/>
        </w:rPr>
        <w:t>In accordance with Article 7 of the EIF Statutes, this amount will correspond to 20 % of the nominal value to be paid in at the subscription (in addition to paying for the share premium on purchase). The remaining 80 %, re</w:t>
      </w:r>
      <w:r>
        <w:rPr>
          <w:lang w:val="en-GB"/>
        </w:rPr>
        <w:t xml:space="preserve">presents a capped contingent liability for the </w:t>
      </w:r>
      <w:r w:rsidRPr="00CE451E">
        <w:rPr>
          <w:lang w:val="en-GB"/>
        </w:rPr>
        <w:t>Union</w:t>
      </w:r>
      <w:r>
        <w:rPr>
          <w:lang w:val="en-GB"/>
        </w:rPr>
        <w:t xml:space="preserve"> linked to the possibility that further payment of subscribed but not paid in capital could be required. </w:t>
      </w:r>
    </w:p>
  </w:footnote>
  <w:footnote w:id="20">
    <w:p w:rsidR="00E473EF" w:rsidRDefault="00CE451E">
      <w:pPr>
        <w:pStyle w:val="FootnoteText"/>
        <w:rPr>
          <w:lang w:val="en-GB"/>
        </w:rPr>
      </w:pPr>
      <w:r>
        <w:rPr>
          <w:rStyle w:val="FootnoteReference"/>
        </w:rPr>
        <w:footnoteRef/>
      </w:r>
      <w:r>
        <w:rPr>
          <w:lang w:val="en-GB"/>
        </w:rPr>
        <w:t xml:space="preserve"> </w:t>
      </w:r>
      <w:r>
        <w:rPr>
          <w:lang w:val="en-GB"/>
        </w:rPr>
        <w:tab/>
        <w:t>The exact figure of the EAGF net balance is EUR 40 367,954 million. The additional transfers we</w:t>
      </w:r>
      <w:r>
        <w:rPr>
          <w:lang w:val="en-GB"/>
        </w:rPr>
        <w:t>re notified by Member States concerned in accordance with Articles 7(2), 11(6), 14(1) and 14(2) of Regulation (EU) No 1307/2013 with an amount of EUR 1 157,704 million from the EAGF to the EAFRD and EUR 600,658 million from the EAFRD to the EAGF. The resul</w:t>
      </w:r>
      <w:r>
        <w:rPr>
          <w:lang w:val="en-GB"/>
        </w:rPr>
        <w:t>ting net transfer from the EAGF to the EAFRD, i.e. EUR 557,046 million, is deducted from the 2021 EAGF sub-ceiling of EUR 40 925 million under the new MFF 2021-2027 and added to the respective national envelopes for the EAFRD in 2021. Overall, such transfe</w:t>
      </w:r>
      <w:r>
        <w:rPr>
          <w:lang w:val="en-GB"/>
        </w:rPr>
        <w:t>rs between the two CAP pillars are budgetary neutral as regards the ceiling for Heading 3.</w:t>
      </w:r>
    </w:p>
  </w:footnote>
  <w:footnote w:id="21">
    <w:p w:rsidR="00E473EF" w:rsidRDefault="00CE451E">
      <w:pPr>
        <w:pStyle w:val="FootnoteText"/>
        <w:rPr>
          <w:lang w:val="en-GB"/>
        </w:rPr>
      </w:pPr>
      <w:r>
        <w:rPr>
          <w:rStyle w:val="FootnoteReference"/>
        </w:rPr>
        <w:footnoteRef/>
      </w:r>
      <w:r>
        <w:rPr>
          <w:lang w:val="en-GB"/>
        </w:rPr>
        <w:t xml:space="preserve"> </w:t>
      </w:r>
      <w:r>
        <w:rPr>
          <w:lang w:val="en-GB"/>
        </w:rPr>
        <w:tab/>
        <w:t>The needs amount corresponds to EUR 40 368,0 million fresh appropriations plus EUR 619,0 million assigned revenue.</w:t>
      </w:r>
    </w:p>
  </w:footnote>
  <w:footnote w:id="22">
    <w:p w:rsidR="00E473EF" w:rsidRDefault="00CE451E">
      <w:pPr>
        <w:pStyle w:val="FootnoteText"/>
        <w:rPr>
          <w:lang w:val="en-GB"/>
        </w:rPr>
      </w:pPr>
      <w:r>
        <w:rPr>
          <w:rStyle w:val="FootnoteReference"/>
        </w:rPr>
        <w:footnoteRef/>
      </w:r>
      <w:r>
        <w:rPr>
          <w:lang w:val="en-GB"/>
        </w:rPr>
        <w:t xml:space="preserve"> </w:t>
      </w:r>
      <w:r>
        <w:rPr>
          <w:lang w:val="en-GB"/>
        </w:rPr>
        <w:tab/>
      </w:r>
      <w:r>
        <w:rPr>
          <w:noProof/>
          <w:lang w:val="en-GB"/>
        </w:rPr>
        <w:t xml:space="preserve">This estimate is based on the declarations </w:t>
      </w:r>
      <w:r>
        <w:rPr>
          <w:noProof/>
          <w:lang w:val="en-GB"/>
        </w:rPr>
        <w:t>of actual expenditure received from Member States for the period 1.9.2020 to 15.10.2020. Small corrections in relation to these declarations and expenditure under direct management are still to be made up to the end of the year.</w:t>
      </w:r>
    </w:p>
  </w:footnote>
  <w:footnote w:id="23">
    <w:p w:rsidR="00E473EF" w:rsidRDefault="00CE451E">
      <w:pPr>
        <w:pStyle w:val="FootnoteText"/>
        <w:rPr>
          <w:lang w:val="en-GB"/>
        </w:rPr>
      </w:pPr>
      <w:r>
        <w:rPr>
          <w:rStyle w:val="FootnoteReference"/>
        </w:rPr>
        <w:footnoteRef/>
      </w:r>
      <w:r>
        <w:rPr>
          <w:lang w:val="en-GB"/>
        </w:rPr>
        <w:t xml:space="preserve"> </w:t>
      </w:r>
      <w:r>
        <w:rPr>
          <w:lang w:val="en-GB"/>
        </w:rPr>
        <w:tab/>
        <w:t xml:space="preserve">The adjustment rate for </w:t>
      </w:r>
      <w:r>
        <w:rPr>
          <w:lang w:val="en-GB"/>
        </w:rPr>
        <w:t xml:space="preserve">direct payments related to the financial discipline mechanism in respect of the calendar year 2020 is set in Commission Implementing Regulation (EU) 2020/862 of 19 June 2020 with 2,140411 % on the basis of the DB 2021. The Commission will update this rate </w:t>
      </w:r>
      <w:r>
        <w:rPr>
          <w:lang w:val="en-GB"/>
        </w:rPr>
        <w:t>accordingly taking into account the modifications proposed in this AL, leading to a somewhat higher rate of 2,906192 %.</w:t>
      </w:r>
    </w:p>
  </w:footnote>
  <w:footnote w:id="24">
    <w:p w:rsidR="00E473EF" w:rsidRPr="00CE451E" w:rsidRDefault="00CE451E">
      <w:pPr>
        <w:pStyle w:val="FootnoteText"/>
        <w:rPr>
          <w:lang w:val="en-GB"/>
        </w:rPr>
      </w:pPr>
      <w:r>
        <w:rPr>
          <w:rStyle w:val="FootnoteReference"/>
        </w:rPr>
        <w:footnoteRef/>
      </w:r>
      <w:r w:rsidRPr="00CE451E">
        <w:rPr>
          <w:lang w:val="en-GB"/>
        </w:rPr>
        <w:t xml:space="preserve"> </w:t>
      </w:r>
      <w:r w:rsidRPr="00CE451E">
        <w:rPr>
          <w:lang w:val="en-GB"/>
        </w:rPr>
        <w:tab/>
        <w:t>Council Regulation (EC) No 58/2003 of 19 December 2002 laying down the statute for executive agencies to be entrusted with certain ta</w:t>
      </w:r>
      <w:r w:rsidRPr="00CE451E">
        <w:rPr>
          <w:lang w:val="en-GB"/>
        </w:rPr>
        <w:t>sks in the management of Community programmes (OJ L11, 16.1.2003, p. 1-8).</w:t>
      </w:r>
    </w:p>
  </w:footnote>
  <w:footnote w:id="25">
    <w:p w:rsidR="00E473EF" w:rsidRPr="00CE451E" w:rsidRDefault="00CE451E">
      <w:pPr>
        <w:pStyle w:val="FootnoteText"/>
        <w:rPr>
          <w:lang w:val="en-GB"/>
        </w:rPr>
      </w:pPr>
      <w:r>
        <w:rPr>
          <w:rStyle w:val="FootnoteReference"/>
        </w:rPr>
        <w:footnoteRef/>
      </w:r>
      <w:r w:rsidRPr="00CE451E">
        <w:rPr>
          <w:lang w:val="en-GB"/>
        </w:rPr>
        <w:t xml:space="preserve"> </w:t>
      </w:r>
      <w:r w:rsidRPr="00CE451E">
        <w:rPr>
          <w:lang w:val="en-GB"/>
        </w:rPr>
        <w:tab/>
        <w:t>This table does not include appropriations/staff related to JRC pillar III, Innovation fund and renewable energy fund. It includes staff numbers and appropriations related to the</w:t>
      </w:r>
      <w:r w:rsidRPr="00CE451E">
        <w:rPr>
          <w:lang w:val="en-GB"/>
        </w:rPr>
        <w:t xml:space="preserve"> implementation of the research programme for Coal and Steel.</w:t>
      </w:r>
    </w:p>
  </w:footnote>
  <w:footnote w:id="26">
    <w:p w:rsidR="00E473EF" w:rsidRDefault="00CE451E">
      <w:pPr>
        <w:pStyle w:val="FootnoteText"/>
        <w:rPr>
          <w:lang w:val="en-IE"/>
        </w:rPr>
      </w:pPr>
      <w:r>
        <w:rPr>
          <w:rStyle w:val="FootnoteReference"/>
        </w:rPr>
        <w:footnoteRef/>
      </w:r>
      <w:r w:rsidRPr="00CE451E">
        <w:rPr>
          <w:lang w:val="en-GB"/>
        </w:rPr>
        <w:t xml:space="preserve"> </w:t>
      </w:r>
      <w:r w:rsidRPr="00CE451E">
        <w:rPr>
          <w:lang w:val="en-GB"/>
        </w:rPr>
        <w:tab/>
        <w:t>Regulation (EU) 2020/852 of the European Parliament and of the Council of 18 June 2020 on the establishment of a framework to facilitate sustainable investment, and amending Regulation (EU) 2</w:t>
      </w:r>
      <w:r w:rsidRPr="00CE451E">
        <w:rPr>
          <w:lang w:val="en-GB"/>
        </w:rPr>
        <w:t>019/2088.</w:t>
      </w:r>
    </w:p>
  </w:footnote>
  <w:footnote w:id="27">
    <w:p w:rsidR="00E473EF" w:rsidRDefault="00CE451E">
      <w:pPr>
        <w:pStyle w:val="FootnoteText"/>
        <w:rPr>
          <w:lang w:val="en-US"/>
        </w:rPr>
      </w:pPr>
      <w:r>
        <w:rPr>
          <w:rStyle w:val="FootnoteReference"/>
        </w:rPr>
        <w:footnoteRef/>
      </w:r>
      <w:r w:rsidRPr="00CE451E">
        <w:rPr>
          <w:lang w:val="en-GB"/>
        </w:rPr>
        <w:t xml:space="preserve"> </w:t>
      </w:r>
      <w:r>
        <w:rPr>
          <w:lang w:val="en-US"/>
        </w:rPr>
        <w:tab/>
      </w:r>
      <w:r w:rsidRPr="00CE451E">
        <w:rPr>
          <w:lang w:val="en-GB"/>
        </w:rPr>
        <w:t>Regulation No 31 (EEC), 11 (EAEC), laying down the Staff Regulations of Officials and the Conditions of Employment of Other Servants of the European Economic Community and the European Atomic Energy Community (OJ P 045 14.6.1962, p. 1385)</w:t>
      </w:r>
      <w:r>
        <w:rPr>
          <w:lang w:val="en-US"/>
        </w:rPr>
        <w:t>.</w:t>
      </w:r>
    </w:p>
  </w:footnote>
  <w:footnote w:id="28">
    <w:p w:rsidR="00E473EF" w:rsidRDefault="00CE451E">
      <w:pPr>
        <w:pStyle w:val="FootnoteText"/>
        <w:rPr>
          <w:lang w:val="en-GB"/>
        </w:rPr>
      </w:pPr>
      <w:r>
        <w:rPr>
          <w:rStyle w:val="FootnoteReference"/>
        </w:rPr>
        <w:footnoteRef/>
      </w:r>
      <w:r>
        <w:rPr>
          <w:lang w:val="en-GB"/>
        </w:rPr>
        <w:t xml:space="preserve"> </w:t>
      </w:r>
      <w:r>
        <w:rPr>
          <w:lang w:val="en-GB"/>
        </w:rPr>
        <w:tab/>
      </w:r>
      <w:r>
        <w:rPr>
          <w:lang w:val="en-GB"/>
        </w:rPr>
        <w:t>H</w:t>
      </w:r>
      <w:r>
        <w:rPr>
          <w:lang w:val="en"/>
        </w:rPr>
        <w:t>armonised index of consumer prices.</w:t>
      </w:r>
    </w:p>
  </w:footnote>
  <w:footnote w:id="29">
    <w:p w:rsidR="00E473EF" w:rsidRDefault="00CE451E">
      <w:pPr>
        <w:pStyle w:val="FootnoteText"/>
        <w:rPr>
          <w:lang w:val="en-GB"/>
        </w:rPr>
      </w:pPr>
      <w:r>
        <w:rPr>
          <w:rStyle w:val="FootnoteReference"/>
        </w:rPr>
        <w:footnoteRef/>
      </w:r>
      <w:r>
        <w:rPr>
          <w:lang w:val="en-GB"/>
        </w:rPr>
        <w:t xml:space="preserve"> </w:t>
      </w:r>
      <w:r>
        <w:rPr>
          <w:lang w:val="en-GB"/>
        </w:rPr>
        <w:tab/>
        <w:t>Consumer Price Index.</w:t>
      </w:r>
    </w:p>
  </w:footnote>
  <w:footnote w:id="30">
    <w:p w:rsidR="00E473EF" w:rsidRPr="00CE451E" w:rsidRDefault="00CE451E">
      <w:pPr>
        <w:pStyle w:val="FootnoteText"/>
        <w:rPr>
          <w:lang w:val="en-GB"/>
        </w:rPr>
      </w:pPr>
      <w:r>
        <w:rPr>
          <w:rStyle w:val="FootnoteReference"/>
        </w:rPr>
        <w:footnoteRef/>
      </w:r>
      <w:r w:rsidRPr="00CE451E">
        <w:rPr>
          <w:lang w:val="en-GB"/>
        </w:rPr>
        <w:t xml:space="preserve"> </w:t>
      </w:r>
      <w:r w:rsidRPr="00CE451E">
        <w:rPr>
          <w:lang w:val="en-GB"/>
        </w:rPr>
        <w:tab/>
        <w:t>This rate was based on the Autumn forecast of 2019 and used in the initial internal preparatory works of the Statement of Estimates of the Commission. It was updated in Spring 2020 for the fi</w:t>
      </w:r>
      <w:r w:rsidRPr="00CE451E">
        <w:rPr>
          <w:lang w:val="en-GB"/>
        </w:rPr>
        <w:t>nal DB 2021 for all institutions, except for the European Schools.</w:t>
      </w:r>
    </w:p>
  </w:footnote>
  <w:footnote w:id="31">
    <w:p w:rsidR="00E473EF" w:rsidRPr="00CE451E" w:rsidRDefault="00CE451E">
      <w:pPr>
        <w:tabs>
          <w:tab w:val="left" w:pos="720"/>
        </w:tabs>
        <w:ind w:left="720" w:hanging="720"/>
        <w:jc w:val="both"/>
      </w:pPr>
      <w:r>
        <w:rPr>
          <w:rStyle w:val="FootnoteReference"/>
        </w:rPr>
        <w:footnoteRef/>
      </w:r>
      <w:r>
        <w:rPr>
          <w:sz w:val="20"/>
          <w:szCs w:val="20"/>
          <w:lang w:val="en-IE" w:eastAsia="en-US"/>
        </w:rPr>
        <w:t xml:space="preserve"> </w:t>
      </w:r>
      <w:r>
        <w:rPr>
          <w:sz w:val="20"/>
          <w:szCs w:val="20"/>
          <w:lang w:val="en-IE" w:eastAsia="en-US"/>
        </w:rPr>
        <w:tab/>
        <w:t xml:space="preserve">The transfer also includes the common costs (related to the buildings and associated costs of the infrastructure) of 177 LAs, whose salaries and common costs were previously paid by the </w:t>
      </w:r>
      <w:r>
        <w:rPr>
          <w:sz w:val="20"/>
          <w:szCs w:val="20"/>
          <w:lang w:val="en-IE" w:eastAsia="en-US"/>
        </w:rPr>
        <w:t>European Development Fund (EDF). As from 2021, the EDF will be part of NDICI, an annual amount of EUR 5,6 million will therefore also be transferred to the EEAS for the common costs of these staff. However, this annual transfer will not affect the level of</w:t>
      </w:r>
      <w:r>
        <w:rPr>
          <w:sz w:val="20"/>
          <w:szCs w:val="20"/>
          <w:lang w:val="en-IE" w:eastAsia="en-US"/>
        </w:rPr>
        <w:t xml:space="preserve"> “fresh” appropriations in NDICI as they would have been covered from remaining EDF assigned revenues to the Union budget.</w:t>
      </w:r>
    </w:p>
  </w:footnote>
  <w:footnote w:id="32">
    <w:p w:rsidR="00E473EF" w:rsidRDefault="00CE451E">
      <w:pPr>
        <w:pStyle w:val="FootnoteText"/>
        <w:rPr>
          <w:lang w:val="fr-BE"/>
        </w:rPr>
      </w:pPr>
      <w:r>
        <w:rPr>
          <w:rStyle w:val="FootnoteReference"/>
        </w:rPr>
        <w:footnoteRef/>
      </w:r>
      <w:r>
        <w:rPr>
          <w:lang w:val="fr-BE"/>
        </w:rPr>
        <w:t xml:space="preserve"> </w:t>
      </w:r>
      <w:r>
        <w:rPr>
          <w:lang w:val="fr-BE"/>
        </w:rPr>
        <w:tab/>
        <w:t>OJ C12, 13.1.2018, p. 1, Annex II.</w:t>
      </w:r>
    </w:p>
  </w:footnote>
  <w:footnote w:id="33">
    <w:p w:rsidR="00E473EF" w:rsidRDefault="00CE451E">
      <w:pPr>
        <w:pStyle w:val="FootnoteText"/>
        <w:rPr>
          <w:lang w:val="fr-BE"/>
        </w:rPr>
      </w:pPr>
      <w:r>
        <w:rPr>
          <w:rStyle w:val="FootnoteReference"/>
        </w:rPr>
        <w:footnoteRef/>
      </w:r>
      <w:r>
        <w:t xml:space="preserve"> </w:t>
      </w:r>
      <w:r>
        <w:rPr>
          <w:lang w:val="fr-BE"/>
        </w:rPr>
        <w:tab/>
      </w:r>
      <w:r>
        <w:t>COM(2020) 569 final, 18.9.2020.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51E" w:rsidRPr="00CE451E" w:rsidRDefault="00CE451E" w:rsidP="00CE451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EF" w:rsidRDefault="00E473E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EF" w:rsidRDefault="00E473EF">
    <w:pPr>
      <w:pStyle w:val="Header"/>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EF" w:rsidRDefault="00E47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51E" w:rsidRPr="00CE451E" w:rsidRDefault="00CE451E" w:rsidP="00CE451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51E" w:rsidRPr="00CE451E" w:rsidRDefault="00CE451E" w:rsidP="00CE451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EF" w:rsidRDefault="00E473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EF" w:rsidRDefault="00E473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EF" w:rsidRDefault="00E473E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EF" w:rsidRDefault="00E473E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EF" w:rsidRDefault="00E473EF">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EF" w:rsidRDefault="00E47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0F2A9A2"/>
    <w:lvl w:ilvl="0">
      <w:start w:val="1"/>
      <w:numFmt w:val="bullet"/>
      <w:pStyle w:val="ListBullet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D769E46"/>
    <w:lvl w:ilvl="0">
      <w:start w:val="1"/>
      <w:numFmt w:val="bullet"/>
      <w:pStyle w:val="ListNumber5"/>
      <w:lvlText w:val=""/>
      <w:lvlJc w:val="left"/>
      <w:pPr>
        <w:tabs>
          <w:tab w:val="num" w:pos="360"/>
        </w:tabs>
        <w:ind w:left="360" w:hanging="360"/>
      </w:pPr>
      <w:rPr>
        <w:rFonts w:ascii="Symbol" w:hAnsi="Symbol" w:hint="default"/>
      </w:rPr>
    </w:lvl>
  </w:abstractNum>
  <w:abstractNum w:abstractNumId="2" w15:restartNumberingAfterBreak="0">
    <w:nsid w:val="01CA57DC"/>
    <w:multiLevelType w:val="hybridMultilevel"/>
    <w:tmpl w:val="B042469C"/>
    <w:lvl w:ilvl="0" w:tplc="4872AB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319D6"/>
    <w:multiLevelType w:val="hybridMultilevel"/>
    <w:tmpl w:val="96060D4C"/>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1085"/>
    <w:multiLevelType w:val="hybridMultilevel"/>
    <w:tmpl w:val="0846A4DA"/>
    <w:lvl w:ilvl="0" w:tplc="8A36BA8C">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FA63AA"/>
    <w:multiLevelType w:val="multilevel"/>
    <w:tmpl w:val="D1402846"/>
    <w:lvl w:ilvl="0">
      <w:start w:val="2"/>
      <w:numFmt w:val="decimal"/>
      <w:lvlText w:val="%1"/>
      <w:lvlJc w:val="left"/>
      <w:pPr>
        <w:ind w:left="432" w:hanging="432"/>
      </w:pPr>
      <w:rPr>
        <w:rFonts w:cs="Times New Roman" w:hint="default"/>
      </w:rPr>
    </w:lvl>
    <w:lvl w:ilvl="1">
      <w:start w:val="3"/>
      <w:numFmt w:val="decimal"/>
      <w:pStyle w:val="Style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7" w15:restartNumberingAfterBreak="0">
    <w:nsid w:val="1BC50770"/>
    <w:multiLevelType w:val="hybridMultilevel"/>
    <w:tmpl w:val="1A92C2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965A5"/>
    <w:multiLevelType w:val="hybridMultilevel"/>
    <w:tmpl w:val="2B909A32"/>
    <w:lvl w:ilvl="0" w:tplc="02EC6D92">
      <w:start w:val="1"/>
      <w:numFmt w:val="decimal"/>
      <w:pStyle w:val="Style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CC1F1F"/>
    <w:multiLevelType w:val="hybridMultilevel"/>
    <w:tmpl w:val="19CCFD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2F911729"/>
    <w:multiLevelType w:val="multilevel"/>
    <w:tmpl w:val="EA30B106"/>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C13EA4"/>
    <w:multiLevelType w:val="hybridMultilevel"/>
    <w:tmpl w:val="9E047E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4" w15:restartNumberingAfterBreak="0">
    <w:nsid w:val="37D64D9A"/>
    <w:multiLevelType w:val="hybridMultilevel"/>
    <w:tmpl w:val="5A2C9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7730C4"/>
    <w:multiLevelType w:val="singleLevel"/>
    <w:tmpl w:val="0809000F"/>
    <w:lvl w:ilvl="0">
      <w:start w:val="1"/>
      <w:numFmt w:val="decimal"/>
      <w:pStyle w:val="ManualHeading2"/>
      <w:lvlText w:val="%1."/>
      <w:lvlJc w:val="left"/>
      <w:pPr>
        <w:ind w:left="720" w:hanging="360"/>
      </w:pPr>
    </w:lvl>
  </w:abstractNum>
  <w:abstractNum w:abstractNumId="16" w15:restartNumberingAfterBreak="0">
    <w:nsid w:val="444B45B2"/>
    <w:multiLevelType w:val="hybridMultilevel"/>
    <w:tmpl w:val="82BCD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E50426"/>
    <w:multiLevelType w:val="hybridMultilevel"/>
    <w:tmpl w:val="A1AA699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43E64"/>
    <w:multiLevelType w:val="hybridMultilevel"/>
    <w:tmpl w:val="B2063506"/>
    <w:lvl w:ilvl="0" w:tplc="0809000F">
      <w:start w:val="1"/>
      <w:numFmt w:val="decimal"/>
      <w:lvlText w:val="%1."/>
      <w:lvlJc w:val="left"/>
      <w:pPr>
        <w:ind w:left="360" w:hanging="360"/>
      </w:pPr>
      <w:rPr>
        <w:rFonts w:cs="Times New Roman"/>
      </w:rPr>
    </w:lvl>
    <w:lvl w:ilvl="1" w:tplc="08090001">
      <w:start w:val="1"/>
      <w:numFmt w:val="bullet"/>
      <w:lvlText w:val=""/>
      <w:lvlJc w:val="left"/>
      <w:pPr>
        <w:ind w:left="1080" w:hanging="360"/>
      </w:pPr>
      <w:rPr>
        <w:rFonts w:ascii="Symbol" w:hAnsi="Symbol" w:hint="default"/>
      </w:rPr>
    </w:lvl>
    <w:lvl w:ilvl="2" w:tplc="EC16C19A">
      <w:numFmt w:val="bullet"/>
      <w:lvlText w:val="•"/>
      <w:lvlJc w:val="left"/>
      <w:pPr>
        <w:ind w:left="2340" w:hanging="720"/>
      </w:pPr>
      <w:rPr>
        <w:rFonts w:ascii="Times New Roman" w:eastAsia="Times New Roman" w:hAnsi="Times New Roman" w:cs="Times New Roman" w:hint="default"/>
      </w:rPr>
    </w:lvl>
    <w:lvl w:ilvl="3" w:tplc="AC466752">
      <w:start w:val="19"/>
      <w:numFmt w:val="bullet"/>
      <w:lvlText w:val="-"/>
      <w:lvlJc w:val="left"/>
      <w:pPr>
        <w:ind w:left="2520" w:hanging="360"/>
      </w:pPr>
      <w:rPr>
        <w:rFonts w:ascii="Times New Roman" w:eastAsia="Times New Roman" w:hAnsi="Times New Roman" w:cs="Times New Roman"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15:restartNumberingAfterBreak="0">
    <w:nsid w:val="514B7CB1"/>
    <w:multiLevelType w:val="hybridMultilevel"/>
    <w:tmpl w:val="0712B7FA"/>
    <w:lvl w:ilvl="0" w:tplc="001ED2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1C7C56"/>
    <w:multiLevelType w:val="hybridMultilevel"/>
    <w:tmpl w:val="64B869A6"/>
    <w:lvl w:ilvl="0" w:tplc="8A36BA8C">
      <w:numFmt w:val="bullet"/>
      <w:lvlText w:val=""/>
      <w:lvlJc w:val="left"/>
      <w:pPr>
        <w:ind w:left="360" w:hanging="360"/>
      </w:pPr>
      <w:rPr>
        <w:rFonts w:ascii="Symbol" w:eastAsia="Times New Roman" w:hAnsi="Symbol" w:hint="default"/>
      </w:r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15:restartNumberingAfterBreak="0">
    <w:nsid w:val="567D37AB"/>
    <w:multiLevelType w:val="hybridMultilevel"/>
    <w:tmpl w:val="AF54D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282356"/>
    <w:multiLevelType w:val="hybridMultilevel"/>
    <w:tmpl w:val="9F4E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5A2513"/>
    <w:multiLevelType w:val="hybridMultilevel"/>
    <w:tmpl w:val="3C1C7B8A"/>
    <w:lvl w:ilvl="0" w:tplc="48D688C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FC72DE3"/>
    <w:multiLevelType w:val="hybridMultilevel"/>
    <w:tmpl w:val="288017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A07CBB"/>
    <w:multiLevelType w:val="hybridMultilevel"/>
    <w:tmpl w:val="D0281760"/>
    <w:lvl w:ilvl="0" w:tplc="4872AB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4872AB78">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9" w15:restartNumberingAfterBreak="0">
    <w:nsid w:val="6DD8544D"/>
    <w:multiLevelType w:val="hybridMultilevel"/>
    <w:tmpl w:val="8952B6A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0" w15:restartNumberingAfterBreak="0">
    <w:nsid w:val="7A5E3354"/>
    <w:multiLevelType w:val="hybridMultilevel"/>
    <w:tmpl w:val="C02002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A694F3E"/>
    <w:multiLevelType w:val="hybridMultilevel"/>
    <w:tmpl w:val="66C627DA"/>
    <w:lvl w:ilvl="0" w:tplc="4872AB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5D20EB"/>
    <w:multiLevelType w:val="hybridMultilevel"/>
    <w:tmpl w:val="1F8EF210"/>
    <w:lvl w:ilvl="0" w:tplc="001ED2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28"/>
  </w:num>
  <w:num w:numId="5">
    <w:abstractNumId w:val="15"/>
  </w:num>
  <w:num w:numId="6">
    <w:abstractNumId w:val="10"/>
  </w:num>
  <w:num w:numId="7">
    <w:abstractNumId w:val="24"/>
  </w:num>
  <w:num w:numId="8">
    <w:abstractNumId w:val="6"/>
  </w:num>
  <w:num w:numId="9">
    <w:abstractNumId w:val="27"/>
  </w:num>
  <w:num w:numId="10">
    <w:abstractNumId w:val="20"/>
  </w:num>
  <w:num w:numId="11">
    <w:abstractNumId w:val="18"/>
  </w:num>
  <w:num w:numId="12">
    <w:abstractNumId w:val="8"/>
  </w:num>
  <w:num w:numId="13">
    <w:abstractNumId w:val="5"/>
  </w:num>
  <w:num w:numId="14">
    <w:abstractNumId w:val="2"/>
  </w:num>
  <w:num w:numId="15">
    <w:abstractNumId w:val="26"/>
  </w:num>
  <w:num w:numId="16">
    <w:abstractNumId w:val="31"/>
  </w:num>
  <w:num w:numId="17">
    <w:abstractNumId w:val="11"/>
  </w:num>
  <w:num w:numId="18">
    <w:abstractNumId w:val="12"/>
  </w:num>
  <w:num w:numId="19">
    <w:abstractNumId w:val="22"/>
  </w:num>
  <w:num w:numId="20">
    <w:abstractNumId w:val="7"/>
  </w:num>
  <w:num w:numId="21">
    <w:abstractNumId w:val="29"/>
  </w:num>
  <w:num w:numId="22">
    <w:abstractNumId w:val="19"/>
  </w:num>
  <w:num w:numId="23">
    <w:abstractNumId w:val="32"/>
  </w:num>
  <w:num w:numId="24">
    <w:abstractNumId w:val="23"/>
  </w:num>
  <w:num w:numId="25">
    <w:abstractNumId w:val="14"/>
  </w:num>
  <w:num w:numId="26">
    <w:abstractNumId w:val="17"/>
  </w:num>
  <w:num w:numId="27">
    <w:abstractNumId w:val="30"/>
  </w:num>
  <w:num w:numId="28">
    <w:abstractNumId w:val="3"/>
  </w:num>
  <w:num w:numId="29">
    <w:abstractNumId w:val="16"/>
  </w:num>
  <w:num w:numId="30">
    <w:abstractNumId w:val="4"/>
  </w:num>
  <w:num w:numId="31">
    <w:abstractNumId w:val="21"/>
  </w:num>
  <w:num w:numId="32">
    <w:abstractNumId w:val="25"/>
  </w:num>
  <w:num w:numId="33">
    <w:abstractNumId w:val="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This document replaces COM(2020) 748 final of 13.11.2020_x000b_Addition of the interinstitutional reference._x000b_Concerns the EN version only_x000b__x000b_The text shall read as follows:"/>
    <w:docVar w:name="LW_COVERPAGE_EXISTS" w:val="True"/>
    <w:docVar w:name="LW_COVERPAGE_GUID" w:val="57E496DC-1B21-4350-9FAC-EAC62E27E531"/>
    <w:docVar w:name="LW_COVERPAGE_TYPE" w:val="1"/>
    <w:docVar w:name="LW_CROSSREFERENCE" w:val="&lt;UNUSED&gt;"/>
    <w:docVar w:name="LW_DocType" w:val="NORMAL"/>
    <w:docVar w:name="LW_EMISSION" w:val="16.11.2020"/>
    <w:docVar w:name="LW_EMISSION_ISODATE" w:val="2020-11-16"/>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BUD"/>
    <w:docVar w:name="LW_REF.II.NEW.CP_NUMBER" w:val="330"/>
    <w:docVar w:name="LW_REF.II.NEW.CP_YEAR" w:val="2020"/>
    <w:docVar w:name="LW_REF.INST.NEW" w:val="COM"/>
    <w:docVar w:name="LW_REF.INST.NEW_ADOPTED" w:val="final"/>
    <w:docVar w:name="LW_REF.INST.NEW_TEXT" w:val="(2020) 7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djustments resulting from the recent political agreement between the European Parliament and the Council on the Multiannual Financial Framework 2021-2027_x000d__x000d__x000d__x000b__x000d_Updated estimated needs for agricultural expenditure_x000d__x000d__x000d__x000b__x000d_Other adjustments and technical updates_x000d__x000d__x000d__x000d__x000d__x000d__x000d__x000d__x000d__x000d__x000d__x000d__x000d__x000d__x000b__x000d__x000d__x000d__x000d__x000d__x000d__x000d__x000d__x000d__x000d__x000d__x000d__x000d__x000d__x000b_"/>
    <w:docVar w:name="LW_TYPE.DOC.CP" w:val="AMENDING LETTER No 1 TO THE DRAFT GENERAL BUDGET 2021"/>
  </w:docVars>
  <w:rsids>
    <w:rsidRoot w:val="00E473EF"/>
    <w:rsid w:val="00CE451E"/>
    <w:rsid w:val="00E47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uiPriority w:val="99"/>
    <w:qFormat/>
    <w:pPr>
      <w:keepNext/>
      <w:spacing w:before="240" w:after="120"/>
      <w:outlineLvl w:val="0"/>
    </w:pPr>
    <w:rPr>
      <w:rFonts w:ascii="Arial" w:hAnsi="Arial" w:cs="Arial"/>
      <w:b/>
      <w:bCs/>
      <w:kern w:val="32"/>
      <w:sz w:val="32"/>
      <w:szCs w:val="32"/>
    </w:rPr>
  </w:style>
  <w:style w:type="paragraph" w:styleId="Heading2">
    <w:name w:val="heading 2"/>
    <w:basedOn w:val="Normal"/>
    <w:next w:val="Normal"/>
    <w:link w:val="Heading2Char"/>
    <w:autoRedefine/>
    <w:uiPriority w:val="99"/>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uiPriority w:val="99"/>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9"/>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9"/>
    <w:rPr>
      <w:rFonts w:ascii="Arial" w:eastAsia="Times New Roman" w:hAnsi="Arial" w:cs="Arial"/>
      <w:b/>
      <w:bCs/>
      <w:i/>
      <w:sz w:val="26"/>
      <w:szCs w:val="26"/>
      <w:lang w:eastAsia="en-GB"/>
    </w:rPr>
  </w:style>
  <w:style w:type="character" w:customStyle="1" w:styleId="Heading4Char">
    <w:name w:val="Heading 4 Char"/>
    <w:basedOn w:val="DefaultParagraphFont"/>
    <w:link w:val="Heading4"/>
    <w:uiPriority w:val="99"/>
    <w:rPr>
      <w:rFonts w:ascii="Times New Roman" w:eastAsia="Times New Roman" w:hAnsi="Times New Roman" w:cs="Times New Roman"/>
      <w:b/>
      <w:bCs/>
      <w:sz w:val="24"/>
      <w:szCs w:val="28"/>
      <w:lang w:eastAsia="de-DE"/>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Char Char Char Char Char Char,Char Char Char"/>
    <w:basedOn w:val="Normal"/>
    <w:link w:val="FootnoteTextChar"/>
    <w:qFormat/>
    <w:pPr>
      <w:ind w:left="720" w:hanging="720"/>
      <w:jc w:val="both"/>
    </w:pPr>
    <w:rPr>
      <w:sz w:val="20"/>
      <w:szCs w:val="20"/>
      <w:lang w:val="de-DE" w:eastAsia="de-DE"/>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
    <w:basedOn w:val="DefaultParagraphFont"/>
    <w:link w:val="FootnoteText"/>
    <w:rPr>
      <w:rFonts w:ascii="Times New Roman" w:eastAsia="Times New Roman" w:hAnsi="Times New Roman" w:cs="Times New Roman"/>
      <w:sz w:val="20"/>
      <w:szCs w:val="20"/>
      <w:lang w:val="de-DE"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basedOn w:val="DefaultParagraphFont"/>
    <w:uiPriority w:val="99"/>
    <w:qFormat/>
    <w:rPr>
      <w:rFonts w:cs="Times New Roman"/>
      <w:vertAlign w:val="superscript"/>
    </w:rPr>
  </w:style>
  <w:style w:type="paragraph" w:customStyle="1" w:styleId="Text1">
    <w:name w:val="Text 1"/>
    <w:basedOn w:val="Normal"/>
    <w:uiPriority w:val="99"/>
    <w:pPr>
      <w:spacing w:before="120" w:after="120"/>
      <w:ind w:left="850"/>
      <w:jc w:val="both"/>
    </w:pPr>
    <w:rPr>
      <w:lang w:eastAsia="de-DE"/>
    </w:rPr>
  </w:style>
  <w:style w:type="paragraph" w:customStyle="1" w:styleId="Tiret0">
    <w:name w:val="Tiret 0"/>
    <w:basedOn w:val="Normal"/>
    <w:uiPriority w:val="99"/>
    <w:pPr>
      <w:numPr>
        <w:numId w:val="3"/>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numPr>
        <w:numId w:val="5"/>
      </w:numPr>
      <w:spacing w:before="360" w:after="120"/>
      <w:jc w:val="both"/>
      <w:outlineLvl w:val="1"/>
    </w:pPr>
    <w:rPr>
      <w:b/>
      <w:noProof/>
      <w:lang w:eastAsia="en-US"/>
    </w:rPr>
  </w:style>
  <w:style w:type="paragraph" w:customStyle="1" w:styleId="ListDash">
    <w:name w:val="List Dash"/>
    <w:basedOn w:val="Normal"/>
    <w:link w:val="ListDashChar"/>
    <w:uiPriority w:val="99"/>
    <w:pPr>
      <w:spacing w:before="120" w:after="120"/>
      <w:jc w:val="both"/>
    </w:pPr>
    <w:rPr>
      <w:szCs w:val="20"/>
      <w:lang w:val="de-DE" w:eastAsia="de-DE"/>
    </w:rPr>
  </w:style>
  <w:style w:type="paragraph" w:styleId="TOCHeading">
    <w:name w:val="TOC Heading"/>
    <w:basedOn w:val="Normal"/>
    <w:next w:val="Normal"/>
    <w:uiPriority w:val="99"/>
    <w:qFormat/>
    <w:pPr>
      <w:spacing w:before="120" w:after="240"/>
      <w:jc w:val="center"/>
    </w:pPr>
    <w:rPr>
      <w:b/>
      <w:sz w:val="28"/>
      <w:lang w:eastAsia="de-DE"/>
    </w:rPr>
  </w:style>
  <w:style w:type="paragraph" w:customStyle="1" w:styleId="Prliminairetitre">
    <w:name w:val="Préliminaire titre"/>
    <w:basedOn w:val="Normal"/>
    <w:next w:val="Normal"/>
    <w:uiPriority w:val="99"/>
    <w:pPr>
      <w:spacing w:before="360" w:after="360"/>
      <w:jc w:val="center"/>
    </w:pPr>
    <w:rPr>
      <w:b/>
      <w:lang w:eastAsia="de-DE"/>
    </w:rPr>
  </w:style>
  <w:style w:type="paragraph" w:customStyle="1" w:styleId="Prliminairetype">
    <w:name w:val="Préliminaire type"/>
    <w:basedOn w:val="Normal"/>
    <w:next w:val="Normal"/>
    <w:uiPriority w:val="99"/>
    <w:pPr>
      <w:spacing w:before="360"/>
      <w:jc w:val="center"/>
    </w:pPr>
    <w:rPr>
      <w:b/>
      <w:lang w:eastAsia="de-DE"/>
    </w:rPr>
  </w:style>
  <w:style w:type="character" w:styleId="Hyperlink">
    <w:name w:val="Hyperlink"/>
    <w:basedOn w:val="DefaultParagraphFont"/>
    <w:uiPriority w:val="99"/>
    <w:rPr>
      <w:rFonts w:cs="Times New Roman"/>
      <w:color w:val="0000FF"/>
      <w:u w:val="single"/>
    </w:rPr>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uiPriority w:val="99"/>
    <w:pPr>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uiPriority w:val="99"/>
    <w:pPr>
      <w:tabs>
        <w:tab w:val="center" w:pos="4535"/>
        <w:tab w:val="right" w:pos="9071"/>
        <w:tab w:val="right" w:pos="9921"/>
      </w:tabs>
      <w:spacing w:before="360"/>
      <w:ind w:left="-850" w:right="-850"/>
    </w:pPr>
  </w:style>
  <w:style w:type="paragraph" w:customStyle="1" w:styleId="HeaderCoverPage">
    <w:name w:val="Header Cover Page"/>
    <w:basedOn w:val="Normal"/>
    <w:uiPriority w:val="99"/>
    <w:pPr>
      <w:tabs>
        <w:tab w:val="center" w:pos="4535"/>
        <w:tab w:val="right" w:pos="9071"/>
      </w:tabs>
      <w:spacing w:after="120"/>
      <w:jc w:val="both"/>
    </w:pPr>
  </w:style>
  <w:style w:type="paragraph" w:styleId="TOC2">
    <w:name w:val="toc 2"/>
    <w:basedOn w:val="Normal"/>
    <w:next w:val="Normal"/>
    <w:autoRedefine/>
    <w:uiPriority w:val="39"/>
    <w:pPr>
      <w:tabs>
        <w:tab w:val="left" w:pos="720"/>
        <w:tab w:val="right" w:leader="dot" w:pos="9061"/>
      </w:tabs>
      <w:spacing w:before="20" w:after="20"/>
      <w:ind w:left="709" w:hanging="469"/>
    </w:pPr>
    <w:rPr>
      <w:smallCaps/>
      <w:sz w:val="20"/>
      <w:szCs w:val="20"/>
    </w:rPr>
  </w:style>
  <w:style w:type="paragraph" w:styleId="TOC3">
    <w:name w:val="toc 3"/>
    <w:basedOn w:val="Normal"/>
    <w:next w:val="Normal"/>
    <w:autoRedefine/>
    <w:uiPriority w:val="39"/>
    <w:pPr>
      <w:tabs>
        <w:tab w:val="left" w:pos="1200"/>
        <w:tab w:val="right" w:leader="dot" w:pos="9061"/>
      </w:tabs>
      <w:ind w:left="1276" w:hanging="796"/>
    </w:pPr>
    <w:rPr>
      <w:i/>
      <w:iCs/>
      <w:sz w:val="20"/>
      <w:szCs w:val="20"/>
    </w:rPr>
  </w:style>
  <w:style w:type="paragraph" w:styleId="TOC4">
    <w:name w:val="toc 4"/>
    <w:basedOn w:val="Normal"/>
    <w:next w:val="Normal"/>
    <w:autoRedefine/>
    <w:uiPriority w:val="99"/>
    <w:semiHidden/>
    <w:pPr>
      <w:ind w:left="720"/>
    </w:pPr>
    <w:rPr>
      <w:sz w:val="18"/>
      <w:szCs w:val="18"/>
    </w:rPr>
  </w:style>
  <w:style w:type="paragraph" w:styleId="TOC5">
    <w:name w:val="toc 5"/>
    <w:basedOn w:val="Normal"/>
    <w:next w:val="Normal"/>
    <w:autoRedefine/>
    <w:uiPriority w:val="99"/>
    <w:semiHidden/>
    <w:pPr>
      <w:ind w:left="960"/>
    </w:pPr>
    <w:rPr>
      <w:sz w:val="18"/>
      <w:szCs w:val="18"/>
    </w:rPr>
  </w:style>
  <w:style w:type="paragraph" w:styleId="TOC6">
    <w:name w:val="toc 6"/>
    <w:basedOn w:val="Normal"/>
    <w:next w:val="Normal"/>
    <w:autoRedefine/>
    <w:uiPriority w:val="99"/>
    <w:semiHidden/>
    <w:pPr>
      <w:ind w:left="1200"/>
    </w:pPr>
    <w:rPr>
      <w:sz w:val="18"/>
      <w:szCs w:val="18"/>
    </w:rPr>
  </w:style>
  <w:style w:type="paragraph" w:styleId="TOC7">
    <w:name w:val="toc 7"/>
    <w:basedOn w:val="Normal"/>
    <w:next w:val="Normal"/>
    <w:autoRedefine/>
    <w:uiPriority w:val="99"/>
    <w:semiHidden/>
    <w:pPr>
      <w:ind w:left="1440"/>
    </w:pPr>
    <w:rPr>
      <w:sz w:val="18"/>
      <w:szCs w:val="18"/>
    </w:rPr>
  </w:style>
  <w:style w:type="paragraph" w:styleId="TOC8">
    <w:name w:val="toc 8"/>
    <w:basedOn w:val="Normal"/>
    <w:next w:val="Normal"/>
    <w:autoRedefine/>
    <w:uiPriority w:val="99"/>
    <w:semiHidden/>
    <w:pPr>
      <w:ind w:left="1680"/>
    </w:pPr>
    <w:rPr>
      <w:sz w:val="18"/>
      <w:szCs w:val="18"/>
    </w:rPr>
  </w:style>
  <w:style w:type="paragraph" w:styleId="TOC9">
    <w:name w:val="toc 9"/>
    <w:basedOn w:val="Normal"/>
    <w:next w:val="Normal"/>
    <w:autoRedefine/>
    <w:uiPriority w:val="99"/>
    <w:semiHidden/>
    <w:pPr>
      <w:ind w:left="1920"/>
    </w:pPr>
    <w:rPr>
      <w:sz w:val="18"/>
      <w:szCs w:val="18"/>
    </w:rPr>
  </w:style>
  <w:style w:type="paragraph" w:styleId="ListBullet">
    <w:name w:val="List Bullet"/>
    <w:basedOn w:val="Normal"/>
    <w:uiPriority w:val="99"/>
    <w:pPr>
      <w:numPr>
        <w:numId w:val="4"/>
      </w:numPr>
      <w:spacing w:before="120" w:after="120"/>
      <w:jc w:val="both"/>
    </w:pPr>
    <w:rPr>
      <w:lang w:eastAsia="de-DE"/>
    </w:rPr>
  </w:style>
  <w:style w:type="paragraph" w:customStyle="1" w:styleId="ListDash2">
    <w:name w:val="List Dash 2"/>
    <w:basedOn w:val="Normal"/>
    <w:uiPriority w:val="99"/>
    <w:pPr>
      <w:tabs>
        <w:tab w:val="num" w:pos="1134"/>
      </w:tabs>
      <w:spacing w:before="120" w:after="120"/>
      <w:ind w:left="1134" w:hanging="283"/>
      <w:jc w:val="both"/>
    </w:pPr>
    <w:rPr>
      <w:lang w:eastAsia="de-DE"/>
    </w:rPr>
  </w:style>
  <w:style w:type="paragraph" w:customStyle="1" w:styleId="ListBullet1">
    <w:name w:val="List Bullet 1"/>
    <w:basedOn w:val="Text1"/>
    <w:uiPriority w:val="99"/>
    <w:pPr>
      <w:tabs>
        <w:tab w:val="num" w:pos="765"/>
      </w:tabs>
      <w:spacing w:before="0" w:after="240"/>
      <w:ind w:left="765" w:hanging="283"/>
    </w:pPr>
    <w:rPr>
      <w:szCs w:val="20"/>
      <w:lang w:eastAsia="en-US"/>
    </w:rPr>
  </w:style>
  <w:style w:type="paragraph" w:styleId="ListBullet2">
    <w:name w:val="List Bullet 2"/>
    <w:basedOn w:val="Normal"/>
    <w:uiPriority w:val="99"/>
    <w:pPr>
      <w:numPr>
        <w:numId w:val="6"/>
      </w:numPr>
      <w:spacing w:after="240"/>
      <w:jc w:val="both"/>
    </w:pPr>
    <w:rPr>
      <w:szCs w:val="20"/>
      <w:lang w:eastAsia="en-US"/>
    </w:rPr>
  </w:style>
  <w:style w:type="table" w:styleId="TableGrid">
    <w:name w:val="Table Grid"/>
    <w:basedOn w:val="TableNormal"/>
    <w:uiPriority w:val="99"/>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Pr>
      <w:rFonts w:cs="Times New Roman"/>
      <w:color w:val="800080"/>
      <w:u w:val="single"/>
    </w:rPr>
  </w:style>
  <w:style w:type="paragraph" w:customStyle="1" w:styleId="Typedudocument">
    <w:name w:val="Type du document"/>
    <w:basedOn w:val="Normal"/>
    <w:next w:val="Titreobjet"/>
    <w:uiPriority w:val="99"/>
    <w:pPr>
      <w:spacing w:before="360"/>
      <w:jc w:val="center"/>
    </w:pPr>
    <w:rPr>
      <w:b/>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character" w:styleId="Emphasis">
    <w:name w:val="Emphasis"/>
    <w:basedOn w:val="DefaultParagraphFont"/>
    <w:uiPriority w:val="20"/>
    <w:qFormat/>
    <w:rPr>
      <w:rFonts w:cs="Times New Roman"/>
      <w:i/>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uiPriority w:val="99"/>
    <w:pPr>
      <w:spacing w:before="120" w:after="120"/>
      <w:ind w:left="850"/>
      <w:jc w:val="both"/>
    </w:pPr>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uiPriority w:val="99"/>
    <w:pPr>
      <w:numPr>
        <w:numId w:val="7"/>
      </w:numPr>
      <w:spacing w:before="120" w:after="120"/>
      <w:jc w:val="both"/>
    </w:pPr>
    <w:rPr>
      <w:lang w:eastAsia="de-DE"/>
    </w:rPr>
  </w:style>
  <w:style w:type="paragraph" w:customStyle="1" w:styleId="ListNumberLevel2">
    <w:name w:val="List Number (Level 2)"/>
    <w:basedOn w:val="Normal"/>
    <w:uiPriority w:val="99"/>
    <w:pPr>
      <w:numPr>
        <w:ilvl w:val="1"/>
        <w:numId w:val="7"/>
      </w:numPr>
      <w:spacing w:before="120" w:after="120"/>
      <w:jc w:val="both"/>
    </w:pPr>
    <w:rPr>
      <w:lang w:eastAsia="de-DE"/>
    </w:rPr>
  </w:style>
  <w:style w:type="paragraph" w:customStyle="1" w:styleId="ListNumberLevel3">
    <w:name w:val="List Number (Level 3)"/>
    <w:basedOn w:val="Normal"/>
    <w:uiPriority w:val="99"/>
    <w:pPr>
      <w:numPr>
        <w:ilvl w:val="2"/>
        <w:numId w:val="7"/>
      </w:numPr>
      <w:spacing w:before="120" w:after="120"/>
      <w:jc w:val="both"/>
    </w:pPr>
    <w:rPr>
      <w:lang w:eastAsia="de-DE"/>
    </w:rPr>
  </w:style>
  <w:style w:type="paragraph" w:customStyle="1" w:styleId="ListNumberLevel4">
    <w:name w:val="List Number (Level 4)"/>
    <w:basedOn w:val="Normal"/>
    <w:uiPriority w:val="99"/>
    <w:pPr>
      <w:numPr>
        <w:ilvl w:val="3"/>
        <w:numId w:val="7"/>
      </w:numPr>
      <w:spacing w:before="120" w:after="120"/>
      <w:jc w:val="both"/>
    </w:pPr>
    <w:rPr>
      <w:lang w:eastAsia="de-DE"/>
    </w:rPr>
  </w:style>
  <w:style w:type="character" w:customStyle="1" w:styleId="ListDashChar">
    <w:name w:val="List Dash Char"/>
    <w:link w:val="ListDash"/>
    <w:uiPriority w:val="99"/>
    <w:locked/>
    <w:rPr>
      <w:rFonts w:ascii="Times New Roman" w:eastAsia="Times New Roman" w:hAnsi="Times New Roman" w:cs="Times New Roman"/>
      <w:sz w:val="24"/>
      <w:szCs w:val="20"/>
      <w:lang w:val="de-DE" w:eastAsia="de-DE"/>
    </w:rPr>
  </w:style>
  <w:style w:type="paragraph" w:customStyle="1" w:styleId="StyleManualHeading2Italic">
    <w:name w:val="Style Manual Heading 2 + Italic"/>
    <w:basedOn w:val="ManualHeading2"/>
    <w:autoRedefine/>
    <w:uiPriority w:val="99"/>
    <w:pPr>
      <w:numPr>
        <w:numId w:val="0"/>
      </w:numPr>
      <w:spacing w:before="160" w:after="160"/>
    </w:pPr>
    <w:rPr>
      <w:bCs/>
      <w:i/>
      <w:iCs/>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Statut">
    <w:name w:val="Statut"/>
    <w:basedOn w:val="Normal"/>
    <w:next w:val="Typedudocument"/>
    <w:uiPriority w:val="99"/>
    <w:pPr>
      <w:spacing w:before="360"/>
      <w:jc w:val="center"/>
    </w:pPr>
    <w:rPr>
      <w:szCs w:val="22"/>
      <w:lang w:eastAsia="en-US"/>
    </w:rPr>
  </w:style>
  <w:style w:type="paragraph" w:customStyle="1" w:styleId="Footnoter">
    <w:name w:val="Footnote r"/>
    <w:basedOn w:val="Normal"/>
    <w:uiPriority w:val="99"/>
    <w:pPr>
      <w:shd w:val="clear" w:color="auto" w:fill="F2F8FB"/>
      <w:spacing w:before="100" w:beforeAutospacing="1" w:after="100" w:afterAutospacing="1"/>
    </w:pPr>
    <w:rPr>
      <w:szCs w:val="22"/>
    </w:rPr>
  </w:style>
  <w:style w:type="character" w:customStyle="1" w:styleId="hps">
    <w:name w:val="hps"/>
    <w:uiPriority w:val="99"/>
  </w:style>
  <w:style w:type="paragraph" w:customStyle="1" w:styleId="Point0number">
    <w:name w:val="Point 0 (number)"/>
    <w:basedOn w:val="Normal"/>
    <w:uiPriority w:val="99"/>
    <w:pPr>
      <w:numPr>
        <w:numId w:val="8"/>
      </w:numPr>
      <w:spacing w:before="120" w:after="120"/>
      <w:jc w:val="both"/>
    </w:pPr>
    <w:rPr>
      <w:szCs w:val="22"/>
    </w:rPr>
  </w:style>
  <w:style w:type="paragraph" w:customStyle="1" w:styleId="Point1number">
    <w:name w:val="Point 1 (number)"/>
    <w:basedOn w:val="Normal"/>
    <w:uiPriority w:val="99"/>
    <w:pPr>
      <w:numPr>
        <w:ilvl w:val="2"/>
        <w:numId w:val="8"/>
      </w:numPr>
      <w:spacing w:before="120" w:after="120"/>
      <w:jc w:val="both"/>
    </w:pPr>
    <w:rPr>
      <w:szCs w:val="22"/>
    </w:rPr>
  </w:style>
  <w:style w:type="paragraph" w:customStyle="1" w:styleId="Point2number">
    <w:name w:val="Point 2 (number)"/>
    <w:basedOn w:val="Normal"/>
    <w:uiPriority w:val="99"/>
    <w:pPr>
      <w:numPr>
        <w:ilvl w:val="4"/>
        <w:numId w:val="8"/>
      </w:numPr>
      <w:spacing w:before="120" w:after="120"/>
      <w:jc w:val="both"/>
    </w:pPr>
    <w:rPr>
      <w:szCs w:val="22"/>
    </w:rPr>
  </w:style>
  <w:style w:type="paragraph" w:customStyle="1" w:styleId="Point3number">
    <w:name w:val="Point 3 (number)"/>
    <w:basedOn w:val="Normal"/>
    <w:uiPriority w:val="99"/>
    <w:pPr>
      <w:numPr>
        <w:ilvl w:val="6"/>
        <w:numId w:val="8"/>
      </w:numPr>
      <w:spacing w:before="120" w:after="120"/>
      <w:jc w:val="both"/>
    </w:pPr>
    <w:rPr>
      <w:szCs w:val="22"/>
    </w:rPr>
  </w:style>
  <w:style w:type="paragraph" w:customStyle="1" w:styleId="Point0letter">
    <w:name w:val="Point 0 (letter)"/>
    <w:basedOn w:val="Normal"/>
    <w:uiPriority w:val="99"/>
    <w:pPr>
      <w:numPr>
        <w:ilvl w:val="1"/>
        <w:numId w:val="8"/>
      </w:numPr>
      <w:spacing w:before="120" w:after="120"/>
      <w:jc w:val="both"/>
    </w:pPr>
    <w:rPr>
      <w:szCs w:val="22"/>
    </w:rPr>
  </w:style>
  <w:style w:type="paragraph" w:customStyle="1" w:styleId="Point1letter">
    <w:name w:val="Point 1 (letter)"/>
    <w:basedOn w:val="Normal"/>
    <w:uiPriority w:val="99"/>
    <w:pPr>
      <w:numPr>
        <w:ilvl w:val="3"/>
        <w:numId w:val="8"/>
      </w:numPr>
      <w:spacing w:before="120" w:after="120"/>
      <w:jc w:val="both"/>
    </w:pPr>
    <w:rPr>
      <w:szCs w:val="22"/>
    </w:rPr>
  </w:style>
  <w:style w:type="paragraph" w:customStyle="1" w:styleId="Point2letter">
    <w:name w:val="Point 2 (letter)"/>
    <w:basedOn w:val="Normal"/>
    <w:uiPriority w:val="99"/>
    <w:pPr>
      <w:numPr>
        <w:ilvl w:val="5"/>
        <w:numId w:val="8"/>
      </w:numPr>
      <w:spacing w:before="120" w:after="120"/>
      <w:jc w:val="both"/>
    </w:pPr>
    <w:rPr>
      <w:szCs w:val="22"/>
    </w:rPr>
  </w:style>
  <w:style w:type="paragraph" w:customStyle="1" w:styleId="Point3letter">
    <w:name w:val="Point 3 (letter)"/>
    <w:basedOn w:val="Normal"/>
    <w:uiPriority w:val="99"/>
    <w:pPr>
      <w:numPr>
        <w:ilvl w:val="7"/>
        <w:numId w:val="8"/>
      </w:numPr>
      <w:spacing w:before="120" w:after="120"/>
      <w:jc w:val="both"/>
    </w:pPr>
    <w:rPr>
      <w:szCs w:val="22"/>
    </w:rPr>
  </w:style>
  <w:style w:type="paragraph" w:customStyle="1" w:styleId="Point4letter">
    <w:name w:val="Point 4 (letter)"/>
    <w:basedOn w:val="Normal"/>
    <w:uiPriority w:val="99"/>
    <w:pPr>
      <w:numPr>
        <w:ilvl w:val="8"/>
        <w:numId w:val="8"/>
      </w:numPr>
      <w:spacing w:before="120" w:after="120"/>
      <w:jc w:val="both"/>
    </w:pPr>
    <w:rPr>
      <w:szCs w:val="22"/>
    </w:rPr>
  </w:style>
  <w:style w:type="paragraph" w:customStyle="1" w:styleId="Tiret2">
    <w:name w:val="Tiret 2"/>
    <w:basedOn w:val="Normal"/>
    <w:uiPriority w:val="99"/>
    <w:pPr>
      <w:numPr>
        <w:numId w:val="9"/>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
    <w:basedOn w:val="Normal"/>
    <w:link w:val="ListParagraphChar"/>
    <w:uiPriority w:val="34"/>
    <w:qFormat/>
    <w:pPr>
      <w:spacing w:after="200" w:line="276" w:lineRule="auto"/>
      <w:ind w:left="720"/>
      <w:contextualSpacing/>
    </w:pPr>
    <w:rPr>
      <w:rFonts w:ascii="Calibri" w:eastAsia="MS Mincho" w:hAnsi="Calibri"/>
      <w:sz w:val="22"/>
      <w:szCs w:val="20"/>
      <w:lang w:val="de-DE" w:eastAsia="de-D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locked/>
    <w:rPr>
      <w:rFonts w:ascii="Calibri" w:eastAsia="MS Mincho" w:hAnsi="Calibri" w:cs="Times New Roman"/>
      <w:szCs w:val="20"/>
      <w:lang w:val="de-DE" w:eastAsia="de-DE"/>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lang w:val="de-DE" w:eastAsia="de-DE"/>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de-DE" w:eastAsia="de-DE"/>
    </w:rPr>
  </w:style>
  <w:style w:type="paragraph" w:styleId="ListNumber5">
    <w:name w:val="List Number 5"/>
    <w:basedOn w:val="Normal"/>
    <w:uiPriority w:val="99"/>
    <w:pPr>
      <w:numPr>
        <w:numId w:val="1"/>
      </w:numPr>
      <w:tabs>
        <w:tab w:val="clear" w:pos="360"/>
        <w:tab w:val="num" w:pos="1492"/>
      </w:tabs>
      <w:ind w:left="1492"/>
      <w:contextualSpacing/>
    </w:pPr>
  </w:style>
  <w:style w:type="character" w:styleId="Strong">
    <w:name w:val="Strong"/>
    <w:basedOn w:val="DefaultParagraphFont"/>
    <w:uiPriority w:val="99"/>
    <w:qFormat/>
    <w:rPr>
      <w:rFonts w:cs="Times New Roman"/>
      <w:b/>
      <w:bCs/>
    </w:rPr>
  </w:style>
  <w:style w:type="paragraph" w:styleId="ListBullet3">
    <w:name w:val="List Bullet 3"/>
    <w:basedOn w:val="Normal"/>
    <w:uiPriority w:val="99"/>
    <w:pPr>
      <w:numPr>
        <w:numId w:val="2"/>
      </w:numPr>
      <w:tabs>
        <w:tab w:val="clear" w:pos="643"/>
        <w:tab w:val="num" w:pos="926"/>
      </w:tabs>
      <w:spacing w:before="120" w:after="120"/>
      <w:ind w:left="926"/>
      <w:contextualSpacing/>
      <w:jc w:val="both"/>
    </w:pPr>
    <w:rPr>
      <w:szCs w:val="22"/>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ManualHeading3">
    <w:name w:val="Manual Heading 3"/>
    <w:basedOn w:val="Normal"/>
    <w:next w:val="Normal"/>
    <w:uiPriority w:val="99"/>
    <w:pPr>
      <w:keepNext/>
      <w:tabs>
        <w:tab w:val="left" w:pos="850"/>
      </w:tabs>
      <w:spacing w:before="120" w:after="120"/>
      <w:ind w:left="850" w:hanging="850"/>
      <w:jc w:val="both"/>
      <w:outlineLvl w:val="2"/>
    </w:pPr>
    <w:rPr>
      <w:i/>
      <w:lang w:eastAsia="en-US"/>
    </w:rPr>
  </w:style>
  <w:style w:type="paragraph" w:customStyle="1" w:styleId="Style1">
    <w:name w:val="Style1"/>
    <w:basedOn w:val="ManualHeading1"/>
    <w:autoRedefine/>
    <w:qFormat/>
    <w:pPr>
      <w:ind w:left="720" w:hanging="360"/>
    </w:pPr>
    <w:rPr>
      <w:noProof/>
    </w:rPr>
  </w:style>
  <w:style w:type="paragraph" w:customStyle="1" w:styleId="Style2">
    <w:name w:val="Style2"/>
    <w:basedOn w:val="ManualHeading2"/>
    <w:autoRedefine/>
    <w:qFormat/>
    <w:pPr>
      <w:numPr>
        <w:ilvl w:val="1"/>
        <w:numId w:val="13"/>
      </w:numPr>
    </w:pPr>
  </w:style>
  <w:style w:type="paragraph" w:customStyle="1" w:styleId="Style3">
    <w:name w:val="Style3"/>
    <w:basedOn w:val="ManualHeading1"/>
    <w:autoRedefine/>
    <w:qFormat/>
    <w:pPr>
      <w:numPr>
        <w:numId w:val="12"/>
      </w:numPr>
    </w:pPr>
    <w:rPr>
      <w:noProof/>
    </w:rPr>
  </w:style>
  <w:style w:type="paragraph" w:customStyle="1" w:styleId="CM1">
    <w:name w:val="CM1"/>
    <w:basedOn w:val="Default"/>
    <w:next w:val="Default"/>
    <w:uiPriority w:val="99"/>
    <w:rPr>
      <w:rFonts w:ascii="KOJOD P+ Adv T T 5843c 571" w:hAnsi="KOJOD P+ Adv T T 5843c 571"/>
      <w:color w:val="auto"/>
      <w:lang w:eastAsia="de-DE"/>
    </w:rPr>
  </w:style>
  <w:style w:type="paragraph" w:customStyle="1" w:styleId="CM3">
    <w:name w:val="CM3"/>
    <w:basedOn w:val="Default"/>
    <w:next w:val="Default"/>
    <w:uiPriority w:val="99"/>
    <w:rPr>
      <w:rFonts w:ascii="KOJOD P+ Adv T T 5843c 571" w:hAnsi="KOJOD P+ Adv T T 5843c 571"/>
      <w:color w:val="auto"/>
      <w:lang w:eastAsia="de-DE"/>
    </w:r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st">
    <w:name w:val="st"/>
    <w:basedOn w:val="DefaultParagraphFont"/>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4"/>
      <w:lang w:eastAsia="en-GB"/>
    </w:rPr>
  </w:style>
  <w:style w:type="character" w:customStyle="1" w:styleId="acopre">
    <w:name w:val="acopr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80731">
      <w:bodyDiv w:val="1"/>
      <w:marLeft w:val="0"/>
      <w:marRight w:val="0"/>
      <w:marTop w:val="0"/>
      <w:marBottom w:val="0"/>
      <w:divBdr>
        <w:top w:val="none" w:sz="0" w:space="0" w:color="auto"/>
        <w:left w:val="none" w:sz="0" w:space="0" w:color="auto"/>
        <w:bottom w:val="none" w:sz="0" w:space="0" w:color="auto"/>
        <w:right w:val="none" w:sz="0" w:space="0" w:color="auto"/>
      </w:divBdr>
    </w:div>
    <w:div w:id="100801549">
      <w:bodyDiv w:val="1"/>
      <w:marLeft w:val="0"/>
      <w:marRight w:val="0"/>
      <w:marTop w:val="0"/>
      <w:marBottom w:val="0"/>
      <w:divBdr>
        <w:top w:val="none" w:sz="0" w:space="0" w:color="auto"/>
        <w:left w:val="none" w:sz="0" w:space="0" w:color="auto"/>
        <w:bottom w:val="none" w:sz="0" w:space="0" w:color="auto"/>
        <w:right w:val="none" w:sz="0" w:space="0" w:color="auto"/>
      </w:divBdr>
    </w:div>
    <w:div w:id="118183194">
      <w:bodyDiv w:val="1"/>
      <w:marLeft w:val="0"/>
      <w:marRight w:val="0"/>
      <w:marTop w:val="0"/>
      <w:marBottom w:val="0"/>
      <w:divBdr>
        <w:top w:val="none" w:sz="0" w:space="0" w:color="auto"/>
        <w:left w:val="none" w:sz="0" w:space="0" w:color="auto"/>
        <w:bottom w:val="none" w:sz="0" w:space="0" w:color="auto"/>
        <w:right w:val="none" w:sz="0" w:space="0" w:color="auto"/>
      </w:divBdr>
    </w:div>
    <w:div w:id="144780543">
      <w:bodyDiv w:val="1"/>
      <w:marLeft w:val="0"/>
      <w:marRight w:val="0"/>
      <w:marTop w:val="0"/>
      <w:marBottom w:val="0"/>
      <w:divBdr>
        <w:top w:val="none" w:sz="0" w:space="0" w:color="auto"/>
        <w:left w:val="none" w:sz="0" w:space="0" w:color="auto"/>
        <w:bottom w:val="none" w:sz="0" w:space="0" w:color="auto"/>
        <w:right w:val="none" w:sz="0" w:space="0" w:color="auto"/>
      </w:divBdr>
    </w:div>
    <w:div w:id="146629716">
      <w:bodyDiv w:val="1"/>
      <w:marLeft w:val="0"/>
      <w:marRight w:val="0"/>
      <w:marTop w:val="0"/>
      <w:marBottom w:val="0"/>
      <w:divBdr>
        <w:top w:val="none" w:sz="0" w:space="0" w:color="auto"/>
        <w:left w:val="none" w:sz="0" w:space="0" w:color="auto"/>
        <w:bottom w:val="none" w:sz="0" w:space="0" w:color="auto"/>
        <w:right w:val="none" w:sz="0" w:space="0" w:color="auto"/>
      </w:divBdr>
    </w:div>
    <w:div w:id="161823401">
      <w:bodyDiv w:val="1"/>
      <w:marLeft w:val="0"/>
      <w:marRight w:val="0"/>
      <w:marTop w:val="0"/>
      <w:marBottom w:val="0"/>
      <w:divBdr>
        <w:top w:val="none" w:sz="0" w:space="0" w:color="auto"/>
        <w:left w:val="none" w:sz="0" w:space="0" w:color="auto"/>
        <w:bottom w:val="none" w:sz="0" w:space="0" w:color="auto"/>
        <w:right w:val="none" w:sz="0" w:space="0" w:color="auto"/>
      </w:divBdr>
    </w:div>
    <w:div w:id="170419442">
      <w:bodyDiv w:val="1"/>
      <w:marLeft w:val="0"/>
      <w:marRight w:val="0"/>
      <w:marTop w:val="0"/>
      <w:marBottom w:val="0"/>
      <w:divBdr>
        <w:top w:val="none" w:sz="0" w:space="0" w:color="auto"/>
        <w:left w:val="none" w:sz="0" w:space="0" w:color="auto"/>
        <w:bottom w:val="none" w:sz="0" w:space="0" w:color="auto"/>
        <w:right w:val="none" w:sz="0" w:space="0" w:color="auto"/>
      </w:divBdr>
    </w:div>
    <w:div w:id="172570039">
      <w:bodyDiv w:val="1"/>
      <w:marLeft w:val="0"/>
      <w:marRight w:val="0"/>
      <w:marTop w:val="0"/>
      <w:marBottom w:val="0"/>
      <w:divBdr>
        <w:top w:val="none" w:sz="0" w:space="0" w:color="auto"/>
        <w:left w:val="none" w:sz="0" w:space="0" w:color="auto"/>
        <w:bottom w:val="none" w:sz="0" w:space="0" w:color="auto"/>
        <w:right w:val="none" w:sz="0" w:space="0" w:color="auto"/>
      </w:divBdr>
    </w:div>
    <w:div w:id="230769782">
      <w:bodyDiv w:val="1"/>
      <w:marLeft w:val="0"/>
      <w:marRight w:val="0"/>
      <w:marTop w:val="0"/>
      <w:marBottom w:val="0"/>
      <w:divBdr>
        <w:top w:val="none" w:sz="0" w:space="0" w:color="auto"/>
        <w:left w:val="none" w:sz="0" w:space="0" w:color="auto"/>
        <w:bottom w:val="none" w:sz="0" w:space="0" w:color="auto"/>
        <w:right w:val="none" w:sz="0" w:space="0" w:color="auto"/>
      </w:divBdr>
    </w:div>
    <w:div w:id="251937083">
      <w:bodyDiv w:val="1"/>
      <w:marLeft w:val="0"/>
      <w:marRight w:val="0"/>
      <w:marTop w:val="0"/>
      <w:marBottom w:val="0"/>
      <w:divBdr>
        <w:top w:val="none" w:sz="0" w:space="0" w:color="auto"/>
        <w:left w:val="none" w:sz="0" w:space="0" w:color="auto"/>
        <w:bottom w:val="none" w:sz="0" w:space="0" w:color="auto"/>
        <w:right w:val="none" w:sz="0" w:space="0" w:color="auto"/>
      </w:divBdr>
    </w:div>
    <w:div w:id="258220463">
      <w:bodyDiv w:val="1"/>
      <w:marLeft w:val="0"/>
      <w:marRight w:val="0"/>
      <w:marTop w:val="0"/>
      <w:marBottom w:val="0"/>
      <w:divBdr>
        <w:top w:val="none" w:sz="0" w:space="0" w:color="auto"/>
        <w:left w:val="none" w:sz="0" w:space="0" w:color="auto"/>
        <w:bottom w:val="none" w:sz="0" w:space="0" w:color="auto"/>
        <w:right w:val="none" w:sz="0" w:space="0" w:color="auto"/>
      </w:divBdr>
    </w:div>
    <w:div w:id="263734906">
      <w:bodyDiv w:val="1"/>
      <w:marLeft w:val="0"/>
      <w:marRight w:val="0"/>
      <w:marTop w:val="0"/>
      <w:marBottom w:val="0"/>
      <w:divBdr>
        <w:top w:val="none" w:sz="0" w:space="0" w:color="auto"/>
        <w:left w:val="none" w:sz="0" w:space="0" w:color="auto"/>
        <w:bottom w:val="none" w:sz="0" w:space="0" w:color="auto"/>
        <w:right w:val="none" w:sz="0" w:space="0" w:color="auto"/>
      </w:divBdr>
    </w:div>
    <w:div w:id="302198510">
      <w:bodyDiv w:val="1"/>
      <w:marLeft w:val="0"/>
      <w:marRight w:val="0"/>
      <w:marTop w:val="0"/>
      <w:marBottom w:val="0"/>
      <w:divBdr>
        <w:top w:val="none" w:sz="0" w:space="0" w:color="auto"/>
        <w:left w:val="none" w:sz="0" w:space="0" w:color="auto"/>
        <w:bottom w:val="none" w:sz="0" w:space="0" w:color="auto"/>
        <w:right w:val="none" w:sz="0" w:space="0" w:color="auto"/>
      </w:divBdr>
    </w:div>
    <w:div w:id="352000930">
      <w:bodyDiv w:val="1"/>
      <w:marLeft w:val="0"/>
      <w:marRight w:val="0"/>
      <w:marTop w:val="0"/>
      <w:marBottom w:val="0"/>
      <w:divBdr>
        <w:top w:val="none" w:sz="0" w:space="0" w:color="auto"/>
        <w:left w:val="none" w:sz="0" w:space="0" w:color="auto"/>
        <w:bottom w:val="none" w:sz="0" w:space="0" w:color="auto"/>
        <w:right w:val="none" w:sz="0" w:space="0" w:color="auto"/>
      </w:divBdr>
    </w:div>
    <w:div w:id="354353186">
      <w:bodyDiv w:val="1"/>
      <w:marLeft w:val="0"/>
      <w:marRight w:val="0"/>
      <w:marTop w:val="0"/>
      <w:marBottom w:val="0"/>
      <w:divBdr>
        <w:top w:val="none" w:sz="0" w:space="0" w:color="auto"/>
        <w:left w:val="none" w:sz="0" w:space="0" w:color="auto"/>
        <w:bottom w:val="none" w:sz="0" w:space="0" w:color="auto"/>
        <w:right w:val="none" w:sz="0" w:space="0" w:color="auto"/>
      </w:divBdr>
    </w:div>
    <w:div w:id="361790386">
      <w:bodyDiv w:val="1"/>
      <w:marLeft w:val="0"/>
      <w:marRight w:val="0"/>
      <w:marTop w:val="0"/>
      <w:marBottom w:val="0"/>
      <w:divBdr>
        <w:top w:val="none" w:sz="0" w:space="0" w:color="auto"/>
        <w:left w:val="none" w:sz="0" w:space="0" w:color="auto"/>
        <w:bottom w:val="none" w:sz="0" w:space="0" w:color="auto"/>
        <w:right w:val="none" w:sz="0" w:space="0" w:color="auto"/>
      </w:divBdr>
    </w:div>
    <w:div w:id="367877917">
      <w:bodyDiv w:val="1"/>
      <w:marLeft w:val="0"/>
      <w:marRight w:val="0"/>
      <w:marTop w:val="0"/>
      <w:marBottom w:val="0"/>
      <w:divBdr>
        <w:top w:val="none" w:sz="0" w:space="0" w:color="auto"/>
        <w:left w:val="none" w:sz="0" w:space="0" w:color="auto"/>
        <w:bottom w:val="none" w:sz="0" w:space="0" w:color="auto"/>
        <w:right w:val="none" w:sz="0" w:space="0" w:color="auto"/>
      </w:divBdr>
    </w:div>
    <w:div w:id="380905164">
      <w:bodyDiv w:val="1"/>
      <w:marLeft w:val="0"/>
      <w:marRight w:val="0"/>
      <w:marTop w:val="0"/>
      <w:marBottom w:val="0"/>
      <w:divBdr>
        <w:top w:val="none" w:sz="0" w:space="0" w:color="auto"/>
        <w:left w:val="none" w:sz="0" w:space="0" w:color="auto"/>
        <w:bottom w:val="none" w:sz="0" w:space="0" w:color="auto"/>
        <w:right w:val="none" w:sz="0" w:space="0" w:color="auto"/>
      </w:divBdr>
    </w:div>
    <w:div w:id="381052452">
      <w:bodyDiv w:val="1"/>
      <w:marLeft w:val="0"/>
      <w:marRight w:val="0"/>
      <w:marTop w:val="0"/>
      <w:marBottom w:val="0"/>
      <w:divBdr>
        <w:top w:val="none" w:sz="0" w:space="0" w:color="auto"/>
        <w:left w:val="none" w:sz="0" w:space="0" w:color="auto"/>
        <w:bottom w:val="none" w:sz="0" w:space="0" w:color="auto"/>
        <w:right w:val="none" w:sz="0" w:space="0" w:color="auto"/>
      </w:divBdr>
    </w:div>
    <w:div w:id="427698571">
      <w:bodyDiv w:val="1"/>
      <w:marLeft w:val="0"/>
      <w:marRight w:val="0"/>
      <w:marTop w:val="0"/>
      <w:marBottom w:val="0"/>
      <w:divBdr>
        <w:top w:val="none" w:sz="0" w:space="0" w:color="auto"/>
        <w:left w:val="none" w:sz="0" w:space="0" w:color="auto"/>
        <w:bottom w:val="none" w:sz="0" w:space="0" w:color="auto"/>
        <w:right w:val="none" w:sz="0" w:space="0" w:color="auto"/>
      </w:divBdr>
    </w:div>
    <w:div w:id="449472512">
      <w:bodyDiv w:val="1"/>
      <w:marLeft w:val="0"/>
      <w:marRight w:val="0"/>
      <w:marTop w:val="0"/>
      <w:marBottom w:val="0"/>
      <w:divBdr>
        <w:top w:val="none" w:sz="0" w:space="0" w:color="auto"/>
        <w:left w:val="none" w:sz="0" w:space="0" w:color="auto"/>
        <w:bottom w:val="none" w:sz="0" w:space="0" w:color="auto"/>
        <w:right w:val="none" w:sz="0" w:space="0" w:color="auto"/>
      </w:divBdr>
    </w:div>
    <w:div w:id="642539164">
      <w:bodyDiv w:val="1"/>
      <w:marLeft w:val="0"/>
      <w:marRight w:val="0"/>
      <w:marTop w:val="0"/>
      <w:marBottom w:val="0"/>
      <w:divBdr>
        <w:top w:val="none" w:sz="0" w:space="0" w:color="auto"/>
        <w:left w:val="none" w:sz="0" w:space="0" w:color="auto"/>
        <w:bottom w:val="none" w:sz="0" w:space="0" w:color="auto"/>
        <w:right w:val="none" w:sz="0" w:space="0" w:color="auto"/>
      </w:divBdr>
    </w:div>
    <w:div w:id="697702338">
      <w:bodyDiv w:val="1"/>
      <w:marLeft w:val="0"/>
      <w:marRight w:val="0"/>
      <w:marTop w:val="0"/>
      <w:marBottom w:val="0"/>
      <w:divBdr>
        <w:top w:val="none" w:sz="0" w:space="0" w:color="auto"/>
        <w:left w:val="none" w:sz="0" w:space="0" w:color="auto"/>
        <w:bottom w:val="none" w:sz="0" w:space="0" w:color="auto"/>
        <w:right w:val="none" w:sz="0" w:space="0" w:color="auto"/>
      </w:divBdr>
    </w:div>
    <w:div w:id="700017239">
      <w:bodyDiv w:val="1"/>
      <w:marLeft w:val="0"/>
      <w:marRight w:val="0"/>
      <w:marTop w:val="0"/>
      <w:marBottom w:val="0"/>
      <w:divBdr>
        <w:top w:val="none" w:sz="0" w:space="0" w:color="auto"/>
        <w:left w:val="none" w:sz="0" w:space="0" w:color="auto"/>
        <w:bottom w:val="none" w:sz="0" w:space="0" w:color="auto"/>
        <w:right w:val="none" w:sz="0" w:space="0" w:color="auto"/>
      </w:divBdr>
    </w:div>
    <w:div w:id="705300457">
      <w:bodyDiv w:val="1"/>
      <w:marLeft w:val="0"/>
      <w:marRight w:val="0"/>
      <w:marTop w:val="0"/>
      <w:marBottom w:val="0"/>
      <w:divBdr>
        <w:top w:val="none" w:sz="0" w:space="0" w:color="auto"/>
        <w:left w:val="none" w:sz="0" w:space="0" w:color="auto"/>
        <w:bottom w:val="none" w:sz="0" w:space="0" w:color="auto"/>
        <w:right w:val="none" w:sz="0" w:space="0" w:color="auto"/>
      </w:divBdr>
    </w:div>
    <w:div w:id="707684414">
      <w:bodyDiv w:val="1"/>
      <w:marLeft w:val="0"/>
      <w:marRight w:val="0"/>
      <w:marTop w:val="0"/>
      <w:marBottom w:val="0"/>
      <w:divBdr>
        <w:top w:val="none" w:sz="0" w:space="0" w:color="auto"/>
        <w:left w:val="none" w:sz="0" w:space="0" w:color="auto"/>
        <w:bottom w:val="none" w:sz="0" w:space="0" w:color="auto"/>
        <w:right w:val="none" w:sz="0" w:space="0" w:color="auto"/>
      </w:divBdr>
    </w:div>
    <w:div w:id="783036941">
      <w:bodyDiv w:val="1"/>
      <w:marLeft w:val="0"/>
      <w:marRight w:val="0"/>
      <w:marTop w:val="0"/>
      <w:marBottom w:val="0"/>
      <w:divBdr>
        <w:top w:val="none" w:sz="0" w:space="0" w:color="auto"/>
        <w:left w:val="none" w:sz="0" w:space="0" w:color="auto"/>
        <w:bottom w:val="none" w:sz="0" w:space="0" w:color="auto"/>
        <w:right w:val="none" w:sz="0" w:space="0" w:color="auto"/>
      </w:divBdr>
    </w:div>
    <w:div w:id="797182144">
      <w:bodyDiv w:val="1"/>
      <w:marLeft w:val="0"/>
      <w:marRight w:val="0"/>
      <w:marTop w:val="0"/>
      <w:marBottom w:val="0"/>
      <w:divBdr>
        <w:top w:val="none" w:sz="0" w:space="0" w:color="auto"/>
        <w:left w:val="none" w:sz="0" w:space="0" w:color="auto"/>
        <w:bottom w:val="none" w:sz="0" w:space="0" w:color="auto"/>
        <w:right w:val="none" w:sz="0" w:space="0" w:color="auto"/>
      </w:divBdr>
    </w:div>
    <w:div w:id="803549771">
      <w:bodyDiv w:val="1"/>
      <w:marLeft w:val="0"/>
      <w:marRight w:val="0"/>
      <w:marTop w:val="0"/>
      <w:marBottom w:val="0"/>
      <w:divBdr>
        <w:top w:val="none" w:sz="0" w:space="0" w:color="auto"/>
        <w:left w:val="none" w:sz="0" w:space="0" w:color="auto"/>
        <w:bottom w:val="none" w:sz="0" w:space="0" w:color="auto"/>
        <w:right w:val="none" w:sz="0" w:space="0" w:color="auto"/>
      </w:divBdr>
    </w:div>
    <w:div w:id="883835045">
      <w:bodyDiv w:val="1"/>
      <w:marLeft w:val="0"/>
      <w:marRight w:val="0"/>
      <w:marTop w:val="0"/>
      <w:marBottom w:val="0"/>
      <w:divBdr>
        <w:top w:val="none" w:sz="0" w:space="0" w:color="auto"/>
        <w:left w:val="none" w:sz="0" w:space="0" w:color="auto"/>
        <w:bottom w:val="none" w:sz="0" w:space="0" w:color="auto"/>
        <w:right w:val="none" w:sz="0" w:space="0" w:color="auto"/>
      </w:divBdr>
    </w:div>
    <w:div w:id="895968351">
      <w:bodyDiv w:val="1"/>
      <w:marLeft w:val="0"/>
      <w:marRight w:val="0"/>
      <w:marTop w:val="0"/>
      <w:marBottom w:val="0"/>
      <w:divBdr>
        <w:top w:val="none" w:sz="0" w:space="0" w:color="auto"/>
        <w:left w:val="none" w:sz="0" w:space="0" w:color="auto"/>
        <w:bottom w:val="none" w:sz="0" w:space="0" w:color="auto"/>
        <w:right w:val="none" w:sz="0" w:space="0" w:color="auto"/>
      </w:divBdr>
    </w:div>
    <w:div w:id="962880849">
      <w:bodyDiv w:val="1"/>
      <w:marLeft w:val="0"/>
      <w:marRight w:val="0"/>
      <w:marTop w:val="0"/>
      <w:marBottom w:val="0"/>
      <w:divBdr>
        <w:top w:val="none" w:sz="0" w:space="0" w:color="auto"/>
        <w:left w:val="none" w:sz="0" w:space="0" w:color="auto"/>
        <w:bottom w:val="none" w:sz="0" w:space="0" w:color="auto"/>
        <w:right w:val="none" w:sz="0" w:space="0" w:color="auto"/>
      </w:divBdr>
    </w:div>
    <w:div w:id="988560726">
      <w:bodyDiv w:val="1"/>
      <w:marLeft w:val="0"/>
      <w:marRight w:val="0"/>
      <w:marTop w:val="0"/>
      <w:marBottom w:val="0"/>
      <w:divBdr>
        <w:top w:val="none" w:sz="0" w:space="0" w:color="auto"/>
        <w:left w:val="none" w:sz="0" w:space="0" w:color="auto"/>
        <w:bottom w:val="none" w:sz="0" w:space="0" w:color="auto"/>
        <w:right w:val="none" w:sz="0" w:space="0" w:color="auto"/>
      </w:divBdr>
    </w:div>
    <w:div w:id="1047218506">
      <w:bodyDiv w:val="1"/>
      <w:marLeft w:val="0"/>
      <w:marRight w:val="0"/>
      <w:marTop w:val="0"/>
      <w:marBottom w:val="0"/>
      <w:divBdr>
        <w:top w:val="none" w:sz="0" w:space="0" w:color="auto"/>
        <w:left w:val="none" w:sz="0" w:space="0" w:color="auto"/>
        <w:bottom w:val="none" w:sz="0" w:space="0" w:color="auto"/>
        <w:right w:val="none" w:sz="0" w:space="0" w:color="auto"/>
      </w:divBdr>
    </w:div>
    <w:div w:id="1166870647">
      <w:bodyDiv w:val="1"/>
      <w:marLeft w:val="0"/>
      <w:marRight w:val="0"/>
      <w:marTop w:val="0"/>
      <w:marBottom w:val="0"/>
      <w:divBdr>
        <w:top w:val="none" w:sz="0" w:space="0" w:color="auto"/>
        <w:left w:val="none" w:sz="0" w:space="0" w:color="auto"/>
        <w:bottom w:val="none" w:sz="0" w:space="0" w:color="auto"/>
        <w:right w:val="none" w:sz="0" w:space="0" w:color="auto"/>
      </w:divBdr>
      <w:divsChild>
        <w:div w:id="1197425566">
          <w:marLeft w:val="0"/>
          <w:marRight w:val="0"/>
          <w:marTop w:val="0"/>
          <w:marBottom w:val="0"/>
          <w:divBdr>
            <w:top w:val="none" w:sz="0" w:space="0" w:color="auto"/>
            <w:left w:val="none" w:sz="0" w:space="0" w:color="auto"/>
            <w:bottom w:val="none" w:sz="0" w:space="0" w:color="auto"/>
            <w:right w:val="none" w:sz="0" w:space="0" w:color="auto"/>
          </w:divBdr>
          <w:divsChild>
            <w:div w:id="319162477">
              <w:marLeft w:val="0"/>
              <w:marRight w:val="0"/>
              <w:marTop w:val="0"/>
              <w:marBottom w:val="0"/>
              <w:divBdr>
                <w:top w:val="none" w:sz="0" w:space="0" w:color="auto"/>
                <w:left w:val="none" w:sz="0" w:space="0" w:color="auto"/>
                <w:bottom w:val="none" w:sz="0" w:space="0" w:color="auto"/>
                <w:right w:val="none" w:sz="0" w:space="0" w:color="auto"/>
              </w:divBdr>
              <w:divsChild>
                <w:div w:id="4780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502622">
      <w:bodyDiv w:val="1"/>
      <w:marLeft w:val="0"/>
      <w:marRight w:val="0"/>
      <w:marTop w:val="0"/>
      <w:marBottom w:val="0"/>
      <w:divBdr>
        <w:top w:val="none" w:sz="0" w:space="0" w:color="auto"/>
        <w:left w:val="none" w:sz="0" w:space="0" w:color="auto"/>
        <w:bottom w:val="none" w:sz="0" w:space="0" w:color="auto"/>
        <w:right w:val="none" w:sz="0" w:space="0" w:color="auto"/>
      </w:divBdr>
      <w:divsChild>
        <w:div w:id="1517381040">
          <w:marLeft w:val="0"/>
          <w:marRight w:val="0"/>
          <w:marTop w:val="0"/>
          <w:marBottom w:val="0"/>
          <w:divBdr>
            <w:top w:val="none" w:sz="0" w:space="0" w:color="auto"/>
            <w:left w:val="none" w:sz="0" w:space="0" w:color="auto"/>
            <w:bottom w:val="none" w:sz="0" w:space="0" w:color="auto"/>
            <w:right w:val="none" w:sz="0" w:space="0" w:color="auto"/>
          </w:divBdr>
          <w:divsChild>
            <w:div w:id="17802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81074">
      <w:bodyDiv w:val="1"/>
      <w:marLeft w:val="0"/>
      <w:marRight w:val="0"/>
      <w:marTop w:val="0"/>
      <w:marBottom w:val="0"/>
      <w:divBdr>
        <w:top w:val="none" w:sz="0" w:space="0" w:color="auto"/>
        <w:left w:val="none" w:sz="0" w:space="0" w:color="auto"/>
        <w:bottom w:val="none" w:sz="0" w:space="0" w:color="auto"/>
        <w:right w:val="none" w:sz="0" w:space="0" w:color="auto"/>
      </w:divBdr>
    </w:div>
    <w:div w:id="1191987678">
      <w:bodyDiv w:val="1"/>
      <w:marLeft w:val="0"/>
      <w:marRight w:val="0"/>
      <w:marTop w:val="0"/>
      <w:marBottom w:val="0"/>
      <w:divBdr>
        <w:top w:val="none" w:sz="0" w:space="0" w:color="auto"/>
        <w:left w:val="none" w:sz="0" w:space="0" w:color="auto"/>
        <w:bottom w:val="none" w:sz="0" w:space="0" w:color="auto"/>
        <w:right w:val="none" w:sz="0" w:space="0" w:color="auto"/>
      </w:divBdr>
    </w:div>
    <w:div w:id="1215234627">
      <w:bodyDiv w:val="1"/>
      <w:marLeft w:val="0"/>
      <w:marRight w:val="0"/>
      <w:marTop w:val="0"/>
      <w:marBottom w:val="0"/>
      <w:divBdr>
        <w:top w:val="none" w:sz="0" w:space="0" w:color="auto"/>
        <w:left w:val="none" w:sz="0" w:space="0" w:color="auto"/>
        <w:bottom w:val="none" w:sz="0" w:space="0" w:color="auto"/>
        <w:right w:val="none" w:sz="0" w:space="0" w:color="auto"/>
      </w:divBdr>
    </w:div>
    <w:div w:id="1215895553">
      <w:bodyDiv w:val="1"/>
      <w:marLeft w:val="0"/>
      <w:marRight w:val="0"/>
      <w:marTop w:val="0"/>
      <w:marBottom w:val="0"/>
      <w:divBdr>
        <w:top w:val="none" w:sz="0" w:space="0" w:color="auto"/>
        <w:left w:val="none" w:sz="0" w:space="0" w:color="auto"/>
        <w:bottom w:val="none" w:sz="0" w:space="0" w:color="auto"/>
        <w:right w:val="none" w:sz="0" w:space="0" w:color="auto"/>
      </w:divBdr>
    </w:div>
    <w:div w:id="1229656472">
      <w:bodyDiv w:val="1"/>
      <w:marLeft w:val="0"/>
      <w:marRight w:val="0"/>
      <w:marTop w:val="0"/>
      <w:marBottom w:val="0"/>
      <w:divBdr>
        <w:top w:val="none" w:sz="0" w:space="0" w:color="auto"/>
        <w:left w:val="none" w:sz="0" w:space="0" w:color="auto"/>
        <w:bottom w:val="none" w:sz="0" w:space="0" w:color="auto"/>
        <w:right w:val="none" w:sz="0" w:space="0" w:color="auto"/>
      </w:divBdr>
    </w:div>
    <w:div w:id="1278565576">
      <w:bodyDiv w:val="1"/>
      <w:marLeft w:val="0"/>
      <w:marRight w:val="0"/>
      <w:marTop w:val="0"/>
      <w:marBottom w:val="0"/>
      <w:divBdr>
        <w:top w:val="none" w:sz="0" w:space="0" w:color="auto"/>
        <w:left w:val="none" w:sz="0" w:space="0" w:color="auto"/>
        <w:bottom w:val="none" w:sz="0" w:space="0" w:color="auto"/>
        <w:right w:val="none" w:sz="0" w:space="0" w:color="auto"/>
      </w:divBdr>
    </w:div>
    <w:div w:id="1289629196">
      <w:bodyDiv w:val="1"/>
      <w:marLeft w:val="0"/>
      <w:marRight w:val="0"/>
      <w:marTop w:val="0"/>
      <w:marBottom w:val="0"/>
      <w:divBdr>
        <w:top w:val="none" w:sz="0" w:space="0" w:color="auto"/>
        <w:left w:val="none" w:sz="0" w:space="0" w:color="auto"/>
        <w:bottom w:val="none" w:sz="0" w:space="0" w:color="auto"/>
        <w:right w:val="none" w:sz="0" w:space="0" w:color="auto"/>
      </w:divBdr>
    </w:div>
    <w:div w:id="1296181019">
      <w:bodyDiv w:val="1"/>
      <w:marLeft w:val="0"/>
      <w:marRight w:val="0"/>
      <w:marTop w:val="0"/>
      <w:marBottom w:val="0"/>
      <w:divBdr>
        <w:top w:val="none" w:sz="0" w:space="0" w:color="auto"/>
        <w:left w:val="none" w:sz="0" w:space="0" w:color="auto"/>
        <w:bottom w:val="none" w:sz="0" w:space="0" w:color="auto"/>
        <w:right w:val="none" w:sz="0" w:space="0" w:color="auto"/>
      </w:divBdr>
    </w:div>
    <w:div w:id="1297561529">
      <w:bodyDiv w:val="1"/>
      <w:marLeft w:val="0"/>
      <w:marRight w:val="0"/>
      <w:marTop w:val="0"/>
      <w:marBottom w:val="0"/>
      <w:divBdr>
        <w:top w:val="none" w:sz="0" w:space="0" w:color="auto"/>
        <w:left w:val="none" w:sz="0" w:space="0" w:color="auto"/>
        <w:bottom w:val="none" w:sz="0" w:space="0" w:color="auto"/>
        <w:right w:val="none" w:sz="0" w:space="0" w:color="auto"/>
      </w:divBdr>
    </w:div>
    <w:div w:id="1306819201">
      <w:bodyDiv w:val="1"/>
      <w:marLeft w:val="0"/>
      <w:marRight w:val="0"/>
      <w:marTop w:val="0"/>
      <w:marBottom w:val="0"/>
      <w:divBdr>
        <w:top w:val="none" w:sz="0" w:space="0" w:color="auto"/>
        <w:left w:val="none" w:sz="0" w:space="0" w:color="auto"/>
        <w:bottom w:val="none" w:sz="0" w:space="0" w:color="auto"/>
        <w:right w:val="none" w:sz="0" w:space="0" w:color="auto"/>
      </w:divBdr>
    </w:div>
    <w:div w:id="1331983426">
      <w:bodyDiv w:val="1"/>
      <w:marLeft w:val="0"/>
      <w:marRight w:val="0"/>
      <w:marTop w:val="0"/>
      <w:marBottom w:val="0"/>
      <w:divBdr>
        <w:top w:val="none" w:sz="0" w:space="0" w:color="auto"/>
        <w:left w:val="none" w:sz="0" w:space="0" w:color="auto"/>
        <w:bottom w:val="none" w:sz="0" w:space="0" w:color="auto"/>
        <w:right w:val="none" w:sz="0" w:space="0" w:color="auto"/>
      </w:divBdr>
    </w:div>
    <w:div w:id="1424834332">
      <w:bodyDiv w:val="1"/>
      <w:marLeft w:val="0"/>
      <w:marRight w:val="0"/>
      <w:marTop w:val="0"/>
      <w:marBottom w:val="0"/>
      <w:divBdr>
        <w:top w:val="none" w:sz="0" w:space="0" w:color="auto"/>
        <w:left w:val="none" w:sz="0" w:space="0" w:color="auto"/>
        <w:bottom w:val="none" w:sz="0" w:space="0" w:color="auto"/>
        <w:right w:val="none" w:sz="0" w:space="0" w:color="auto"/>
      </w:divBdr>
    </w:div>
    <w:div w:id="1431271280">
      <w:bodyDiv w:val="1"/>
      <w:marLeft w:val="0"/>
      <w:marRight w:val="0"/>
      <w:marTop w:val="0"/>
      <w:marBottom w:val="0"/>
      <w:divBdr>
        <w:top w:val="none" w:sz="0" w:space="0" w:color="auto"/>
        <w:left w:val="none" w:sz="0" w:space="0" w:color="auto"/>
        <w:bottom w:val="none" w:sz="0" w:space="0" w:color="auto"/>
        <w:right w:val="none" w:sz="0" w:space="0" w:color="auto"/>
      </w:divBdr>
    </w:div>
    <w:div w:id="1445613035">
      <w:bodyDiv w:val="1"/>
      <w:marLeft w:val="0"/>
      <w:marRight w:val="0"/>
      <w:marTop w:val="0"/>
      <w:marBottom w:val="0"/>
      <w:divBdr>
        <w:top w:val="none" w:sz="0" w:space="0" w:color="auto"/>
        <w:left w:val="none" w:sz="0" w:space="0" w:color="auto"/>
        <w:bottom w:val="none" w:sz="0" w:space="0" w:color="auto"/>
        <w:right w:val="none" w:sz="0" w:space="0" w:color="auto"/>
      </w:divBdr>
    </w:div>
    <w:div w:id="1465656486">
      <w:bodyDiv w:val="1"/>
      <w:marLeft w:val="0"/>
      <w:marRight w:val="0"/>
      <w:marTop w:val="0"/>
      <w:marBottom w:val="0"/>
      <w:divBdr>
        <w:top w:val="none" w:sz="0" w:space="0" w:color="auto"/>
        <w:left w:val="none" w:sz="0" w:space="0" w:color="auto"/>
        <w:bottom w:val="none" w:sz="0" w:space="0" w:color="auto"/>
        <w:right w:val="none" w:sz="0" w:space="0" w:color="auto"/>
      </w:divBdr>
    </w:div>
    <w:div w:id="1475760442">
      <w:bodyDiv w:val="1"/>
      <w:marLeft w:val="0"/>
      <w:marRight w:val="0"/>
      <w:marTop w:val="0"/>
      <w:marBottom w:val="0"/>
      <w:divBdr>
        <w:top w:val="none" w:sz="0" w:space="0" w:color="auto"/>
        <w:left w:val="none" w:sz="0" w:space="0" w:color="auto"/>
        <w:bottom w:val="none" w:sz="0" w:space="0" w:color="auto"/>
        <w:right w:val="none" w:sz="0" w:space="0" w:color="auto"/>
      </w:divBdr>
    </w:div>
    <w:div w:id="1482384682">
      <w:bodyDiv w:val="1"/>
      <w:marLeft w:val="0"/>
      <w:marRight w:val="0"/>
      <w:marTop w:val="0"/>
      <w:marBottom w:val="0"/>
      <w:divBdr>
        <w:top w:val="none" w:sz="0" w:space="0" w:color="auto"/>
        <w:left w:val="none" w:sz="0" w:space="0" w:color="auto"/>
        <w:bottom w:val="none" w:sz="0" w:space="0" w:color="auto"/>
        <w:right w:val="none" w:sz="0" w:space="0" w:color="auto"/>
      </w:divBdr>
    </w:div>
    <w:div w:id="1485122562">
      <w:bodyDiv w:val="1"/>
      <w:marLeft w:val="0"/>
      <w:marRight w:val="0"/>
      <w:marTop w:val="0"/>
      <w:marBottom w:val="0"/>
      <w:divBdr>
        <w:top w:val="none" w:sz="0" w:space="0" w:color="auto"/>
        <w:left w:val="none" w:sz="0" w:space="0" w:color="auto"/>
        <w:bottom w:val="none" w:sz="0" w:space="0" w:color="auto"/>
        <w:right w:val="none" w:sz="0" w:space="0" w:color="auto"/>
      </w:divBdr>
    </w:div>
    <w:div w:id="1498837865">
      <w:bodyDiv w:val="1"/>
      <w:marLeft w:val="0"/>
      <w:marRight w:val="0"/>
      <w:marTop w:val="0"/>
      <w:marBottom w:val="0"/>
      <w:divBdr>
        <w:top w:val="none" w:sz="0" w:space="0" w:color="auto"/>
        <w:left w:val="none" w:sz="0" w:space="0" w:color="auto"/>
        <w:bottom w:val="none" w:sz="0" w:space="0" w:color="auto"/>
        <w:right w:val="none" w:sz="0" w:space="0" w:color="auto"/>
      </w:divBdr>
    </w:div>
    <w:div w:id="1498888538">
      <w:bodyDiv w:val="1"/>
      <w:marLeft w:val="0"/>
      <w:marRight w:val="0"/>
      <w:marTop w:val="0"/>
      <w:marBottom w:val="0"/>
      <w:divBdr>
        <w:top w:val="none" w:sz="0" w:space="0" w:color="auto"/>
        <w:left w:val="none" w:sz="0" w:space="0" w:color="auto"/>
        <w:bottom w:val="none" w:sz="0" w:space="0" w:color="auto"/>
        <w:right w:val="none" w:sz="0" w:space="0" w:color="auto"/>
      </w:divBdr>
    </w:div>
    <w:div w:id="1545487842">
      <w:bodyDiv w:val="1"/>
      <w:marLeft w:val="0"/>
      <w:marRight w:val="0"/>
      <w:marTop w:val="0"/>
      <w:marBottom w:val="0"/>
      <w:divBdr>
        <w:top w:val="none" w:sz="0" w:space="0" w:color="auto"/>
        <w:left w:val="none" w:sz="0" w:space="0" w:color="auto"/>
        <w:bottom w:val="none" w:sz="0" w:space="0" w:color="auto"/>
        <w:right w:val="none" w:sz="0" w:space="0" w:color="auto"/>
      </w:divBdr>
    </w:div>
    <w:div w:id="1550799911">
      <w:bodyDiv w:val="1"/>
      <w:marLeft w:val="0"/>
      <w:marRight w:val="0"/>
      <w:marTop w:val="0"/>
      <w:marBottom w:val="0"/>
      <w:divBdr>
        <w:top w:val="none" w:sz="0" w:space="0" w:color="auto"/>
        <w:left w:val="none" w:sz="0" w:space="0" w:color="auto"/>
        <w:bottom w:val="none" w:sz="0" w:space="0" w:color="auto"/>
        <w:right w:val="none" w:sz="0" w:space="0" w:color="auto"/>
      </w:divBdr>
    </w:div>
    <w:div w:id="1561596928">
      <w:bodyDiv w:val="1"/>
      <w:marLeft w:val="0"/>
      <w:marRight w:val="0"/>
      <w:marTop w:val="0"/>
      <w:marBottom w:val="0"/>
      <w:divBdr>
        <w:top w:val="none" w:sz="0" w:space="0" w:color="auto"/>
        <w:left w:val="none" w:sz="0" w:space="0" w:color="auto"/>
        <w:bottom w:val="none" w:sz="0" w:space="0" w:color="auto"/>
        <w:right w:val="none" w:sz="0" w:space="0" w:color="auto"/>
      </w:divBdr>
    </w:div>
    <w:div w:id="1601059119">
      <w:bodyDiv w:val="1"/>
      <w:marLeft w:val="0"/>
      <w:marRight w:val="0"/>
      <w:marTop w:val="0"/>
      <w:marBottom w:val="0"/>
      <w:divBdr>
        <w:top w:val="none" w:sz="0" w:space="0" w:color="auto"/>
        <w:left w:val="none" w:sz="0" w:space="0" w:color="auto"/>
        <w:bottom w:val="none" w:sz="0" w:space="0" w:color="auto"/>
        <w:right w:val="none" w:sz="0" w:space="0" w:color="auto"/>
      </w:divBdr>
    </w:div>
    <w:div w:id="1629896554">
      <w:bodyDiv w:val="1"/>
      <w:marLeft w:val="0"/>
      <w:marRight w:val="0"/>
      <w:marTop w:val="0"/>
      <w:marBottom w:val="0"/>
      <w:divBdr>
        <w:top w:val="none" w:sz="0" w:space="0" w:color="auto"/>
        <w:left w:val="none" w:sz="0" w:space="0" w:color="auto"/>
        <w:bottom w:val="none" w:sz="0" w:space="0" w:color="auto"/>
        <w:right w:val="none" w:sz="0" w:space="0" w:color="auto"/>
      </w:divBdr>
    </w:div>
    <w:div w:id="1687826205">
      <w:bodyDiv w:val="1"/>
      <w:marLeft w:val="0"/>
      <w:marRight w:val="0"/>
      <w:marTop w:val="0"/>
      <w:marBottom w:val="0"/>
      <w:divBdr>
        <w:top w:val="none" w:sz="0" w:space="0" w:color="auto"/>
        <w:left w:val="none" w:sz="0" w:space="0" w:color="auto"/>
        <w:bottom w:val="none" w:sz="0" w:space="0" w:color="auto"/>
        <w:right w:val="none" w:sz="0" w:space="0" w:color="auto"/>
      </w:divBdr>
    </w:div>
    <w:div w:id="1693649028">
      <w:bodyDiv w:val="1"/>
      <w:marLeft w:val="0"/>
      <w:marRight w:val="0"/>
      <w:marTop w:val="0"/>
      <w:marBottom w:val="0"/>
      <w:divBdr>
        <w:top w:val="none" w:sz="0" w:space="0" w:color="auto"/>
        <w:left w:val="none" w:sz="0" w:space="0" w:color="auto"/>
        <w:bottom w:val="none" w:sz="0" w:space="0" w:color="auto"/>
        <w:right w:val="none" w:sz="0" w:space="0" w:color="auto"/>
      </w:divBdr>
    </w:div>
    <w:div w:id="1715537719">
      <w:bodyDiv w:val="1"/>
      <w:marLeft w:val="0"/>
      <w:marRight w:val="0"/>
      <w:marTop w:val="0"/>
      <w:marBottom w:val="0"/>
      <w:divBdr>
        <w:top w:val="none" w:sz="0" w:space="0" w:color="auto"/>
        <w:left w:val="none" w:sz="0" w:space="0" w:color="auto"/>
        <w:bottom w:val="none" w:sz="0" w:space="0" w:color="auto"/>
        <w:right w:val="none" w:sz="0" w:space="0" w:color="auto"/>
      </w:divBdr>
    </w:div>
    <w:div w:id="1725833797">
      <w:bodyDiv w:val="1"/>
      <w:marLeft w:val="0"/>
      <w:marRight w:val="0"/>
      <w:marTop w:val="0"/>
      <w:marBottom w:val="0"/>
      <w:divBdr>
        <w:top w:val="none" w:sz="0" w:space="0" w:color="auto"/>
        <w:left w:val="none" w:sz="0" w:space="0" w:color="auto"/>
        <w:bottom w:val="none" w:sz="0" w:space="0" w:color="auto"/>
        <w:right w:val="none" w:sz="0" w:space="0" w:color="auto"/>
      </w:divBdr>
    </w:div>
    <w:div w:id="1810438150">
      <w:bodyDiv w:val="1"/>
      <w:marLeft w:val="0"/>
      <w:marRight w:val="0"/>
      <w:marTop w:val="0"/>
      <w:marBottom w:val="0"/>
      <w:divBdr>
        <w:top w:val="none" w:sz="0" w:space="0" w:color="auto"/>
        <w:left w:val="none" w:sz="0" w:space="0" w:color="auto"/>
        <w:bottom w:val="none" w:sz="0" w:space="0" w:color="auto"/>
        <w:right w:val="none" w:sz="0" w:space="0" w:color="auto"/>
      </w:divBdr>
    </w:div>
    <w:div w:id="1816413424">
      <w:bodyDiv w:val="1"/>
      <w:marLeft w:val="0"/>
      <w:marRight w:val="0"/>
      <w:marTop w:val="0"/>
      <w:marBottom w:val="0"/>
      <w:divBdr>
        <w:top w:val="none" w:sz="0" w:space="0" w:color="auto"/>
        <w:left w:val="none" w:sz="0" w:space="0" w:color="auto"/>
        <w:bottom w:val="none" w:sz="0" w:space="0" w:color="auto"/>
        <w:right w:val="none" w:sz="0" w:space="0" w:color="auto"/>
      </w:divBdr>
    </w:div>
    <w:div w:id="1897084572">
      <w:bodyDiv w:val="1"/>
      <w:marLeft w:val="0"/>
      <w:marRight w:val="0"/>
      <w:marTop w:val="0"/>
      <w:marBottom w:val="0"/>
      <w:divBdr>
        <w:top w:val="none" w:sz="0" w:space="0" w:color="auto"/>
        <w:left w:val="none" w:sz="0" w:space="0" w:color="auto"/>
        <w:bottom w:val="none" w:sz="0" w:space="0" w:color="auto"/>
        <w:right w:val="none" w:sz="0" w:space="0" w:color="auto"/>
      </w:divBdr>
    </w:div>
    <w:div w:id="1923637665">
      <w:bodyDiv w:val="1"/>
      <w:marLeft w:val="0"/>
      <w:marRight w:val="0"/>
      <w:marTop w:val="0"/>
      <w:marBottom w:val="0"/>
      <w:divBdr>
        <w:top w:val="none" w:sz="0" w:space="0" w:color="auto"/>
        <w:left w:val="none" w:sz="0" w:space="0" w:color="auto"/>
        <w:bottom w:val="none" w:sz="0" w:space="0" w:color="auto"/>
        <w:right w:val="none" w:sz="0" w:space="0" w:color="auto"/>
      </w:divBdr>
    </w:div>
    <w:div w:id="1961449543">
      <w:bodyDiv w:val="1"/>
      <w:marLeft w:val="0"/>
      <w:marRight w:val="0"/>
      <w:marTop w:val="0"/>
      <w:marBottom w:val="0"/>
      <w:divBdr>
        <w:top w:val="none" w:sz="0" w:space="0" w:color="auto"/>
        <w:left w:val="none" w:sz="0" w:space="0" w:color="auto"/>
        <w:bottom w:val="none" w:sz="0" w:space="0" w:color="auto"/>
        <w:right w:val="none" w:sz="0" w:space="0" w:color="auto"/>
      </w:divBdr>
    </w:div>
    <w:div w:id="1972981541">
      <w:bodyDiv w:val="1"/>
      <w:marLeft w:val="0"/>
      <w:marRight w:val="0"/>
      <w:marTop w:val="0"/>
      <w:marBottom w:val="0"/>
      <w:divBdr>
        <w:top w:val="none" w:sz="0" w:space="0" w:color="auto"/>
        <w:left w:val="none" w:sz="0" w:space="0" w:color="auto"/>
        <w:bottom w:val="none" w:sz="0" w:space="0" w:color="auto"/>
        <w:right w:val="none" w:sz="0" w:space="0" w:color="auto"/>
      </w:divBdr>
    </w:div>
    <w:div w:id="1978298225">
      <w:bodyDiv w:val="1"/>
      <w:marLeft w:val="0"/>
      <w:marRight w:val="0"/>
      <w:marTop w:val="0"/>
      <w:marBottom w:val="0"/>
      <w:divBdr>
        <w:top w:val="none" w:sz="0" w:space="0" w:color="auto"/>
        <w:left w:val="none" w:sz="0" w:space="0" w:color="auto"/>
        <w:bottom w:val="none" w:sz="0" w:space="0" w:color="auto"/>
        <w:right w:val="none" w:sz="0" w:space="0" w:color="auto"/>
      </w:divBdr>
    </w:div>
    <w:div w:id="1981686913">
      <w:bodyDiv w:val="1"/>
      <w:marLeft w:val="0"/>
      <w:marRight w:val="0"/>
      <w:marTop w:val="0"/>
      <w:marBottom w:val="0"/>
      <w:divBdr>
        <w:top w:val="none" w:sz="0" w:space="0" w:color="auto"/>
        <w:left w:val="none" w:sz="0" w:space="0" w:color="auto"/>
        <w:bottom w:val="none" w:sz="0" w:space="0" w:color="auto"/>
        <w:right w:val="none" w:sz="0" w:space="0" w:color="auto"/>
      </w:divBdr>
    </w:div>
    <w:div w:id="1981837707">
      <w:bodyDiv w:val="1"/>
      <w:marLeft w:val="0"/>
      <w:marRight w:val="0"/>
      <w:marTop w:val="0"/>
      <w:marBottom w:val="0"/>
      <w:divBdr>
        <w:top w:val="none" w:sz="0" w:space="0" w:color="auto"/>
        <w:left w:val="none" w:sz="0" w:space="0" w:color="auto"/>
        <w:bottom w:val="none" w:sz="0" w:space="0" w:color="auto"/>
        <w:right w:val="none" w:sz="0" w:space="0" w:color="auto"/>
      </w:divBdr>
    </w:div>
    <w:div w:id="2090762236">
      <w:bodyDiv w:val="1"/>
      <w:marLeft w:val="0"/>
      <w:marRight w:val="0"/>
      <w:marTop w:val="0"/>
      <w:marBottom w:val="0"/>
      <w:divBdr>
        <w:top w:val="none" w:sz="0" w:space="0" w:color="auto"/>
        <w:left w:val="none" w:sz="0" w:space="0" w:color="auto"/>
        <w:bottom w:val="none" w:sz="0" w:space="0" w:color="auto"/>
        <w:right w:val="none" w:sz="0" w:space="0" w:color="auto"/>
      </w:divBdr>
    </w:div>
    <w:div w:id="2100325624">
      <w:bodyDiv w:val="1"/>
      <w:marLeft w:val="0"/>
      <w:marRight w:val="0"/>
      <w:marTop w:val="0"/>
      <w:marBottom w:val="0"/>
      <w:divBdr>
        <w:top w:val="none" w:sz="0" w:space="0" w:color="auto"/>
        <w:left w:val="none" w:sz="0" w:space="0" w:color="auto"/>
        <w:bottom w:val="none" w:sz="0" w:space="0" w:color="auto"/>
        <w:right w:val="none" w:sz="0" w:space="0" w:color="auto"/>
      </w:divBdr>
    </w:div>
    <w:div w:id="2117208286">
      <w:bodyDiv w:val="1"/>
      <w:marLeft w:val="0"/>
      <w:marRight w:val="0"/>
      <w:marTop w:val="0"/>
      <w:marBottom w:val="0"/>
      <w:divBdr>
        <w:top w:val="none" w:sz="0" w:space="0" w:color="auto"/>
        <w:left w:val="none" w:sz="0" w:space="0" w:color="auto"/>
        <w:bottom w:val="none" w:sz="0" w:space="0" w:color="auto"/>
        <w:right w:val="none" w:sz="0" w:space="0" w:color="auto"/>
      </w:divBdr>
    </w:div>
    <w:div w:id="211747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https://eur-lex.europa.eu/budget/www/index-en.htm" TargetMode="External"/><Relationship Id="rId23" Type="http://schemas.openxmlformats.org/officeDocument/2006/relationships/header" Target="header8.xml"/><Relationship Id="rId28" Type="http://schemas.openxmlformats.org/officeDocument/2006/relationships/hyperlink" Target="file:///C:\Users\SZYMAMA\AppData\Local\Microsoft\Windows\INetCache\Content.MSO\ADC3D516.xlsx"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4FF1D-CFC6-43B2-8A49-020283CEB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13462</Words>
  <Characters>69602</Characters>
  <Application>Microsoft Office Word</Application>
  <DocSecurity>0</DocSecurity>
  <Lines>2400</Lines>
  <Paragraphs>1567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2020-11-11T16:51:00Z</dcterms:created>
  <dcterms:modified xsi:type="dcterms:W3CDTF">2020-11-16T12:50:00Z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CP-035</vt:lpwstr>
  </property>
</Properties>
</file>