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9D4" w:rsidRDefault="00EC0158" w:rsidP="00EC015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615E6E9-11A2-486E-9F97-6F1DD9D40200" style="width:450.6pt;height:388.8pt">
            <v:imagedata r:id="rId8" o:title=""/>
          </v:shape>
        </w:pict>
      </w:r>
    </w:p>
    <w:bookmarkEnd w:id="0"/>
    <w:p w:rsidR="007119D4" w:rsidRDefault="007119D4">
      <w:pPr>
        <w:rPr>
          <w:noProof/>
        </w:rPr>
        <w:sectPr w:rsidR="007119D4" w:rsidSect="00EC0158">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7119D4" w:rsidRDefault="00EC0158">
      <w:pPr>
        <w:rPr>
          <w:noProof/>
        </w:rPr>
      </w:pPr>
      <w:bookmarkStart w:id="1" w:name="_GoBack"/>
      <w:bookmarkEnd w:id="1"/>
      <w:r>
        <w:rPr>
          <w:noProof/>
        </w:rPr>
        <w:lastRenderedPageBreak/>
        <w:t>Considérant:</w:t>
      </w:r>
    </w:p>
    <w:p w:rsidR="007119D4" w:rsidRDefault="00EC0158">
      <w:pPr>
        <w:pStyle w:val="Tiret0"/>
        <w:tabs>
          <w:tab w:val="clear" w:pos="850"/>
          <w:tab w:val="num" w:pos="1004"/>
        </w:tabs>
        <w:rPr>
          <w:noProof/>
        </w:rPr>
      </w:pPr>
      <w:r>
        <w:rPr>
          <w:noProof/>
        </w:rPr>
        <w:t xml:space="preserve">le traité sur le fonctionnement de l’Union européenne, et notamment son article 314, lu en combinaison avec le traité instituant la </w:t>
      </w:r>
      <w:r>
        <w:rPr>
          <w:noProof/>
        </w:rPr>
        <w:t>Communauté européenne de l’énergie atomique, et notamment son article 106 </w:t>
      </w:r>
      <w:r>
        <w:rPr>
          <w:i/>
          <w:noProof/>
        </w:rPr>
        <w:t>bis</w:t>
      </w:r>
      <w:r>
        <w:rPr>
          <w:noProof/>
        </w:rPr>
        <w:t>,</w:t>
      </w:r>
    </w:p>
    <w:p w:rsidR="007119D4" w:rsidRDefault="00EC0158">
      <w:pPr>
        <w:pStyle w:val="Tiret0"/>
        <w:tabs>
          <w:tab w:val="clear" w:pos="850"/>
          <w:tab w:val="num" w:pos="927"/>
        </w:tabs>
        <w:rPr>
          <w:rFonts w:cs="Arial"/>
          <w:noProof/>
          <w:szCs w:val="18"/>
        </w:rPr>
      </w:pPr>
      <w:r>
        <w:rPr>
          <w:noProof/>
        </w:rPr>
        <w:t>le règlement (UE, Euratom) 2018/1046 du Parlement européen et du Conseil du 18 juillet 2018 relatif aux règles financières applicables au budget général de l'Union [...]</w:t>
      </w:r>
      <w:r>
        <w:rPr>
          <w:rStyle w:val="FootnoteReference"/>
          <w:noProof/>
        </w:rPr>
        <w:footnoteReference w:id="2"/>
      </w:r>
      <w:r>
        <w:rPr>
          <w:noProof/>
        </w:rPr>
        <w:t>, et no</w:t>
      </w:r>
      <w:r>
        <w:rPr>
          <w:noProof/>
        </w:rPr>
        <w:t>tamment son article 42,</w:t>
      </w:r>
    </w:p>
    <w:p w:rsidR="007119D4" w:rsidRDefault="00EC0158">
      <w:pPr>
        <w:pStyle w:val="Tiret0"/>
        <w:tabs>
          <w:tab w:val="clear" w:pos="850"/>
          <w:tab w:val="num" w:pos="927"/>
        </w:tabs>
        <w:rPr>
          <w:noProof/>
        </w:rPr>
      </w:pPr>
      <w:r>
        <w:rPr>
          <w:noProof/>
        </w:rPr>
        <w:t>le projet de budget général de l'Union européenne pour l'exercice 2021, adopté par la Commission le 27 juillet 2020</w:t>
      </w:r>
      <w:r>
        <w:rPr>
          <w:rStyle w:val="FootnoteReference"/>
          <w:noProof/>
        </w:rPr>
        <w:footnoteReference w:id="3"/>
      </w:r>
      <w:r>
        <w:rPr>
          <w:noProof/>
        </w:rPr>
        <w:t>,</w:t>
      </w:r>
    </w:p>
    <w:p w:rsidR="007119D4" w:rsidRDefault="00EC0158">
      <w:pPr>
        <w:spacing w:after="600"/>
        <w:jc w:val="both"/>
        <w:rPr>
          <w:noProof/>
        </w:rPr>
      </w:pPr>
      <w:r>
        <w:rPr>
          <w:noProof/>
        </w:rPr>
        <w:t>la Commission européenne présente ci-après au Parlement européen et au Conseil la lettre rectificative nº 1 au pro</w:t>
      </w:r>
      <w:r>
        <w:rPr>
          <w:noProof/>
        </w:rPr>
        <w:t>jet de budget général de l'Union européenne pour l'exercice 2021, pour les raisons énoncées dans l'exposé des motifs.</w:t>
      </w:r>
    </w:p>
    <w:p w:rsidR="007119D4" w:rsidRDefault="00EC0158">
      <w:pPr>
        <w:spacing w:after="240"/>
        <w:jc w:val="both"/>
        <w:rPr>
          <w:b/>
          <w:noProof/>
          <w:u w:val="single"/>
        </w:rPr>
      </w:pPr>
      <w:r>
        <w:rPr>
          <w:b/>
          <w:noProof/>
          <w:u w:val="single"/>
        </w:rPr>
        <w:t>MODIFICATIONS À L’ÉTAT DES RECETTES ET DES DÉPENSES PAR SECTION</w:t>
      </w:r>
    </w:p>
    <w:p w:rsidR="007119D4" w:rsidRDefault="00EC0158">
      <w:pPr>
        <w:jc w:val="both"/>
        <w:rPr>
          <w:noProof/>
        </w:rPr>
      </w:pPr>
      <w:r>
        <w:rPr>
          <w:noProof/>
        </w:rPr>
        <w:t xml:space="preserve">Les modifications apportées à l'état général des dépenses et des recettes </w:t>
      </w:r>
      <w:r>
        <w:rPr>
          <w:noProof/>
        </w:rPr>
        <w:t>ainsi qu'à l'état des recettes et des dépenses par section sont disponibles sur EUR-Lex (</w:t>
      </w:r>
      <w:hyperlink r:id="rId15" w:history="1">
        <w:r>
          <w:rPr>
            <w:rStyle w:val="Hyperlink"/>
            <w:noProof/>
            <w:color w:val="auto"/>
          </w:rPr>
          <w:t>http://eur-lex.europa.eu/budget/www/index-fr.htm</w:t>
        </w:r>
      </w:hyperlink>
      <w:r>
        <w:rPr>
          <w:noProof/>
        </w:rPr>
        <w:t>). Une version en anglais de ces modifications est joi</w:t>
      </w:r>
      <w:r>
        <w:rPr>
          <w:noProof/>
        </w:rPr>
        <w:t>nte à titre indicatif en annexe budgétaire.</w:t>
      </w:r>
    </w:p>
    <w:p w:rsidR="007119D4" w:rsidRDefault="007119D4">
      <w:pPr>
        <w:rPr>
          <w:noProof/>
        </w:rPr>
        <w:sectPr w:rsidR="007119D4">
          <w:headerReference w:type="even" r:id="rId16"/>
          <w:headerReference w:type="default" r:id="rId17"/>
          <w:footerReference w:type="even" r:id="rId18"/>
          <w:footerReference w:type="default" r:id="rId19"/>
          <w:headerReference w:type="first" r:id="rId20"/>
          <w:footerReference w:type="first" r:id="rId21"/>
          <w:pgSz w:w="11907" w:h="16839"/>
          <w:pgMar w:top="1418" w:right="1418" w:bottom="1418" w:left="1418" w:header="709" w:footer="709" w:gutter="0"/>
          <w:cols w:space="720"/>
          <w:docGrid w:linePitch="360"/>
        </w:sectPr>
      </w:pPr>
    </w:p>
    <w:p w:rsidR="007119D4" w:rsidRDefault="00EC0158">
      <w:pPr>
        <w:pStyle w:val="TOCHeading"/>
        <w:spacing w:before="0" w:after="0"/>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lastRenderedPageBreak/>
        <w:t>TABLE DES MATIÈRES</w:t>
      </w:r>
    </w:p>
    <w:p w:rsidR="007119D4" w:rsidRDefault="00EC0158">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r>
        <w:rPr>
          <w:rFonts w:ascii="10" w:hAnsi="10"/>
          <w:noProof/>
          <w:sz w:val="18"/>
          <w:szCs w:val="18"/>
        </w:rPr>
        <w:fldChar w:fldCharType="begin"/>
      </w:r>
      <w:r>
        <w:rPr>
          <w:rFonts w:ascii="10" w:hAnsi="10"/>
          <w:noProof/>
          <w:sz w:val="18"/>
          <w:szCs w:val="18"/>
        </w:rPr>
        <w:instrText xml:space="preserve"> TOC \o "1-3" \h \z \u </w:instrText>
      </w:r>
      <w:r>
        <w:rPr>
          <w:rFonts w:ascii="10" w:hAnsi="10"/>
          <w:noProof/>
          <w:sz w:val="18"/>
          <w:szCs w:val="18"/>
        </w:rPr>
        <w:fldChar w:fldCharType="separate"/>
      </w:r>
      <w:hyperlink w:anchor="_Toc56419347" w:history="1">
        <w:r>
          <w:rPr>
            <w:rStyle w:val="Hyperlink"/>
            <w:noProof/>
          </w:rPr>
          <w:t>1.</w:t>
        </w:r>
        <w:r>
          <w:rPr>
            <w:rFonts w:asciiTheme="minorHAnsi" w:eastAsiaTheme="minorEastAsia" w:hAnsiTheme="minorHAnsi" w:cstheme="minorBidi"/>
            <w:b w:val="0"/>
            <w:bCs w:val="0"/>
            <w:caps w:val="0"/>
            <w:noProof/>
            <w:sz w:val="22"/>
            <w:szCs w:val="22"/>
            <w:lang w:val="en-US" w:eastAsia="en-US"/>
          </w:rPr>
          <w:tab/>
        </w:r>
        <w:r>
          <w:rPr>
            <w:rStyle w:val="Hyperlink"/>
            <w:noProof/>
          </w:rPr>
          <w:t>Introduction</w:t>
        </w:r>
        <w:r>
          <w:rPr>
            <w:noProof/>
            <w:webHidden/>
          </w:rPr>
          <w:tab/>
        </w:r>
        <w:r>
          <w:rPr>
            <w:noProof/>
            <w:webHidden/>
          </w:rPr>
          <w:fldChar w:fldCharType="begin"/>
        </w:r>
        <w:r>
          <w:rPr>
            <w:noProof/>
            <w:webHidden/>
          </w:rPr>
          <w:instrText xml:space="preserve"> PAGEREF _Toc56419347 \h </w:instrText>
        </w:r>
        <w:r>
          <w:rPr>
            <w:noProof/>
            <w:webHidden/>
          </w:rPr>
        </w:r>
        <w:r>
          <w:rPr>
            <w:noProof/>
            <w:webHidden/>
          </w:rPr>
          <w:fldChar w:fldCharType="separate"/>
        </w:r>
        <w:r>
          <w:rPr>
            <w:noProof/>
            <w:webHidden/>
          </w:rPr>
          <w:t>4</w:t>
        </w:r>
        <w:r>
          <w:rPr>
            <w:noProof/>
            <w:webHidden/>
          </w:rPr>
          <w:fldChar w:fldCharType="end"/>
        </w:r>
      </w:hyperlink>
    </w:p>
    <w:p w:rsidR="007119D4" w:rsidRDefault="00EC0158">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hyperlink w:anchor="_Toc56419348" w:history="1">
        <w:r>
          <w:rPr>
            <w:rStyle w:val="Hyperlink"/>
            <w:noProof/>
          </w:rPr>
          <w:t>2.</w:t>
        </w:r>
        <w:r>
          <w:rPr>
            <w:rFonts w:asciiTheme="minorHAnsi" w:eastAsiaTheme="minorEastAsia" w:hAnsiTheme="minorHAnsi" w:cstheme="minorBidi"/>
            <w:b w:val="0"/>
            <w:bCs w:val="0"/>
            <w:caps w:val="0"/>
            <w:noProof/>
            <w:sz w:val="22"/>
            <w:szCs w:val="22"/>
            <w:lang w:val="en-US" w:eastAsia="en-US"/>
          </w:rPr>
          <w:tab/>
        </w:r>
        <w:r>
          <w:rPr>
            <w:rStyle w:val="Hyperlink"/>
            <w:noProof/>
          </w:rPr>
          <w:t>Incidence de l'accord relatif au prochain CFP sur le projet de budget 2021</w:t>
        </w:r>
        <w:r>
          <w:rPr>
            <w:noProof/>
            <w:webHidden/>
          </w:rPr>
          <w:tab/>
        </w:r>
        <w:r>
          <w:rPr>
            <w:noProof/>
            <w:webHidden/>
          </w:rPr>
          <w:fldChar w:fldCharType="begin"/>
        </w:r>
        <w:r>
          <w:rPr>
            <w:noProof/>
            <w:webHidden/>
          </w:rPr>
          <w:instrText xml:space="preserve"> PAGEREF _Toc56419348 \h </w:instrText>
        </w:r>
        <w:r>
          <w:rPr>
            <w:noProof/>
            <w:webHidden/>
          </w:rPr>
        </w:r>
        <w:r>
          <w:rPr>
            <w:noProof/>
            <w:webHidden/>
          </w:rPr>
          <w:fldChar w:fldCharType="separate"/>
        </w:r>
        <w:r>
          <w:rPr>
            <w:noProof/>
            <w:webHidden/>
          </w:rPr>
          <w:t>5</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49" w:history="1">
        <w:r>
          <w:rPr>
            <w:rStyle w:val="Hyperlink"/>
            <w:b/>
            <w:noProof/>
          </w:rPr>
          <w:t xml:space="preserve">2.1 </w:t>
        </w:r>
        <w:r>
          <w:rPr>
            <w:rFonts w:asciiTheme="minorHAnsi" w:eastAsiaTheme="minorEastAsia" w:hAnsiTheme="minorHAnsi" w:cstheme="minorBidi"/>
            <w:smallCaps w:val="0"/>
            <w:noProof/>
            <w:sz w:val="22"/>
            <w:szCs w:val="22"/>
            <w:lang w:val="en-US" w:eastAsia="en-US"/>
          </w:rPr>
          <w:tab/>
        </w:r>
        <w:r>
          <w:rPr>
            <w:rStyle w:val="Hyperlink"/>
            <w:b/>
            <w:noProof/>
          </w:rPr>
          <w:t>Ajustements résultant de l’accord du Conseil européen extraordinaire de juillet 2020</w:t>
        </w:r>
        <w:r>
          <w:rPr>
            <w:noProof/>
            <w:webHidden/>
          </w:rPr>
          <w:tab/>
        </w:r>
        <w:r>
          <w:rPr>
            <w:noProof/>
            <w:webHidden/>
          </w:rPr>
          <w:fldChar w:fldCharType="begin"/>
        </w:r>
        <w:r>
          <w:rPr>
            <w:noProof/>
            <w:webHidden/>
          </w:rPr>
          <w:instrText xml:space="preserve"> PAGEREF _Toc56419349 \h </w:instrText>
        </w:r>
        <w:r>
          <w:rPr>
            <w:noProof/>
            <w:webHidden/>
          </w:rPr>
        </w:r>
        <w:r>
          <w:rPr>
            <w:noProof/>
            <w:webHidden/>
          </w:rPr>
          <w:fldChar w:fldCharType="separate"/>
        </w:r>
        <w:r>
          <w:rPr>
            <w:noProof/>
            <w:webHidden/>
          </w:rPr>
          <w:t>5</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50" w:history="1">
        <w:r>
          <w:rPr>
            <w:rStyle w:val="Hyperlink"/>
            <w:i/>
            <w:noProof/>
          </w:rPr>
          <w:t xml:space="preserve">2.1.1 </w:t>
        </w:r>
        <w:r>
          <w:rPr>
            <w:rFonts w:asciiTheme="minorHAnsi" w:eastAsiaTheme="minorEastAsia" w:hAnsiTheme="minorHAnsi" w:cstheme="minorBidi"/>
            <w:smallCaps w:val="0"/>
            <w:noProof/>
            <w:sz w:val="22"/>
            <w:szCs w:val="22"/>
            <w:lang w:val="en-US" w:eastAsia="en-US"/>
          </w:rPr>
          <w:tab/>
        </w:r>
        <w:r>
          <w:rPr>
            <w:rStyle w:val="Hyperlink"/>
            <w:i/>
            <w:noProof/>
          </w:rPr>
          <w:t>Enveloppes des programmes de dépenses</w:t>
        </w:r>
        <w:r>
          <w:rPr>
            <w:noProof/>
            <w:webHidden/>
          </w:rPr>
          <w:tab/>
        </w:r>
        <w:r>
          <w:rPr>
            <w:noProof/>
            <w:webHidden/>
          </w:rPr>
          <w:fldChar w:fldCharType="begin"/>
        </w:r>
        <w:r>
          <w:rPr>
            <w:noProof/>
            <w:webHidden/>
          </w:rPr>
          <w:instrText xml:space="preserve"> PAGEREF _Toc56419350 \h </w:instrText>
        </w:r>
        <w:r>
          <w:rPr>
            <w:noProof/>
            <w:webHidden/>
          </w:rPr>
        </w:r>
        <w:r>
          <w:rPr>
            <w:noProof/>
            <w:webHidden/>
          </w:rPr>
          <w:fldChar w:fldCharType="separate"/>
        </w:r>
        <w:r>
          <w:rPr>
            <w:noProof/>
            <w:webHidden/>
          </w:rPr>
          <w:t>5</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51" w:history="1">
        <w:r>
          <w:rPr>
            <w:rStyle w:val="Hyperlink"/>
            <w:i/>
            <w:noProof/>
          </w:rPr>
          <w:t xml:space="preserve">2.1.1 </w:t>
        </w:r>
        <w:r>
          <w:rPr>
            <w:rFonts w:asciiTheme="minorHAnsi" w:eastAsiaTheme="minorEastAsia" w:hAnsiTheme="minorHAnsi" w:cstheme="minorBidi"/>
            <w:smallCaps w:val="0"/>
            <w:noProof/>
            <w:sz w:val="22"/>
            <w:szCs w:val="22"/>
            <w:lang w:val="en-US" w:eastAsia="en-US"/>
          </w:rPr>
          <w:tab/>
        </w:r>
        <w:r>
          <w:rPr>
            <w:rStyle w:val="Hyperlink"/>
            <w:i/>
            <w:noProof/>
          </w:rPr>
          <w:t>Enveloppes des instruments spéciaux thématiques</w:t>
        </w:r>
        <w:r>
          <w:rPr>
            <w:noProof/>
            <w:webHidden/>
          </w:rPr>
          <w:tab/>
        </w:r>
        <w:r>
          <w:rPr>
            <w:noProof/>
            <w:webHidden/>
          </w:rPr>
          <w:fldChar w:fldCharType="begin"/>
        </w:r>
        <w:r>
          <w:rPr>
            <w:noProof/>
            <w:webHidden/>
          </w:rPr>
          <w:instrText xml:space="preserve"> </w:instrText>
        </w:r>
        <w:r>
          <w:rPr>
            <w:noProof/>
            <w:webHidden/>
          </w:rPr>
          <w:instrText xml:space="preserve">PAGEREF _Toc56419351 \h </w:instrText>
        </w:r>
        <w:r>
          <w:rPr>
            <w:noProof/>
            <w:webHidden/>
          </w:rPr>
        </w:r>
        <w:r>
          <w:rPr>
            <w:noProof/>
            <w:webHidden/>
          </w:rPr>
          <w:fldChar w:fldCharType="separate"/>
        </w:r>
        <w:r>
          <w:rPr>
            <w:noProof/>
            <w:webHidden/>
          </w:rPr>
          <w:t>7</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52" w:history="1">
        <w:r>
          <w:rPr>
            <w:rStyle w:val="Hyperlink"/>
            <w:b/>
            <w:noProof/>
          </w:rPr>
          <w:t xml:space="preserve">2.2 </w:t>
        </w:r>
        <w:r>
          <w:rPr>
            <w:rFonts w:asciiTheme="minorHAnsi" w:eastAsiaTheme="minorEastAsia" w:hAnsiTheme="minorHAnsi" w:cstheme="minorBidi"/>
            <w:smallCaps w:val="0"/>
            <w:noProof/>
            <w:sz w:val="22"/>
            <w:szCs w:val="22"/>
            <w:lang w:val="en-US" w:eastAsia="en-US"/>
          </w:rPr>
          <w:tab/>
        </w:r>
        <w:r>
          <w:rPr>
            <w:rStyle w:val="Hyperlink"/>
            <w:b/>
            <w:noProof/>
          </w:rPr>
          <w:t>Ajustements résultant de l’accord politique du 10 novembre 2020</w:t>
        </w:r>
        <w:r>
          <w:rPr>
            <w:noProof/>
            <w:webHidden/>
          </w:rPr>
          <w:tab/>
        </w:r>
        <w:r>
          <w:rPr>
            <w:noProof/>
            <w:webHidden/>
          </w:rPr>
          <w:fldChar w:fldCharType="begin"/>
        </w:r>
        <w:r>
          <w:rPr>
            <w:noProof/>
            <w:webHidden/>
          </w:rPr>
          <w:instrText xml:space="preserve"> PAGEREF _Toc56419352 \h </w:instrText>
        </w:r>
        <w:r>
          <w:rPr>
            <w:noProof/>
            <w:webHidden/>
          </w:rPr>
        </w:r>
        <w:r>
          <w:rPr>
            <w:noProof/>
            <w:webHidden/>
          </w:rPr>
          <w:fldChar w:fldCharType="separate"/>
        </w:r>
        <w:r>
          <w:rPr>
            <w:noProof/>
            <w:webHidden/>
          </w:rPr>
          <w:t>7</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53" w:history="1">
        <w:r>
          <w:rPr>
            <w:rStyle w:val="Hyperlink"/>
            <w:b/>
            <w:noProof/>
          </w:rPr>
          <w:t xml:space="preserve">2.3 </w:t>
        </w:r>
        <w:r>
          <w:rPr>
            <w:rFonts w:asciiTheme="minorHAnsi" w:eastAsiaTheme="minorEastAsia" w:hAnsiTheme="minorHAnsi" w:cstheme="minorBidi"/>
            <w:smallCaps w:val="0"/>
            <w:noProof/>
            <w:sz w:val="22"/>
            <w:szCs w:val="22"/>
            <w:lang w:val="en-US" w:eastAsia="en-US"/>
          </w:rPr>
          <w:tab/>
        </w:r>
        <w:r>
          <w:rPr>
            <w:rStyle w:val="Hyperlink"/>
            <w:b/>
            <w:noProof/>
          </w:rPr>
          <w:t>Besoins actualisés en crédits de paiement</w:t>
        </w:r>
        <w:r>
          <w:rPr>
            <w:noProof/>
            <w:webHidden/>
          </w:rPr>
          <w:tab/>
        </w:r>
        <w:r>
          <w:rPr>
            <w:noProof/>
            <w:webHidden/>
          </w:rPr>
          <w:fldChar w:fldCharType="begin"/>
        </w:r>
        <w:r>
          <w:rPr>
            <w:noProof/>
            <w:webHidden/>
          </w:rPr>
          <w:instrText xml:space="preserve"> PAGEREF _Toc56419353 \h </w:instrText>
        </w:r>
        <w:r>
          <w:rPr>
            <w:noProof/>
            <w:webHidden/>
          </w:rPr>
        </w:r>
        <w:r>
          <w:rPr>
            <w:noProof/>
            <w:webHidden/>
          </w:rPr>
          <w:fldChar w:fldCharType="separate"/>
        </w:r>
        <w:r>
          <w:rPr>
            <w:noProof/>
            <w:webHidden/>
          </w:rPr>
          <w:t>8</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54" w:history="1">
        <w:r>
          <w:rPr>
            <w:rStyle w:val="Hyperlink"/>
            <w:i/>
            <w:noProof/>
          </w:rPr>
          <w:t>2.3.1</w:t>
        </w:r>
        <w:r>
          <w:rPr>
            <w:rFonts w:asciiTheme="minorHAnsi" w:eastAsiaTheme="minorEastAsia" w:hAnsiTheme="minorHAnsi" w:cstheme="minorBidi"/>
            <w:smallCaps w:val="0"/>
            <w:noProof/>
            <w:sz w:val="22"/>
            <w:szCs w:val="22"/>
            <w:lang w:val="en-US" w:eastAsia="en-US"/>
          </w:rPr>
          <w:tab/>
        </w:r>
        <w:r>
          <w:rPr>
            <w:rStyle w:val="Hyperlink"/>
            <w:i/>
            <w:noProof/>
          </w:rPr>
          <w:t xml:space="preserve">Non-adoption de </w:t>
        </w:r>
        <w:r>
          <w:rPr>
            <w:rStyle w:val="Hyperlink"/>
            <w:i/>
            <w:noProof/>
          </w:rPr>
          <w:t>la «solution transitoire» en 2020</w:t>
        </w:r>
        <w:r>
          <w:rPr>
            <w:noProof/>
            <w:webHidden/>
          </w:rPr>
          <w:tab/>
        </w:r>
        <w:r>
          <w:rPr>
            <w:noProof/>
            <w:webHidden/>
          </w:rPr>
          <w:fldChar w:fldCharType="begin"/>
        </w:r>
        <w:r>
          <w:rPr>
            <w:noProof/>
            <w:webHidden/>
          </w:rPr>
          <w:instrText xml:space="preserve"> PAGEREF _Toc56419354 \h </w:instrText>
        </w:r>
        <w:r>
          <w:rPr>
            <w:noProof/>
            <w:webHidden/>
          </w:rPr>
        </w:r>
        <w:r>
          <w:rPr>
            <w:noProof/>
            <w:webHidden/>
          </w:rPr>
          <w:fldChar w:fldCharType="separate"/>
        </w:r>
        <w:r>
          <w:rPr>
            <w:noProof/>
            <w:webHidden/>
          </w:rPr>
          <w:t>8</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55" w:history="1">
        <w:r>
          <w:rPr>
            <w:rStyle w:val="Hyperlink"/>
            <w:i/>
            <w:noProof/>
          </w:rPr>
          <w:t>2.3.2</w:t>
        </w:r>
        <w:r>
          <w:rPr>
            <w:rFonts w:asciiTheme="minorHAnsi" w:eastAsiaTheme="minorEastAsia" w:hAnsiTheme="minorHAnsi" w:cstheme="minorBidi"/>
            <w:smallCaps w:val="0"/>
            <w:noProof/>
            <w:sz w:val="22"/>
            <w:szCs w:val="22"/>
            <w:lang w:val="en-US" w:eastAsia="en-US"/>
          </w:rPr>
          <w:tab/>
        </w:r>
        <w:r>
          <w:rPr>
            <w:rStyle w:val="Hyperlink"/>
            <w:i/>
            <w:noProof/>
          </w:rPr>
          <w:t>Incidence liée au budget rectificatif nº 6/2020 (stratégie en matière de vaccins)</w:t>
        </w:r>
        <w:r>
          <w:rPr>
            <w:noProof/>
            <w:webHidden/>
          </w:rPr>
          <w:tab/>
        </w:r>
        <w:r>
          <w:rPr>
            <w:noProof/>
            <w:webHidden/>
          </w:rPr>
          <w:fldChar w:fldCharType="begin"/>
        </w:r>
        <w:r>
          <w:rPr>
            <w:noProof/>
            <w:webHidden/>
          </w:rPr>
          <w:instrText xml:space="preserve"> PAGEREF</w:instrText>
        </w:r>
        <w:r>
          <w:rPr>
            <w:noProof/>
            <w:webHidden/>
          </w:rPr>
          <w:instrText xml:space="preserve"> _Toc56419355 \h </w:instrText>
        </w:r>
        <w:r>
          <w:rPr>
            <w:noProof/>
            <w:webHidden/>
          </w:rPr>
        </w:r>
        <w:r>
          <w:rPr>
            <w:noProof/>
            <w:webHidden/>
          </w:rPr>
          <w:fldChar w:fldCharType="separate"/>
        </w:r>
        <w:r>
          <w:rPr>
            <w:noProof/>
            <w:webHidden/>
          </w:rPr>
          <w:t>9</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56" w:history="1">
        <w:r>
          <w:rPr>
            <w:rStyle w:val="Hyperlink"/>
            <w:i/>
            <w:noProof/>
          </w:rPr>
          <w:t>2.3.3</w:t>
        </w:r>
        <w:r>
          <w:rPr>
            <w:rFonts w:asciiTheme="minorHAnsi" w:eastAsiaTheme="minorEastAsia" w:hAnsiTheme="minorHAnsi" w:cstheme="minorBidi"/>
            <w:smallCaps w:val="0"/>
            <w:noProof/>
            <w:sz w:val="22"/>
            <w:szCs w:val="22"/>
            <w:lang w:val="en-US" w:eastAsia="en-US"/>
          </w:rPr>
          <w:tab/>
        </w:r>
        <w:r>
          <w:rPr>
            <w:rStyle w:val="Hyperlink"/>
            <w:i/>
            <w:noProof/>
          </w:rPr>
          <w:t>Modifications des taux de préfinancement pour les Fonds structurels et d’investissement européens (Fonds ESI) pour 2014-2020</w:t>
        </w:r>
        <w:r>
          <w:rPr>
            <w:noProof/>
            <w:webHidden/>
          </w:rPr>
          <w:tab/>
        </w:r>
        <w:r>
          <w:rPr>
            <w:noProof/>
            <w:webHidden/>
          </w:rPr>
          <w:fldChar w:fldCharType="begin"/>
        </w:r>
        <w:r>
          <w:rPr>
            <w:noProof/>
            <w:webHidden/>
          </w:rPr>
          <w:instrText xml:space="preserve"> PAGERE</w:instrText>
        </w:r>
        <w:r>
          <w:rPr>
            <w:noProof/>
            <w:webHidden/>
          </w:rPr>
          <w:instrText xml:space="preserve">F _Toc56419356 \h </w:instrText>
        </w:r>
        <w:r>
          <w:rPr>
            <w:noProof/>
            <w:webHidden/>
          </w:rPr>
        </w:r>
        <w:r>
          <w:rPr>
            <w:noProof/>
            <w:webHidden/>
          </w:rPr>
          <w:fldChar w:fldCharType="separate"/>
        </w:r>
        <w:r>
          <w:rPr>
            <w:noProof/>
            <w:webHidden/>
          </w:rPr>
          <w:t>9</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57" w:history="1">
        <w:r>
          <w:rPr>
            <w:rStyle w:val="Hyperlink"/>
            <w:i/>
            <w:noProof/>
          </w:rPr>
          <w:t>2.3.4</w:t>
        </w:r>
        <w:r>
          <w:rPr>
            <w:rFonts w:asciiTheme="minorHAnsi" w:eastAsiaTheme="minorEastAsia" w:hAnsiTheme="minorHAnsi" w:cstheme="minorBidi"/>
            <w:smallCaps w:val="0"/>
            <w:noProof/>
            <w:sz w:val="22"/>
            <w:szCs w:val="22"/>
            <w:lang w:val="en-US" w:eastAsia="en-US"/>
          </w:rPr>
          <w:tab/>
        </w:r>
        <w:r>
          <w:rPr>
            <w:rStyle w:val="Hyperlink"/>
            <w:i/>
            <w:noProof/>
          </w:rPr>
          <w:t>Autre réévaluation des paiements</w:t>
        </w:r>
        <w:r>
          <w:rPr>
            <w:noProof/>
            <w:webHidden/>
          </w:rPr>
          <w:tab/>
        </w:r>
        <w:r>
          <w:rPr>
            <w:noProof/>
            <w:webHidden/>
          </w:rPr>
          <w:fldChar w:fldCharType="begin"/>
        </w:r>
        <w:r>
          <w:rPr>
            <w:noProof/>
            <w:webHidden/>
          </w:rPr>
          <w:instrText xml:space="preserve"> PAGEREF _Toc56419357 \h </w:instrText>
        </w:r>
        <w:r>
          <w:rPr>
            <w:noProof/>
            <w:webHidden/>
          </w:rPr>
        </w:r>
        <w:r>
          <w:rPr>
            <w:noProof/>
            <w:webHidden/>
          </w:rPr>
          <w:fldChar w:fldCharType="separate"/>
        </w:r>
        <w:r>
          <w:rPr>
            <w:noProof/>
            <w:webHidden/>
          </w:rPr>
          <w:t>10</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58" w:history="1">
        <w:r>
          <w:rPr>
            <w:rStyle w:val="Hyperlink"/>
            <w:b/>
            <w:noProof/>
          </w:rPr>
          <w:t xml:space="preserve">2.4 </w:t>
        </w:r>
        <w:r>
          <w:rPr>
            <w:rFonts w:asciiTheme="minorHAnsi" w:eastAsiaTheme="minorEastAsia" w:hAnsiTheme="minorHAnsi" w:cstheme="minorBidi"/>
            <w:smallCaps w:val="0"/>
            <w:noProof/>
            <w:sz w:val="22"/>
            <w:szCs w:val="22"/>
            <w:lang w:val="en-US" w:eastAsia="en-US"/>
          </w:rPr>
          <w:tab/>
        </w:r>
        <w:r>
          <w:rPr>
            <w:rStyle w:val="Hyperlink"/>
            <w:b/>
            <w:noProof/>
          </w:rPr>
          <w:t>Ajustement de la portée des rubriques du CFP et incidence sur la structure de la nomenclature</w:t>
        </w:r>
        <w:r>
          <w:rPr>
            <w:noProof/>
            <w:webHidden/>
          </w:rPr>
          <w:tab/>
        </w:r>
        <w:r>
          <w:rPr>
            <w:noProof/>
            <w:webHidden/>
          </w:rPr>
          <w:fldChar w:fldCharType="begin"/>
        </w:r>
        <w:r>
          <w:rPr>
            <w:noProof/>
            <w:webHidden/>
          </w:rPr>
          <w:instrText xml:space="preserve"> PAGEREF _Toc56419358 \h </w:instrText>
        </w:r>
        <w:r>
          <w:rPr>
            <w:noProof/>
            <w:webHidden/>
          </w:rPr>
        </w:r>
        <w:r>
          <w:rPr>
            <w:noProof/>
            <w:webHidden/>
          </w:rPr>
          <w:fldChar w:fldCharType="separate"/>
        </w:r>
        <w:r>
          <w:rPr>
            <w:noProof/>
            <w:webHidden/>
          </w:rPr>
          <w:t>11</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59" w:history="1">
        <w:r>
          <w:rPr>
            <w:rStyle w:val="Hyperlink"/>
            <w:b/>
            <w:noProof/>
          </w:rPr>
          <w:t xml:space="preserve">2.5 </w:t>
        </w:r>
        <w:r>
          <w:rPr>
            <w:rFonts w:asciiTheme="minorHAnsi" w:eastAsiaTheme="minorEastAsia" w:hAnsiTheme="minorHAnsi" w:cstheme="minorBidi"/>
            <w:smallCaps w:val="0"/>
            <w:noProof/>
            <w:sz w:val="22"/>
            <w:szCs w:val="22"/>
            <w:lang w:val="en-US" w:eastAsia="en-US"/>
          </w:rPr>
          <w:tab/>
        </w:r>
        <w:r>
          <w:rPr>
            <w:rStyle w:val="Hyperlink"/>
            <w:b/>
            <w:noProof/>
          </w:rPr>
          <w:t>Révision de la répartition des fonds de Next Generation EU entre subventions et prêts</w:t>
        </w:r>
        <w:r>
          <w:rPr>
            <w:noProof/>
            <w:webHidden/>
          </w:rPr>
          <w:tab/>
        </w:r>
        <w:r>
          <w:rPr>
            <w:noProof/>
            <w:webHidden/>
          </w:rPr>
          <w:fldChar w:fldCharType="begin"/>
        </w:r>
        <w:r>
          <w:rPr>
            <w:noProof/>
            <w:webHidden/>
          </w:rPr>
          <w:instrText xml:space="preserve"> PAGEREF _Toc56419359 \h </w:instrText>
        </w:r>
        <w:r>
          <w:rPr>
            <w:noProof/>
            <w:webHidden/>
          </w:rPr>
        </w:r>
        <w:r>
          <w:rPr>
            <w:noProof/>
            <w:webHidden/>
          </w:rPr>
          <w:fldChar w:fldCharType="separate"/>
        </w:r>
        <w:r>
          <w:rPr>
            <w:noProof/>
            <w:webHidden/>
          </w:rPr>
          <w:t>11</w:t>
        </w:r>
        <w:r>
          <w:rPr>
            <w:noProof/>
            <w:webHidden/>
          </w:rPr>
          <w:fldChar w:fldCharType="end"/>
        </w:r>
      </w:hyperlink>
    </w:p>
    <w:p w:rsidR="007119D4" w:rsidRDefault="00EC0158">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hyperlink w:anchor="_Toc56419360" w:history="1">
        <w:r>
          <w:rPr>
            <w:rStyle w:val="Hyperlink"/>
            <w:noProof/>
          </w:rPr>
          <w:t>3.</w:t>
        </w:r>
        <w:r>
          <w:rPr>
            <w:rFonts w:asciiTheme="minorHAnsi" w:eastAsiaTheme="minorEastAsia" w:hAnsiTheme="minorHAnsi" w:cstheme="minorBidi"/>
            <w:b w:val="0"/>
            <w:bCs w:val="0"/>
            <w:caps w:val="0"/>
            <w:noProof/>
            <w:sz w:val="22"/>
            <w:szCs w:val="22"/>
            <w:lang w:val="en-US" w:eastAsia="en-US"/>
          </w:rPr>
          <w:tab/>
        </w:r>
        <w:r>
          <w:rPr>
            <w:rStyle w:val="Hyperlink"/>
            <w:noProof/>
          </w:rPr>
          <w:t>Participation de l’Union à l’augmen</w:t>
        </w:r>
        <w:r>
          <w:rPr>
            <w:rStyle w:val="Hyperlink"/>
            <w:noProof/>
          </w:rPr>
          <w:t>tation de capital du Fonds européen d’investissement (FEI)</w:t>
        </w:r>
        <w:r>
          <w:rPr>
            <w:noProof/>
            <w:webHidden/>
          </w:rPr>
          <w:tab/>
        </w:r>
        <w:r>
          <w:rPr>
            <w:noProof/>
            <w:webHidden/>
          </w:rPr>
          <w:fldChar w:fldCharType="begin"/>
        </w:r>
        <w:r>
          <w:rPr>
            <w:noProof/>
            <w:webHidden/>
          </w:rPr>
          <w:instrText xml:space="preserve"> PAGEREF _Toc56419360 \h </w:instrText>
        </w:r>
        <w:r>
          <w:rPr>
            <w:noProof/>
            <w:webHidden/>
          </w:rPr>
        </w:r>
        <w:r>
          <w:rPr>
            <w:noProof/>
            <w:webHidden/>
          </w:rPr>
          <w:fldChar w:fldCharType="separate"/>
        </w:r>
        <w:r>
          <w:rPr>
            <w:noProof/>
            <w:webHidden/>
          </w:rPr>
          <w:t>13</w:t>
        </w:r>
        <w:r>
          <w:rPr>
            <w:noProof/>
            <w:webHidden/>
          </w:rPr>
          <w:fldChar w:fldCharType="end"/>
        </w:r>
      </w:hyperlink>
    </w:p>
    <w:p w:rsidR="007119D4" w:rsidRDefault="00EC0158">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hyperlink w:anchor="_Toc56419361" w:history="1">
        <w:r>
          <w:rPr>
            <w:rStyle w:val="Hyperlink"/>
            <w:noProof/>
          </w:rPr>
          <w:t>4.</w:t>
        </w:r>
        <w:r>
          <w:rPr>
            <w:rFonts w:asciiTheme="minorHAnsi" w:eastAsiaTheme="minorEastAsia" w:hAnsiTheme="minorHAnsi" w:cstheme="minorBidi"/>
            <w:b w:val="0"/>
            <w:bCs w:val="0"/>
            <w:caps w:val="0"/>
            <w:noProof/>
            <w:sz w:val="22"/>
            <w:szCs w:val="22"/>
            <w:lang w:val="en-US" w:eastAsia="en-US"/>
          </w:rPr>
          <w:tab/>
        </w:r>
        <w:r>
          <w:rPr>
            <w:rStyle w:val="Hyperlink"/>
            <w:noProof/>
          </w:rPr>
          <w:t>Fonds européen agricole de garantie (FEAGA)</w:t>
        </w:r>
        <w:r>
          <w:rPr>
            <w:noProof/>
            <w:webHidden/>
          </w:rPr>
          <w:tab/>
        </w:r>
        <w:r>
          <w:rPr>
            <w:noProof/>
            <w:webHidden/>
          </w:rPr>
          <w:fldChar w:fldCharType="begin"/>
        </w:r>
        <w:r>
          <w:rPr>
            <w:noProof/>
            <w:webHidden/>
          </w:rPr>
          <w:instrText xml:space="preserve"> PAGEREF _Toc56419361 \h </w:instrText>
        </w:r>
        <w:r>
          <w:rPr>
            <w:noProof/>
            <w:webHidden/>
          </w:rPr>
        </w:r>
        <w:r>
          <w:rPr>
            <w:noProof/>
            <w:webHidden/>
          </w:rPr>
          <w:fldChar w:fldCharType="separate"/>
        </w:r>
        <w:r>
          <w:rPr>
            <w:noProof/>
            <w:webHidden/>
          </w:rPr>
          <w:t>13</w:t>
        </w:r>
        <w:r>
          <w:rPr>
            <w:noProof/>
            <w:webHidden/>
          </w:rPr>
          <w:fldChar w:fldCharType="end"/>
        </w:r>
      </w:hyperlink>
    </w:p>
    <w:p w:rsidR="007119D4" w:rsidRDefault="00EC0158">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hyperlink w:anchor="_Toc56419362" w:history="1">
        <w:r>
          <w:rPr>
            <w:rStyle w:val="Hyperlink"/>
            <w:noProof/>
          </w:rPr>
          <w:t>5.</w:t>
        </w:r>
        <w:r>
          <w:rPr>
            <w:rFonts w:asciiTheme="minorHAnsi" w:eastAsiaTheme="minorEastAsia" w:hAnsiTheme="minorHAnsi" w:cstheme="minorBidi"/>
            <w:b w:val="0"/>
            <w:bCs w:val="0"/>
            <w:caps w:val="0"/>
            <w:noProof/>
            <w:sz w:val="22"/>
            <w:szCs w:val="22"/>
            <w:lang w:val="en-US" w:eastAsia="en-US"/>
          </w:rPr>
          <w:tab/>
        </w:r>
        <w:r>
          <w:rPr>
            <w:rStyle w:val="Hyperlink"/>
            <w:noProof/>
          </w:rPr>
          <w:t>Paquet « délégation» pour les six agences exécutives</w:t>
        </w:r>
        <w:r>
          <w:rPr>
            <w:noProof/>
            <w:webHidden/>
          </w:rPr>
          <w:tab/>
        </w:r>
        <w:r>
          <w:rPr>
            <w:noProof/>
            <w:webHidden/>
          </w:rPr>
          <w:fldChar w:fldCharType="begin"/>
        </w:r>
        <w:r>
          <w:rPr>
            <w:noProof/>
            <w:webHidden/>
          </w:rPr>
          <w:instrText xml:space="preserve"> PAGEREF _Toc56419362 \h </w:instrText>
        </w:r>
        <w:r>
          <w:rPr>
            <w:noProof/>
            <w:webHidden/>
          </w:rPr>
        </w:r>
        <w:r>
          <w:rPr>
            <w:noProof/>
            <w:webHidden/>
          </w:rPr>
          <w:fldChar w:fldCharType="separate"/>
        </w:r>
        <w:r>
          <w:rPr>
            <w:noProof/>
            <w:webHidden/>
          </w:rPr>
          <w:t>14</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63" w:history="1">
        <w:r>
          <w:rPr>
            <w:rStyle w:val="Hyperlink"/>
            <w:b/>
            <w:noProof/>
          </w:rPr>
          <w:t xml:space="preserve">5.1 </w:t>
        </w:r>
        <w:r>
          <w:rPr>
            <w:rFonts w:asciiTheme="minorHAnsi" w:eastAsiaTheme="minorEastAsia" w:hAnsiTheme="minorHAnsi" w:cstheme="minorBidi"/>
            <w:smallCaps w:val="0"/>
            <w:noProof/>
            <w:sz w:val="22"/>
            <w:szCs w:val="22"/>
            <w:lang w:val="en-US" w:eastAsia="en-US"/>
          </w:rPr>
          <w:tab/>
        </w:r>
        <w:r>
          <w:rPr>
            <w:rStyle w:val="Hyperlink"/>
            <w:b/>
            <w:noProof/>
          </w:rPr>
          <w:t>Présentation au comité des agences exécutives</w:t>
        </w:r>
        <w:r>
          <w:rPr>
            <w:noProof/>
            <w:webHidden/>
          </w:rPr>
          <w:tab/>
        </w:r>
        <w:r>
          <w:rPr>
            <w:noProof/>
            <w:webHidden/>
          </w:rPr>
          <w:fldChar w:fldCharType="begin"/>
        </w:r>
        <w:r>
          <w:rPr>
            <w:noProof/>
            <w:webHidden/>
          </w:rPr>
          <w:instrText xml:space="preserve"> PAGEREF _Toc56419363 \h </w:instrText>
        </w:r>
        <w:r>
          <w:rPr>
            <w:noProof/>
            <w:webHidden/>
          </w:rPr>
        </w:r>
        <w:r>
          <w:rPr>
            <w:noProof/>
            <w:webHidden/>
          </w:rPr>
          <w:fldChar w:fldCharType="separate"/>
        </w:r>
        <w:r>
          <w:rPr>
            <w:noProof/>
            <w:webHidden/>
          </w:rPr>
          <w:t>14</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64" w:history="1">
        <w:r>
          <w:rPr>
            <w:rStyle w:val="Hyperlink"/>
            <w:b/>
            <w:noProof/>
          </w:rPr>
          <w:t xml:space="preserve">5.2 </w:t>
        </w:r>
        <w:r>
          <w:rPr>
            <w:rFonts w:asciiTheme="minorHAnsi" w:eastAsiaTheme="minorEastAsia" w:hAnsiTheme="minorHAnsi" w:cstheme="minorBidi"/>
            <w:smallCaps w:val="0"/>
            <w:noProof/>
            <w:sz w:val="22"/>
            <w:szCs w:val="22"/>
            <w:lang w:val="en-US" w:eastAsia="en-US"/>
          </w:rPr>
          <w:tab/>
        </w:r>
        <w:r>
          <w:rPr>
            <w:rStyle w:val="Hyperlink"/>
            <w:b/>
            <w:noProof/>
          </w:rPr>
          <w:t xml:space="preserve">Niveau proposé de </w:t>
        </w:r>
        <w:r>
          <w:rPr>
            <w:rStyle w:val="Hyperlink"/>
            <w:b/>
            <w:noProof/>
          </w:rPr>
          <w:t>crédits opérationnels à déléguer pour la période 2021-2027</w:t>
        </w:r>
        <w:r>
          <w:rPr>
            <w:noProof/>
            <w:webHidden/>
          </w:rPr>
          <w:tab/>
        </w:r>
        <w:r>
          <w:rPr>
            <w:noProof/>
            <w:webHidden/>
          </w:rPr>
          <w:fldChar w:fldCharType="begin"/>
        </w:r>
        <w:r>
          <w:rPr>
            <w:noProof/>
            <w:webHidden/>
          </w:rPr>
          <w:instrText xml:space="preserve"> PAGEREF _Toc56419364 \h </w:instrText>
        </w:r>
        <w:r>
          <w:rPr>
            <w:noProof/>
            <w:webHidden/>
          </w:rPr>
        </w:r>
        <w:r>
          <w:rPr>
            <w:noProof/>
            <w:webHidden/>
          </w:rPr>
          <w:fldChar w:fldCharType="separate"/>
        </w:r>
        <w:r>
          <w:rPr>
            <w:noProof/>
            <w:webHidden/>
          </w:rPr>
          <w:t>15</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65" w:history="1">
        <w:r>
          <w:rPr>
            <w:rStyle w:val="Hyperlink"/>
            <w:b/>
            <w:noProof/>
          </w:rPr>
          <w:t xml:space="preserve">5.3 </w:t>
        </w:r>
        <w:r>
          <w:rPr>
            <w:rFonts w:asciiTheme="minorHAnsi" w:eastAsiaTheme="minorEastAsia" w:hAnsiTheme="minorHAnsi" w:cstheme="minorBidi"/>
            <w:smallCaps w:val="0"/>
            <w:noProof/>
            <w:sz w:val="22"/>
            <w:szCs w:val="22"/>
            <w:lang w:val="en-US" w:eastAsia="en-US"/>
          </w:rPr>
          <w:tab/>
        </w:r>
        <w:r>
          <w:rPr>
            <w:rStyle w:val="Hyperlink"/>
            <w:b/>
            <w:noProof/>
          </w:rPr>
          <w:t xml:space="preserve">Incidence sur les ressources humaines et financières dans les </w:t>
        </w:r>
        <w:r>
          <w:rPr>
            <w:rStyle w:val="Hyperlink"/>
            <w:b/>
            <w:noProof/>
          </w:rPr>
          <w:t>agences exécutives en 2021</w:t>
        </w:r>
        <w:r>
          <w:rPr>
            <w:noProof/>
            <w:webHidden/>
          </w:rPr>
          <w:tab/>
        </w:r>
        <w:r>
          <w:rPr>
            <w:noProof/>
            <w:webHidden/>
          </w:rPr>
          <w:fldChar w:fldCharType="begin"/>
        </w:r>
        <w:r>
          <w:rPr>
            <w:noProof/>
            <w:webHidden/>
          </w:rPr>
          <w:instrText xml:space="preserve"> PAGEREF _Toc56419365 \h </w:instrText>
        </w:r>
        <w:r>
          <w:rPr>
            <w:noProof/>
            <w:webHidden/>
          </w:rPr>
        </w:r>
        <w:r>
          <w:rPr>
            <w:noProof/>
            <w:webHidden/>
          </w:rPr>
          <w:fldChar w:fldCharType="separate"/>
        </w:r>
        <w:r>
          <w:rPr>
            <w:noProof/>
            <w:webHidden/>
          </w:rPr>
          <w:t>16</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66" w:history="1">
        <w:r>
          <w:rPr>
            <w:rStyle w:val="Hyperlink"/>
            <w:b/>
            <w:noProof/>
          </w:rPr>
          <w:t>5.4</w:t>
        </w:r>
        <w:r>
          <w:rPr>
            <w:rFonts w:asciiTheme="minorHAnsi" w:eastAsiaTheme="minorEastAsia" w:hAnsiTheme="minorHAnsi" w:cstheme="minorBidi"/>
            <w:smallCaps w:val="0"/>
            <w:noProof/>
            <w:sz w:val="22"/>
            <w:szCs w:val="22"/>
            <w:lang w:val="en-US" w:eastAsia="en-US"/>
          </w:rPr>
          <w:tab/>
        </w:r>
        <w:r>
          <w:rPr>
            <w:rStyle w:val="Hyperlink"/>
            <w:noProof/>
          </w:rPr>
          <w:t xml:space="preserve"> </w:t>
        </w:r>
        <w:r>
          <w:rPr>
            <w:rStyle w:val="Hyperlink"/>
            <w:b/>
            <w:noProof/>
          </w:rPr>
          <w:t>Incidence sur les ressources humaines au sein de la Commission</w:t>
        </w:r>
        <w:r>
          <w:rPr>
            <w:noProof/>
            <w:webHidden/>
          </w:rPr>
          <w:tab/>
        </w:r>
        <w:r>
          <w:rPr>
            <w:noProof/>
            <w:webHidden/>
          </w:rPr>
          <w:fldChar w:fldCharType="begin"/>
        </w:r>
        <w:r>
          <w:rPr>
            <w:noProof/>
            <w:webHidden/>
          </w:rPr>
          <w:instrText xml:space="preserve"> PAGEREF _Toc56419366 \h </w:instrText>
        </w:r>
        <w:r>
          <w:rPr>
            <w:noProof/>
            <w:webHidden/>
          </w:rPr>
        </w:r>
        <w:r>
          <w:rPr>
            <w:noProof/>
            <w:webHidden/>
          </w:rPr>
          <w:fldChar w:fldCharType="separate"/>
        </w:r>
        <w:r>
          <w:rPr>
            <w:noProof/>
            <w:webHidden/>
          </w:rPr>
          <w:t>17</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67" w:history="1">
        <w:r>
          <w:rPr>
            <w:rStyle w:val="Hyperlink"/>
            <w:b/>
            <w:noProof/>
          </w:rPr>
          <w:t>5.5</w:t>
        </w:r>
        <w:r>
          <w:rPr>
            <w:rFonts w:asciiTheme="minorHAnsi" w:eastAsiaTheme="minorEastAsia" w:hAnsiTheme="minorHAnsi" w:cstheme="minorBidi"/>
            <w:smallCaps w:val="0"/>
            <w:noProof/>
            <w:sz w:val="22"/>
            <w:szCs w:val="22"/>
            <w:lang w:val="en-US" w:eastAsia="en-US"/>
          </w:rPr>
          <w:tab/>
        </w:r>
        <w:r>
          <w:rPr>
            <w:rStyle w:val="Hyperlink"/>
            <w:noProof/>
          </w:rPr>
          <w:t xml:space="preserve"> </w:t>
        </w:r>
        <w:r>
          <w:rPr>
            <w:rStyle w:val="Hyperlink"/>
            <w:b/>
            <w:noProof/>
          </w:rPr>
          <w:t>Ajustements inclus dans la LR nº 1/2021</w:t>
        </w:r>
        <w:r>
          <w:rPr>
            <w:noProof/>
            <w:webHidden/>
          </w:rPr>
          <w:tab/>
        </w:r>
        <w:r>
          <w:rPr>
            <w:noProof/>
            <w:webHidden/>
          </w:rPr>
          <w:fldChar w:fldCharType="begin"/>
        </w:r>
        <w:r>
          <w:rPr>
            <w:noProof/>
            <w:webHidden/>
          </w:rPr>
          <w:instrText xml:space="preserve"> PAGEREF _Toc56419367 \h </w:instrText>
        </w:r>
        <w:r>
          <w:rPr>
            <w:noProof/>
            <w:webHidden/>
          </w:rPr>
        </w:r>
        <w:r>
          <w:rPr>
            <w:noProof/>
            <w:webHidden/>
          </w:rPr>
          <w:fldChar w:fldCharType="separate"/>
        </w:r>
        <w:r>
          <w:rPr>
            <w:noProof/>
            <w:webHidden/>
          </w:rPr>
          <w:t>18</w:t>
        </w:r>
        <w:r>
          <w:rPr>
            <w:noProof/>
            <w:webHidden/>
          </w:rPr>
          <w:fldChar w:fldCharType="end"/>
        </w:r>
      </w:hyperlink>
    </w:p>
    <w:p w:rsidR="007119D4" w:rsidRDefault="00EC0158">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hyperlink w:anchor="_Toc56419368" w:history="1">
        <w:r>
          <w:rPr>
            <w:rStyle w:val="Hyperlink"/>
            <w:noProof/>
          </w:rPr>
          <w:t>6.</w:t>
        </w:r>
        <w:r>
          <w:rPr>
            <w:rFonts w:asciiTheme="minorHAnsi" w:eastAsiaTheme="minorEastAsia" w:hAnsiTheme="minorHAnsi" w:cstheme="minorBidi"/>
            <w:b w:val="0"/>
            <w:bCs w:val="0"/>
            <w:caps w:val="0"/>
            <w:noProof/>
            <w:sz w:val="22"/>
            <w:szCs w:val="22"/>
            <w:lang w:val="en-US" w:eastAsia="en-US"/>
          </w:rPr>
          <w:tab/>
        </w:r>
        <w:r>
          <w:rPr>
            <w:rStyle w:val="Hyperlink"/>
            <w:noProof/>
          </w:rPr>
          <w:t>Organismes décentralisés</w:t>
        </w:r>
        <w:r>
          <w:rPr>
            <w:noProof/>
            <w:webHidden/>
          </w:rPr>
          <w:tab/>
        </w:r>
        <w:r>
          <w:rPr>
            <w:noProof/>
            <w:webHidden/>
          </w:rPr>
          <w:fldChar w:fldCharType="begin"/>
        </w:r>
        <w:r>
          <w:rPr>
            <w:noProof/>
            <w:webHidden/>
          </w:rPr>
          <w:instrText xml:space="preserve"> PAGEREF _Toc56419368 \h </w:instrText>
        </w:r>
        <w:r>
          <w:rPr>
            <w:noProof/>
            <w:webHidden/>
          </w:rPr>
        </w:r>
        <w:r>
          <w:rPr>
            <w:noProof/>
            <w:webHidden/>
          </w:rPr>
          <w:fldChar w:fldCharType="separate"/>
        </w:r>
        <w:r>
          <w:rPr>
            <w:noProof/>
            <w:webHidden/>
          </w:rPr>
          <w:t>20</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69" w:history="1">
        <w:r>
          <w:rPr>
            <w:rStyle w:val="Hyperlink"/>
            <w:b/>
            <w:noProof/>
          </w:rPr>
          <w:t xml:space="preserve">6.1 </w:t>
        </w:r>
        <w:r>
          <w:rPr>
            <w:rFonts w:asciiTheme="minorHAnsi" w:eastAsiaTheme="minorEastAsia" w:hAnsiTheme="minorHAnsi" w:cstheme="minorBidi"/>
            <w:smallCaps w:val="0"/>
            <w:noProof/>
            <w:sz w:val="22"/>
            <w:szCs w:val="22"/>
            <w:lang w:val="en-US" w:eastAsia="en-US"/>
          </w:rPr>
          <w:tab/>
        </w:r>
        <w:r>
          <w:rPr>
            <w:rStyle w:val="Hyperlink"/>
            <w:b/>
            <w:noProof/>
          </w:rPr>
          <w:t>Agence européenne des médicaments (EMA)</w:t>
        </w:r>
        <w:r>
          <w:rPr>
            <w:noProof/>
            <w:webHidden/>
          </w:rPr>
          <w:tab/>
        </w:r>
        <w:r>
          <w:rPr>
            <w:noProof/>
            <w:webHidden/>
          </w:rPr>
          <w:fldChar w:fldCharType="begin"/>
        </w:r>
        <w:r>
          <w:rPr>
            <w:noProof/>
            <w:webHidden/>
          </w:rPr>
          <w:instrText xml:space="preserve"> PAGEREF _Toc56419369 \h </w:instrText>
        </w:r>
        <w:r>
          <w:rPr>
            <w:noProof/>
            <w:webHidden/>
          </w:rPr>
        </w:r>
        <w:r>
          <w:rPr>
            <w:noProof/>
            <w:webHidden/>
          </w:rPr>
          <w:fldChar w:fldCharType="separate"/>
        </w:r>
        <w:r>
          <w:rPr>
            <w:noProof/>
            <w:webHidden/>
          </w:rPr>
          <w:t>20</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70" w:history="1">
        <w:r>
          <w:rPr>
            <w:rStyle w:val="Hyperlink"/>
            <w:b/>
            <w:noProof/>
          </w:rPr>
          <w:t>6.2</w:t>
        </w:r>
        <w:r>
          <w:rPr>
            <w:rFonts w:asciiTheme="minorHAnsi" w:eastAsiaTheme="minorEastAsia" w:hAnsiTheme="minorHAnsi" w:cstheme="minorBidi"/>
            <w:smallCaps w:val="0"/>
            <w:noProof/>
            <w:sz w:val="22"/>
            <w:szCs w:val="22"/>
            <w:lang w:val="en-US" w:eastAsia="en-US"/>
          </w:rPr>
          <w:tab/>
        </w:r>
        <w:r>
          <w:rPr>
            <w:rStyle w:val="Hyperlink"/>
            <w:noProof/>
          </w:rPr>
          <w:t xml:space="preserve"> </w:t>
        </w:r>
        <w:r>
          <w:rPr>
            <w:rStyle w:val="Hyperlink"/>
            <w:b/>
            <w:noProof/>
          </w:rPr>
          <w:t>Centre européen de prévention et de contrôle des maladies (ECDC)</w:t>
        </w:r>
        <w:r>
          <w:rPr>
            <w:noProof/>
            <w:webHidden/>
          </w:rPr>
          <w:tab/>
        </w:r>
        <w:r>
          <w:rPr>
            <w:noProof/>
            <w:webHidden/>
          </w:rPr>
          <w:fldChar w:fldCharType="begin"/>
        </w:r>
        <w:r>
          <w:rPr>
            <w:noProof/>
            <w:webHidden/>
          </w:rPr>
          <w:instrText xml:space="preserve"> PAGEREF _Toc56419370 \h </w:instrText>
        </w:r>
        <w:r>
          <w:rPr>
            <w:noProof/>
            <w:webHidden/>
          </w:rPr>
        </w:r>
        <w:r>
          <w:rPr>
            <w:noProof/>
            <w:webHidden/>
          </w:rPr>
          <w:fldChar w:fldCharType="separate"/>
        </w:r>
        <w:r>
          <w:rPr>
            <w:noProof/>
            <w:webHidden/>
          </w:rPr>
          <w:t>21</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71" w:history="1">
        <w:r>
          <w:rPr>
            <w:rStyle w:val="Hyperlink"/>
            <w:b/>
            <w:noProof/>
          </w:rPr>
          <w:t xml:space="preserve">6.3 </w:t>
        </w:r>
        <w:r>
          <w:rPr>
            <w:rFonts w:asciiTheme="minorHAnsi" w:eastAsiaTheme="minorEastAsia" w:hAnsiTheme="minorHAnsi" w:cstheme="minorBidi"/>
            <w:smallCaps w:val="0"/>
            <w:noProof/>
            <w:sz w:val="22"/>
            <w:szCs w:val="22"/>
            <w:lang w:val="en-US" w:eastAsia="en-US"/>
          </w:rPr>
          <w:tab/>
        </w:r>
        <w:r>
          <w:rPr>
            <w:rStyle w:val="Hyperlink"/>
            <w:b/>
            <w:noProof/>
          </w:rPr>
          <w:t>Agence européenne pour l’environnement (AEE)</w:t>
        </w:r>
        <w:r>
          <w:rPr>
            <w:noProof/>
            <w:webHidden/>
          </w:rPr>
          <w:tab/>
        </w:r>
        <w:r>
          <w:rPr>
            <w:noProof/>
            <w:webHidden/>
          </w:rPr>
          <w:fldChar w:fldCharType="begin"/>
        </w:r>
        <w:r>
          <w:rPr>
            <w:noProof/>
            <w:webHidden/>
          </w:rPr>
          <w:instrText xml:space="preserve"> PAGEREF _Toc56419371 \h </w:instrText>
        </w:r>
        <w:r>
          <w:rPr>
            <w:noProof/>
            <w:webHidden/>
          </w:rPr>
        </w:r>
        <w:r>
          <w:rPr>
            <w:noProof/>
            <w:webHidden/>
          </w:rPr>
          <w:fldChar w:fldCharType="separate"/>
        </w:r>
        <w:r>
          <w:rPr>
            <w:noProof/>
            <w:webHidden/>
          </w:rPr>
          <w:t>21</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72" w:history="1">
        <w:r>
          <w:rPr>
            <w:rStyle w:val="Hyperlink"/>
            <w:b/>
            <w:noProof/>
          </w:rPr>
          <w:t xml:space="preserve">6.4 </w:t>
        </w:r>
        <w:r>
          <w:rPr>
            <w:rFonts w:asciiTheme="minorHAnsi" w:eastAsiaTheme="minorEastAsia" w:hAnsiTheme="minorHAnsi" w:cstheme="minorBidi"/>
            <w:smallCaps w:val="0"/>
            <w:noProof/>
            <w:sz w:val="22"/>
            <w:szCs w:val="22"/>
            <w:lang w:val="en-US" w:eastAsia="en-US"/>
          </w:rPr>
          <w:tab/>
        </w:r>
        <w:r>
          <w:rPr>
            <w:rStyle w:val="Hyperlink"/>
            <w:b/>
            <w:noProof/>
          </w:rPr>
          <w:t>Agence européenne des produits chimiques (ECHA)</w:t>
        </w:r>
        <w:r>
          <w:rPr>
            <w:noProof/>
            <w:webHidden/>
          </w:rPr>
          <w:tab/>
        </w:r>
        <w:r>
          <w:rPr>
            <w:noProof/>
            <w:webHidden/>
          </w:rPr>
          <w:fldChar w:fldCharType="begin"/>
        </w:r>
        <w:r>
          <w:rPr>
            <w:noProof/>
            <w:webHidden/>
          </w:rPr>
          <w:instrText xml:space="preserve"> PAGEREF _Toc56419372 \h </w:instrText>
        </w:r>
        <w:r>
          <w:rPr>
            <w:noProof/>
            <w:webHidden/>
          </w:rPr>
        </w:r>
        <w:r>
          <w:rPr>
            <w:noProof/>
            <w:webHidden/>
          </w:rPr>
          <w:fldChar w:fldCharType="separate"/>
        </w:r>
        <w:r>
          <w:rPr>
            <w:noProof/>
            <w:webHidden/>
          </w:rPr>
          <w:t>21</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73" w:history="1">
        <w:r>
          <w:rPr>
            <w:rStyle w:val="Hyperlink"/>
            <w:b/>
            <w:noProof/>
          </w:rPr>
          <w:t xml:space="preserve">6.5 </w:t>
        </w:r>
        <w:r>
          <w:rPr>
            <w:rFonts w:asciiTheme="minorHAnsi" w:eastAsiaTheme="minorEastAsia" w:hAnsiTheme="minorHAnsi" w:cstheme="minorBidi"/>
            <w:smallCaps w:val="0"/>
            <w:noProof/>
            <w:sz w:val="22"/>
            <w:szCs w:val="22"/>
            <w:lang w:val="en-US" w:eastAsia="en-US"/>
          </w:rPr>
          <w:tab/>
        </w:r>
        <w:r>
          <w:rPr>
            <w:rStyle w:val="Hyperlink"/>
            <w:b/>
            <w:noProof/>
          </w:rPr>
          <w:t>Autorité bancaire européenne</w:t>
        </w:r>
        <w:r>
          <w:rPr>
            <w:noProof/>
            <w:webHidden/>
          </w:rPr>
          <w:tab/>
        </w:r>
        <w:r>
          <w:rPr>
            <w:noProof/>
            <w:webHidden/>
          </w:rPr>
          <w:fldChar w:fldCharType="begin"/>
        </w:r>
        <w:r>
          <w:rPr>
            <w:noProof/>
            <w:webHidden/>
          </w:rPr>
          <w:instrText xml:space="preserve"> PAGEREF _Toc56419373 \h </w:instrText>
        </w:r>
        <w:r>
          <w:rPr>
            <w:noProof/>
            <w:webHidden/>
          </w:rPr>
        </w:r>
        <w:r>
          <w:rPr>
            <w:noProof/>
            <w:webHidden/>
          </w:rPr>
          <w:fldChar w:fldCharType="separate"/>
        </w:r>
        <w:r>
          <w:rPr>
            <w:noProof/>
            <w:webHidden/>
          </w:rPr>
          <w:t>21</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74" w:history="1">
        <w:r>
          <w:rPr>
            <w:rStyle w:val="Hyperlink"/>
            <w:b/>
            <w:noProof/>
          </w:rPr>
          <w:t xml:space="preserve">6.6 </w:t>
        </w:r>
        <w:r>
          <w:rPr>
            <w:rFonts w:asciiTheme="minorHAnsi" w:eastAsiaTheme="minorEastAsia" w:hAnsiTheme="minorHAnsi" w:cstheme="minorBidi"/>
            <w:smallCaps w:val="0"/>
            <w:noProof/>
            <w:sz w:val="22"/>
            <w:szCs w:val="22"/>
            <w:lang w:val="en-US" w:eastAsia="en-US"/>
          </w:rPr>
          <w:tab/>
        </w:r>
        <w:r>
          <w:rPr>
            <w:rStyle w:val="Hyperlink"/>
            <w:b/>
            <w:noProof/>
          </w:rPr>
          <w:t>Bureau européen d’appui en matière d’asile (EASO)</w:t>
        </w:r>
        <w:r>
          <w:rPr>
            <w:noProof/>
            <w:webHidden/>
          </w:rPr>
          <w:tab/>
        </w:r>
        <w:r>
          <w:rPr>
            <w:noProof/>
            <w:webHidden/>
          </w:rPr>
          <w:fldChar w:fldCharType="begin"/>
        </w:r>
        <w:r>
          <w:rPr>
            <w:noProof/>
            <w:webHidden/>
          </w:rPr>
          <w:instrText xml:space="preserve"> PAGEREF _Toc56419374</w:instrText>
        </w:r>
        <w:r>
          <w:rPr>
            <w:noProof/>
            <w:webHidden/>
          </w:rPr>
          <w:instrText xml:space="preserve"> \h </w:instrText>
        </w:r>
        <w:r>
          <w:rPr>
            <w:noProof/>
            <w:webHidden/>
          </w:rPr>
        </w:r>
        <w:r>
          <w:rPr>
            <w:noProof/>
            <w:webHidden/>
          </w:rPr>
          <w:fldChar w:fldCharType="separate"/>
        </w:r>
        <w:r>
          <w:rPr>
            <w:noProof/>
            <w:webHidden/>
          </w:rPr>
          <w:t>21</w:t>
        </w:r>
        <w:r>
          <w:rPr>
            <w:noProof/>
            <w:webHidden/>
          </w:rPr>
          <w:fldChar w:fldCharType="end"/>
        </w:r>
      </w:hyperlink>
    </w:p>
    <w:p w:rsidR="007119D4" w:rsidRDefault="00EC0158">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hyperlink w:anchor="_Toc56419375" w:history="1">
        <w:r>
          <w:rPr>
            <w:rStyle w:val="Hyperlink"/>
            <w:noProof/>
          </w:rPr>
          <w:t>7.</w:t>
        </w:r>
        <w:r>
          <w:rPr>
            <w:rFonts w:asciiTheme="minorHAnsi" w:eastAsiaTheme="minorEastAsia" w:hAnsiTheme="minorHAnsi" w:cstheme="minorBidi"/>
            <w:b w:val="0"/>
            <w:bCs w:val="0"/>
            <w:caps w:val="0"/>
            <w:noProof/>
            <w:sz w:val="22"/>
            <w:szCs w:val="22"/>
            <w:lang w:val="en-US" w:eastAsia="en-US"/>
          </w:rPr>
          <w:tab/>
        </w:r>
        <w:r>
          <w:rPr>
            <w:rStyle w:val="Hyperlink"/>
            <w:noProof/>
          </w:rPr>
          <w:t>Ajustements de la rubrique 7 «Administration publique européenne»</w:t>
        </w:r>
        <w:r>
          <w:rPr>
            <w:noProof/>
            <w:webHidden/>
          </w:rPr>
          <w:tab/>
        </w:r>
        <w:r>
          <w:rPr>
            <w:noProof/>
            <w:webHidden/>
          </w:rPr>
          <w:fldChar w:fldCharType="begin"/>
        </w:r>
        <w:r>
          <w:rPr>
            <w:noProof/>
            <w:webHidden/>
          </w:rPr>
          <w:instrText xml:space="preserve"> PAGEREF _Toc56419375 \h </w:instrText>
        </w:r>
        <w:r>
          <w:rPr>
            <w:noProof/>
            <w:webHidden/>
          </w:rPr>
        </w:r>
        <w:r>
          <w:rPr>
            <w:noProof/>
            <w:webHidden/>
          </w:rPr>
          <w:fldChar w:fldCharType="separate"/>
        </w:r>
        <w:r>
          <w:rPr>
            <w:noProof/>
            <w:webHidden/>
          </w:rPr>
          <w:t>22</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76" w:history="1">
        <w:r>
          <w:rPr>
            <w:rStyle w:val="Hyperlink"/>
            <w:b/>
            <w:noProof/>
          </w:rPr>
          <w:t>7.1</w:t>
        </w:r>
        <w:r>
          <w:rPr>
            <w:rFonts w:asciiTheme="minorHAnsi" w:eastAsiaTheme="minorEastAsia" w:hAnsiTheme="minorHAnsi" w:cstheme="minorBidi"/>
            <w:smallCaps w:val="0"/>
            <w:noProof/>
            <w:sz w:val="22"/>
            <w:szCs w:val="22"/>
            <w:lang w:val="en-US" w:eastAsia="en-US"/>
          </w:rPr>
          <w:tab/>
        </w:r>
        <w:r>
          <w:rPr>
            <w:rStyle w:val="Hyperlink"/>
            <w:noProof/>
          </w:rPr>
          <w:t xml:space="preserve"> </w:t>
        </w:r>
        <w:r>
          <w:rPr>
            <w:rStyle w:val="Hyperlink"/>
            <w:b/>
            <w:noProof/>
          </w:rPr>
          <w:t>Indexation des rémunérations à compter du 1</w:t>
        </w:r>
        <w:r>
          <w:rPr>
            <w:rStyle w:val="Hyperlink"/>
            <w:b/>
            <w:noProof/>
            <w:vertAlign w:val="superscript"/>
          </w:rPr>
          <w:t>er</w:t>
        </w:r>
        <w:r>
          <w:rPr>
            <w:rStyle w:val="Hyperlink"/>
            <w:b/>
            <w:noProof/>
          </w:rPr>
          <w:t xml:space="preserve"> juillet 2020</w:t>
        </w:r>
        <w:r>
          <w:rPr>
            <w:noProof/>
            <w:webHidden/>
          </w:rPr>
          <w:tab/>
        </w:r>
        <w:r>
          <w:rPr>
            <w:noProof/>
            <w:webHidden/>
          </w:rPr>
          <w:fldChar w:fldCharType="begin"/>
        </w:r>
        <w:r>
          <w:rPr>
            <w:noProof/>
            <w:webHidden/>
          </w:rPr>
          <w:instrText xml:space="preserve"> PAGEREF _Toc56419376 \h </w:instrText>
        </w:r>
        <w:r>
          <w:rPr>
            <w:noProof/>
            <w:webHidden/>
          </w:rPr>
        </w:r>
        <w:r>
          <w:rPr>
            <w:noProof/>
            <w:webHidden/>
          </w:rPr>
          <w:fldChar w:fldCharType="separate"/>
        </w:r>
        <w:r>
          <w:rPr>
            <w:noProof/>
            <w:webHidden/>
          </w:rPr>
          <w:t>22</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77" w:history="1">
        <w:r>
          <w:rPr>
            <w:rStyle w:val="Hyperlink"/>
            <w:b/>
            <w:noProof/>
          </w:rPr>
          <w:t>7.2</w:t>
        </w:r>
        <w:r>
          <w:rPr>
            <w:rFonts w:asciiTheme="minorHAnsi" w:eastAsiaTheme="minorEastAsia" w:hAnsiTheme="minorHAnsi" w:cstheme="minorBidi"/>
            <w:smallCaps w:val="0"/>
            <w:noProof/>
            <w:sz w:val="22"/>
            <w:szCs w:val="22"/>
            <w:lang w:val="en-US" w:eastAsia="en-US"/>
          </w:rPr>
          <w:tab/>
        </w:r>
        <w:r>
          <w:rPr>
            <w:rStyle w:val="Hyperlink"/>
            <w:noProof/>
          </w:rPr>
          <w:t xml:space="preserve"> </w:t>
        </w:r>
        <w:r>
          <w:rPr>
            <w:rStyle w:val="Hyperlink"/>
            <w:b/>
            <w:noProof/>
          </w:rPr>
          <w:t>Renforcement du Parlement européen</w:t>
        </w:r>
        <w:r>
          <w:rPr>
            <w:noProof/>
            <w:webHidden/>
          </w:rPr>
          <w:tab/>
        </w:r>
        <w:r>
          <w:rPr>
            <w:noProof/>
            <w:webHidden/>
          </w:rPr>
          <w:fldChar w:fldCharType="begin"/>
        </w:r>
        <w:r>
          <w:rPr>
            <w:noProof/>
            <w:webHidden/>
          </w:rPr>
          <w:instrText xml:space="preserve"> PAGEREF _Toc56419377 \h </w:instrText>
        </w:r>
        <w:r>
          <w:rPr>
            <w:noProof/>
            <w:webHidden/>
          </w:rPr>
        </w:r>
        <w:r>
          <w:rPr>
            <w:noProof/>
            <w:webHidden/>
          </w:rPr>
          <w:fldChar w:fldCharType="separate"/>
        </w:r>
        <w:r>
          <w:rPr>
            <w:noProof/>
            <w:webHidden/>
          </w:rPr>
          <w:t>23</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78" w:history="1">
        <w:r>
          <w:rPr>
            <w:rStyle w:val="Hyperlink"/>
            <w:b/>
            <w:noProof/>
          </w:rPr>
          <w:t xml:space="preserve">7.4 </w:t>
        </w:r>
        <w:r>
          <w:rPr>
            <w:rFonts w:asciiTheme="minorHAnsi" w:eastAsiaTheme="minorEastAsia" w:hAnsiTheme="minorHAnsi" w:cstheme="minorBidi"/>
            <w:smallCaps w:val="0"/>
            <w:noProof/>
            <w:sz w:val="22"/>
            <w:szCs w:val="22"/>
            <w:lang w:val="en-US" w:eastAsia="en-US"/>
          </w:rPr>
          <w:tab/>
        </w:r>
        <w:r>
          <w:rPr>
            <w:rStyle w:val="Hyperlink"/>
            <w:b/>
            <w:noProof/>
          </w:rPr>
          <w:t xml:space="preserve">Transfert d'effectifs des délégations de l’Union de la </w:t>
        </w:r>
        <w:r>
          <w:rPr>
            <w:rStyle w:val="Hyperlink"/>
            <w:b/>
            <w:noProof/>
          </w:rPr>
          <w:t>Commission vers le SEAE</w:t>
        </w:r>
        <w:r>
          <w:rPr>
            <w:noProof/>
            <w:webHidden/>
          </w:rPr>
          <w:tab/>
        </w:r>
        <w:r>
          <w:rPr>
            <w:noProof/>
            <w:webHidden/>
          </w:rPr>
          <w:fldChar w:fldCharType="begin"/>
        </w:r>
        <w:r>
          <w:rPr>
            <w:noProof/>
            <w:webHidden/>
          </w:rPr>
          <w:instrText xml:space="preserve"> PAGEREF _Toc56419378 \h </w:instrText>
        </w:r>
        <w:r>
          <w:rPr>
            <w:noProof/>
            <w:webHidden/>
          </w:rPr>
        </w:r>
        <w:r>
          <w:rPr>
            <w:noProof/>
            <w:webHidden/>
          </w:rPr>
          <w:fldChar w:fldCharType="separate"/>
        </w:r>
        <w:r>
          <w:rPr>
            <w:noProof/>
            <w:webHidden/>
          </w:rPr>
          <w:t>24</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79" w:history="1">
        <w:r>
          <w:rPr>
            <w:rStyle w:val="Hyperlink"/>
            <w:b/>
            <w:noProof/>
          </w:rPr>
          <w:t xml:space="preserve">7.5 </w:t>
        </w:r>
        <w:r>
          <w:rPr>
            <w:rFonts w:asciiTheme="minorHAnsi" w:eastAsiaTheme="minorEastAsia" w:hAnsiTheme="minorHAnsi" w:cstheme="minorBidi"/>
            <w:smallCaps w:val="0"/>
            <w:noProof/>
            <w:sz w:val="22"/>
            <w:szCs w:val="22"/>
            <w:lang w:val="en-US" w:eastAsia="en-US"/>
          </w:rPr>
          <w:tab/>
        </w:r>
        <w:r>
          <w:rPr>
            <w:rStyle w:val="Hyperlink"/>
            <w:b/>
            <w:noProof/>
          </w:rPr>
          <w:t>Transfert de la bibliothèque centrale de la Commission à l’Office des publications</w:t>
        </w:r>
        <w:r>
          <w:rPr>
            <w:noProof/>
            <w:webHidden/>
          </w:rPr>
          <w:tab/>
        </w:r>
        <w:r>
          <w:rPr>
            <w:noProof/>
            <w:webHidden/>
          </w:rPr>
          <w:fldChar w:fldCharType="begin"/>
        </w:r>
        <w:r>
          <w:rPr>
            <w:noProof/>
            <w:webHidden/>
          </w:rPr>
          <w:instrText xml:space="preserve"> PAGEREF _Toc56419</w:instrText>
        </w:r>
        <w:r>
          <w:rPr>
            <w:noProof/>
            <w:webHidden/>
          </w:rPr>
          <w:instrText xml:space="preserve">379 \h </w:instrText>
        </w:r>
        <w:r>
          <w:rPr>
            <w:noProof/>
            <w:webHidden/>
          </w:rPr>
        </w:r>
        <w:r>
          <w:rPr>
            <w:noProof/>
            <w:webHidden/>
          </w:rPr>
          <w:fldChar w:fldCharType="separate"/>
        </w:r>
        <w:r>
          <w:rPr>
            <w:noProof/>
            <w:webHidden/>
          </w:rPr>
          <w:t>25</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80" w:history="1">
        <w:r>
          <w:rPr>
            <w:rStyle w:val="Hyperlink"/>
            <w:b/>
            <w:noProof/>
          </w:rPr>
          <w:t xml:space="preserve">7.6 </w:t>
        </w:r>
        <w:r>
          <w:rPr>
            <w:rFonts w:asciiTheme="minorHAnsi" w:eastAsiaTheme="minorEastAsia" w:hAnsiTheme="minorHAnsi" w:cstheme="minorBidi"/>
            <w:smallCaps w:val="0"/>
            <w:noProof/>
            <w:sz w:val="22"/>
            <w:szCs w:val="22"/>
            <w:lang w:val="en-US" w:eastAsia="en-US"/>
          </w:rPr>
          <w:tab/>
        </w:r>
        <w:r>
          <w:rPr>
            <w:rStyle w:val="Hyperlink"/>
            <w:b/>
            <w:noProof/>
          </w:rPr>
          <w:t>Transfert de 2 emplois du tableau des effectifs du Parlement européen vers celui de la Commission</w:t>
        </w:r>
        <w:r>
          <w:rPr>
            <w:noProof/>
            <w:webHidden/>
          </w:rPr>
          <w:tab/>
        </w:r>
        <w:r>
          <w:rPr>
            <w:noProof/>
            <w:webHidden/>
          </w:rPr>
          <w:fldChar w:fldCharType="begin"/>
        </w:r>
        <w:r>
          <w:rPr>
            <w:noProof/>
            <w:webHidden/>
          </w:rPr>
          <w:instrText xml:space="preserve"> PAGEREF _Toc56419380 \h </w:instrText>
        </w:r>
        <w:r>
          <w:rPr>
            <w:noProof/>
            <w:webHidden/>
          </w:rPr>
        </w:r>
        <w:r>
          <w:rPr>
            <w:noProof/>
            <w:webHidden/>
          </w:rPr>
          <w:fldChar w:fldCharType="separate"/>
        </w:r>
        <w:r>
          <w:rPr>
            <w:noProof/>
            <w:webHidden/>
          </w:rPr>
          <w:t>25</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81" w:history="1">
        <w:r>
          <w:rPr>
            <w:rStyle w:val="Hyperlink"/>
            <w:b/>
            <w:noProof/>
          </w:rPr>
          <w:t>7.7</w:t>
        </w:r>
        <w:r>
          <w:rPr>
            <w:rFonts w:asciiTheme="minorHAnsi" w:eastAsiaTheme="minorEastAsia" w:hAnsiTheme="minorHAnsi" w:cstheme="minorBidi"/>
            <w:smallCaps w:val="0"/>
            <w:noProof/>
            <w:sz w:val="22"/>
            <w:szCs w:val="22"/>
            <w:lang w:val="en-US" w:eastAsia="en-US"/>
          </w:rPr>
          <w:tab/>
        </w:r>
        <w:r>
          <w:rPr>
            <w:rStyle w:val="Hyperlink"/>
            <w:b/>
            <w:noProof/>
          </w:rPr>
          <w:t>Contribution du SEAE à la prestation de services de base par le PMO</w:t>
        </w:r>
        <w:r>
          <w:rPr>
            <w:noProof/>
            <w:webHidden/>
          </w:rPr>
          <w:tab/>
        </w:r>
        <w:r>
          <w:rPr>
            <w:noProof/>
            <w:webHidden/>
          </w:rPr>
          <w:fldChar w:fldCharType="begin"/>
        </w:r>
        <w:r>
          <w:rPr>
            <w:noProof/>
            <w:webHidden/>
          </w:rPr>
          <w:instrText xml:space="preserve"> PAGEREF _Toc56419381 \h </w:instrText>
        </w:r>
        <w:r>
          <w:rPr>
            <w:noProof/>
            <w:webHidden/>
          </w:rPr>
        </w:r>
        <w:r>
          <w:rPr>
            <w:noProof/>
            <w:webHidden/>
          </w:rPr>
          <w:fldChar w:fldCharType="separate"/>
        </w:r>
        <w:r>
          <w:rPr>
            <w:noProof/>
            <w:webHidden/>
          </w:rPr>
          <w:t>25</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82" w:history="1">
        <w:r>
          <w:rPr>
            <w:rStyle w:val="Hyperlink"/>
            <w:b/>
            <w:noProof/>
          </w:rPr>
          <w:t>7.8</w:t>
        </w:r>
        <w:r>
          <w:rPr>
            <w:rFonts w:asciiTheme="minorHAnsi" w:eastAsiaTheme="minorEastAsia" w:hAnsiTheme="minorHAnsi" w:cstheme="minorBidi"/>
            <w:smallCaps w:val="0"/>
            <w:noProof/>
            <w:sz w:val="22"/>
            <w:szCs w:val="22"/>
            <w:lang w:val="en-US" w:eastAsia="en-US"/>
          </w:rPr>
          <w:tab/>
        </w:r>
        <w:r>
          <w:rPr>
            <w:rStyle w:val="Hyperlink"/>
            <w:b/>
            <w:noProof/>
          </w:rPr>
          <w:t>Incidence de la pandémie de COVID-19 sur le budget des écoles européennes</w:t>
        </w:r>
        <w:r>
          <w:rPr>
            <w:noProof/>
            <w:webHidden/>
          </w:rPr>
          <w:tab/>
        </w:r>
        <w:r>
          <w:rPr>
            <w:noProof/>
            <w:webHidden/>
          </w:rPr>
          <w:fldChar w:fldCharType="begin"/>
        </w:r>
        <w:r>
          <w:rPr>
            <w:noProof/>
            <w:webHidden/>
          </w:rPr>
          <w:instrText xml:space="preserve"> PAGEREF _Toc56419382 \h </w:instrText>
        </w:r>
        <w:r>
          <w:rPr>
            <w:noProof/>
            <w:webHidden/>
          </w:rPr>
        </w:r>
        <w:r>
          <w:rPr>
            <w:noProof/>
            <w:webHidden/>
          </w:rPr>
          <w:fldChar w:fldCharType="separate"/>
        </w:r>
        <w:r>
          <w:rPr>
            <w:noProof/>
            <w:webHidden/>
          </w:rPr>
          <w:t>26</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83" w:history="1">
        <w:r>
          <w:rPr>
            <w:rStyle w:val="Hyperlink"/>
            <w:b/>
            <w:noProof/>
          </w:rPr>
          <w:t xml:space="preserve">7.9 </w:t>
        </w:r>
        <w:r>
          <w:rPr>
            <w:rFonts w:asciiTheme="minorHAnsi" w:eastAsiaTheme="minorEastAsia" w:hAnsiTheme="minorHAnsi" w:cstheme="minorBidi"/>
            <w:smallCaps w:val="0"/>
            <w:noProof/>
            <w:sz w:val="22"/>
            <w:szCs w:val="22"/>
            <w:lang w:val="en-US" w:eastAsia="en-US"/>
          </w:rPr>
          <w:tab/>
        </w:r>
        <w:r>
          <w:rPr>
            <w:rStyle w:val="Hyperlink"/>
            <w:b/>
            <w:noProof/>
          </w:rPr>
          <w:t>Incidence du démé</w:t>
        </w:r>
        <w:r>
          <w:rPr>
            <w:rStyle w:val="Hyperlink"/>
            <w:b/>
            <w:noProof/>
          </w:rPr>
          <w:t>nagement du bureau du Médiateur à Bruxelles</w:t>
        </w:r>
        <w:r>
          <w:rPr>
            <w:noProof/>
            <w:webHidden/>
          </w:rPr>
          <w:tab/>
        </w:r>
        <w:r>
          <w:rPr>
            <w:noProof/>
            <w:webHidden/>
          </w:rPr>
          <w:fldChar w:fldCharType="begin"/>
        </w:r>
        <w:r>
          <w:rPr>
            <w:noProof/>
            <w:webHidden/>
          </w:rPr>
          <w:instrText xml:space="preserve"> PAGEREF _Toc56419383 \h </w:instrText>
        </w:r>
        <w:r>
          <w:rPr>
            <w:noProof/>
            <w:webHidden/>
          </w:rPr>
        </w:r>
        <w:r>
          <w:rPr>
            <w:noProof/>
            <w:webHidden/>
          </w:rPr>
          <w:fldChar w:fldCharType="separate"/>
        </w:r>
        <w:r>
          <w:rPr>
            <w:noProof/>
            <w:webHidden/>
          </w:rPr>
          <w:t>26</w:t>
        </w:r>
        <w:r>
          <w:rPr>
            <w:noProof/>
            <w:webHidden/>
          </w:rPr>
          <w:fldChar w:fldCharType="end"/>
        </w:r>
      </w:hyperlink>
    </w:p>
    <w:p w:rsidR="007119D4" w:rsidRDefault="00EC0158">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hyperlink w:anchor="_Toc56419384" w:history="1">
        <w:r>
          <w:rPr>
            <w:rStyle w:val="Hyperlink"/>
            <w:noProof/>
          </w:rPr>
          <w:t>8.</w:t>
        </w:r>
        <w:r>
          <w:rPr>
            <w:rFonts w:asciiTheme="minorHAnsi" w:eastAsiaTheme="minorEastAsia" w:hAnsiTheme="minorHAnsi" w:cstheme="minorBidi"/>
            <w:b w:val="0"/>
            <w:bCs w:val="0"/>
            <w:caps w:val="0"/>
            <w:noProof/>
            <w:sz w:val="22"/>
            <w:szCs w:val="22"/>
            <w:lang w:val="en-US" w:eastAsia="en-US"/>
          </w:rPr>
          <w:tab/>
        </w:r>
        <w:r>
          <w:rPr>
            <w:rStyle w:val="Hyperlink"/>
            <w:noProof/>
          </w:rPr>
          <w:t>Autres ajustements</w:t>
        </w:r>
        <w:r>
          <w:rPr>
            <w:noProof/>
            <w:webHidden/>
          </w:rPr>
          <w:tab/>
        </w:r>
        <w:r>
          <w:rPr>
            <w:noProof/>
            <w:webHidden/>
          </w:rPr>
          <w:fldChar w:fldCharType="begin"/>
        </w:r>
        <w:r>
          <w:rPr>
            <w:noProof/>
            <w:webHidden/>
          </w:rPr>
          <w:instrText xml:space="preserve"> PAGEREF _Toc56419384 \h </w:instrText>
        </w:r>
        <w:r>
          <w:rPr>
            <w:noProof/>
            <w:webHidden/>
          </w:rPr>
        </w:r>
        <w:r>
          <w:rPr>
            <w:noProof/>
            <w:webHidden/>
          </w:rPr>
          <w:fldChar w:fldCharType="separate"/>
        </w:r>
        <w:r>
          <w:rPr>
            <w:noProof/>
            <w:webHidden/>
          </w:rPr>
          <w:t>26</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85" w:history="1">
        <w:r>
          <w:rPr>
            <w:rStyle w:val="Hyperlink"/>
            <w:b/>
            <w:noProof/>
          </w:rPr>
          <w:t xml:space="preserve">8.1 </w:t>
        </w:r>
        <w:r>
          <w:rPr>
            <w:rFonts w:asciiTheme="minorHAnsi" w:eastAsiaTheme="minorEastAsia" w:hAnsiTheme="minorHAnsi" w:cstheme="minorBidi"/>
            <w:smallCaps w:val="0"/>
            <w:noProof/>
            <w:sz w:val="22"/>
            <w:szCs w:val="22"/>
            <w:lang w:val="en-US" w:eastAsia="en-US"/>
          </w:rPr>
          <w:tab/>
        </w:r>
        <w:r>
          <w:rPr>
            <w:rStyle w:val="Hyperlink"/>
            <w:b/>
            <w:noProof/>
          </w:rPr>
          <w:t>Renforcements ciblés</w:t>
        </w:r>
        <w:r>
          <w:rPr>
            <w:noProof/>
            <w:webHidden/>
          </w:rPr>
          <w:tab/>
        </w:r>
        <w:r>
          <w:rPr>
            <w:noProof/>
            <w:webHidden/>
          </w:rPr>
          <w:fldChar w:fldCharType="begin"/>
        </w:r>
        <w:r>
          <w:rPr>
            <w:noProof/>
            <w:webHidden/>
          </w:rPr>
          <w:instrText xml:space="preserve"> PAGEREF _Toc56419385 \h </w:instrText>
        </w:r>
        <w:r>
          <w:rPr>
            <w:noProof/>
            <w:webHidden/>
          </w:rPr>
        </w:r>
        <w:r>
          <w:rPr>
            <w:noProof/>
            <w:webHidden/>
          </w:rPr>
          <w:fldChar w:fldCharType="separate"/>
        </w:r>
        <w:r>
          <w:rPr>
            <w:noProof/>
            <w:webHidden/>
          </w:rPr>
          <w:t>26</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86" w:history="1">
        <w:r>
          <w:rPr>
            <w:rStyle w:val="Hyperlink"/>
            <w:i/>
            <w:noProof/>
          </w:rPr>
          <w:t xml:space="preserve">8.1.1 </w:t>
        </w:r>
        <w:r>
          <w:rPr>
            <w:rFonts w:asciiTheme="minorHAnsi" w:eastAsiaTheme="minorEastAsia" w:hAnsiTheme="minorHAnsi" w:cstheme="minorBidi"/>
            <w:smallCaps w:val="0"/>
            <w:noProof/>
            <w:sz w:val="22"/>
            <w:szCs w:val="22"/>
            <w:lang w:val="en-US" w:eastAsia="en-US"/>
          </w:rPr>
          <w:tab/>
        </w:r>
        <w:r>
          <w:rPr>
            <w:rStyle w:val="Hyperlink"/>
            <w:i/>
            <w:noProof/>
          </w:rPr>
          <w:t>Soutien à la communauté chypriote turque</w:t>
        </w:r>
        <w:r>
          <w:rPr>
            <w:noProof/>
            <w:webHidden/>
          </w:rPr>
          <w:tab/>
        </w:r>
        <w:r>
          <w:rPr>
            <w:noProof/>
            <w:webHidden/>
          </w:rPr>
          <w:fldChar w:fldCharType="begin"/>
        </w:r>
        <w:r>
          <w:rPr>
            <w:noProof/>
            <w:webHidden/>
          </w:rPr>
          <w:instrText xml:space="preserve"> PAGEREF _Toc56419386 \h </w:instrText>
        </w:r>
        <w:r>
          <w:rPr>
            <w:noProof/>
            <w:webHidden/>
          </w:rPr>
        </w:r>
        <w:r>
          <w:rPr>
            <w:noProof/>
            <w:webHidden/>
          </w:rPr>
          <w:fldChar w:fldCharType="separate"/>
        </w:r>
        <w:r>
          <w:rPr>
            <w:noProof/>
            <w:webHidden/>
          </w:rPr>
          <w:t>26</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87" w:history="1">
        <w:r>
          <w:rPr>
            <w:rStyle w:val="Hyperlink"/>
            <w:i/>
            <w:noProof/>
          </w:rPr>
          <w:t xml:space="preserve">8.1.2 </w:t>
        </w:r>
        <w:r>
          <w:rPr>
            <w:rFonts w:asciiTheme="minorHAnsi" w:eastAsiaTheme="minorEastAsia" w:hAnsiTheme="minorHAnsi" w:cstheme="minorBidi"/>
            <w:smallCaps w:val="0"/>
            <w:noProof/>
            <w:sz w:val="22"/>
            <w:szCs w:val="22"/>
            <w:lang w:val="en-US" w:eastAsia="en-US"/>
          </w:rPr>
          <w:tab/>
        </w:r>
        <w:r>
          <w:rPr>
            <w:rStyle w:val="Hyperlink"/>
            <w:i/>
            <w:noProof/>
          </w:rPr>
          <w:t>Dialogue social</w:t>
        </w:r>
        <w:r>
          <w:rPr>
            <w:noProof/>
            <w:webHidden/>
          </w:rPr>
          <w:tab/>
        </w:r>
        <w:r>
          <w:rPr>
            <w:noProof/>
            <w:webHidden/>
          </w:rPr>
          <w:fldChar w:fldCharType="begin"/>
        </w:r>
        <w:r>
          <w:rPr>
            <w:noProof/>
            <w:webHidden/>
          </w:rPr>
          <w:instrText xml:space="preserve"> PAGEREF _Toc56419387 \h </w:instrText>
        </w:r>
        <w:r>
          <w:rPr>
            <w:noProof/>
            <w:webHidden/>
          </w:rPr>
        </w:r>
        <w:r>
          <w:rPr>
            <w:noProof/>
            <w:webHidden/>
          </w:rPr>
          <w:fldChar w:fldCharType="separate"/>
        </w:r>
        <w:r>
          <w:rPr>
            <w:noProof/>
            <w:webHidden/>
          </w:rPr>
          <w:t>26</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88" w:history="1">
        <w:r>
          <w:rPr>
            <w:rStyle w:val="Hyperlink"/>
            <w:b/>
            <w:noProof/>
          </w:rPr>
          <w:t xml:space="preserve">8.2 </w:t>
        </w:r>
        <w:r>
          <w:rPr>
            <w:rFonts w:asciiTheme="minorHAnsi" w:eastAsiaTheme="minorEastAsia" w:hAnsiTheme="minorHAnsi" w:cstheme="minorBidi"/>
            <w:smallCaps w:val="0"/>
            <w:noProof/>
            <w:sz w:val="22"/>
            <w:szCs w:val="22"/>
            <w:lang w:val="en-US" w:eastAsia="en-US"/>
          </w:rPr>
          <w:tab/>
        </w:r>
        <w:r>
          <w:rPr>
            <w:rStyle w:val="Hyperlink"/>
            <w:b/>
            <w:noProof/>
          </w:rPr>
          <w:t>Adaptation de la nomenclature</w:t>
        </w:r>
        <w:r>
          <w:rPr>
            <w:noProof/>
            <w:webHidden/>
          </w:rPr>
          <w:tab/>
        </w:r>
        <w:r>
          <w:rPr>
            <w:noProof/>
            <w:webHidden/>
          </w:rPr>
          <w:fldChar w:fldCharType="begin"/>
        </w:r>
        <w:r>
          <w:rPr>
            <w:noProof/>
            <w:webHidden/>
          </w:rPr>
          <w:instrText xml:space="preserve"> PAGEREF _Toc56419388 \h </w:instrText>
        </w:r>
        <w:r>
          <w:rPr>
            <w:noProof/>
            <w:webHidden/>
          </w:rPr>
        </w:r>
        <w:r>
          <w:rPr>
            <w:noProof/>
            <w:webHidden/>
          </w:rPr>
          <w:fldChar w:fldCharType="separate"/>
        </w:r>
        <w:r>
          <w:rPr>
            <w:noProof/>
            <w:webHidden/>
          </w:rPr>
          <w:t>27</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89" w:history="1">
        <w:r>
          <w:rPr>
            <w:rStyle w:val="Hyperlink"/>
            <w:i/>
            <w:noProof/>
          </w:rPr>
          <w:t xml:space="preserve">8.2.2 </w:t>
        </w:r>
        <w:r>
          <w:rPr>
            <w:rFonts w:asciiTheme="minorHAnsi" w:eastAsiaTheme="minorEastAsia" w:hAnsiTheme="minorHAnsi" w:cstheme="minorBidi"/>
            <w:smallCaps w:val="0"/>
            <w:noProof/>
            <w:sz w:val="22"/>
            <w:szCs w:val="22"/>
            <w:lang w:val="en-US" w:eastAsia="en-US"/>
          </w:rPr>
          <w:tab/>
        </w:r>
        <w:r>
          <w:rPr>
            <w:rStyle w:val="Hyperlink"/>
            <w:i/>
            <w:noProof/>
          </w:rPr>
          <w:t>Programme en faveur du marché unique</w:t>
        </w:r>
        <w:r>
          <w:rPr>
            <w:noProof/>
            <w:webHidden/>
          </w:rPr>
          <w:tab/>
        </w:r>
        <w:r>
          <w:rPr>
            <w:noProof/>
            <w:webHidden/>
          </w:rPr>
          <w:fldChar w:fldCharType="begin"/>
        </w:r>
        <w:r>
          <w:rPr>
            <w:noProof/>
            <w:webHidden/>
          </w:rPr>
          <w:instrText xml:space="preserve"> PAGEREF _Toc56419389 \h </w:instrText>
        </w:r>
        <w:r>
          <w:rPr>
            <w:noProof/>
            <w:webHidden/>
          </w:rPr>
        </w:r>
        <w:r>
          <w:rPr>
            <w:noProof/>
            <w:webHidden/>
          </w:rPr>
          <w:fldChar w:fldCharType="separate"/>
        </w:r>
        <w:r>
          <w:rPr>
            <w:noProof/>
            <w:webHidden/>
          </w:rPr>
          <w:t>28</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90" w:history="1">
        <w:r>
          <w:rPr>
            <w:rStyle w:val="Hyperlink"/>
            <w:i/>
            <w:noProof/>
          </w:rPr>
          <w:t xml:space="preserve">8.2.3 </w:t>
        </w:r>
        <w:r>
          <w:rPr>
            <w:rFonts w:asciiTheme="minorHAnsi" w:eastAsiaTheme="minorEastAsia" w:hAnsiTheme="minorHAnsi" w:cstheme="minorBidi"/>
            <w:smallCaps w:val="0"/>
            <w:noProof/>
            <w:sz w:val="22"/>
            <w:szCs w:val="22"/>
            <w:lang w:val="en-US" w:eastAsia="en-US"/>
          </w:rPr>
          <w:tab/>
        </w:r>
        <w:r>
          <w:rPr>
            <w:rStyle w:val="Hyperlink"/>
            <w:i/>
            <w:noProof/>
          </w:rPr>
          <w:t>Politique sociale (y compris dialogue social)</w:t>
        </w:r>
        <w:r>
          <w:rPr>
            <w:noProof/>
            <w:webHidden/>
          </w:rPr>
          <w:tab/>
        </w:r>
        <w:r>
          <w:rPr>
            <w:noProof/>
            <w:webHidden/>
          </w:rPr>
          <w:fldChar w:fldCharType="begin"/>
        </w:r>
        <w:r>
          <w:rPr>
            <w:noProof/>
            <w:webHidden/>
          </w:rPr>
          <w:instrText xml:space="preserve"> PAGEREF _Toc56419390 \h </w:instrText>
        </w:r>
        <w:r>
          <w:rPr>
            <w:noProof/>
            <w:webHidden/>
          </w:rPr>
        </w:r>
        <w:r>
          <w:rPr>
            <w:noProof/>
            <w:webHidden/>
          </w:rPr>
          <w:fldChar w:fldCharType="separate"/>
        </w:r>
        <w:r>
          <w:rPr>
            <w:noProof/>
            <w:webHidden/>
          </w:rPr>
          <w:t>28</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91" w:history="1">
        <w:r>
          <w:rPr>
            <w:rStyle w:val="Hyperlink"/>
            <w:i/>
            <w:noProof/>
          </w:rPr>
          <w:t>8.2.4</w:t>
        </w:r>
        <w:r>
          <w:rPr>
            <w:rFonts w:asciiTheme="minorHAnsi" w:eastAsiaTheme="minorEastAsia" w:hAnsiTheme="minorHAnsi" w:cstheme="minorBidi"/>
            <w:smallCaps w:val="0"/>
            <w:noProof/>
            <w:sz w:val="22"/>
            <w:szCs w:val="22"/>
            <w:lang w:val="en-US" w:eastAsia="en-US"/>
          </w:rPr>
          <w:tab/>
        </w:r>
        <w:r>
          <w:rPr>
            <w:rStyle w:val="Hyperlink"/>
            <w:i/>
            <w:noProof/>
          </w:rPr>
          <w:t>Extension de l'entreprise commune pour le calcul à haute performance européen (EuroHPC)</w:t>
        </w:r>
        <w:r>
          <w:rPr>
            <w:noProof/>
            <w:webHidden/>
          </w:rPr>
          <w:tab/>
        </w:r>
        <w:r>
          <w:rPr>
            <w:noProof/>
            <w:webHidden/>
          </w:rPr>
          <w:fldChar w:fldCharType="begin"/>
        </w:r>
        <w:r>
          <w:rPr>
            <w:noProof/>
            <w:webHidden/>
          </w:rPr>
          <w:instrText xml:space="preserve"> PAGEREF _Toc56419391 \h </w:instrText>
        </w:r>
        <w:r>
          <w:rPr>
            <w:noProof/>
            <w:webHidden/>
          </w:rPr>
        </w:r>
        <w:r>
          <w:rPr>
            <w:noProof/>
            <w:webHidden/>
          </w:rPr>
          <w:fldChar w:fldCharType="separate"/>
        </w:r>
        <w:r>
          <w:rPr>
            <w:noProof/>
            <w:webHidden/>
          </w:rPr>
          <w:t>29</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92" w:history="1">
        <w:r>
          <w:rPr>
            <w:rStyle w:val="Hyperlink"/>
            <w:i/>
            <w:noProof/>
          </w:rPr>
          <w:t xml:space="preserve">8.2.5 </w:t>
        </w:r>
        <w:r>
          <w:rPr>
            <w:rFonts w:asciiTheme="minorHAnsi" w:eastAsiaTheme="minorEastAsia" w:hAnsiTheme="minorHAnsi" w:cstheme="minorBidi"/>
            <w:smallCaps w:val="0"/>
            <w:noProof/>
            <w:sz w:val="22"/>
            <w:szCs w:val="22"/>
            <w:lang w:val="en-US" w:eastAsia="en-US"/>
          </w:rPr>
          <w:tab/>
        </w:r>
        <w:r>
          <w:rPr>
            <w:rStyle w:val="Hyperlink"/>
            <w:i/>
            <w:noProof/>
          </w:rPr>
          <w:t xml:space="preserve">Création </w:t>
        </w:r>
        <w:r>
          <w:rPr>
            <w:rStyle w:val="Hyperlink"/>
            <w:i/>
            <w:noProof/>
          </w:rPr>
          <w:t>de nouvelles lignes budgétaires pour les deux organes consultatifs</w:t>
        </w:r>
        <w:r>
          <w:rPr>
            <w:noProof/>
            <w:webHidden/>
          </w:rPr>
          <w:tab/>
        </w:r>
        <w:r>
          <w:rPr>
            <w:noProof/>
            <w:webHidden/>
          </w:rPr>
          <w:fldChar w:fldCharType="begin"/>
        </w:r>
        <w:r>
          <w:rPr>
            <w:noProof/>
            <w:webHidden/>
          </w:rPr>
          <w:instrText xml:space="preserve"> PAGEREF _Toc56419392 \h </w:instrText>
        </w:r>
        <w:r>
          <w:rPr>
            <w:noProof/>
            <w:webHidden/>
          </w:rPr>
        </w:r>
        <w:r>
          <w:rPr>
            <w:noProof/>
            <w:webHidden/>
          </w:rPr>
          <w:fldChar w:fldCharType="separate"/>
        </w:r>
        <w:r>
          <w:rPr>
            <w:noProof/>
            <w:webHidden/>
          </w:rPr>
          <w:t>29</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93" w:history="1">
        <w:r>
          <w:rPr>
            <w:rStyle w:val="Hyperlink"/>
            <w:i/>
            <w:noProof/>
          </w:rPr>
          <w:t xml:space="preserve">8.2.6 </w:t>
        </w:r>
        <w:r>
          <w:rPr>
            <w:rFonts w:asciiTheme="minorHAnsi" w:eastAsiaTheme="minorEastAsia" w:hAnsiTheme="minorHAnsi" w:cstheme="minorBidi"/>
            <w:smallCaps w:val="0"/>
            <w:noProof/>
            <w:sz w:val="22"/>
            <w:szCs w:val="22"/>
            <w:lang w:val="en-US" w:eastAsia="en-US"/>
          </w:rPr>
          <w:tab/>
        </w:r>
        <w:r>
          <w:rPr>
            <w:rStyle w:val="Hyperlink"/>
            <w:i/>
            <w:noProof/>
          </w:rPr>
          <w:t xml:space="preserve">Suppression de lignes budgétaires dans la section </w:t>
        </w:r>
        <w:r>
          <w:rPr>
            <w:rStyle w:val="Hyperlink"/>
            <w:i/>
            <w:noProof/>
          </w:rPr>
          <w:t>relative au Contrôleur européen de la protection des données</w:t>
        </w:r>
        <w:r>
          <w:rPr>
            <w:noProof/>
            <w:webHidden/>
          </w:rPr>
          <w:tab/>
        </w:r>
        <w:r>
          <w:rPr>
            <w:noProof/>
            <w:webHidden/>
          </w:rPr>
          <w:fldChar w:fldCharType="begin"/>
        </w:r>
        <w:r>
          <w:rPr>
            <w:noProof/>
            <w:webHidden/>
          </w:rPr>
          <w:instrText xml:space="preserve"> PAGEREF _Toc56419393 \h </w:instrText>
        </w:r>
        <w:r>
          <w:rPr>
            <w:noProof/>
            <w:webHidden/>
          </w:rPr>
        </w:r>
        <w:r>
          <w:rPr>
            <w:noProof/>
            <w:webHidden/>
          </w:rPr>
          <w:fldChar w:fldCharType="separate"/>
        </w:r>
        <w:r>
          <w:rPr>
            <w:noProof/>
            <w:webHidden/>
          </w:rPr>
          <w:t>29</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94" w:history="1">
        <w:r>
          <w:rPr>
            <w:rStyle w:val="Hyperlink"/>
            <w:b/>
            <w:noProof/>
          </w:rPr>
          <w:t xml:space="preserve">8.3 </w:t>
        </w:r>
        <w:r>
          <w:rPr>
            <w:rFonts w:asciiTheme="minorHAnsi" w:eastAsiaTheme="minorEastAsia" w:hAnsiTheme="minorHAnsi" w:cstheme="minorBidi"/>
            <w:smallCaps w:val="0"/>
            <w:noProof/>
            <w:sz w:val="22"/>
            <w:szCs w:val="22"/>
            <w:lang w:val="en-US" w:eastAsia="en-US"/>
          </w:rPr>
          <w:tab/>
        </w:r>
        <w:r>
          <w:rPr>
            <w:rStyle w:val="Hyperlink"/>
            <w:b/>
            <w:noProof/>
          </w:rPr>
          <w:t>Mises à jour techniques</w:t>
        </w:r>
        <w:r>
          <w:rPr>
            <w:noProof/>
            <w:webHidden/>
          </w:rPr>
          <w:tab/>
        </w:r>
        <w:r>
          <w:rPr>
            <w:noProof/>
            <w:webHidden/>
          </w:rPr>
          <w:fldChar w:fldCharType="begin"/>
        </w:r>
        <w:r>
          <w:rPr>
            <w:noProof/>
            <w:webHidden/>
          </w:rPr>
          <w:instrText xml:space="preserve"> PAGEREF _Toc56419394 \h </w:instrText>
        </w:r>
        <w:r>
          <w:rPr>
            <w:noProof/>
            <w:webHidden/>
          </w:rPr>
        </w:r>
        <w:r>
          <w:rPr>
            <w:noProof/>
            <w:webHidden/>
          </w:rPr>
          <w:fldChar w:fldCharType="separate"/>
        </w:r>
        <w:r>
          <w:rPr>
            <w:noProof/>
            <w:webHidden/>
          </w:rPr>
          <w:t>29</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95" w:history="1">
        <w:r>
          <w:rPr>
            <w:rStyle w:val="Hyperlink"/>
            <w:i/>
            <w:noProof/>
          </w:rPr>
          <w:t xml:space="preserve">8.3.1 </w:t>
        </w:r>
        <w:r>
          <w:rPr>
            <w:rFonts w:asciiTheme="minorHAnsi" w:eastAsiaTheme="minorEastAsia" w:hAnsiTheme="minorHAnsi" w:cstheme="minorBidi"/>
            <w:smallCaps w:val="0"/>
            <w:noProof/>
            <w:sz w:val="22"/>
            <w:szCs w:val="22"/>
            <w:lang w:val="en-US" w:eastAsia="en-US"/>
          </w:rPr>
          <w:tab/>
        </w:r>
        <w:r>
          <w:rPr>
            <w:rStyle w:val="Hyperlink"/>
            <w:i/>
            <w:noProof/>
          </w:rPr>
          <w:t>Modification des tableaux des effectifs après le recours à l’article 53, paragraphe 1, du règlement financier</w:t>
        </w:r>
        <w:r>
          <w:rPr>
            <w:noProof/>
            <w:webHidden/>
          </w:rPr>
          <w:tab/>
        </w:r>
        <w:r>
          <w:rPr>
            <w:noProof/>
            <w:webHidden/>
          </w:rPr>
          <w:fldChar w:fldCharType="begin"/>
        </w:r>
        <w:r>
          <w:rPr>
            <w:noProof/>
            <w:webHidden/>
          </w:rPr>
          <w:instrText xml:space="preserve"> PAGEREF _Toc56419395 \h </w:instrText>
        </w:r>
        <w:r>
          <w:rPr>
            <w:noProof/>
            <w:webHidden/>
          </w:rPr>
        </w:r>
        <w:r>
          <w:rPr>
            <w:noProof/>
            <w:webHidden/>
          </w:rPr>
          <w:fldChar w:fldCharType="separate"/>
        </w:r>
        <w:r>
          <w:rPr>
            <w:noProof/>
            <w:webHidden/>
          </w:rPr>
          <w:t>29</w:t>
        </w:r>
        <w:r>
          <w:rPr>
            <w:noProof/>
            <w:webHidden/>
          </w:rPr>
          <w:fldChar w:fldCharType="end"/>
        </w:r>
      </w:hyperlink>
    </w:p>
    <w:p w:rsidR="007119D4" w:rsidRDefault="00EC0158">
      <w:pPr>
        <w:pStyle w:val="TOC2"/>
        <w:rPr>
          <w:rFonts w:asciiTheme="minorHAnsi" w:eastAsiaTheme="minorEastAsia" w:hAnsiTheme="minorHAnsi" w:cstheme="minorBidi"/>
          <w:smallCaps w:val="0"/>
          <w:noProof/>
          <w:sz w:val="22"/>
          <w:szCs w:val="22"/>
          <w:lang w:val="en-US" w:eastAsia="en-US"/>
        </w:rPr>
      </w:pPr>
      <w:hyperlink w:anchor="_Toc56419396" w:history="1">
        <w:r>
          <w:rPr>
            <w:rStyle w:val="Hyperlink"/>
            <w:i/>
            <w:noProof/>
          </w:rPr>
          <w:t>8.3.1</w:t>
        </w:r>
        <w:r>
          <w:rPr>
            <w:rFonts w:asciiTheme="minorHAnsi" w:eastAsiaTheme="minorEastAsia" w:hAnsiTheme="minorHAnsi" w:cstheme="minorBidi"/>
            <w:smallCaps w:val="0"/>
            <w:noProof/>
            <w:sz w:val="22"/>
            <w:szCs w:val="22"/>
            <w:lang w:val="en-US" w:eastAsia="en-US"/>
          </w:rPr>
          <w:tab/>
        </w:r>
        <w:r>
          <w:rPr>
            <w:rStyle w:val="Hyperlink"/>
            <w:i/>
            <w:noProof/>
          </w:rPr>
          <w:t>Modification du libellé de certains commentaires budgétaires</w:t>
        </w:r>
        <w:r>
          <w:rPr>
            <w:noProof/>
            <w:webHidden/>
          </w:rPr>
          <w:tab/>
        </w:r>
        <w:r>
          <w:rPr>
            <w:noProof/>
            <w:webHidden/>
          </w:rPr>
          <w:fldChar w:fldCharType="begin"/>
        </w:r>
        <w:r>
          <w:rPr>
            <w:noProof/>
            <w:webHidden/>
          </w:rPr>
          <w:instrText xml:space="preserve"> PAGEREF _Toc56419396 \h </w:instrText>
        </w:r>
        <w:r>
          <w:rPr>
            <w:noProof/>
            <w:webHidden/>
          </w:rPr>
        </w:r>
        <w:r>
          <w:rPr>
            <w:noProof/>
            <w:webHidden/>
          </w:rPr>
          <w:fldChar w:fldCharType="separate"/>
        </w:r>
        <w:r>
          <w:rPr>
            <w:noProof/>
            <w:webHidden/>
          </w:rPr>
          <w:t>29</w:t>
        </w:r>
        <w:r>
          <w:rPr>
            <w:noProof/>
            <w:webHidden/>
          </w:rPr>
          <w:fldChar w:fldCharType="end"/>
        </w:r>
      </w:hyperlink>
    </w:p>
    <w:p w:rsidR="007119D4" w:rsidRDefault="00EC0158">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hyperlink w:anchor="_Toc56419397" w:history="1">
        <w:r>
          <w:rPr>
            <w:rStyle w:val="Hyperlink"/>
            <w:noProof/>
          </w:rPr>
          <w:t>9.</w:t>
        </w:r>
        <w:r>
          <w:rPr>
            <w:rFonts w:asciiTheme="minorHAnsi" w:eastAsiaTheme="minorEastAsia" w:hAnsiTheme="minorHAnsi" w:cstheme="minorBidi"/>
            <w:b w:val="0"/>
            <w:bCs w:val="0"/>
            <w:caps w:val="0"/>
            <w:noProof/>
            <w:sz w:val="22"/>
            <w:szCs w:val="22"/>
            <w:lang w:val="en-US" w:eastAsia="en-US"/>
          </w:rPr>
          <w:tab/>
        </w:r>
        <w:r>
          <w:rPr>
            <w:rStyle w:val="Hyperlink"/>
            <w:noProof/>
          </w:rPr>
          <w:t>Tableau récapitulatif par rubrique du CFP</w:t>
        </w:r>
        <w:r>
          <w:rPr>
            <w:noProof/>
            <w:webHidden/>
          </w:rPr>
          <w:tab/>
        </w:r>
        <w:r>
          <w:rPr>
            <w:noProof/>
            <w:webHidden/>
          </w:rPr>
          <w:fldChar w:fldCharType="begin"/>
        </w:r>
        <w:r>
          <w:rPr>
            <w:noProof/>
            <w:webHidden/>
          </w:rPr>
          <w:instrText xml:space="preserve"> PAGEREF _Toc56419397 \h </w:instrText>
        </w:r>
        <w:r>
          <w:rPr>
            <w:noProof/>
            <w:webHidden/>
          </w:rPr>
        </w:r>
        <w:r>
          <w:rPr>
            <w:noProof/>
            <w:webHidden/>
          </w:rPr>
          <w:fldChar w:fldCharType="separate"/>
        </w:r>
        <w:r>
          <w:rPr>
            <w:noProof/>
            <w:webHidden/>
          </w:rPr>
          <w:t>30</w:t>
        </w:r>
        <w:r>
          <w:rPr>
            <w:noProof/>
            <w:webHidden/>
          </w:rPr>
          <w:fldChar w:fldCharType="end"/>
        </w:r>
      </w:hyperlink>
    </w:p>
    <w:p w:rsidR="007119D4" w:rsidRDefault="00EC0158">
      <w:pPr>
        <w:rPr>
          <w:noProof/>
          <w:sz w:val="18"/>
          <w:szCs w:val="18"/>
        </w:rPr>
        <w:sectPr w:rsidR="007119D4">
          <w:headerReference w:type="even" r:id="rId22"/>
          <w:headerReference w:type="default" r:id="rId23"/>
          <w:footerReference w:type="even" r:id="rId24"/>
          <w:footerReference w:type="default" r:id="rId25"/>
          <w:headerReference w:type="first" r:id="rId26"/>
          <w:footerReference w:type="first" r:id="rId27"/>
          <w:pgSz w:w="11907" w:h="16839"/>
          <w:pgMar w:top="826" w:right="1418" w:bottom="1418" w:left="1418" w:header="284" w:footer="709" w:gutter="0"/>
          <w:cols w:space="720"/>
        </w:sectPr>
      </w:pPr>
      <w:r>
        <w:rPr>
          <w:rFonts w:ascii="10" w:hAnsi="10"/>
          <w:noProof/>
          <w:sz w:val="18"/>
          <w:szCs w:val="18"/>
        </w:rPr>
        <w:fldChar w:fldCharType="end"/>
      </w:r>
    </w:p>
    <w:p w:rsidR="007119D4" w:rsidRDefault="00EC0158">
      <w:pPr>
        <w:pStyle w:val="ManualHeading1"/>
        <w:spacing w:before="240"/>
        <w:ind w:left="0" w:firstLine="0"/>
        <w:rPr>
          <w:noProof/>
        </w:rPr>
      </w:pPr>
      <w:bookmarkStart w:id="8" w:name="_Toc462410042"/>
      <w:bookmarkStart w:id="9" w:name="_Toc526753779"/>
      <w:bookmarkStart w:id="10" w:name="_Toc54770308"/>
      <w:bookmarkStart w:id="11" w:name="_Toc55807118"/>
      <w:bookmarkStart w:id="12" w:name="_Toc56419347"/>
      <w:bookmarkStart w:id="13" w:name="_Toc385506031"/>
      <w:bookmarkStart w:id="14" w:name="_Toc430865946"/>
      <w:bookmarkStart w:id="15" w:name="_Toc430867524"/>
      <w:bookmarkStart w:id="16" w:name="_Toc463264162"/>
      <w:bookmarkStart w:id="17" w:name="_Toc351469332"/>
      <w:bookmarkStart w:id="18" w:name="_Toc361649879"/>
      <w:r>
        <w:rPr>
          <w:noProof/>
        </w:rPr>
        <w:lastRenderedPageBreak/>
        <w:t>1.</w:t>
      </w:r>
      <w:r>
        <w:rPr>
          <w:noProof/>
        </w:rPr>
        <w:tab/>
      </w:r>
      <w:bookmarkEnd w:id="8"/>
      <w:bookmarkEnd w:id="9"/>
      <w:bookmarkEnd w:id="10"/>
      <w:bookmarkEnd w:id="11"/>
      <w:r>
        <w:rPr>
          <w:noProof/>
        </w:rPr>
        <w:t>Introduction</w:t>
      </w:r>
      <w:bookmarkEnd w:id="12"/>
    </w:p>
    <w:bookmarkEnd w:id="2"/>
    <w:bookmarkEnd w:id="3"/>
    <w:bookmarkEnd w:id="4"/>
    <w:bookmarkEnd w:id="5"/>
    <w:bookmarkEnd w:id="6"/>
    <w:bookmarkEnd w:id="7"/>
    <w:bookmarkEnd w:id="13"/>
    <w:bookmarkEnd w:id="14"/>
    <w:bookmarkEnd w:id="15"/>
    <w:bookmarkEnd w:id="16"/>
    <w:bookmarkEnd w:id="17"/>
    <w:bookmarkEnd w:id="18"/>
    <w:p w:rsidR="007119D4" w:rsidRDefault="00EC0158">
      <w:pPr>
        <w:spacing w:before="120" w:after="120"/>
        <w:jc w:val="both"/>
        <w:rPr>
          <w:noProof/>
          <w:szCs w:val="20"/>
        </w:rPr>
      </w:pPr>
      <w:r>
        <w:rPr>
          <w:noProof/>
        </w:rPr>
        <w:t>La lettre rectificative nº 1 (LR nº 1/2021) au projet de budget pour l’exercice 2021 (PB 2021) porte sur les éléments exp</w:t>
      </w:r>
      <w:r>
        <w:rPr>
          <w:noProof/>
        </w:rPr>
        <w:t>osés ci-après:</w:t>
      </w:r>
    </w:p>
    <w:p w:rsidR="007119D4" w:rsidRDefault="00EC0158">
      <w:pPr>
        <w:numPr>
          <w:ilvl w:val="0"/>
          <w:numId w:val="10"/>
        </w:numPr>
        <w:spacing w:before="120" w:after="120"/>
        <w:jc w:val="both"/>
        <w:rPr>
          <w:noProof/>
          <w:szCs w:val="20"/>
        </w:rPr>
      </w:pPr>
      <w:r>
        <w:rPr>
          <w:noProof/>
        </w:rPr>
        <w:t>l’intégration de l’accord intervenu entre le Parlement européen et le Conseil sur le prochain cadre financier pluriannuel 2021-2027 («CFP») lors du trilogue du 10 novembre. Ce résultat s'appuie sur l’accord intervenu lors du Conseil européen</w:t>
      </w:r>
      <w:r>
        <w:rPr>
          <w:noProof/>
        </w:rPr>
        <w:t xml:space="preserve"> extraordinaire qui s'est tenu du 17 au 21 juillet</w:t>
      </w:r>
      <w:r>
        <w:rPr>
          <w:rStyle w:val="FootnoteReference"/>
          <w:noProof/>
          <w:szCs w:val="20"/>
          <w:lang w:eastAsia="de-DE"/>
        </w:rPr>
        <w:footnoteReference w:id="4"/>
      </w:r>
      <w:r>
        <w:rPr>
          <w:noProof/>
        </w:rPr>
        <w:t xml:space="preserve"> et a une incidence sur un certain nombre de programmes de dépenses et d’instruments spéciaux concernant le niveau des crédits, la structure des rubriques et de la nomenclature ainsi que le contenu des com</w:t>
      </w:r>
      <w:r>
        <w:rPr>
          <w:noProof/>
        </w:rPr>
        <w:t>mentaires budgétaires (notamment en ce qui concerne la contribution du plan de relance pour l'Europe, Next Generation EU);</w:t>
      </w:r>
    </w:p>
    <w:p w:rsidR="007119D4" w:rsidRDefault="00EC0158">
      <w:pPr>
        <w:numPr>
          <w:ilvl w:val="0"/>
          <w:numId w:val="10"/>
        </w:numPr>
        <w:spacing w:before="120" w:after="120"/>
        <w:jc w:val="both"/>
        <w:rPr>
          <w:noProof/>
          <w:szCs w:val="20"/>
        </w:rPr>
      </w:pPr>
      <w:r>
        <w:rPr>
          <w:noProof/>
        </w:rPr>
        <w:t>l'actualisation de l'estimation des besoins, des recettes affectées et des crédits pour les dépenses agricoles. Outre la modification</w:t>
      </w:r>
      <w:r>
        <w:rPr>
          <w:noProof/>
        </w:rPr>
        <w:t xml:space="preserve"> des éléments de marché, la LR nº 1/2021 tient également compte de l’incidence des décisions agricoles adoptées depuis l'adoption du PB 2021, en juillet 2020, ainsi que d'autres propositions qui sont susceptibles d'avoir un effet important au cours de l'ex</w:t>
      </w:r>
      <w:r>
        <w:rPr>
          <w:noProof/>
        </w:rPr>
        <w:t>ercice budgétaire à venir;</w:t>
      </w:r>
    </w:p>
    <w:p w:rsidR="007119D4" w:rsidRDefault="00EC0158">
      <w:pPr>
        <w:numPr>
          <w:ilvl w:val="0"/>
          <w:numId w:val="10"/>
        </w:numPr>
        <w:spacing w:before="120" w:after="120"/>
        <w:jc w:val="both"/>
        <w:rPr>
          <w:noProof/>
          <w:szCs w:val="20"/>
        </w:rPr>
      </w:pPr>
      <w:r>
        <w:rPr>
          <w:noProof/>
        </w:rPr>
        <w:t>les ajustements résultant de la prochaine présentation au comité des agences exécutives</w:t>
      </w:r>
      <w:r>
        <w:rPr>
          <w:rStyle w:val="FootnoteReference"/>
          <w:noProof/>
          <w:szCs w:val="20"/>
        </w:rPr>
        <w:footnoteReference w:id="5"/>
      </w:r>
      <w:r>
        <w:rPr>
          <w:noProof/>
        </w:rPr>
        <w:t xml:space="preserve"> pour avis, ainsi qu’au Conseil et au Parlement européen pour un contrôle de six semaines, de la proposition d’acte constitutif unique établi</w:t>
      </w:r>
      <w:r>
        <w:rPr>
          <w:noProof/>
        </w:rPr>
        <w:t>ssant les principaux éléments du mandat et les tâches confiés à la nouvelle génération d'agences exécutives à compter de 2021. Ces ajustements, en ce qui concerne la nomenclature, les crédits et les tableaux des effectifs, demeurent fondés sur l’accord qui</w:t>
      </w:r>
      <w:r>
        <w:rPr>
          <w:noProof/>
        </w:rPr>
        <w:t xml:space="preserve"> s'est dégagé lors du Conseil européen extraordinaire qui a eu lieu du 17 au 21 juillet et seront encore actualisés pour tenir compte de l’accord politique intervenu sur le prochain CFP une fois que l’acte constitutif unique aura été finalisé;</w:t>
      </w:r>
    </w:p>
    <w:p w:rsidR="007119D4" w:rsidRDefault="00EC0158">
      <w:pPr>
        <w:numPr>
          <w:ilvl w:val="0"/>
          <w:numId w:val="10"/>
        </w:numPr>
        <w:spacing w:before="120" w:after="120"/>
        <w:jc w:val="both"/>
        <w:rPr>
          <w:noProof/>
          <w:szCs w:val="20"/>
        </w:rPr>
      </w:pPr>
      <w:r>
        <w:rPr>
          <w:noProof/>
        </w:rPr>
        <w:t>les ajusteme</w:t>
      </w:r>
      <w:r>
        <w:rPr>
          <w:noProof/>
        </w:rPr>
        <w:t>nts apportés au niveau des crédits et/ou des effectifs de certains organismes décentralisés (EMA, ECDC, ECHA, AEE, ABE et EASO) en tenant compte des derniers développements législatifs ou politiques concernant leurs activités pour 2021 et en particulier de</w:t>
      </w:r>
      <w:r>
        <w:rPr>
          <w:noProof/>
        </w:rPr>
        <w:t xml:space="preserve"> l’incidence du «paquet santé» proposé par la Commission le 11 novembre;</w:t>
      </w:r>
    </w:p>
    <w:p w:rsidR="007119D4" w:rsidRDefault="00EC0158">
      <w:pPr>
        <w:numPr>
          <w:ilvl w:val="0"/>
          <w:numId w:val="10"/>
        </w:numPr>
        <w:spacing w:before="120" w:after="120"/>
        <w:jc w:val="both"/>
        <w:rPr>
          <w:noProof/>
        </w:rPr>
      </w:pPr>
      <w:r>
        <w:rPr>
          <w:noProof/>
        </w:rPr>
        <w:t>les ajustements apportés à la rubrique 7 «Administration publique européenne», notamment l’incidence de la réduction du taux d’actualisation des rémunérations au 1</w:t>
      </w:r>
      <w:r>
        <w:rPr>
          <w:noProof/>
          <w:vertAlign w:val="superscript"/>
        </w:rPr>
        <w:t>er</w:t>
      </w:r>
      <w:r>
        <w:rPr>
          <w:noProof/>
        </w:rPr>
        <w:t> juillet 2020 util</w:t>
      </w:r>
      <w:r>
        <w:rPr>
          <w:noProof/>
        </w:rPr>
        <w:t xml:space="preserve">isé pour le PB 2021, qui passe de 0,9 % à 0,7 %, et le renforcement du service européen pour l’action extérieure (SEAE) en ce qui concerne la gouvernance de la facilité européenne pour la paix, mécanisme hors budget, ainsi que le renforcement des services </w:t>
      </w:r>
      <w:r>
        <w:rPr>
          <w:noProof/>
        </w:rPr>
        <w:t>consulaires; et</w:t>
      </w:r>
    </w:p>
    <w:p w:rsidR="007119D4" w:rsidRDefault="00EC0158">
      <w:pPr>
        <w:numPr>
          <w:ilvl w:val="0"/>
          <w:numId w:val="10"/>
        </w:numPr>
        <w:spacing w:before="120" w:after="120"/>
        <w:jc w:val="both"/>
        <w:rPr>
          <w:noProof/>
          <w:szCs w:val="20"/>
        </w:rPr>
      </w:pPr>
      <w:r>
        <w:rPr>
          <w:noProof/>
        </w:rPr>
        <w:t>d'autres ajustements et actualisations techniques, portant notamment sur la structure du budget (nomenclature).</w:t>
      </w:r>
    </w:p>
    <w:p w:rsidR="007119D4" w:rsidRDefault="00EC0158">
      <w:pPr>
        <w:spacing w:after="200"/>
        <w:jc w:val="both"/>
        <w:rPr>
          <w:noProof/>
          <w:szCs w:val="20"/>
        </w:rPr>
      </w:pPr>
      <w:bookmarkStart w:id="19" w:name="_Toc463264163"/>
      <w:r>
        <w:rPr>
          <w:noProof/>
        </w:rPr>
        <w:t xml:space="preserve">Globalement, l’incidence nette de la LR nº 1/2021 sur les dépenses dans le PB 2021 est une diminution de 2 608,8 millions d’EUR </w:t>
      </w:r>
      <w:r>
        <w:rPr>
          <w:noProof/>
        </w:rPr>
        <w:t>en crédits d’engagement et une augmentation de 2 609,3 millions d’EUR en crédits de paiement, que l'on peut ventiler comme suit:</w:t>
      </w:r>
    </w:p>
    <w:tbl>
      <w:tblPr>
        <w:tblW w:w="9840" w:type="dxa"/>
        <w:tblInd w:w="108" w:type="dxa"/>
        <w:tblLook w:val="04A0" w:firstRow="1" w:lastRow="0" w:firstColumn="1" w:lastColumn="0" w:noHBand="0" w:noVBand="1"/>
      </w:tblPr>
      <w:tblGrid>
        <w:gridCol w:w="6360"/>
        <w:gridCol w:w="1780"/>
        <w:gridCol w:w="1700"/>
      </w:tblGrid>
      <w:tr w:rsidR="007119D4">
        <w:trPr>
          <w:trHeight w:val="300"/>
          <w:tblHeader/>
        </w:trPr>
        <w:tc>
          <w:tcPr>
            <w:tcW w:w="6360" w:type="dxa"/>
            <w:tcBorders>
              <w:top w:val="nil"/>
              <w:left w:val="nil"/>
              <w:bottom w:val="nil"/>
              <w:right w:val="nil"/>
            </w:tcBorders>
            <w:shd w:val="clear" w:color="auto" w:fill="auto"/>
            <w:noWrap/>
            <w:vAlign w:val="center"/>
            <w:hideMark/>
          </w:tcPr>
          <w:p w:rsidR="007119D4" w:rsidRDefault="007119D4">
            <w:pPr>
              <w:rPr>
                <w:noProof/>
                <w:sz w:val="20"/>
                <w:szCs w:val="20"/>
              </w:rPr>
            </w:pPr>
            <w:bookmarkStart w:id="20" w:name="_Toc526753780"/>
          </w:p>
        </w:tc>
        <w:tc>
          <w:tcPr>
            <w:tcW w:w="1780" w:type="dxa"/>
            <w:tcBorders>
              <w:top w:val="nil"/>
              <w:left w:val="nil"/>
              <w:bottom w:val="nil"/>
              <w:right w:val="nil"/>
            </w:tcBorders>
            <w:shd w:val="clear" w:color="auto" w:fill="auto"/>
            <w:noWrap/>
            <w:vAlign w:val="center"/>
            <w:hideMark/>
          </w:tcPr>
          <w:p w:rsidR="007119D4" w:rsidRDefault="007119D4">
            <w:pPr>
              <w:rPr>
                <w:noProof/>
                <w:sz w:val="20"/>
                <w:szCs w:val="20"/>
                <w:lang w:val="fr-BE" w:eastAsia="en-US"/>
              </w:rPr>
            </w:pPr>
          </w:p>
        </w:tc>
        <w:tc>
          <w:tcPr>
            <w:tcW w:w="1700" w:type="dxa"/>
            <w:tcBorders>
              <w:top w:val="nil"/>
              <w:left w:val="nil"/>
              <w:bottom w:val="nil"/>
              <w:right w:val="nil"/>
            </w:tcBorders>
            <w:shd w:val="clear" w:color="auto" w:fill="auto"/>
            <w:noWrap/>
            <w:vAlign w:val="center"/>
            <w:hideMark/>
          </w:tcPr>
          <w:p w:rsidR="007119D4" w:rsidRDefault="00EC0158">
            <w:pPr>
              <w:jc w:val="right"/>
              <w:rPr>
                <w:i/>
                <w:iCs/>
                <w:noProof/>
                <w:color w:val="000000"/>
                <w:sz w:val="16"/>
                <w:szCs w:val="16"/>
              </w:rPr>
            </w:pPr>
            <w:r>
              <w:rPr>
                <w:i/>
                <w:iCs/>
                <w:noProof/>
                <w:color w:val="000000"/>
                <w:sz w:val="16"/>
                <w:szCs w:val="16"/>
              </w:rPr>
              <w:t>(en Mio EUR)</w:t>
            </w:r>
          </w:p>
        </w:tc>
      </w:tr>
      <w:tr w:rsidR="007119D4">
        <w:trPr>
          <w:trHeight w:val="300"/>
          <w:tblHeader/>
        </w:trPr>
        <w:tc>
          <w:tcPr>
            <w:tcW w:w="6360" w:type="dxa"/>
            <w:tcBorders>
              <w:top w:val="single" w:sz="4" w:space="0" w:color="auto"/>
              <w:left w:val="single" w:sz="4" w:space="0" w:color="auto"/>
              <w:bottom w:val="nil"/>
              <w:right w:val="single" w:sz="4" w:space="0" w:color="auto"/>
            </w:tcBorders>
            <w:shd w:val="clear" w:color="000000" w:fill="D9D9D9"/>
            <w:vAlign w:val="center"/>
            <w:hideMark/>
          </w:tcPr>
          <w:p w:rsidR="007119D4" w:rsidRDefault="00EC0158">
            <w:pPr>
              <w:jc w:val="center"/>
              <w:rPr>
                <w:b/>
                <w:bCs/>
                <w:noProof/>
                <w:color w:val="000000"/>
                <w:sz w:val="22"/>
                <w:szCs w:val="22"/>
              </w:rPr>
            </w:pPr>
            <w:r>
              <w:rPr>
                <w:b/>
                <w:bCs/>
                <w:noProof/>
                <w:color w:val="000000"/>
                <w:sz w:val="22"/>
                <w:szCs w:val="22"/>
              </w:rPr>
              <w:t>Programme</w:t>
            </w:r>
          </w:p>
        </w:tc>
        <w:tc>
          <w:tcPr>
            <w:tcW w:w="1780" w:type="dxa"/>
            <w:tcBorders>
              <w:top w:val="single" w:sz="4" w:space="0" w:color="auto"/>
              <w:left w:val="nil"/>
              <w:bottom w:val="nil"/>
              <w:right w:val="single" w:sz="4" w:space="0" w:color="auto"/>
            </w:tcBorders>
            <w:shd w:val="clear" w:color="000000" w:fill="D9D9D9"/>
            <w:vAlign w:val="center"/>
            <w:hideMark/>
          </w:tcPr>
          <w:p w:rsidR="007119D4" w:rsidRDefault="00EC0158">
            <w:pPr>
              <w:jc w:val="center"/>
              <w:rPr>
                <w:b/>
                <w:bCs/>
                <w:noProof/>
                <w:color w:val="000000"/>
                <w:sz w:val="22"/>
                <w:szCs w:val="22"/>
              </w:rPr>
            </w:pPr>
            <w:r>
              <w:rPr>
                <w:b/>
                <w:bCs/>
                <w:noProof/>
                <w:color w:val="000000"/>
                <w:sz w:val="22"/>
                <w:szCs w:val="22"/>
              </w:rPr>
              <w:t>Crédits d'engagement</w:t>
            </w:r>
          </w:p>
        </w:tc>
        <w:tc>
          <w:tcPr>
            <w:tcW w:w="1700" w:type="dxa"/>
            <w:tcBorders>
              <w:top w:val="single" w:sz="4" w:space="0" w:color="auto"/>
              <w:left w:val="nil"/>
              <w:bottom w:val="nil"/>
              <w:right w:val="single" w:sz="4" w:space="0" w:color="auto"/>
            </w:tcBorders>
            <w:shd w:val="clear" w:color="000000" w:fill="D9D9D9"/>
            <w:vAlign w:val="center"/>
            <w:hideMark/>
          </w:tcPr>
          <w:p w:rsidR="007119D4" w:rsidRDefault="00EC0158">
            <w:pPr>
              <w:jc w:val="center"/>
              <w:rPr>
                <w:b/>
                <w:bCs/>
                <w:noProof/>
                <w:color w:val="000000"/>
                <w:sz w:val="22"/>
                <w:szCs w:val="22"/>
              </w:rPr>
            </w:pPr>
            <w:r>
              <w:rPr>
                <w:b/>
                <w:bCs/>
                <w:noProof/>
                <w:color w:val="000000"/>
                <w:sz w:val="22"/>
                <w:szCs w:val="22"/>
              </w:rPr>
              <w:t>Crédits de paiement</w:t>
            </w:r>
          </w:p>
        </w:tc>
      </w:tr>
      <w:tr w:rsidR="007119D4">
        <w:trPr>
          <w:trHeight w:val="300"/>
        </w:trPr>
        <w:tc>
          <w:tcPr>
            <w:tcW w:w="6360" w:type="dxa"/>
            <w:tcBorders>
              <w:top w:val="single" w:sz="4" w:space="0" w:color="auto"/>
              <w:left w:val="single" w:sz="4" w:space="0" w:color="auto"/>
              <w:bottom w:val="nil"/>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 xml:space="preserve">Ajustements résultant de l’accord du Conseil européen </w:t>
            </w:r>
            <w:r>
              <w:rPr>
                <w:noProof/>
                <w:color w:val="000000"/>
                <w:sz w:val="22"/>
                <w:szCs w:val="22"/>
              </w:rPr>
              <w:t>extraordinaire de juillet 2020</w:t>
            </w:r>
          </w:p>
        </w:tc>
        <w:tc>
          <w:tcPr>
            <w:tcW w:w="1780" w:type="dxa"/>
            <w:tcBorders>
              <w:top w:val="single" w:sz="4" w:space="0" w:color="auto"/>
              <w:left w:val="nil"/>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 </w:t>
            </w:r>
          </w:p>
        </w:tc>
        <w:tc>
          <w:tcPr>
            <w:tcW w:w="1700" w:type="dxa"/>
            <w:tcBorders>
              <w:top w:val="single" w:sz="4" w:space="0" w:color="auto"/>
              <w:left w:val="nil"/>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 </w:t>
            </w:r>
          </w:p>
        </w:tc>
      </w:tr>
      <w:tr w:rsidR="007119D4">
        <w:trPr>
          <w:trHeight w:val="300"/>
        </w:trPr>
        <w:tc>
          <w:tcPr>
            <w:tcW w:w="6360" w:type="dxa"/>
            <w:tcBorders>
              <w:top w:val="nil"/>
              <w:left w:val="single" w:sz="4" w:space="0" w:color="auto"/>
              <w:bottom w:val="nil"/>
              <w:right w:val="single" w:sz="4" w:space="0" w:color="auto"/>
            </w:tcBorders>
            <w:shd w:val="clear" w:color="auto" w:fill="auto"/>
            <w:vAlign w:val="center"/>
            <w:hideMark/>
          </w:tcPr>
          <w:p w:rsidR="007119D4" w:rsidRDefault="00EC0158">
            <w:pPr>
              <w:ind w:firstLineChars="200" w:firstLine="440"/>
              <w:rPr>
                <w:noProof/>
                <w:color w:val="000000"/>
                <w:sz w:val="22"/>
                <w:szCs w:val="22"/>
              </w:rPr>
            </w:pPr>
            <w:r>
              <w:rPr>
                <w:noProof/>
                <w:color w:val="000000"/>
                <w:sz w:val="22"/>
                <w:szCs w:val="22"/>
              </w:rPr>
              <w:t>pour les programmes de dépenses</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-749,4</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189,9</w:t>
            </w:r>
          </w:p>
        </w:tc>
      </w:tr>
      <w:tr w:rsidR="007119D4">
        <w:trPr>
          <w:trHeight w:val="300"/>
        </w:trPr>
        <w:tc>
          <w:tcPr>
            <w:tcW w:w="6360" w:type="dxa"/>
            <w:tcBorders>
              <w:top w:val="nil"/>
              <w:left w:val="single" w:sz="4" w:space="0" w:color="auto"/>
              <w:bottom w:val="nil"/>
              <w:right w:val="single" w:sz="4" w:space="0" w:color="auto"/>
            </w:tcBorders>
            <w:shd w:val="clear" w:color="auto" w:fill="auto"/>
            <w:vAlign w:val="center"/>
            <w:hideMark/>
          </w:tcPr>
          <w:p w:rsidR="007119D4" w:rsidRDefault="00EC0158">
            <w:pPr>
              <w:ind w:firstLineChars="200" w:firstLine="440"/>
              <w:rPr>
                <w:noProof/>
                <w:color w:val="000000"/>
                <w:sz w:val="22"/>
                <w:szCs w:val="22"/>
              </w:rPr>
            </w:pPr>
            <w:r>
              <w:rPr>
                <w:noProof/>
                <w:color w:val="000000"/>
                <w:sz w:val="22"/>
                <w:szCs w:val="22"/>
              </w:rPr>
              <w:t>pour les instruments spéciaux thématiques</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-2 172,4</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-368,4</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Ajustements résultant de l’accord politique du 10 novembre 2020</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249,4</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151,3</w:t>
            </w:r>
          </w:p>
        </w:tc>
      </w:tr>
      <w:tr w:rsidR="007119D4">
        <w:trPr>
          <w:trHeight w:val="300"/>
        </w:trPr>
        <w:tc>
          <w:tcPr>
            <w:tcW w:w="6360" w:type="dxa"/>
            <w:tcBorders>
              <w:top w:val="nil"/>
              <w:left w:val="single" w:sz="4" w:space="0" w:color="auto"/>
              <w:bottom w:val="nil"/>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 xml:space="preserve">Modifications des taux de </w:t>
            </w:r>
            <w:r>
              <w:rPr>
                <w:noProof/>
                <w:color w:val="000000"/>
                <w:sz w:val="22"/>
                <w:szCs w:val="22"/>
              </w:rPr>
              <w:t xml:space="preserve">préfinancement pour les Fonds structurels </w:t>
            </w:r>
            <w:r>
              <w:rPr>
                <w:noProof/>
                <w:color w:val="000000"/>
                <w:sz w:val="22"/>
                <w:szCs w:val="22"/>
              </w:rPr>
              <w:lastRenderedPageBreak/>
              <w:t>et d’investissement européens (Fonds ESI) pour 2014-2020</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lastRenderedPageBreak/>
              <w:t>-</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3 605,6</w:t>
            </w:r>
          </w:p>
        </w:tc>
      </w:tr>
      <w:tr w:rsidR="007119D4">
        <w:trPr>
          <w:trHeight w:val="300"/>
        </w:trPr>
        <w:tc>
          <w:tcPr>
            <w:tcW w:w="6360" w:type="dxa"/>
            <w:tcBorders>
              <w:top w:val="nil"/>
              <w:left w:val="single" w:sz="4" w:space="0" w:color="auto"/>
              <w:bottom w:val="nil"/>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Non-adoption de la «solution transitoire» en 2020</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-775,0</w:t>
            </w:r>
          </w:p>
        </w:tc>
      </w:tr>
      <w:tr w:rsidR="007119D4">
        <w:trPr>
          <w:trHeight w:val="300"/>
        </w:trPr>
        <w:tc>
          <w:tcPr>
            <w:tcW w:w="6360" w:type="dxa"/>
            <w:tcBorders>
              <w:top w:val="nil"/>
              <w:left w:val="single" w:sz="4" w:space="0" w:color="auto"/>
              <w:bottom w:val="nil"/>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Incidence liée au BR nº 6/2020 (PBR nº 8/2020 - ESI - stratégie en matière de vaccins)</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-700,0</w:t>
            </w:r>
          </w:p>
        </w:tc>
      </w:tr>
      <w:tr w:rsidR="007119D4">
        <w:trPr>
          <w:trHeight w:val="300"/>
        </w:trPr>
        <w:tc>
          <w:tcPr>
            <w:tcW w:w="6360" w:type="dxa"/>
            <w:tcBorders>
              <w:top w:val="nil"/>
              <w:left w:val="single" w:sz="4" w:space="0" w:color="auto"/>
              <w:bottom w:val="nil"/>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Réévaluation des besoins en crédits de paiement (notamment pour l’achèvement des engagements restant à liquider)</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448,8</w:t>
            </w:r>
          </w:p>
        </w:tc>
      </w:tr>
      <w:tr w:rsidR="007119D4">
        <w:trPr>
          <w:trHeight w:val="300"/>
        </w:trPr>
        <w:tc>
          <w:tcPr>
            <w:tcW w:w="6360" w:type="dxa"/>
            <w:tcBorders>
              <w:top w:val="nil"/>
              <w:left w:val="single" w:sz="4" w:space="0" w:color="auto"/>
              <w:bottom w:val="nil"/>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Actualisations pour les organismes décentralisés (nouvelles initiatives)</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46,8</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46,8</w:t>
            </w:r>
          </w:p>
        </w:tc>
      </w:tr>
      <w:tr w:rsidR="007119D4">
        <w:trPr>
          <w:trHeight w:val="300"/>
        </w:trPr>
        <w:tc>
          <w:tcPr>
            <w:tcW w:w="6360" w:type="dxa"/>
            <w:tcBorders>
              <w:top w:val="nil"/>
              <w:left w:val="single" w:sz="4" w:space="0" w:color="auto"/>
              <w:bottom w:val="nil"/>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Ajustements dans la rubrique 7</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5,9</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5,9</w:t>
            </w:r>
          </w:p>
        </w:tc>
      </w:tr>
      <w:tr w:rsidR="007119D4">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Autres ajustements</w:t>
            </w:r>
          </w:p>
        </w:tc>
        <w:tc>
          <w:tcPr>
            <w:tcW w:w="178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11,0</w:t>
            </w:r>
          </w:p>
        </w:tc>
        <w:tc>
          <w:tcPr>
            <w:tcW w:w="170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4,4</w:t>
            </w:r>
          </w:p>
        </w:tc>
      </w:tr>
      <w:tr w:rsidR="007119D4">
        <w:trPr>
          <w:trHeight w:val="300"/>
        </w:trPr>
        <w:tc>
          <w:tcPr>
            <w:tcW w:w="6360" w:type="dxa"/>
            <w:tcBorders>
              <w:top w:val="nil"/>
              <w:left w:val="single" w:sz="4" w:space="0" w:color="auto"/>
              <w:bottom w:val="single" w:sz="4" w:space="0" w:color="auto"/>
              <w:right w:val="nil"/>
            </w:tcBorders>
            <w:shd w:val="clear" w:color="auto" w:fill="auto"/>
            <w:noWrap/>
            <w:vAlign w:val="center"/>
            <w:hideMark/>
          </w:tcPr>
          <w:p w:rsidR="007119D4" w:rsidRDefault="00EC0158">
            <w:pPr>
              <w:rPr>
                <w:b/>
                <w:bCs/>
                <w:noProof/>
                <w:color w:val="000000"/>
                <w:sz w:val="22"/>
                <w:szCs w:val="22"/>
              </w:rPr>
            </w:pPr>
            <w:r>
              <w:rPr>
                <w:b/>
                <w:bCs/>
                <w:noProof/>
                <w:color w:val="000000"/>
                <w:sz w:val="22"/>
                <w:szCs w:val="22"/>
              </w:rPr>
              <w:t>Total</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119D4" w:rsidRDefault="00EC0158">
            <w:pPr>
              <w:jc w:val="right"/>
              <w:rPr>
                <w:b/>
                <w:bCs/>
                <w:noProof/>
                <w:color w:val="000000"/>
                <w:sz w:val="22"/>
                <w:szCs w:val="22"/>
              </w:rPr>
            </w:pPr>
            <w:r>
              <w:rPr>
                <w:b/>
                <w:bCs/>
                <w:noProof/>
                <w:color w:val="000000"/>
                <w:sz w:val="22"/>
                <w:szCs w:val="22"/>
              </w:rPr>
              <w:t>-2 608,8</w:t>
            </w:r>
          </w:p>
        </w:tc>
        <w:tc>
          <w:tcPr>
            <w:tcW w:w="170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b/>
                <w:bCs/>
                <w:noProof/>
                <w:color w:val="000000"/>
                <w:sz w:val="22"/>
                <w:szCs w:val="22"/>
              </w:rPr>
            </w:pPr>
            <w:r>
              <w:rPr>
                <w:b/>
                <w:bCs/>
                <w:noProof/>
                <w:color w:val="000000"/>
                <w:sz w:val="22"/>
                <w:szCs w:val="22"/>
              </w:rPr>
              <w:t>2 609,3</w:t>
            </w:r>
          </w:p>
        </w:tc>
      </w:tr>
    </w:tbl>
    <w:p w:rsidR="007119D4" w:rsidRDefault="00EC0158">
      <w:pPr>
        <w:spacing w:before="120" w:after="120"/>
        <w:jc w:val="both"/>
        <w:rPr>
          <w:noProof/>
          <w:szCs w:val="20"/>
        </w:rPr>
      </w:pPr>
      <w:r>
        <w:rPr>
          <w:noProof/>
        </w:rPr>
        <w:t xml:space="preserve">Les sections suivantes contiennent des informations complémentaires pour chaque élément. </w:t>
      </w:r>
    </w:p>
    <w:p w:rsidR="007119D4" w:rsidRDefault="00EC0158">
      <w:pPr>
        <w:spacing w:before="120" w:after="120"/>
        <w:jc w:val="both"/>
        <w:rPr>
          <w:noProof/>
          <w:szCs w:val="20"/>
        </w:rPr>
      </w:pPr>
      <w:r>
        <w:rPr>
          <w:noProof/>
        </w:rPr>
        <w:t>Les lignes budgétaires et les tableaux des effectifs pertinents sont détaillés dans l’annexe budgétaire, de même</w:t>
      </w:r>
      <w:r>
        <w:rPr>
          <w:noProof/>
        </w:rPr>
        <w:t xml:space="preserve"> que l’actualisation des recettes résultant des modifications aux dépenses prévues dans la présente lettre rectificative.</w:t>
      </w:r>
    </w:p>
    <w:p w:rsidR="007119D4" w:rsidRDefault="00EC0158">
      <w:pPr>
        <w:pStyle w:val="ManualHeading1"/>
        <w:spacing w:before="240"/>
        <w:ind w:left="0" w:firstLine="0"/>
        <w:rPr>
          <w:noProof/>
        </w:rPr>
      </w:pPr>
      <w:bookmarkStart w:id="21" w:name="_Toc54770309"/>
      <w:bookmarkStart w:id="22" w:name="_Toc55807119"/>
      <w:bookmarkStart w:id="23" w:name="_Toc56419348"/>
      <w:r>
        <w:rPr>
          <w:noProof/>
        </w:rPr>
        <w:t>2.</w:t>
      </w:r>
      <w:r>
        <w:rPr>
          <w:noProof/>
        </w:rPr>
        <w:tab/>
        <w:t>Incidence de l'accord relatif au prochain CFP sur le projet de budget 2021</w:t>
      </w:r>
      <w:bookmarkEnd w:id="21"/>
      <w:bookmarkEnd w:id="22"/>
      <w:bookmarkEnd w:id="23"/>
      <w:r>
        <w:rPr>
          <w:noProof/>
        </w:rPr>
        <w:t xml:space="preserve"> </w:t>
      </w:r>
    </w:p>
    <w:p w:rsidR="007119D4" w:rsidRDefault="00EC0158">
      <w:pPr>
        <w:keepNext/>
        <w:tabs>
          <w:tab w:val="left" w:pos="850"/>
        </w:tabs>
        <w:spacing w:before="360" w:after="120"/>
        <w:ind w:left="840" w:hanging="840"/>
        <w:jc w:val="both"/>
        <w:outlineLvl w:val="1"/>
        <w:rPr>
          <w:rFonts w:eastAsia="Calibri"/>
          <w:b/>
          <w:noProof/>
        </w:rPr>
      </w:pPr>
      <w:bookmarkStart w:id="24" w:name="_Toc54770310"/>
      <w:bookmarkStart w:id="25" w:name="_Toc56419349"/>
      <w:bookmarkStart w:id="26" w:name="_Toc55807120"/>
      <w:r>
        <w:rPr>
          <w:b/>
          <w:noProof/>
        </w:rPr>
        <w:t xml:space="preserve">2.1 </w:t>
      </w:r>
      <w:r>
        <w:rPr>
          <w:b/>
          <w:noProof/>
        </w:rPr>
        <w:tab/>
      </w:r>
      <w:bookmarkEnd w:id="24"/>
      <w:r>
        <w:rPr>
          <w:b/>
          <w:noProof/>
        </w:rPr>
        <w:t>Ajustements résultant de l’accord du Conseil europ</w:t>
      </w:r>
      <w:r>
        <w:rPr>
          <w:b/>
          <w:noProof/>
        </w:rPr>
        <w:t>éen extraordinaire de juillet 2020</w:t>
      </w:r>
      <w:bookmarkEnd w:id="25"/>
    </w:p>
    <w:p w:rsidR="007119D4" w:rsidRDefault="00EC0158">
      <w:pPr>
        <w:keepNext/>
        <w:tabs>
          <w:tab w:val="left" w:pos="850"/>
        </w:tabs>
        <w:spacing w:before="360" w:after="120"/>
        <w:ind w:left="840" w:hanging="840"/>
        <w:jc w:val="both"/>
        <w:outlineLvl w:val="1"/>
        <w:rPr>
          <w:rFonts w:eastAsia="Calibri"/>
          <w:b/>
          <w:noProof/>
        </w:rPr>
      </w:pPr>
      <w:bookmarkStart w:id="27" w:name="_Toc56419350"/>
      <w:r>
        <w:rPr>
          <w:i/>
          <w:noProof/>
        </w:rPr>
        <w:t xml:space="preserve">2.1.1 </w:t>
      </w:r>
      <w:r>
        <w:rPr>
          <w:i/>
          <w:noProof/>
        </w:rPr>
        <w:tab/>
        <w:t>Enveloppes des programmes de dépenses</w:t>
      </w:r>
      <w:bookmarkEnd w:id="26"/>
      <w:bookmarkEnd w:id="27"/>
    </w:p>
    <w:p w:rsidR="007119D4" w:rsidRDefault="00EC0158">
      <w:pPr>
        <w:spacing w:before="120" w:after="120"/>
        <w:jc w:val="both"/>
        <w:rPr>
          <w:noProof/>
        </w:rPr>
      </w:pPr>
      <w:r>
        <w:rPr>
          <w:noProof/>
        </w:rPr>
        <w:t>Les enveloppes de 20 programmes de dépenses, énumérés dans le tableau figurant ci-dessous, ont d'abord été ajustées pour tenir compte de l’accord intervenu lors du Conseil euro</w:t>
      </w:r>
      <w:r>
        <w:rPr>
          <w:noProof/>
        </w:rPr>
        <w:t>péen extraordinaire de juillet 2020. Des ajustements ont été appliqués de manière proportionnelle, tant pour les engagements que pour les paiements, au niveau des crédits demandés dans le PB 2021 pour chaque ligne budgétaire</w:t>
      </w:r>
      <w:r>
        <w:rPr>
          <w:rStyle w:val="FootnoteReference"/>
          <w:noProof/>
          <w:lang w:eastAsia="de-DE"/>
        </w:rPr>
        <w:footnoteReference w:id="6"/>
      </w:r>
      <w:r>
        <w:rPr>
          <w:noProof/>
        </w:rPr>
        <w:t xml:space="preserve">, à l’exception des programmes </w:t>
      </w:r>
      <w:r>
        <w:rPr>
          <w:noProof/>
        </w:rPr>
        <w:t>suivants:</w:t>
      </w:r>
    </w:p>
    <w:p w:rsidR="007119D4" w:rsidRDefault="00EC0158">
      <w:pPr>
        <w:pStyle w:val="ListParagraph"/>
        <w:numPr>
          <w:ilvl w:val="0"/>
          <w:numId w:val="28"/>
        </w:numPr>
        <w:spacing w:before="120" w:after="120" w:line="240" w:lineRule="auto"/>
        <w:ind w:left="360"/>
        <w:contextualSpacing w:val="0"/>
        <w:jc w:val="both"/>
        <w:rPr>
          <w:rFonts w:ascii="Times New Roman" w:eastAsia="Calibri" w:hAnsi="Times New Roman"/>
          <w:noProof/>
          <w:sz w:val="24"/>
          <w:szCs w:val="24"/>
        </w:rPr>
      </w:pPr>
      <w:r>
        <w:rPr>
          <w:rFonts w:ascii="Times New Roman" w:hAnsi="Times New Roman"/>
          <w:noProof/>
          <w:sz w:val="24"/>
          <w:szCs w:val="24"/>
        </w:rPr>
        <w:t>pour InvestEU, l’ajustement tient compte de l’augmentation de capital du Fonds européen d’investissement (FEI) à laquelle l’Union devrait prendre part en 2021 pour maintenir le niveau de sa part globale. Cette opération est présentée plus en détail à la se</w:t>
      </w:r>
      <w:r>
        <w:rPr>
          <w:rFonts w:ascii="Times New Roman" w:hAnsi="Times New Roman"/>
          <w:noProof/>
          <w:sz w:val="24"/>
          <w:szCs w:val="24"/>
        </w:rPr>
        <w:t xml:space="preserve">ction 3 ci-dessous; </w:t>
      </w:r>
    </w:p>
    <w:p w:rsidR="007119D4" w:rsidRDefault="00EC0158">
      <w:pPr>
        <w:pStyle w:val="ListParagraph"/>
        <w:numPr>
          <w:ilvl w:val="0"/>
          <w:numId w:val="28"/>
        </w:numPr>
        <w:spacing w:before="120" w:after="120" w:line="240" w:lineRule="auto"/>
        <w:ind w:left="360"/>
        <w:contextualSpacing w:val="0"/>
        <w:jc w:val="both"/>
        <w:rPr>
          <w:rFonts w:ascii="Times New Roman" w:eastAsia="Calibri" w:hAnsi="Times New Roman"/>
          <w:noProof/>
          <w:sz w:val="24"/>
          <w:szCs w:val="24"/>
        </w:rPr>
      </w:pPr>
      <w:r>
        <w:rPr>
          <w:rFonts w:ascii="Times New Roman" w:hAnsi="Times New Roman"/>
          <w:noProof/>
          <w:sz w:val="24"/>
          <w:szCs w:val="24"/>
        </w:rPr>
        <w:t>pour le Fonds européen agricole de garantie (FEAGA), l’ajustement tient compte des données économiques et du cadre législatif les plus récents, tels que décrits à la section 4 figurant ci</w:t>
      </w:r>
      <w:r>
        <w:rPr>
          <w:rFonts w:ascii="Times New Roman" w:hAnsi="Times New Roman"/>
          <w:noProof/>
          <w:sz w:val="24"/>
          <w:szCs w:val="24"/>
        </w:rPr>
        <w:noBreakHyphen/>
        <w:t>dessous;</w:t>
      </w:r>
    </w:p>
    <w:p w:rsidR="007119D4" w:rsidRDefault="00EC0158">
      <w:pPr>
        <w:pStyle w:val="ListParagraph"/>
        <w:numPr>
          <w:ilvl w:val="0"/>
          <w:numId w:val="28"/>
        </w:numPr>
        <w:spacing w:before="120" w:after="120" w:line="240" w:lineRule="auto"/>
        <w:ind w:left="360"/>
        <w:contextualSpacing w:val="0"/>
        <w:jc w:val="both"/>
        <w:rPr>
          <w:rFonts w:ascii="Times New Roman" w:hAnsi="Times New Roman"/>
          <w:noProof/>
          <w:sz w:val="24"/>
          <w:szCs w:val="24"/>
        </w:rPr>
      </w:pPr>
      <w:r>
        <w:rPr>
          <w:rFonts w:ascii="Times New Roman" w:hAnsi="Times New Roman"/>
          <w:noProof/>
          <w:sz w:val="24"/>
          <w:szCs w:val="24"/>
        </w:rPr>
        <w:t>en ce qui concerne le Fonds européen a</w:t>
      </w:r>
      <w:r>
        <w:rPr>
          <w:rFonts w:ascii="Times New Roman" w:hAnsi="Times New Roman"/>
          <w:noProof/>
          <w:sz w:val="24"/>
          <w:szCs w:val="24"/>
        </w:rPr>
        <w:t>gricole pour le développement rural (Feader), l’ajustement tient compte a) de l’accord intervenu entre le Conseil et le Parlement européen portant sur une période transitoire de deux ans englobant la mise en œuvre de Next Generation EU à partir de 2021, b)</w:t>
      </w:r>
      <w:r>
        <w:rPr>
          <w:rFonts w:ascii="Times New Roman" w:hAnsi="Times New Roman"/>
          <w:noProof/>
          <w:sz w:val="24"/>
          <w:szCs w:val="24"/>
        </w:rPr>
        <w:t xml:space="preserve"> des montants révisés pour les transferts entre le FEAGA et le Feader à la suite des notifications provenant des États membres et c) de l’incidence financière de la décision des colégislateurs augmentant le soutien exceptionnel forfaitaire que les États me</w:t>
      </w:r>
      <w:r>
        <w:rPr>
          <w:rFonts w:ascii="Times New Roman" w:hAnsi="Times New Roman"/>
          <w:noProof/>
          <w:sz w:val="24"/>
          <w:szCs w:val="24"/>
        </w:rPr>
        <w:t>mbres peuvent fournir aux agriculteurs en réaction à la COVID-19</w:t>
      </w:r>
      <w:r>
        <w:rPr>
          <w:rStyle w:val="FootnoteReference"/>
          <w:rFonts w:ascii="Times New Roman" w:eastAsia="Calibri" w:hAnsi="Times New Roman"/>
          <w:noProof/>
          <w:sz w:val="24"/>
          <w:szCs w:val="24"/>
          <w:lang w:eastAsia="en-US"/>
        </w:rPr>
        <w:footnoteReference w:id="7"/>
      </w:r>
      <w:r>
        <w:rPr>
          <w:rFonts w:ascii="Times New Roman" w:hAnsi="Times New Roman"/>
          <w:noProof/>
          <w:sz w:val="24"/>
          <w:szCs w:val="24"/>
        </w:rPr>
        <w:t xml:space="preserve"> ainsi que des estimations de besoins fondées sur les prévisions les plus récentes des États membres;</w:t>
      </w:r>
    </w:p>
    <w:p w:rsidR="007119D4" w:rsidRDefault="00EC0158">
      <w:pPr>
        <w:pStyle w:val="ListParagraph"/>
        <w:numPr>
          <w:ilvl w:val="0"/>
          <w:numId w:val="28"/>
        </w:numPr>
        <w:spacing w:before="120" w:after="120" w:line="240" w:lineRule="auto"/>
        <w:ind w:left="360"/>
        <w:contextualSpacing w:val="0"/>
        <w:jc w:val="both"/>
        <w:rPr>
          <w:rFonts w:ascii="Times New Roman" w:hAnsi="Times New Roman"/>
          <w:noProof/>
          <w:sz w:val="24"/>
          <w:szCs w:val="24"/>
        </w:rPr>
      </w:pPr>
      <w:r>
        <w:rPr>
          <w:rFonts w:ascii="Times New Roman" w:hAnsi="Times New Roman"/>
          <w:noProof/>
          <w:sz w:val="24"/>
          <w:szCs w:val="24"/>
        </w:rPr>
        <w:t>en ce qui concerne le Fonds «Asile et migration» (FAMI), l’instrument de soutien financie</w:t>
      </w:r>
      <w:r>
        <w:rPr>
          <w:rFonts w:ascii="Times New Roman" w:hAnsi="Times New Roman"/>
          <w:noProof/>
          <w:sz w:val="24"/>
          <w:szCs w:val="24"/>
        </w:rPr>
        <w:t xml:space="preserve">r dans le domaine de la gestion des frontières et des visas (IGFV, dans le cadre du Fonds pour la gestion </w:t>
      </w:r>
      <w:r>
        <w:rPr>
          <w:rFonts w:ascii="Times New Roman" w:hAnsi="Times New Roman"/>
          <w:noProof/>
          <w:sz w:val="24"/>
          <w:szCs w:val="24"/>
        </w:rPr>
        <w:lastRenderedPageBreak/>
        <w:t>intégrée des frontières) et le Fonds pour la sécurité intérieure (FSI), l’ajustement comprend une augmentation du niveau de préfinancement de 5 %;</w:t>
      </w:r>
    </w:p>
    <w:p w:rsidR="007119D4" w:rsidRDefault="007119D4">
      <w:pPr>
        <w:spacing w:after="200" w:line="276" w:lineRule="auto"/>
        <w:rPr>
          <w:rFonts w:eastAsia="MS Mincho"/>
          <w:noProof/>
        </w:rPr>
      </w:pPr>
    </w:p>
    <w:p w:rsidR="007119D4" w:rsidRDefault="00EC0158">
      <w:pPr>
        <w:pStyle w:val="ListParagraph"/>
        <w:numPr>
          <w:ilvl w:val="0"/>
          <w:numId w:val="28"/>
        </w:numPr>
        <w:spacing w:before="120" w:after="120" w:line="240" w:lineRule="auto"/>
        <w:ind w:left="360"/>
        <w:contextualSpacing w:val="0"/>
        <w:jc w:val="both"/>
        <w:rPr>
          <w:rFonts w:ascii="Times New Roman" w:hAnsi="Times New Roman"/>
          <w:noProof/>
          <w:sz w:val="24"/>
          <w:szCs w:val="24"/>
        </w:rPr>
      </w:pPr>
      <w:r>
        <w:rPr>
          <w:rFonts w:ascii="Times New Roman" w:hAnsi="Times New Roman"/>
          <w:noProof/>
          <w:sz w:val="24"/>
          <w:szCs w:val="24"/>
        </w:rPr>
        <w:t>po</w:t>
      </w:r>
      <w:r>
        <w:rPr>
          <w:rFonts w:ascii="Times New Roman" w:hAnsi="Times New Roman"/>
          <w:noProof/>
          <w:sz w:val="24"/>
          <w:szCs w:val="24"/>
        </w:rPr>
        <w:t>ur l’instrument de voisinage, de coopération au développement et de coopération internationale (IVCDCI) et l’instrument d’aide de préadhésion (IAP III), d’autres ajustements sont envisagés en ce qui concerne:</w:t>
      </w:r>
    </w:p>
    <w:p w:rsidR="007119D4" w:rsidRDefault="00EC0158">
      <w:pPr>
        <w:pStyle w:val="ListParagraph"/>
        <w:numPr>
          <w:ilvl w:val="1"/>
          <w:numId w:val="28"/>
        </w:numPr>
        <w:spacing w:before="120" w:after="120" w:line="240" w:lineRule="auto"/>
        <w:ind w:left="720"/>
        <w:contextualSpacing w:val="0"/>
        <w:jc w:val="both"/>
        <w:rPr>
          <w:noProof/>
        </w:rPr>
      </w:pPr>
      <w:r>
        <w:rPr>
          <w:rFonts w:ascii="Times New Roman" w:hAnsi="Times New Roman"/>
          <w:noProof/>
          <w:sz w:val="24"/>
          <w:szCs w:val="24"/>
        </w:rPr>
        <w:t>la contribution à Erasmus+: en raison du retard</w:t>
      </w:r>
      <w:r>
        <w:rPr>
          <w:rFonts w:ascii="Times New Roman" w:hAnsi="Times New Roman"/>
          <w:noProof/>
          <w:sz w:val="24"/>
          <w:szCs w:val="24"/>
        </w:rPr>
        <w:t xml:space="preserve"> pris dans l’adoption de la législation sectorielle, il n’y aura pas d’échanges internationaux d’étudiants dans le cadre d’Erasmus+ en 2021. Pour les deux programmes combinés, 23,5 millions d’EUR en crédits d’engagement et 5,3 millions d’EUR en crédits de </w:t>
      </w:r>
      <w:r>
        <w:rPr>
          <w:rFonts w:ascii="Times New Roman" w:hAnsi="Times New Roman"/>
          <w:noProof/>
          <w:sz w:val="24"/>
          <w:szCs w:val="24"/>
        </w:rPr>
        <w:t>paiement sont proposés pour couvrir des actions liées au renforcement des capacités dans le domaine de la jeunesse et des échanges virtuels qui ne suivent pas le calendrier de l’année universitaire. Par rapport au PB 2021, cela représente une diminution to</w:t>
      </w:r>
      <w:r>
        <w:rPr>
          <w:rFonts w:ascii="Times New Roman" w:hAnsi="Times New Roman"/>
          <w:noProof/>
          <w:sz w:val="24"/>
          <w:szCs w:val="24"/>
        </w:rPr>
        <w:t>tale de -281,6 millions d'EUR en crédits d’engagement</w:t>
      </w:r>
      <w:r>
        <w:rPr>
          <w:rStyle w:val="FootnoteReference"/>
          <w:rFonts w:ascii="Times New Roman" w:hAnsi="Times New Roman"/>
          <w:noProof/>
          <w:sz w:val="24"/>
          <w:szCs w:val="24"/>
          <w:lang w:val="en-GB"/>
        </w:rPr>
        <w:footnoteReference w:id="8"/>
      </w:r>
      <w:r>
        <w:rPr>
          <w:rFonts w:ascii="Times New Roman" w:hAnsi="Times New Roman"/>
          <w:noProof/>
          <w:sz w:val="24"/>
          <w:szCs w:val="24"/>
        </w:rPr>
        <w:t xml:space="preserve"> et de -152 millions d’EUR en crédits de paiement;</w:t>
      </w:r>
    </w:p>
    <w:p w:rsidR="007119D4" w:rsidRDefault="00EC0158">
      <w:pPr>
        <w:pStyle w:val="ListParagraph"/>
        <w:numPr>
          <w:ilvl w:val="1"/>
          <w:numId w:val="28"/>
        </w:numPr>
        <w:spacing w:before="120" w:after="120" w:line="240" w:lineRule="auto"/>
        <w:ind w:left="720"/>
        <w:contextualSpacing w:val="0"/>
        <w:jc w:val="both"/>
        <w:rPr>
          <w:noProof/>
        </w:rPr>
      </w:pPr>
      <w:r>
        <w:rPr>
          <w:rFonts w:ascii="Times New Roman" w:hAnsi="Times New Roman"/>
          <w:noProof/>
          <w:sz w:val="24"/>
          <w:szCs w:val="24"/>
        </w:rPr>
        <w:t xml:space="preserve">la poursuite de l’application des règles de provisionnement du règlement (CE) nº 480/2009 instituant un Fonds de garantie aux garanties budgétaires et </w:t>
      </w:r>
      <w:r>
        <w:rPr>
          <w:rFonts w:ascii="Times New Roman" w:hAnsi="Times New Roman"/>
          <w:noProof/>
          <w:sz w:val="24"/>
          <w:szCs w:val="24"/>
        </w:rPr>
        <w:t>à l’assistance financière actuelles (principalement les décisions liées au mandat de prêt extérieur et à l’assistance macrofinancière) est neutre en ce qui concerne les crédits d’engagement au niveau des programmes</w:t>
      </w:r>
      <w:r>
        <w:rPr>
          <w:rStyle w:val="FootnoteReference"/>
          <w:rFonts w:ascii="Times New Roman" w:hAnsi="Times New Roman"/>
          <w:noProof/>
          <w:sz w:val="24"/>
          <w:szCs w:val="24"/>
          <w:lang w:val="en-GB"/>
        </w:rPr>
        <w:footnoteReference w:id="9"/>
      </w:r>
      <w:r>
        <w:rPr>
          <w:rFonts w:ascii="Times New Roman" w:hAnsi="Times New Roman"/>
          <w:noProof/>
          <w:sz w:val="24"/>
          <w:szCs w:val="24"/>
        </w:rPr>
        <w:t>, mais entraîne une augmentation des créd</w:t>
      </w:r>
      <w:r>
        <w:rPr>
          <w:rFonts w:ascii="Times New Roman" w:hAnsi="Times New Roman"/>
          <w:noProof/>
          <w:sz w:val="24"/>
          <w:szCs w:val="24"/>
        </w:rPr>
        <w:t>its de paiement de 42,3 millions d’EUR;</w:t>
      </w:r>
    </w:p>
    <w:p w:rsidR="007119D4" w:rsidRDefault="00EC0158">
      <w:pPr>
        <w:pStyle w:val="ListParagraph"/>
        <w:numPr>
          <w:ilvl w:val="1"/>
          <w:numId w:val="28"/>
        </w:numPr>
        <w:spacing w:before="120" w:after="120" w:line="240" w:lineRule="auto"/>
        <w:ind w:left="720"/>
        <w:contextualSpacing w:val="0"/>
        <w:jc w:val="both"/>
        <w:rPr>
          <w:noProof/>
        </w:rPr>
      </w:pPr>
      <w:r>
        <w:rPr>
          <w:rFonts w:ascii="Times New Roman" w:hAnsi="Times New Roman"/>
          <w:noProof/>
          <w:sz w:val="24"/>
          <w:szCs w:val="24"/>
        </w:rPr>
        <w:t>le transfert de certains effectifs des délégations de l’Union vers le SEAE se traduit par une diminution globale de 16 millions d’EUR et de 2,1 millions d’EUR en crédits d’engagement et de paiement respectivement pou</w:t>
      </w:r>
      <w:r>
        <w:rPr>
          <w:rFonts w:ascii="Times New Roman" w:hAnsi="Times New Roman"/>
          <w:noProof/>
          <w:sz w:val="24"/>
          <w:szCs w:val="24"/>
        </w:rPr>
        <w:t>r l’IVCDCI et l’IAP III, qui est cependant entièrement compensée par une augmentation correspondante dans la section du SEAE relevant de la rubrique 7 (voir plus bas la section 7.4 pour plus de détails);</w:t>
      </w:r>
    </w:p>
    <w:p w:rsidR="007119D4" w:rsidRDefault="00EC0158">
      <w:pPr>
        <w:pStyle w:val="ListParagraph"/>
        <w:numPr>
          <w:ilvl w:val="1"/>
          <w:numId w:val="28"/>
        </w:numPr>
        <w:spacing w:before="120" w:after="120" w:line="240" w:lineRule="auto"/>
        <w:ind w:left="720"/>
        <w:contextualSpacing w:val="0"/>
        <w:jc w:val="both"/>
        <w:rPr>
          <w:rFonts w:ascii="Times New Roman" w:hAnsi="Times New Roman"/>
          <w:noProof/>
          <w:sz w:val="24"/>
          <w:szCs w:val="24"/>
        </w:rPr>
      </w:pPr>
      <w:r>
        <w:rPr>
          <w:rFonts w:ascii="Times New Roman" w:hAnsi="Times New Roman"/>
          <w:noProof/>
          <w:sz w:val="24"/>
          <w:szCs w:val="24"/>
        </w:rPr>
        <w:t>la proposition initiale relative au Fonds européen p</w:t>
      </w:r>
      <w:r>
        <w:rPr>
          <w:rFonts w:ascii="Times New Roman" w:hAnsi="Times New Roman"/>
          <w:noProof/>
          <w:sz w:val="24"/>
          <w:szCs w:val="24"/>
        </w:rPr>
        <w:t>our le développement durable (FEDD) figurant dans</w:t>
      </w:r>
      <w:r>
        <w:rPr>
          <w:rFonts w:ascii="Times New Roman" w:hAnsi="Times New Roman"/>
          <w:noProof/>
          <w:sz w:val="24"/>
        </w:rPr>
        <w:t xml:space="preserve"> le projet de </w:t>
      </w:r>
      <w:r>
        <w:rPr>
          <w:rFonts w:ascii="Times New Roman" w:hAnsi="Times New Roman"/>
          <w:noProof/>
          <w:sz w:val="24"/>
          <w:szCs w:val="24"/>
        </w:rPr>
        <w:t>budget rectificatif nº 6/2020</w:t>
      </w:r>
      <w:r>
        <w:rPr>
          <w:rStyle w:val="FootnoteReference"/>
          <w:noProof/>
        </w:rPr>
        <w:footnoteReference w:id="10"/>
      </w:r>
      <w:r>
        <w:rPr>
          <w:rFonts w:ascii="Times New Roman" w:hAnsi="Times New Roman"/>
          <w:noProof/>
          <w:sz w:val="24"/>
        </w:rPr>
        <w:t xml:space="preserve"> comprenait un complément exceptionnel de 1,04 milliard d’EUR pour 2020.</w:t>
      </w:r>
      <w:r>
        <w:rPr>
          <w:rFonts w:ascii="Times New Roman" w:hAnsi="Times New Roman"/>
          <w:noProof/>
          <w:sz w:val="24"/>
          <w:szCs w:val="24"/>
        </w:rPr>
        <w:t xml:space="preserve"> Ce complément exceptionnel s'accompagnait, dans le PB 2021, de 10 équivalents temps plein </w:t>
      </w:r>
      <w:r>
        <w:rPr>
          <w:rFonts w:ascii="Times New Roman" w:hAnsi="Times New Roman"/>
          <w:noProof/>
          <w:sz w:val="24"/>
          <w:szCs w:val="24"/>
        </w:rPr>
        <w:t>(ETP) supplémentaires de personnel externe appelés à travailler sur le FEDD et rémunérés sur les lignes d'appui administratif de l’IVCDCI et de l’IAP III dans les délégations. Étant donné que le complément exceptionnel du FEDD n'a pas été intégré à l’accor</w:t>
      </w:r>
      <w:r>
        <w:rPr>
          <w:rFonts w:ascii="Times New Roman" w:hAnsi="Times New Roman"/>
          <w:noProof/>
          <w:sz w:val="24"/>
          <w:szCs w:val="24"/>
        </w:rPr>
        <w:t>d intervenu au Conseil européen extraordinaire de juillet 2020, l’augmentation du personnel externe est devenue inutile. Les lignes d’appui administratif de l’IVCDCI et de l’IAP III ont été réduites en conséquence (1,5 million d’EUR) et une dotation supplé</w:t>
      </w:r>
      <w:r>
        <w:rPr>
          <w:rFonts w:ascii="Times New Roman" w:hAnsi="Times New Roman"/>
          <w:noProof/>
          <w:sz w:val="24"/>
          <w:szCs w:val="24"/>
        </w:rPr>
        <w:t>mentaire correspondante est prévue pour les lignes opérationnelles;</w:t>
      </w:r>
    </w:p>
    <w:p w:rsidR="007119D4" w:rsidRDefault="00EC0158">
      <w:pPr>
        <w:pStyle w:val="ListParagraph"/>
        <w:numPr>
          <w:ilvl w:val="1"/>
          <w:numId w:val="28"/>
        </w:numPr>
        <w:spacing w:before="120" w:after="120" w:line="240" w:lineRule="auto"/>
        <w:ind w:left="720"/>
        <w:contextualSpacing w:val="0"/>
        <w:jc w:val="both"/>
        <w:rPr>
          <w:noProof/>
        </w:rPr>
      </w:pPr>
      <w:r>
        <w:rPr>
          <w:rFonts w:ascii="Times New Roman" w:hAnsi="Times New Roman"/>
          <w:noProof/>
          <w:sz w:val="24"/>
          <w:szCs w:val="24"/>
        </w:rPr>
        <w:t>le personnel externe travaillant pour l’actuel Fonds européen de développement, dont les activités ont été intégrées dans l’IVCDCI par le PB 2021. Un total de 6,25 ETP de ce personnel exte</w:t>
      </w:r>
      <w:r>
        <w:rPr>
          <w:rFonts w:ascii="Times New Roman" w:hAnsi="Times New Roman"/>
          <w:noProof/>
          <w:sz w:val="24"/>
          <w:szCs w:val="24"/>
        </w:rPr>
        <w:t>rne en activité au siège et dans les délégations travaillant pour la facilité de soutien à la paix pour l’Afrique sera transféré, à partir de 2021, vers la facilité européenne pour la paix, un mécanisme hors budget. La ligne d’appui administratif de l’IVCD</w:t>
      </w:r>
      <w:r>
        <w:rPr>
          <w:rFonts w:ascii="Times New Roman" w:hAnsi="Times New Roman"/>
          <w:noProof/>
          <w:sz w:val="24"/>
          <w:szCs w:val="24"/>
        </w:rPr>
        <w:t>CI a été réduite en conséquence (0,4 million d’EUR) et une dotation supplémentaire correspondante est prévue pour les lignes opérationnelles.</w:t>
      </w:r>
    </w:p>
    <w:p w:rsidR="007119D4" w:rsidRDefault="007119D4">
      <w:pPr>
        <w:pStyle w:val="ListParagraph"/>
        <w:spacing w:before="120" w:after="120" w:line="240" w:lineRule="auto"/>
        <w:contextualSpacing w:val="0"/>
        <w:jc w:val="both"/>
        <w:rPr>
          <w:rFonts w:ascii="Times New Roman" w:hAnsi="Times New Roman"/>
          <w:noProof/>
          <w:sz w:val="24"/>
          <w:szCs w:val="24"/>
        </w:rPr>
      </w:pPr>
    </w:p>
    <w:p w:rsidR="007119D4" w:rsidRDefault="007119D4">
      <w:pPr>
        <w:pStyle w:val="ListParagraph"/>
        <w:spacing w:before="120" w:after="120" w:line="240" w:lineRule="auto"/>
        <w:contextualSpacing w:val="0"/>
        <w:jc w:val="both"/>
        <w:rPr>
          <w:noProof/>
        </w:rPr>
      </w:pPr>
    </w:p>
    <w:tbl>
      <w:tblPr>
        <w:tblW w:w="9840" w:type="dxa"/>
        <w:tblInd w:w="108" w:type="dxa"/>
        <w:tblLook w:val="04A0" w:firstRow="1" w:lastRow="0" w:firstColumn="1" w:lastColumn="0" w:noHBand="0" w:noVBand="1"/>
      </w:tblPr>
      <w:tblGrid>
        <w:gridCol w:w="6360"/>
        <w:gridCol w:w="1780"/>
        <w:gridCol w:w="1700"/>
      </w:tblGrid>
      <w:tr w:rsidR="007119D4">
        <w:trPr>
          <w:trHeight w:val="300"/>
          <w:tblHeader/>
        </w:trPr>
        <w:tc>
          <w:tcPr>
            <w:tcW w:w="6360" w:type="dxa"/>
            <w:tcBorders>
              <w:top w:val="nil"/>
              <w:left w:val="nil"/>
              <w:bottom w:val="nil"/>
              <w:right w:val="nil"/>
            </w:tcBorders>
            <w:shd w:val="clear" w:color="auto" w:fill="auto"/>
            <w:noWrap/>
            <w:vAlign w:val="bottom"/>
            <w:hideMark/>
          </w:tcPr>
          <w:p w:rsidR="007119D4" w:rsidRDefault="007119D4">
            <w:pPr>
              <w:rPr>
                <w:noProof/>
                <w:sz w:val="20"/>
                <w:szCs w:val="20"/>
                <w:lang w:val="fr-BE" w:eastAsia="en-US"/>
              </w:rPr>
            </w:pPr>
          </w:p>
        </w:tc>
        <w:tc>
          <w:tcPr>
            <w:tcW w:w="1780" w:type="dxa"/>
            <w:tcBorders>
              <w:top w:val="nil"/>
              <w:left w:val="nil"/>
              <w:bottom w:val="nil"/>
              <w:right w:val="nil"/>
            </w:tcBorders>
            <w:shd w:val="clear" w:color="auto" w:fill="auto"/>
            <w:noWrap/>
            <w:vAlign w:val="bottom"/>
            <w:hideMark/>
          </w:tcPr>
          <w:p w:rsidR="007119D4" w:rsidRDefault="007119D4">
            <w:pPr>
              <w:rPr>
                <w:noProof/>
                <w:sz w:val="20"/>
                <w:szCs w:val="20"/>
                <w:lang w:val="fr-BE" w:eastAsia="en-US"/>
              </w:rPr>
            </w:pPr>
          </w:p>
        </w:tc>
        <w:tc>
          <w:tcPr>
            <w:tcW w:w="1700" w:type="dxa"/>
            <w:tcBorders>
              <w:top w:val="nil"/>
              <w:left w:val="nil"/>
              <w:bottom w:val="nil"/>
              <w:right w:val="nil"/>
            </w:tcBorders>
            <w:shd w:val="clear" w:color="auto" w:fill="auto"/>
            <w:noWrap/>
            <w:vAlign w:val="center"/>
            <w:hideMark/>
          </w:tcPr>
          <w:p w:rsidR="007119D4" w:rsidRDefault="00EC0158">
            <w:pPr>
              <w:jc w:val="right"/>
              <w:rPr>
                <w:i/>
                <w:iCs/>
                <w:noProof/>
                <w:color w:val="000000"/>
                <w:sz w:val="16"/>
                <w:szCs w:val="16"/>
              </w:rPr>
            </w:pPr>
            <w:r>
              <w:rPr>
                <w:i/>
                <w:iCs/>
                <w:noProof/>
                <w:color w:val="000000"/>
                <w:sz w:val="16"/>
                <w:szCs w:val="16"/>
              </w:rPr>
              <w:t>(en Mio EUR)</w:t>
            </w:r>
          </w:p>
        </w:tc>
      </w:tr>
      <w:tr w:rsidR="007119D4">
        <w:trPr>
          <w:trHeight w:val="300"/>
          <w:tblHeader/>
        </w:trPr>
        <w:tc>
          <w:tcPr>
            <w:tcW w:w="6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119D4" w:rsidRDefault="00EC0158">
            <w:pPr>
              <w:jc w:val="center"/>
              <w:rPr>
                <w:b/>
                <w:bCs/>
                <w:noProof/>
                <w:color w:val="000000"/>
                <w:sz w:val="22"/>
                <w:szCs w:val="22"/>
              </w:rPr>
            </w:pPr>
            <w:r>
              <w:rPr>
                <w:b/>
                <w:bCs/>
                <w:noProof/>
                <w:color w:val="000000"/>
                <w:sz w:val="22"/>
                <w:szCs w:val="22"/>
              </w:rPr>
              <w:t>Programme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rsidR="007119D4" w:rsidRDefault="00EC0158">
            <w:pPr>
              <w:jc w:val="center"/>
              <w:rPr>
                <w:b/>
                <w:bCs/>
                <w:noProof/>
                <w:color w:val="000000"/>
                <w:sz w:val="22"/>
                <w:szCs w:val="22"/>
              </w:rPr>
            </w:pPr>
            <w:r>
              <w:rPr>
                <w:b/>
                <w:bCs/>
                <w:noProof/>
                <w:color w:val="000000"/>
                <w:sz w:val="22"/>
                <w:szCs w:val="22"/>
              </w:rPr>
              <w:t>Crédits d'engagement</w:t>
            </w:r>
          </w:p>
        </w:tc>
        <w:tc>
          <w:tcPr>
            <w:tcW w:w="1700" w:type="dxa"/>
            <w:tcBorders>
              <w:top w:val="single" w:sz="4" w:space="0" w:color="auto"/>
              <w:left w:val="nil"/>
              <w:bottom w:val="single" w:sz="4" w:space="0" w:color="auto"/>
              <w:right w:val="single" w:sz="4" w:space="0" w:color="auto"/>
            </w:tcBorders>
            <w:shd w:val="clear" w:color="000000" w:fill="D9D9D9"/>
            <w:vAlign w:val="center"/>
            <w:hideMark/>
          </w:tcPr>
          <w:p w:rsidR="007119D4" w:rsidRDefault="00EC0158">
            <w:pPr>
              <w:jc w:val="center"/>
              <w:rPr>
                <w:b/>
                <w:bCs/>
                <w:noProof/>
                <w:color w:val="000000"/>
                <w:sz w:val="22"/>
                <w:szCs w:val="22"/>
              </w:rPr>
            </w:pPr>
            <w:r>
              <w:rPr>
                <w:b/>
                <w:bCs/>
                <w:noProof/>
                <w:color w:val="000000"/>
                <w:sz w:val="22"/>
                <w:szCs w:val="22"/>
              </w:rPr>
              <w:t>Crédits de paiement</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Horizon Europe</w:t>
            </w:r>
          </w:p>
        </w:tc>
        <w:tc>
          <w:tcPr>
            <w:tcW w:w="1780" w:type="dxa"/>
            <w:tcBorders>
              <w:top w:val="nil"/>
              <w:left w:val="nil"/>
              <w:bottom w:val="nil"/>
              <w:right w:val="single" w:sz="4" w:space="0" w:color="auto"/>
            </w:tcBorders>
            <w:shd w:val="clear" w:color="000000" w:fill="FFFFFF"/>
            <w:noWrap/>
            <w:vAlign w:val="center"/>
            <w:hideMark/>
          </w:tcPr>
          <w:p w:rsidR="007119D4" w:rsidRDefault="00EC0158">
            <w:pPr>
              <w:jc w:val="right"/>
              <w:rPr>
                <w:noProof/>
                <w:color w:val="000000"/>
                <w:sz w:val="22"/>
                <w:szCs w:val="22"/>
              </w:rPr>
            </w:pPr>
            <w:r>
              <w:rPr>
                <w:noProof/>
                <w:color w:val="000000"/>
                <w:sz w:val="22"/>
                <w:szCs w:val="22"/>
              </w:rPr>
              <w:t>-758,0</w:t>
            </w:r>
          </w:p>
        </w:tc>
        <w:tc>
          <w:tcPr>
            <w:tcW w:w="1700" w:type="dxa"/>
            <w:tcBorders>
              <w:top w:val="nil"/>
              <w:left w:val="nil"/>
              <w:bottom w:val="nil"/>
              <w:right w:val="single" w:sz="4" w:space="0" w:color="auto"/>
            </w:tcBorders>
            <w:shd w:val="clear" w:color="000000" w:fill="FFFFFF"/>
            <w:noWrap/>
            <w:vAlign w:val="center"/>
            <w:hideMark/>
          </w:tcPr>
          <w:p w:rsidR="007119D4" w:rsidRDefault="00EC0158">
            <w:pPr>
              <w:jc w:val="right"/>
              <w:rPr>
                <w:noProof/>
                <w:color w:val="000000"/>
                <w:sz w:val="22"/>
                <w:szCs w:val="22"/>
              </w:rPr>
            </w:pPr>
            <w:r>
              <w:rPr>
                <w:noProof/>
                <w:color w:val="000000"/>
                <w:sz w:val="22"/>
                <w:szCs w:val="22"/>
              </w:rPr>
              <w:t>-87,9</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 xml:space="preserve">Fonds InvestEU </w:t>
            </w:r>
            <w:r>
              <w:rPr>
                <w:noProof/>
                <w:color w:val="000000"/>
                <w:sz w:val="22"/>
                <w:szCs w:val="22"/>
              </w:rPr>
              <w:t>(y compris achèvement de l’EFSI)</w:t>
            </w:r>
          </w:p>
        </w:tc>
        <w:tc>
          <w:tcPr>
            <w:tcW w:w="1780" w:type="dxa"/>
            <w:tcBorders>
              <w:top w:val="nil"/>
              <w:left w:val="nil"/>
              <w:bottom w:val="nil"/>
              <w:right w:val="single" w:sz="4" w:space="0" w:color="auto"/>
            </w:tcBorders>
            <w:shd w:val="clear" w:color="000000" w:fill="FFFFFF"/>
            <w:noWrap/>
            <w:vAlign w:val="center"/>
            <w:hideMark/>
          </w:tcPr>
          <w:p w:rsidR="007119D4" w:rsidRDefault="00EC0158">
            <w:pPr>
              <w:jc w:val="right"/>
              <w:rPr>
                <w:noProof/>
                <w:color w:val="000000"/>
                <w:sz w:val="22"/>
                <w:szCs w:val="22"/>
              </w:rPr>
            </w:pPr>
            <w:r>
              <w:rPr>
                <w:noProof/>
                <w:color w:val="000000"/>
                <w:sz w:val="22"/>
                <w:szCs w:val="22"/>
              </w:rPr>
              <w:t>551,0</w:t>
            </w:r>
          </w:p>
        </w:tc>
        <w:tc>
          <w:tcPr>
            <w:tcW w:w="1700" w:type="dxa"/>
            <w:tcBorders>
              <w:top w:val="nil"/>
              <w:left w:val="nil"/>
              <w:bottom w:val="nil"/>
              <w:right w:val="single" w:sz="4" w:space="0" w:color="auto"/>
            </w:tcBorders>
            <w:shd w:val="clear" w:color="000000" w:fill="FFFFFF"/>
            <w:noWrap/>
            <w:vAlign w:val="center"/>
            <w:hideMark/>
          </w:tcPr>
          <w:p w:rsidR="007119D4" w:rsidRDefault="00EC0158">
            <w:pPr>
              <w:jc w:val="right"/>
              <w:rPr>
                <w:noProof/>
                <w:color w:val="000000"/>
                <w:sz w:val="22"/>
                <w:szCs w:val="22"/>
              </w:rPr>
            </w:pPr>
            <w:r>
              <w:rPr>
                <w:noProof/>
                <w:color w:val="000000"/>
                <w:sz w:val="22"/>
                <w:szCs w:val="22"/>
              </w:rPr>
              <w:t>243,2</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Mécanisme pour l’interconnexion en Europe — Transports</w:t>
            </w:r>
          </w:p>
        </w:tc>
        <w:tc>
          <w:tcPr>
            <w:tcW w:w="1780" w:type="dxa"/>
            <w:tcBorders>
              <w:top w:val="nil"/>
              <w:left w:val="nil"/>
              <w:bottom w:val="nil"/>
              <w:right w:val="single" w:sz="4" w:space="0" w:color="auto"/>
            </w:tcBorders>
            <w:shd w:val="clear" w:color="000000" w:fill="FFFFFF"/>
            <w:noWrap/>
            <w:vAlign w:val="center"/>
            <w:hideMark/>
          </w:tcPr>
          <w:p w:rsidR="007119D4" w:rsidRDefault="00EC0158">
            <w:pPr>
              <w:jc w:val="right"/>
              <w:rPr>
                <w:noProof/>
                <w:color w:val="000000"/>
                <w:sz w:val="22"/>
                <w:szCs w:val="22"/>
              </w:rPr>
            </w:pPr>
            <w:r>
              <w:rPr>
                <w:noProof/>
                <w:color w:val="000000"/>
                <w:sz w:val="22"/>
                <w:szCs w:val="22"/>
              </w:rPr>
              <w:t>-227,3</w:t>
            </w:r>
          </w:p>
        </w:tc>
        <w:tc>
          <w:tcPr>
            <w:tcW w:w="1700" w:type="dxa"/>
            <w:tcBorders>
              <w:top w:val="nil"/>
              <w:left w:val="nil"/>
              <w:bottom w:val="nil"/>
              <w:right w:val="single" w:sz="4" w:space="0" w:color="auto"/>
            </w:tcBorders>
            <w:shd w:val="clear" w:color="000000" w:fill="FFFFFF"/>
            <w:noWrap/>
            <w:vAlign w:val="center"/>
            <w:hideMark/>
          </w:tcPr>
          <w:p w:rsidR="007119D4" w:rsidRDefault="00EC0158">
            <w:pPr>
              <w:jc w:val="right"/>
              <w:rPr>
                <w:noProof/>
                <w:color w:val="000000"/>
                <w:sz w:val="22"/>
                <w:szCs w:val="22"/>
              </w:rPr>
            </w:pPr>
            <w:r>
              <w:rPr>
                <w:noProof/>
                <w:color w:val="000000"/>
                <w:sz w:val="22"/>
                <w:szCs w:val="22"/>
              </w:rPr>
              <w:t>-5,8</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Programme pour une Europe numérique</w:t>
            </w:r>
          </w:p>
        </w:tc>
        <w:tc>
          <w:tcPr>
            <w:tcW w:w="1780" w:type="dxa"/>
            <w:tcBorders>
              <w:top w:val="nil"/>
              <w:left w:val="nil"/>
              <w:bottom w:val="nil"/>
              <w:right w:val="single" w:sz="4" w:space="0" w:color="auto"/>
            </w:tcBorders>
            <w:shd w:val="clear" w:color="000000" w:fill="FFFFFF"/>
            <w:noWrap/>
            <w:vAlign w:val="center"/>
            <w:hideMark/>
          </w:tcPr>
          <w:p w:rsidR="007119D4" w:rsidRDefault="00EC0158">
            <w:pPr>
              <w:jc w:val="right"/>
              <w:rPr>
                <w:noProof/>
                <w:color w:val="000000"/>
                <w:sz w:val="22"/>
                <w:szCs w:val="22"/>
              </w:rPr>
            </w:pPr>
            <w:r>
              <w:rPr>
                <w:noProof/>
                <w:color w:val="000000"/>
                <w:sz w:val="22"/>
                <w:szCs w:val="22"/>
              </w:rPr>
              <w:t>-234,1</w:t>
            </w:r>
          </w:p>
        </w:tc>
        <w:tc>
          <w:tcPr>
            <w:tcW w:w="1700" w:type="dxa"/>
            <w:tcBorders>
              <w:top w:val="nil"/>
              <w:left w:val="nil"/>
              <w:bottom w:val="nil"/>
              <w:right w:val="single" w:sz="4" w:space="0" w:color="auto"/>
            </w:tcBorders>
            <w:shd w:val="clear" w:color="000000" w:fill="FFFFFF"/>
            <w:noWrap/>
            <w:vAlign w:val="center"/>
            <w:hideMark/>
          </w:tcPr>
          <w:p w:rsidR="007119D4" w:rsidRDefault="00EC0158">
            <w:pPr>
              <w:jc w:val="right"/>
              <w:rPr>
                <w:noProof/>
                <w:color w:val="000000"/>
                <w:sz w:val="22"/>
                <w:szCs w:val="22"/>
              </w:rPr>
            </w:pPr>
            <w:r>
              <w:rPr>
                <w:noProof/>
                <w:color w:val="000000"/>
                <w:sz w:val="22"/>
                <w:szCs w:val="22"/>
              </w:rPr>
              <w:t>-21,8</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Fonds européen de développement régional (FEDER)</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497,5</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21,7</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Fonds de cohésion (FC)</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284,1</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11,8</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Coût du financement de l’instrument de l’Union européenne pour la relance (EURI)</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-108,7</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-108,7</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EU4Health</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232,0</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55,9</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Fonds social européen (FSE)</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259,5</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10,4</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Erasmus+</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-397,9</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-304,1</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Fonds européen agricole de garantie (FEAGA)</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188,9</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188,9</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 xml:space="preserve">Fonds </w:t>
            </w:r>
            <w:r>
              <w:rPr>
                <w:noProof/>
                <w:color w:val="000000"/>
                <w:sz w:val="22"/>
                <w:szCs w:val="22"/>
              </w:rPr>
              <w:t>européen agricole pour le développement rural (Feader)</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342,1</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307,1</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Fonds européen pour les affaires maritimes et la pêche (FEAMP)</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-70,3</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-0,5</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Fonds pour une transition juste</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-379,0</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0,0</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Fonds «Asile et migration» (FAMI)</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-230,2</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74,6</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 xml:space="preserve">Fonds pour la gestion </w:t>
            </w:r>
            <w:r>
              <w:rPr>
                <w:noProof/>
                <w:color w:val="000000"/>
                <w:sz w:val="22"/>
                <w:szCs w:val="22"/>
              </w:rPr>
              <w:t>intégrée des frontières (FGIF)</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-491,3</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-51,3</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Fonds pour la sécurité intérieure (FSI)</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-52,5</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-9,3</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Fonds européen de la défense</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-101,7</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-3,0</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Instrument de voisinage, de coopération au développement et de coopération internationale (IVCDCI)</w:t>
            </w:r>
          </w:p>
        </w:tc>
        <w:tc>
          <w:tcPr>
            <w:tcW w:w="178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-5,8</w:t>
            </w:r>
          </w:p>
        </w:tc>
        <w:tc>
          <w:tcPr>
            <w:tcW w:w="170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-113,0</w:t>
            </w:r>
          </w:p>
        </w:tc>
      </w:tr>
      <w:tr w:rsidR="007119D4">
        <w:trPr>
          <w:trHeight w:val="300"/>
        </w:trPr>
        <w:tc>
          <w:tcPr>
            <w:tcW w:w="6360" w:type="dxa"/>
            <w:tcBorders>
              <w:top w:val="nil"/>
              <w:left w:val="single" w:sz="4" w:space="0" w:color="auto"/>
              <w:bottom w:val="single" w:sz="4" w:space="0" w:color="auto"/>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Instrument d'aide de préadhésion (IAP III)</w:t>
            </w:r>
          </w:p>
        </w:tc>
        <w:tc>
          <w:tcPr>
            <w:tcW w:w="178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-47,6</w:t>
            </w:r>
          </w:p>
        </w:tc>
        <w:tc>
          <w:tcPr>
            <w:tcW w:w="170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-18,4</w:t>
            </w:r>
          </w:p>
        </w:tc>
      </w:tr>
      <w:tr w:rsidR="007119D4">
        <w:trPr>
          <w:trHeight w:val="300"/>
        </w:trPr>
        <w:tc>
          <w:tcPr>
            <w:tcW w:w="6360" w:type="dxa"/>
            <w:tcBorders>
              <w:top w:val="nil"/>
              <w:left w:val="single" w:sz="4" w:space="0" w:color="auto"/>
              <w:bottom w:val="single" w:sz="4" w:space="0" w:color="auto"/>
              <w:right w:val="single" w:sz="4" w:space="0" w:color="auto"/>
            </w:tcBorders>
            <w:shd w:val="clear" w:color="auto" w:fill="auto"/>
            <w:noWrap/>
            <w:vAlign w:val="center"/>
            <w:hideMark/>
          </w:tcPr>
          <w:p w:rsidR="007119D4" w:rsidRDefault="00EC0158">
            <w:pPr>
              <w:rPr>
                <w:b/>
                <w:bCs/>
                <w:noProof/>
                <w:color w:val="000000"/>
                <w:sz w:val="22"/>
                <w:szCs w:val="22"/>
              </w:rPr>
            </w:pPr>
            <w:r>
              <w:rPr>
                <w:b/>
                <w:bCs/>
                <w:noProof/>
                <w:color w:val="000000"/>
                <w:sz w:val="22"/>
                <w:szCs w:val="22"/>
              </w:rPr>
              <w:t>Total</w:t>
            </w:r>
          </w:p>
        </w:tc>
        <w:tc>
          <w:tcPr>
            <w:tcW w:w="178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b/>
                <w:bCs/>
                <w:noProof/>
                <w:color w:val="000000"/>
                <w:sz w:val="22"/>
                <w:szCs w:val="22"/>
              </w:rPr>
            </w:pPr>
            <w:r>
              <w:rPr>
                <w:b/>
                <w:bCs/>
                <w:noProof/>
                <w:color w:val="000000"/>
                <w:sz w:val="22"/>
                <w:szCs w:val="22"/>
              </w:rPr>
              <w:t>-749,4</w:t>
            </w:r>
          </w:p>
        </w:tc>
        <w:tc>
          <w:tcPr>
            <w:tcW w:w="170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b/>
                <w:bCs/>
                <w:noProof/>
                <w:color w:val="000000"/>
                <w:sz w:val="22"/>
                <w:szCs w:val="22"/>
              </w:rPr>
            </w:pPr>
            <w:r>
              <w:rPr>
                <w:b/>
                <w:bCs/>
                <w:noProof/>
                <w:color w:val="000000"/>
                <w:sz w:val="22"/>
                <w:szCs w:val="22"/>
              </w:rPr>
              <w:t>189,9</w:t>
            </w:r>
          </w:p>
        </w:tc>
      </w:tr>
    </w:tbl>
    <w:p w:rsidR="007119D4" w:rsidRDefault="00EC0158">
      <w:pPr>
        <w:keepNext/>
        <w:tabs>
          <w:tab w:val="left" w:pos="850"/>
        </w:tabs>
        <w:spacing w:before="360" w:after="120"/>
        <w:ind w:left="840" w:hanging="840"/>
        <w:jc w:val="both"/>
        <w:outlineLvl w:val="1"/>
        <w:rPr>
          <w:rFonts w:eastAsia="Calibri"/>
          <w:b/>
          <w:noProof/>
        </w:rPr>
      </w:pPr>
      <w:bookmarkStart w:id="28" w:name="_Toc54770311"/>
      <w:bookmarkStart w:id="29" w:name="_Toc55807121"/>
      <w:bookmarkStart w:id="30" w:name="_Toc56419351"/>
      <w:r>
        <w:rPr>
          <w:i/>
          <w:noProof/>
        </w:rPr>
        <w:t xml:space="preserve">2.1.1 </w:t>
      </w:r>
      <w:r>
        <w:rPr>
          <w:i/>
          <w:noProof/>
        </w:rPr>
        <w:tab/>
        <w:t>Enveloppes des instruments spéciaux thématiques</w:t>
      </w:r>
      <w:bookmarkEnd w:id="28"/>
      <w:bookmarkEnd w:id="29"/>
      <w:bookmarkEnd w:id="30"/>
    </w:p>
    <w:p w:rsidR="007119D4" w:rsidRDefault="00EC0158">
      <w:pPr>
        <w:spacing w:before="120" w:after="120"/>
        <w:jc w:val="both"/>
        <w:rPr>
          <w:noProof/>
          <w:szCs w:val="20"/>
        </w:rPr>
      </w:pPr>
      <w:r>
        <w:rPr>
          <w:noProof/>
        </w:rPr>
        <w:t>Les modifications apportées aux enveloppes des instruments spéciaux thématiques comprennent:</w:t>
      </w:r>
    </w:p>
    <w:p w:rsidR="007119D4" w:rsidRDefault="00EC0158">
      <w:pPr>
        <w:pStyle w:val="ListParagraph"/>
        <w:numPr>
          <w:ilvl w:val="0"/>
          <w:numId w:val="33"/>
        </w:numPr>
        <w:spacing w:before="120" w:after="120" w:line="240" w:lineRule="auto"/>
        <w:contextualSpacing w:val="0"/>
        <w:jc w:val="both"/>
        <w:rPr>
          <w:noProof/>
        </w:rPr>
      </w:pPr>
      <w:r>
        <w:rPr>
          <w:rFonts w:ascii="Times New Roman" w:hAnsi="Times New Roman"/>
          <w:noProof/>
          <w:sz w:val="24"/>
          <w:szCs w:val="24"/>
        </w:rPr>
        <w:t xml:space="preserve">l’ajustement de l’enveloppe </w:t>
      </w:r>
      <w:r>
        <w:rPr>
          <w:rFonts w:ascii="Times New Roman" w:hAnsi="Times New Roman"/>
          <w:noProof/>
          <w:sz w:val="24"/>
          <w:szCs w:val="24"/>
        </w:rPr>
        <w:t>annuelle de la réserve de solidarité et d’aide d’urgence à 1 273,5 millions d’EUR (1 200 millions d’EUR aux prix de 2018), tant en crédits d’engagement qu’en crédits de paiement;</w:t>
      </w:r>
    </w:p>
    <w:p w:rsidR="007119D4" w:rsidRDefault="00EC0158">
      <w:pPr>
        <w:pStyle w:val="ListParagraph"/>
        <w:numPr>
          <w:ilvl w:val="0"/>
          <w:numId w:val="33"/>
        </w:numPr>
        <w:spacing w:before="120" w:after="120" w:line="240" w:lineRule="auto"/>
        <w:contextualSpacing w:val="0"/>
        <w:jc w:val="both"/>
        <w:rPr>
          <w:noProof/>
        </w:rPr>
      </w:pPr>
      <w:r>
        <w:rPr>
          <w:rFonts w:ascii="Times New Roman" w:hAnsi="Times New Roman"/>
          <w:noProof/>
          <w:sz w:val="24"/>
          <w:szCs w:val="24"/>
        </w:rPr>
        <w:t xml:space="preserve">l’ajustement de l’enveloppe annuelle du Fonds européen d’ajustement à la </w:t>
      </w:r>
      <w:r>
        <w:rPr>
          <w:rFonts w:ascii="Times New Roman" w:hAnsi="Times New Roman"/>
          <w:noProof/>
          <w:sz w:val="24"/>
          <w:szCs w:val="24"/>
        </w:rPr>
        <w:t>mondialisation (FEM) à 197,4 millions d’EUR (186 millions d’EUR aux prix de 2018) en crédits d’engagement, sans modification du niveau des crédits de paiement par rapport au PB 2021;</w:t>
      </w:r>
    </w:p>
    <w:p w:rsidR="007119D4" w:rsidRDefault="00EC0158">
      <w:pPr>
        <w:pStyle w:val="ListParagraph"/>
        <w:numPr>
          <w:ilvl w:val="0"/>
          <w:numId w:val="33"/>
        </w:numPr>
        <w:spacing w:before="120" w:after="120" w:line="240" w:lineRule="auto"/>
        <w:contextualSpacing w:val="0"/>
        <w:jc w:val="both"/>
        <w:rPr>
          <w:noProof/>
        </w:rPr>
      </w:pPr>
      <w:r>
        <w:rPr>
          <w:rFonts w:ascii="Times New Roman" w:hAnsi="Times New Roman"/>
          <w:noProof/>
          <w:sz w:val="24"/>
        </w:rPr>
        <w:t>la</w:t>
      </w:r>
      <w:r>
        <w:rPr>
          <w:rFonts w:ascii="Times New Roman" w:hAnsi="Times New Roman"/>
          <w:noProof/>
          <w:sz w:val="24"/>
          <w:szCs w:val="24"/>
        </w:rPr>
        <w:t xml:space="preserve"> création</w:t>
      </w:r>
      <w:r>
        <w:rPr>
          <w:rFonts w:ascii="Times New Roman" w:hAnsi="Times New Roman"/>
          <w:noProof/>
          <w:sz w:val="24"/>
        </w:rPr>
        <w:t xml:space="preserve"> de deux nouvelles lignes budgétaires spécifiques</w:t>
      </w:r>
      <w:r>
        <w:rPr>
          <w:rStyle w:val="FootnoteReference"/>
          <w:rFonts w:ascii="Times New Roman" w:hAnsi="Times New Roman"/>
          <w:noProof/>
          <w:sz w:val="24"/>
          <w:szCs w:val="24"/>
        </w:rPr>
        <w:footnoteReference w:id="11"/>
      </w:r>
      <w:r>
        <w:rPr>
          <w:rFonts w:ascii="Times New Roman" w:hAnsi="Times New Roman"/>
          <w:noProof/>
          <w:sz w:val="24"/>
        </w:rPr>
        <w:t xml:space="preserve"> pour la rés</w:t>
      </w:r>
      <w:r>
        <w:rPr>
          <w:rFonts w:ascii="Times New Roman" w:hAnsi="Times New Roman"/>
          <w:noProof/>
          <w:sz w:val="24"/>
        </w:rPr>
        <w:t>erve d’ajustement au Brexit, sur lesquelles aucun crédit n'est actuellement inscrit, dans l'attente de la proposition que la Commission devrait présenter au cours du mois de novembre 2020.</w:t>
      </w:r>
    </w:p>
    <w:p w:rsidR="007119D4" w:rsidRDefault="00EC0158">
      <w:pPr>
        <w:keepNext/>
        <w:tabs>
          <w:tab w:val="left" w:pos="850"/>
        </w:tabs>
        <w:spacing w:before="120" w:after="120"/>
        <w:ind w:left="357" w:hanging="357"/>
        <w:jc w:val="both"/>
        <w:outlineLvl w:val="1"/>
        <w:rPr>
          <w:rFonts w:eastAsia="Calibri"/>
          <w:b/>
          <w:noProof/>
        </w:rPr>
      </w:pPr>
      <w:bookmarkStart w:id="31" w:name="_Toc56419352"/>
      <w:bookmarkStart w:id="32" w:name="_Toc54770312"/>
      <w:r>
        <w:rPr>
          <w:b/>
          <w:noProof/>
        </w:rPr>
        <w:t xml:space="preserve">2.2 </w:t>
      </w:r>
      <w:r>
        <w:rPr>
          <w:b/>
          <w:noProof/>
        </w:rPr>
        <w:tab/>
        <w:t>Ajustements résultant de l’accord politique du 10 novembre 202</w:t>
      </w:r>
      <w:r>
        <w:rPr>
          <w:b/>
          <w:noProof/>
        </w:rPr>
        <w:t>0</w:t>
      </w:r>
      <w:bookmarkEnd w:id="31"/>
    </w:p>
    <w:p w:rsidR="007119D4" w:rsidRDefault="00EC0158">
      <w:pPr>
        <w:spacing w:before="120" w:after="120"/>
        <w:jc w:val="both"/>
        <w:rPr>
          <w:noProof/>
          <w:szCs w:val="20"/>
        </w:rPr>
      </w:pPr>
      <w:r>
        <w:rPr>
          <w:noProof/>
        </w:rPr>
        <w:t xml:space="preserve">Dans l'accord politique du 10 novembre 2020 relatif au prochain CFP, le Parlement européen et le Conseil sont convenus, entre autres, de renforcer de manière ciblée les programmes de l’Union, notamment Horizon Europe, EU4Health et Erasmus. </w:t>
      </w:r>
    </w:p>
    <w:p w:rsidR="007119D4" w:rsidRDefault="00EC0158">
      <w:pPr>
        <w:spacing w:before="120" w:after="120"/>
        <w:jc w:val="both"/>
        <w:rPr>
          <w:noProof/>
        </w:rPr>
      </w:pPr>
      <w:r>
        <w:rPr>
          <w:noProof/>
        </w:rPr>
        <w:t>Pour ces troi</w:t>
      </w:r>
      <w:r>
        <w:rPr>
          <w:noProof/>
        </w:rPr>
        <w:t>s programmes, les renforcements suivants sont intégrés dans la LR nº 1/2021:</w:t>
      </w:r>
    </w:p>
    <w:p w:rsidR="007119D4" w:rsidRDefault="007119D4">
      <w:pPr>
        <w:spacing w:before="120" w:after="120"/>
        <w:jc w:val="both"/>
        <w:rPr>
          <w:noProof/>
        </w:rPr>
      </w:pPr>
    </w:p>
    <w:p w:rsidR="007119D4" w:rsidRDefault="007119D4">
      <w:pPr>
        <w:spacing w:before="120" w:after="120"/>
        <w:jc w:val="both"/>
        <w:rPr>
          <w:noProof/>
          <w:szCs w:val="20"/>
        </w:rPr>
      </w:pPr>
    </w:p>
    <w:tbl>
      <w:tblPr>
        <w:tblW w:w="9840" w:type="dxa"/>
        <w:tblInd w:w="108" w:type="dxa"/>
        <w:tblLook w:val="04A0" w:firstRow="1" w:lastRow="0" w:firstColumn="1" w:lastColumn="0" w:noHBand="0" w:noVBand="1"/>
      </w:tblPr>
      <w:tblGrid>
        <w:gridCol w:w="6360"/>
        <w:gridCol w:w="1820"/>
        <w:gridCol w:w="1660"/>
      </w:tblGrid>
      <w:tr w:rsidR="007119D4">
        <w:trPr>
          <w:trHeight w:val="300"/>
        </w:trPr>
        <w:tc>
          <w:tcPr>
            <w:tcW w:w="6360" w:type="dxa"/>
            <w:tcBorders>
              <w:top w:val="nil"/>
              <w:left w:val="nil"/>
              <w:bottom w:val="nil"/>
              <w:right w:val="nil"/>
            </w:tcBorders>
            <w:shd w:val="clear" w:color="auto" w:fill="auto"/>
            <w:noWrap/>
            <w:vAlign w:val="center"/>
            <w:hideMark/>
          </w:tcPr>
          <w:p w:rsidR="007119D4" w:rsidRDefault="007119D4">
            <w:pPr>
              <w:rPr>
                <w:noProof/>
                <w:sz w:val="20"/>
                <w:szCs w:val="20"/>
                <w:lang w:val="fr-BE" w:eastAsia="en-US"/>
              </w:rPr>
            </w:pPr>
          </w:p>
        </w:tc>
        <w:tc>
          <w:tcPr>
            <w:tcW w:w="1820" w:type="dxa"/>
            <w:tcBorders>
              <w:top w:val="nil"/>
              <w:left w:val="nil"/>
              <w:bottom w:val="nil"/>
              <w:right w:val="nil"/>
            </w:tcBorders>
            <w:shd w:val="clear" w:color="auto" w:fill="auto"/>
            <w:noWrap/>
            <w:vAlign w:val="center"/>
            <w:hideMark/>
          </w:tcPr>
          <w:p w:rsidR="007119D4" w:rsidRDefault="007119D4">
            <w:pPr>
              <w:rPr>
                <w:noProof/>
                <w:sz w:val="20"/>
                <w:szCs w:val="20"/>
                <w:lang w:val="fr-BE" w:eastAsia="en-US"/>
              </w:rPr>
            </w:pPr>
          </w:p>
        </w:tc>
        <w:tc>
          <w:tcPr>
            <w:tcW w:w="1660" w:type="dxa"/>
            <w:tcBorders>
              <w:top w:val="nil"/>
              <w:left w:val="nil"/>
              <w:bottom w:val="nil"/>
              <w:right w:val="nil"/>
            </w:tcBorders>
            <w:shd w:val="clear" w:color="auto" w:fill="auto"/>
            <w:noWrap/>
            <w:vAlign w:val="center"/>
            <w:hideMark/>
          </w:tcPr>
          <w:p w:rsidR="007119D4" w:rsidRDefault="00EC0158">
            <w:pPr>
              <w:jc w:val="right"/>
              <w:rPr>
                <w:i/>
                <w:iCs/>
                <w:noProof/>
                <w:color w:val="000000"/>
                <w:sz w:val="16"/>
                <w:szCs w:val="16"/>
              </w:rPr>
            </w:pPr>
            <w:r>
              <w:rPr>
                <w:i/>
                <w:iCs/>
                <w:noProof/>
                <w:color w:val="000000"/>
                <w:sz w:val="16"/>
                <w:szCs w:val="16"/>
              </w:rPr>
              <w:t>(en Mio EUR)</w:t>
            </w:r>
          </w:p>
        </w:tc>
      </w:tr>
      <w:tr w:rsidR="007119D4">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119D4" w:rsidRDefault="00EC0158">
            <w:pPr>
              <w:jc w:val="center"/>
              <w:rPr>
                <w:b/>
                <w:bCs/>
                <w:noProof/>
                <w:color w:val="000000"/>
                <w:sz w:val="22"/>
                <w:szCs w:val="22"/>
              </w:rPr>
            </w:pPr>
            <w:r>
              <w:rPr>
                <w:b/>
                <w:bCs/>
                <w:noProof/>
                <w:color w:val="000000"/>
                <w:sz w:val="22"/>
                <w:szCs w:val="22"/>
              </w:rPr>
              <w:t>Programme</w:t>
            </w:r>
          </w:p>
        </w:tc>
        <w:tc>
          <w:tcPr>
            <w:tcW w:w="1820" w:type="dxa"/>
            <w:tcBorders>
              <w:top w:val="single" w:sz="4" w:space="0" w:color="auto"/>
              <w:left w:val="nil"/>
              <w:bottom w:val="single" w:sz="4" w:space="0" w:color="auto"/>
              <w:right w:val="single" w:sz="4" w:space="0" w:color="auto"/>
            </w:tcBorders>
            <w:shd w:val="clear" w:color="000000" w:fill="D9D9D9"/>
            <w:vAlign w:val="center"/>
            <w:hideMark/>
          </w:tcPr>
          <w:p w:rsidR="007119D4" w:rsidRDefault="00EC0158">
            <w:pPr>
              <w:jc w:val="center"/>
              <w:rPr>
                <w:b/>
                <w:bCs/>
                <w:noProof/>
                <w:color w:val="000000"/>
                <w:sz w:val="22"/>
                <w:szCs w:val="22"/>
              </w:rPr>
            </w:pPr>
            <w:r>
              <w:rPr>
                <w:b/>
                <w:bCs/>
                <w:noProof/>
                <w:color w:val="000000"/>
                <w:sz w:val="22"/>
                <w:szCs w:val="22"/>
              </w:rPr>
              <w:t>Crédits d'engagement</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rsidR="007119D4" w:rsidRDefault="00EC0158">
            <w:pPr>
              <w:jc w:val="center"/>
              <w:rPr>
                <w:b/>
                <w:bCs/>
                <w:noProof/>
                <w:color w:val="000000"/>
                <w:sz w:val="22"/>
                <w:szCs w:val="22"/>
              </w:rPr>
            </w:pPr>
            <w:r>
              <w:rPr>
                <w:b/>
                <w:bCs/>
                <w:noProof/>
                <w:color w:val="000000"/>
                <w:sz w:val="22"/>
                <w:szCs w:val="22"/>
              </w:rPr>
              <w:t>Crédits de paiement</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Horizon Europe</w:t>
            </w:r>
          </w:p>
        </w:tc>
        <w:tc>
          <w:tcPr>
            <w:tcW w:w="182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75,8</w:t>
            </w:r>
          </w:p>
        </w:tc>
        <w:tc>
          <w:tcPr>
            <w:tcW w:w="166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3,0</w:t>
            </w:r>
          </w:p>
        </w:tc>
      </w:tr>
      <w:tr w:rsidR="007119D4">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EU4Health</w:t>
            </w:r>
          </w:p>
        </w:tc>
        <w:tc>
          <w:tcPr>
            <w:tcW w:w="182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74,3</w:t>
            </w:r>
          </w:p>
        </w:tc>
        <w:tc>
          <w:tcPr>
            <w:tcW w:w="166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15,3</w:t>
            </w:r>
          </w:p>
        </w:tc>
      </w:tr>
      <w:tr w:rsidR="007119D4">
        <w:trPr>
          <w:trHeight w:val="300"/>
        </w:trPr>
        <w:tc>
          <w:tcPr>
            <w:tcW w:w="6360" w:type="dxa"/>
            <w:tcBorders>
              <w:top w:val="nil"/>
              <w:left w:val="single" w:sz="4" w:space="0" w:color="auto"/>
              <w:bottom w:val="single" w:sz="4" w:space="0" w:color="auto"/>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Erasmus+</w:t>
            </w:r>
          </w:p>
        </w:tc>
        <w:tc>
          <w:tcPr>
            <w:tcW w:w="182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175,1</w:t>
            </w:r>
          </w:p>
        </w:tc>
        <w:tc>
          <w:tcPr>
            <w:tcW w:w="166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133,1</w:t>
            </w:r>
          </w:p>
        </w:tc>
      </w:tr>
      <w:tr w:rsidR="007119D4">
        <w:trPr>
          <w:trHeight w:val="300"/>
        </w:trPr>
        <w:tc>
          <w:tcPr>
            <w:tcW w:w="6360" w:type="dxa"/>
            <w:tcBorders>
              <w:top w:val="nil"/>
              <w:left w:val="single" w:sz="4" w:space="0" w:color="auto"/>
              <w:bottom w:val="single" w:sz="4" w:space="0" w:color="auto"/>
              <w:right w:val="single" w:sz="4" w:space="0" w:color="auto"/>
            </w:tcBorders>
            <w:shd w:val="clear" w:color="auto" w:fill="auto"/>
            <w:noWrap/>
            <w:vAlign w:val="center"/>
            <w:hideMark/>
          </w:tcPr>
          <w:p w:rsidR="007119D4" w:rsidRDefault="00EC0158">
            <w:pPr>
              <w:rPr>
                <w:b/>
                <w:bCs/>
                <w:noProof/>
                <w:color w:val="000000"/>
                <w:sz w:val="22"/>
                <w:szCs w:val="22"/>
              </w:rPr>
            </w:pPr>
            <w:r>
              <w:rPr>
                <w:b/>
                <w:bCs/>
                <w:noProof/>
                <w:color w:val="000000"/>
                <w:sz w:val="22"/>
                <w:szCs w:val="22"/>
              </w:rPr>
              <w:t>Total</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7119D4" w:rsidRDefault="00EC0158">
            <w:pPr>
              <w:jc w:val="right"/>
              <w:rPr>
                <w:b/>
                <w:bCs/>
                <w:noProof/>
                <w:color w:val="000000"/>
                <w:sz w:val="22"/>
                <w:szCs w:val="22"/>
              </w:rPr>
            </w:pPr>
            <w:r>
              <w:rPr>
                <w:b/>
                <w:bCs/>
                <w:noProof/>
                <w:color w:val="000000"/>
                <w:sz w:val="22"/>
                <w:szCs w:val="22"/>
              </w:rPr>
              <w:t>325,2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19D4" w:rsidRDefault="00EC0158">
            <w:pPr>
              <w:jc w:val="right"/>
              <w:rPr>
                <w:b/>
                <w:bCs/>
                <w:noProof/>
                <w:color w:val="000000"/>
                <w:sz w:val="22"/>
                <w:szCs w:val="22"/>
              </w:rPr>
            </w:pPr>
            <w:r>
              <w:rPr>
                <w:b/>
                <w:bCs/>
                <w:noProof/>
                <w:color w:val="000000"/>
                <w:sz w:val="22"/>
                <w:szCs w:val="22"/>
              </w:rPr>
              <w:t>151,3</w:t>
            </w:r>
          </w:p>
        </w:tc>
      </w:tr>
    </w:tbl>
    <w:p w:rsidR="007119D4" w:rsidRDefault="00EC0158">
      <w:pPr>
        <w:spacing w:before="120" w:after="120"/>
        <w:jc w:val="both"/>
        <w:rPr>
          <w:noProof/>
          <w:szCs w:val="20"/>
        </w:rPr>
      </w:pPr>
      <w:r>
        <w:rPr>
          <w:noProof/>
        </w:rPr>
        <w:t>Pour Horizon Europe, les crédits d'engagement supplémentaires d'un montant de 75,8 millions d’EUR seront reconstitués en s'appuyant sur l’article 15, paragraphe 3, du règlement financier, à la suite de la non-exécution totale ou partielle de projets de rec</w:t>
      </w:r>
      <w:r>
        <w:rPr>
          <w:noProof/>
        </w:rPr>
        <w:t xml:space="preserve">herche antérieurs. </w:t>
      </w:r>
    </w:p>
    <w:p w:rsidR="007119D4" w:rsidRDefault="00EC0158">
      <w:pPr>
        <w:spacing w:after="200" w:line="276" w:lineRule="auto"/>
        <w:rPr>
          <w:noProof/>
          <w:szCs w:val="20"/>
        </w:rPr>
      </w:pPr>
      <w:r>
        <w:rPr>
          <w:noProof/>
        </w:rPr>
        <w:t>Les lignes budgétaires suivantes seront renforcées et les commentaires budgétaires ajustés en conséquence:</w:t>
      </w:r>
    </w:p>
    <w:tbl>
      <w:tblPr>
        <w:tblW w:w="9782" w:type="dxa"/>
        <w:tblInd w:w="108" w:type="dxa"/>
        <w:tblLook w:val="04A0" w:firstRow="1" w:lastRow="0" w:firstColumn="1" w:lastColumn="0" w:noHBand="0" w:noVBand="1"/>
      </w:tblPr>
      <w:tblGrid>
        <w:gridCol w:w="1440"/>
        <w:gridCol w:w="6720"/>
        <w:gridCol w:w="1622"/>
      </w:tblGrid>
      <w:tr w:rsidR="007119D4">
        <w:trPr>
          <w:trHeight w:val="260"/>
        </w:trPr>
        <w:tc>
          <w:tcPr>
            <w:tcW w:w="1440" w:type="dxa"/>
            <w:tcBorders>
              <w:top w:val="nil"/>
              <w:left w:val="nil"/>
              <w:bottom w:val="nil"/>
              <w:right w:val="nil"/>
            </w:tcBorders>
            <w:shd w:val="clear" w:color="auto" w:fill="auto"/>
            <w:vAlign w:val="center"/>
            <w:hideMark/>
          </w:tcPr>
          <w:p w:rsidR="007119D4" w:rsidRDefault="007119D4">
            <w:pPr>
              <w:rPr>
                <w:noProof/>
                <w:sz w:val="20"/>
                <w:szCs w:val="20"/>
                <w:lang w:val="fr-BE" w:eastAsia="en-US"/>
              </w:rPr>
            </w:pPr>
          </w:p>
        </w:tc>
        <w:tc>
          <w:tcPr>
            <w:tcW w:w="6720" w:type="dxa"/>
            <w:tcBorders>
              <w:top w:val="nil"/>
              <w:left w:val="nil"/>
              <w:bottom w:val="nil"/>
              <w:right w:val="nil"/>
            </w:tcBorders>
            <w:shd w:val="clear" w:color="auto" w:fill="auto"/>
            <w:vAlign w:val="center"/>
            <w:hideMark/>
          </w:tcPr>
          <w:p w:rsidR="007119D4" w:rsidRDefault="007119D4">
            <w:pPr>
              <w:rPr>
                <w:noProof/>
                <w:sz w:val="20"/>
                <w:szCs w:val="20"/>
                <w:lang w:val="fr-BE" w:eastAsia="en-US"/>
              </w:rPr>
            </w:pPr>
          </w:p>
        </w:tc>
        <w:tc>
          <w:tcPr>
            <w:tcW w:w="1622" w:type="dxa"/>
            <w:tcBorders>
              <w:top w:val="nil"/>
              <w:left w:val="nil"/>
              <w:bottom w:val="nil"/>
              <w:right w:val="nil"/>
            </w:tcBorders>
            <w:shd w:val="clear" w:color="auto" w:fill="auto"/>
            <w:vAlign w:val="center"/>
            <w:hideMark/>
          </w:tcPr>
          <w:p w:rsidR="007119D4" w:rsidRDefault="00EC0158">
            <w:pPr>
              <w:jc w:val="right"/>
              <w:rPr>
                <w:i/>
                <w:iCs/>
                <w:noProof/>
                <w:color w:val="000000"/>
                <w:sz w:val="20"/>
                <w:szCs w:val="20"/>
              </w:rPr>
            </w:pPr>
            <w:r>
              <w:rPr>
                <w:i/>
                <w:iCs/>
                <w:noProof/>
                <w:color w:val="000000"/>
                <w:sz w:val="20"/>
                <w:szCs w:val="20"/>
              </w:rPr>
              <w:t>(en EUR)</w:t>
            </w:r>
          </w:p>
        </w:tc>
      </w:tr>
      <w:tr w:rsidR="007119D4">
        <w:trPr>
          <w:trHeight w:val="519"/>
        </w:trPr>
        <w:tc>
          <w:tcPr>
            <w:tcW w:w="816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7119D4" w:rsidRDefault="00EC0158">
            <w:pPr>
              <w:jc w:val="center"/>
              <w:rPr>
                <w:b/>
                <w:bCs/>
                <w:noProof/>
                <w:color w:val="000000"/>
                <w:sz w:val="22"/>
                <w:szCs w:val="22"/>
              </w:rPr>
            </w:pPr>
            <w:r>
              <w:rPr>
                <w:b/>
                <w:bCs/>
                <w:noProof/>
                <w:color w:val="000000"/>
                <w:sz w:val="22"/>
                <w:szCs w:val="22"/>
              </w:rPr>
              <w:t>Lignes budgétaires</w:t>
            </w:r>
          </w:p>
        </w:tc>
        <w:tc>
          <w:tcPr>
            <w:tcW w:w="1622" w:type="dxa"/>
            <w:tcBorders>
              <w:top w:val="single" w:sz="4" w:space="0" w:color="auto"/>
              <w:left w:val="nil"/>
              <w:bottom w:val="single" w:sz="4" w:space="0" w:color="auto"/>
              <w:right w:val="single" w:sz="4" w:space="0" w:color="auto"/>
            </w:tcBorders>
            <w:shd w:val="clear" w:color="000000" w:fill="BFBFBF"/>
            <w:vAlign w:val="bottom"/>
            <w:hideMark/>
          </w:tcPr>
          <w:p w:rsidR="007119D4" w:rsidRDefault="00EC0158">
            <w:pPr>
              <w:jc w:val="center"/>
              <w:rPr>
                <w:b/>
                <w:bCs/>
                <w:noProof/>
                <w:color w:val="000000"/>
                <w:sz w:val="22"/>
                <w:szCs w:val="22"/>
              </w:rPr>
            </w:pPr>
            <w:r>
              <w:rPr>
                <w:b/>
                <w:bCs/>
                <w:noProof/>
                <w:color w:val="000000"/>
                <w:sz w:val="22"/>
                <w:szCs w:val="22"/>
              </w:rPr>
              <w:t>Crédits d'engagement</w:t>
            </w:r>
          </w:p>
        </w:tc>
      </w:tr>
      <w:tr w:rsidR="007119D4">
        <w:trPr>
          <w:cantSplit/>
          <w:trHeight w:val="260"/>
        </w:trPr>
        <w:tc>
          <w:tcPr>
            <w:tcW w:w="1440" w:type="dxa"/>
            <w:tcBorders>
              <w:top w:val="nil"/>
              <w:left w:val="single" w:sz="4" w:space="0" w:color="auto"/>
              <w:bottom w:val="nil"/>
              <w:right w:val="nil"/>
            </w:tcBorders>
            <w:shd w:val="clear" w:color="auto" w:fill="auto"/>
            <w:noWrap/>
            <w:vAlign w:val="center"/>
            <w:hideMark/>
          </w:tcPr>
          <w:p w:rsidR="007119D4" w:rsidRDefault="00EC0158">
            <w:pPr>
              <w:rPr>
                <w:noProof/>
                <w:color w:val="000000"/>
                <w:sz w:val="22"/>
                <w:szCs w:val="22"/>
              </w:rPr>
            </w:pPr>
            <w:r>
              <w:rPr>
                <w:noProof/>
                <w:color w:val="000000"/>
                <w:sz w:val="22"/>
                <w:szCs w:val="22"/>
              </w:rPr>
              <w:t>01 02 02 10</w:t>
            </w:r>
          </w:p>
        </w:tc>
        <w:tc>
          <w:tcPr>
            <w:tcW w:w="6720" w:type="dxa"/>
            <w:tcBorders>
              <w:top w:val="nil"/>
              <w:left w:val="nil"/>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Pôle «Santé»</w:t>
            </w:r>
          </w:p>
        </w:tc>
        <w:tc>
          <w:tcPr>
            <w:tcW w:w="1622"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12 886 000</w:t>
            </w:r>
          </w:p>
        </w:tc>
      </w:tr>
      <w:tr w:rsidR="007119D4">
        <w:trPr>
          <w:cantSplit/>
          <w:trHeight w:val="260"/>
        </w:trPr>
        <w:tc>
          <w:tcPr>
            <w:tcW w:w="1440" w:type="dxa"/>
            <w:tcBorders>
              <w:top w:val="nil"/>
              <w:left w:val="single" w:sz="4" w:space="0" w:color="auto"/>
              <w:bottom w:val="nil"/>
              <w:right w:val="nil"/>
            </w:tcBorders>
            <w:shd w:val="clear" w:color="auto" w:fill="auto"/>
            <w:noWrap/>
            <w:vAlign w:val="center"/>
            <w:hideMark/>
          </w:tcPr>
          <w:p w:rsidR="007119D4" w:rsidRDefault="00EC0158">
            <w:pPr>
              <w:rPr>
                <w:noProof/>
                <w:color w:val="000000"/>
                <w:sz w:val="22"/>
                <w:szCs w:val="22"/>
              </w:rPr>
            </w:pPr>
            <w:r>
              <w:rPr>
                <w:noProof/>
                <w:color w:val="000000"/>
                <w:sz w:val="22"/>
                <w:szCs w:val="22"/>
              </w:rPr>
              <w:t>01 02 02 40</w:t>
            </w:r>
          </w:p>
        </w:tc>
        <w:tc>
          <w:tcPr>
            <w:tcW w:w="6720" w:type="dxa"/>
            <w:tcBorders>
              <w:top w:val="nil"/>
              <w:left w:val="nil"/>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 xml:space="preserve">Pôle «Numérique, industrie </w:t>
            </w:r>
            <w:r>
              <w:rPr>
                <w:noProof/>
                <w:color w:val="000000"/>
                <w:sz w:val="22"/>
                <w:szCs w:val="22"/>
              </w:rPr>
              <w:t>et espace»</w:t>
            </w:r>
          </w:p>
        </w:tc>
        <w:tc>
          <w:tcPr>
            <w:tcW w:w="1622"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12 886 000</w:t>
            </w:r>
          </w:p>
        </w:tc>
      </w:tr>
      <w:tr w:rsidR="007119D4">
        <w:trPr>
          <w:cantSplit/>
          <w:trHeight w:val="260"/>
        </w:trPr>
        <w:tc>
          <w:tcPr>
            <w:tcW w:w="1440" w:type="dxa"/>
            <w:tcBorders>
              <w:top w:val="nil"/>
              <w:left w:val="single" w:sz="4" w:space="0" w:color="auto"/>
              <w:bottom w:val="nil"/>
              <w:right w:val="nil"/>
            </w:tcBorders>
            <w:shd w:val="clear" w:color="auto" w:fill="auto"/>
            <w:noWrap/>
            <w:vAlign w:val="center"/>
            <w:hideMark/>
          </w:tcPr>
          <w:p w:rsidR="007119D4" w:rsidRDefault="00EC0158">
            <w:pPr>
              <w:rPr>
                <w:noProof/>
                <w:color w:val="000000"/>
                <w:sz w:val="22"/>
                <w:szCs w:val="22"/>
              </w:rPr>
            </w:pPr>
            <w:r>
              <w:rPr>
                <w:noProof/>
                <w:color w:val="000000"/>
                <w:sz w:val="22"/>
                <w:szCs w:val="22"/>
              </w:rPr>
              <w:t>01 02 02 50</w:t>
            </w:r>
          </w:p>
        </w:tc>
        <w:tc>
          <w:tcPr>
            <w:tcW w:w="6720" w:type="dxa"/>
            <w:tcBorders>
              <w:top w:val="nil"/>
              <w:left w:val="nil"/>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Pôle «Climat, énergie et mobilité»</w:t>
            </w:r>
          </w:p>
        </w:tc>
        <w:tc>
          <w:tcPr>
            <w:tcW w:w="1622"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25 014 000</w:t>
            </w:r>
          </w:p>
        </w:tc>
      </w:tr>
      <w:tr w:rsidR="007119D4">
        <w:trPr>
          <w:trHeight w:val="260"/>
        </w:trPr>
        <w:tc>
          <w:tcPr>
            <w:tcW w:w="1440" w:type="dxa"/>
            <w:tcBorders>
              <w:top w:val="nil"/>
              <w:left w:val="single" w:sz="4" w:space="0" w:color="auto"/>
              <w:bottom w:val="nil"/>
              <w:right w:val="nil"/>
            </w:tcBorders>
            <w:shd w:val="clear" w:color="auto" w:fill="auto"/>
            <w:noWrap/>
            <w:vAlign w:val="center"/>
            <w:hideMark/>
          </w:tcPr>
          <w:p w:rsidR="007119D4" w:rsidRDefault="00EC0158">
            <w:pPr>
              <w:rPr>
                <w:noProof/>
                <w:color w:val="000000"/>
                <w:sz w:val="22"/>
                <w:szCs w:val="22"/>
              </w:rPr>
            </w:pPr>
            <w:r>
              <w:rPr>
                <w:noProof/>
                <w:color w:val="000000"/>
                <w:sz w:val="22"/>
                <w:szCs w:val="22"/>
              </w:rPr>
              <w:t>01 02 02 60</w:t>
            </w:r>
          </w:p>
        </w:tc>
        <w:tc>
          <w:tcPr>
            <w:tcW w:w="6720" w:type="dxa"/>
            <w:tcBorders>
              <w:top w:val="nil"/>
              <w:left w:val="nil"/>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Pôle «Alimentation, bioéconomie, ressources naturelles, agriculture et environnement»</w:t>
            </w:r>
          </w:p>
        </w:tc>
        <w:tc>
          <w:tcPr>
            <w:tcW w:w="1622"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25 014 000</w:t>
            </w:r>
          </w:p>
        </w:tc>
      </w:tr>
      <w:tr w:rsidR="007119D4">
        <w:trPr>
          <w:trHeight w:val="260"/>
        </w:trPr>
        <w:tc>
          <w:tcPr>
            <w:tcW w:w="1440" w:type="dxa"/>
            <w:tcBorders>
              <w:top w:val="single" w:sz="4" w:space="0" w:color="auto"/>
              <w:left w:val="single" w:sz="4" w:space="0" w:color="auto"/>
              <w:bottom w:val="single" w:sz="4" w:space="0" w:color="auto"/>
              <w:right w:val="nil"/>
            </w:tcBorders>
            <w:shd w:val="clear" w:color="000000" w:fill="D9D9D9"/>
            <w:noWrap/>
            <w:vAlign w:val="center"/>
            <w:hideMark/>
          </w:tcPr>
          <w:p w:rsidR="007119D4" w:rsidRDefault="00EC0158">
            <w:pPr>
              <w:rPr>
                <w:b/>
                <w:bCs/>
                <w:noProof/>
                <w:color w:val="000000"/>
                <w:sz w:val="22"/>
                <w:szCs w:val="22"/>
              </w:rPr>
            </w:pPr>
            <w:r>
              <w:rPr>
                <w:b/>
                <w:bCs/>
                <w:noProof/>
                <w:color w:val="000000"/>
                <w:sz w:val="22"/>
                <w:szCs w:val="22"/>
              </w:rPr>
              <w:t>Total</w:t>
            </w:r>
          </w:p>
        </w:tc>
        <w:tc>
          <w:tcPr>
            <w:tcW w:w="6720" w:type="dxa"/>
            <w:tcBorders>
              <w:top w:val="single" w:sz="4" w:space="0" w:color="auto"/>
              <w:left w:val="nil"/>
              <w:bottom w:val="single" w:sz="4" w:space="0" w:color="auto"/>
              <w:right w:val="single" w:sz="4" w:space="0" w:color="auto"/>
            </w:tcBorders>
            <w:shd w:val="clear" w:color="000000" w:fill="D9D9D9"/>
            <w:noWrap/>
            <w:vAlign w:val="center"/>
            <w:hideMark/>
          </w:tcPr>
          <w:p w:rsidR="007119D4" w:rsidRDefault="00EC0158">
            <w:pPr>
              <w:jc w:val="right"/>
              <w:rPr>
                <w:b/>
                <w:bCs/>
                <w:noProof/>
                <w:color w:val="000000"/>
                <w:sz w:val="22"/>
                <w:szCs w:val="22"/>
              </w:rPr>
            </w:pPr>
            <w:r>
              <w:rPr>
                <w:b/>
                <w:bCs/>
                <w:noProof/>
                <w:color w:val="000000"/>
                <w:sz w:val="22"/>
                <w:szCs w:val="22"/>
              </w:rPr>
              <w:t> </w:t>
            </w:r>
          </w:p>
        </w:tc>
        <w:tc>
          <w:tcPr>
            <w:tcW w:w="1622" w:type="dxa"/>
            <w:tcBorders>
              <w:top w:val="single" w:sz="4" w:space="0" w:color="auto"/>
              <w:left w:val="nil"/>
              <w:bottom w:val="single" w:sz="4" w:space="0" w:color="auto"/>
              <w:right w:val="single" w:sz="4" w:space="0" w:color="auto"/>
            </w:tcBorders>
            <w:shd w:val="clear" w:color="000000" w:fill="D9D9D9"/>
            <w:noWrap/>
            <w:vAlign w:val="center"/>
            <w:hideMark/>
          </w:tcPr>
          <w:p w:rsidR="007119D4" w:rsidRDefault="00EC0158">
            <w:pPr>
              <w:jc w:val="right"/>
              <w:rPr>
                <w:b/>
                <w:bCs/>
                <w:noProof/>
                <w:color w:val="000000"/>
                <w:sz w:val="22"/>
                <w:szCs w:val="22"/>
              </w:rPr>
            </w:pPr>
            <w:r>
              <w:rPr>
                <w:b/>
                <w:bCs/>
                <w:noProof/>
                <w:color w:val="000000"/>
                <w:sz w:val="22"/>
                <w:szCs w:val="22"/>
              </w:rPr>
              <w:t>75 800 000</w:t>
            </w:r>
          </w:p>
        </w:tc>
      </w:tr>
    </w:tbl>
    <w:p w:rsidR="007119D4" w:rsidRDefault="00EC0158">
      <w:pPr>
        <w:spacing w:before="120" w:after="120"/>
        <w:jc w:val="both"/>
        <w:rPr>
          <w:noProof/>
          <w:szCs w:val="20"/>
        </w:rPr>
      </w:pPr>
      <w:r>
        <w:rPr>
          <w:noProof/>
        </w:rPr>
        <w:t xml:space="preserve">Avec les renforcements de EU4Health et d’Erasmus+ (249,4 millions d’EUR), le total des crédits demandés au titre de la rubrique 2b </w:t>
      </w:r>
      <w:r>
        <w:rPr>
          <w:i/>
          <w:iCs/>
          <w:noProof/>
        </w:rPr>
        <w:t>Résilience et valeurs</w:t>
      </w:r>
      <w:r>
        <w:rPr>
          <w:noProof/>
        </w:rPr>
        <w:t xml:space="preserve"> en 2021 dépasse de 97,8 millions d’EUR le plafond convenu. Il est donc proposé de mobiliser l’instrumen</w:t>
      </w:r>
      <w:r>
        <w:rPr>
          <w:noProof/>
        </w:rPr>
        <w:t xml:space="preserve">t de flexibilité pour ce montant.  </w:t>
      </w:r>
    </w:p>
    <w:p w:rsidR="007119D4" w:rsidRDefault="00EC0158">
      <w:pPr>
        <w:keepNext/>
        <w:tabs>
          <w:tab w:val="left" w:pos="850"/>
        </w:tabs>
        <w:spacing w:before="120" w:after="120"/>
        <w:ind w:left="357" w:hanging="357"/>
        <w:jc w:val="both"/>
        <w:outlineLvl w:val="1"/>
        <w:rPr>
          <w:rFonts w:eastAsia="Calibri"/>
          <w:b/>
          <w:noProof/>
        </w:rPr>
      </w:pPr>
      <w:bookmarkStart w:id="33" w:name="_Toc55807122"/>
      <w:bookmarkStart w:id="34" w:name="_Toc56419353"/>
      <w:r>
        <w:rPr>
          <w:b/>
          <w:noProof/>
        </w:rPr>
        <w:t xml:space="preserve">2.3 </w:t>
      </w:r>
      <w:r>
        <w:rPr>
          <w:b/>
          <w:noProof/>
        </w:rPr>
        <w:tab/>
        <w:t>Besoins actualisés en crédits</w:t>
      </w:r>
      <w:bookmarkEnd w:id="32"/>
      <w:r>
        <w:rPr>
          <w:b/>
          <w:noProof/>
        </w:rPr>
        <w:t xml:space="preserve"> de paiement</w:t>
      </w:r>
      <w:bookmarkEnd w:id="33"/>
      <w:bookmarkEnd w:id="34"/>
    </w:p>
    <w:p w:rsidR="007119D4" w:rsidRDefault="00EC0158">
      <w:pPr>
        <w:keepNext/>
        <w:tabs>
          <w:tab w:val="left" w:pos="850"/>
        </w:tabs>
        <w:spacing w:before="240" w:after="120"/>
        <w:ind w:left="850" w:hanging="850"/>
        <w:jc w:val="both"/>
        <w:outlineLvl w:val="1"/>
        <w:rPr>
          <w:i/>
          <w:noProof/>
        </w:rPr>
      </w:pPr>
      <w:bookmarkStart w:id="35" w:name="_Toc54770313"/>
      <w:bookmarkStart w:id="36" w:name="_Toc55807123"/>
      <w:bookmarkStart w:id="37" w:name="_Toc56419354"/>
      <w:bookmarkStart w:id="38" w:name="_Toc52372351"/>
      <w:bookmarkStart w:id="39" w:name="_Toc52346056"/>
      <w:r>
        <w:rPr>
          <w:i/>
          <w:noProof/>
        </w:rPr>
        <w:t>2.3.1</w:t>
      </w:r>
      <w:r>
        <w:rPr>
          <w:i/>
          <w:noProof/>
        </w:rPr>
        <w:tab/>
        <w:t>Non-adoption de la «solution transitoire» en 2020</w:t>
      </w:r>
      <w:bookmarkEnd w:id="35"/>
      <w:bookmarkEnd w:id="36"/>
      <w:bookmarkEnd w:id="37"/>
    </w:p>
    <w:p w:rsidR="007119D4" w:rsidRDefault="00EC0158">
      <w:pPr>
        <w:spacing w:before="120" w:after="120"/>
        <w:jc w:val="both"/>
        <w:rPr>
          <w:noProof/>
        </w:rPr>
      </w:pPr>
      <w:r>
        <w:rPr>
          <w:noProof/>
        </w:rPr>
        <w:t>Le 3 juin 2020, la Commission a proposé dans le PBR nº 6/2020 de tenir compte, dans le budget 2020, de l’incidence de</w:t>
      </w:r>
      <w:r>
        <w:rPr>
          <w:noProof/>
        </w:rPr>
        <w:t>s propositions législatives adoptées par la Commission les 27, 28 et 29 mai dans le cadre du train de mesures de l’Union européenne pour la relance de l'économie</w:t>
      </w:r>
      <w:r>
        <w:rPr>
          <w:rStyle w:val="FootnoteReference"/>
          <w:noProof/>
          <w:lang w:eastAsia="de-DE"/>
        </w:rPr>
        <w:footnoteReference w:id="12"/>
      </w:r>
      <w:r>
        <w:rPr>
          <w:noProof/>
        </w:rPr>
        <w:t>. Le PBR nº 6/2020 accompagnait la proposition de révision du règlement fixant le cadre financ</w:t>
      </w:r>
      <w:r>
        <w:rPr>
          <w:noProof/>
        </w:rPr>
        <w:t>ier pluriannuel pour 2020</w:t>
      </w:r>
      <w:r>
        <w:rPr>
          <w:rStyle w:val="FootnoteReference"/>
          <w:noProof/>
          <w:lang w:eastAsia="de-DE"/>
        </w:rPr>
        <w:footnoteReference w:id="13"/>
      </w:r>
      <w:r>
        <w:rPr>
          <w:noProof/>
        </w:rPr>
        <w:t>.</w:t>
      </w:r>
    </w:p>
    <w:p w:rsidR="007119D4" w:rsidRDefault="00EC0158">
      <w:pPr>
        <w:spacing w:before="120" w:after="120"/>
        <w:jc w:val="both"/>
        <w:rPr>
          <w:noProof/>
        </w:rPr>
      </w:pPr>
      <w:r>
        <w:rPr>
          <w:noProof/>
        </w:rPr>
        <w:t>Étant donné que cette initiative, dénommée «solution transitoire», est devenue obsolète, il est proposé d'annuler son incidence sur le niveau des crédits de paiement pour 2021 (775 millions d’EUR) dans la LR nº 1/2021.</w:t>
      </w:r>
    </w:p>
    <w:p w:rsidR="007119D4" w:rsidRDefault="00EC0158">
      <w:pPr>
        <w:spacing w:after="200" w:line="276" w:lineRule="auto"/>
        <w:rPr>
          <w:noProof/>
        </w:rPr>
      </w:pPr>
      <w:r>
        <w:rPr>
          <w:noProof/>
        </w:rPr>
        <w:t>Cette réd</w:t>
      </w:r>
      <w:r>
        <w:rPr>
          <w:noProof/>
        </w:rPr>
        <w:t>uction concerne les programmes suivants:</w:t>
      </w:r>
    </w:p>
    <w:p w:rsidR="007119D4" w:rsidRDefault="00EC0158">
      <w:pPr>
        <w:pStyle w:val="ListParagraph"/>
        <w:numPr>
          <w:ilvl w:val="0"/>
          <w:numId w:val="28"/>
        </w:numPr>
        <w:spacing w:before="120" w:after="120" w:line="240" w:lineRule="auto"/>
        <w:ind w:left="360"/>
        <w:contextualSpacing w:val="0"/>
        <w:jc w:val="both"/>
        <w:rPr>
          <w:rFonts w:ascii="Times New Roman" w:hAnsi="Times New Roman"/>
          <w:noProof/>
          <w:sz w:val="24"/>
          <w:szCs w:val="24"/>
        </w:rPr>
      </w:pPr>
      <w:r>
        <w:rPr>
          <w:rFonts w:ascii="Times New Roman" w:hAnsi="Times New Roman"/>
          <w:noProof/>
          <w:sz w:val="24"/>
          <w:szCs w:val="24"/>
        </w:rPr>
        <w:t xml:space="preserve">le programme InvestEU, auquel seront intégrés à partir de 2021 les paiements relatifs à l’achèvement de l’actuel Fonds européen pour les investissements stratégiques (EFSI); la «solution transitoire» prévoyait la </w:t>
      </w:r>
      <w:r>
        <w:rPr>
          <w:rFonts w:ascii="Times New Roman" w:hAnsi="Times New Roman"/>
          <w:noProof/>
          <w:sz w:val="24"/>
          <w:szCs w:val="24"/>
        </w:rPr>
        <w:t>création, au sein de l’EFSI, d’un volet spécifique pour l’instrument de soutien à la solvabilité, pour lequel des crédits de paiement d’un montant de 500 millions d’EUR ont été inclus dans le PB 2021;</w:t>
      </w:r>
    </w:p>
    <w:p w:rsidR="007119D4" w:rsidRDefault="00EC0158">
      <w:pPr>
        <w:pStyle w:val="ListParagraph"/>
        <w:numPr>
          <w:ilvl w:val="0"/>
          <w:numId w:val="28"/>
        </w:numPr>
        <w:spacing w:before="120" w:after="120" w:line="240" w:lineRule="auto"/>
        <w:ind w:left="360"/>
        <w:contextualSpacing w:val="0"/>
        <w:jc w:val="both"/>
        <w:rPr>
          <w:rFonts w:ascii="Times New Roman" w:hAnsi="Times New Roman"/>
          <w:noProof/>
          <w:sz w:val="24"/>
          <w:szCs w:val="24"/>
        </w:rPr>
      </w:pPr>
      <w:r>
        <w:rPr>
          <w:rFonts w:ascii="Times New Roman" w:hAnsi="Times New Roman"/>
          <w:noProof/>
          <w:sz w:val="24"/>
          <w:szCs w:val="24"/>
        </w:rPr>
        <w:t xml:space="preserve">le Fonds européen de développement régional (FEDER) et </w:t>
      </w:r>
      <w:r>
        <w:rPr>
          <w:rFonts w:ascii="Times New Roman" w:hAnsi="Times New Roman"/>
          <w:noProof/>
          <w:sz w:val="24"/>
          <w:szCs w:val="24"/>
        </w:rPr>
        <w:t>le Fonds social européen (FSE), pour lesquels des crédits de paiement d’un montant total de 275 millions d’EUR ont été inclus dans le PB 2021 dans le cadre de l’</w:t>
      </w:r>
      <w:r>
        <w:rPr>
          <w:rFonts w:ascii="Times New Roman" w:hAnsi="Times New Roman"/>
          <w:noProof/>
          <w:color w:val="000000"/>
          <w:sz w:val="24"/>
          <w:szCs w:val="24"/>
        </w:rPr>
        <w:t>initiative REACT-UE</w:t>
      </w:r>
      <w:r>
        <w:rPr>
          <w:rStyle w:val="FootnoteReference"/>
          <w:rFonts w:ascii="Times New Roman" w:eastAsia="Times New Roman" w:hAnsi="Times New Roman"/>
          <w:noProof/>
          <w:sz w:val="24"/>
          <w:szCs w:val="24"/>
          <w:lang w:eastAsia="en-GB"/>
        </w:rPr>
        <w:footnoteReference w:id="14"/>
      </w:r>
      <w:r>
        <w:rPr>
          <w:rFonts w:ascii="Times New Roman" w:hAnsi="Times New Roman"/>
          <w:noProof/>
          <w:sz w:val="24"/>
          <w:szCs w:val="24"/>
        </w:rPr>
        <w:t>, un autre élément de la «solution transitoire».</w:t>
      </w:r>
    </w:p>
    <w:p w:rsidR="007119D4" w:rsidRDefault="00EC0158">
      <w:pPr>
        <w:spacing w:before="120" w:after="120"/>
        <w:jc w:val="both"/>
        <w:rPr>
          <w:noProof/>
        </w:rPr>
      </w:pPr>
      <w:r>
        <w:rPr>
          <w:noProof/>
        </w:rPr>
        <w:t>Le PBR nº 6/2020 prévoyait</w:t>
      </w:r>
      <w:r>
        <w:rPr>
          <w:noProof/>
        </w:rPr>
        <w:t xml:space="preserve"> aussi la création de nouvelles lignes budgétaires dans le budget 2020, dont certaines étaient maintenues en 2021. Cette «solution transitoire» n'ayant pas été adoptée, il </w:t>
      </w:r>
      <w:r>
        <w:rPr>
          <w:noProof/>
        </w:rPr>
        <w:lastRenderedPageBreak/>
        <w:t>convient d'adapter la nomenclature budgétaire et de supprimer ou de transférer certa</w:t>
      </w:r>
      <w:r>
        <w:rPr>
          <w:noProof/>
        </w:rPr>
        <w:t>ines lignes budgétaires, comme indiqué dans le tableau ci-dessous:</w:t>
      </w:r>
    </w:p>
    <w:tbl>
      <w:tblPr>
        <w:tblW w:w="9835" w:type="dxa"/>
        <w:tblInd w:w="113" w:type="dxa"/>
        <w:tblLook w:val="04A0" w:firstRow="1" w:lastRow="0" w:firstColumn="1" w:lastColumn="0" w:noHBand="0" w:noVBand="1"/>
      </w:tblPr>
      <w:tblGrid>
        <w:gridCol w:w="1195"/>
        <w:gridCol w:w="3720"/>
        <w:gridCol w:w="1320"/>
        <w:gridCol w:w="3600"/>
      </w:tblGrid>
      <w:tr w:rsidR="007119D4">
        <w:trPr>
          <w:trHeight w:val="274"/>
        </w:trPr>
        <w:tc>
          <w:tcPr>
            <w:tcW w:w="4915" w:type="dxa"/>
            <w:gridSpan w:val="2"/>
            <w:tcBorders>
              <w:top w:val="single" w:sz="4" w:space="0" w:color="auto"/>
              <w:left w:val="single" w:sz="4" w:space="0" w:color="auto"/>
              <w:bottom w:val="single" w:sz="4" w:space="0" w:color="auto"/>
              <w:right w:val="nil"/>
            </w:tcBorders>
            <w:shd w:val="clear" w:color="000000" w:fill="D9D9D9"/>
            <w:vAlign w:val="center"/>
            <w:hideMark/>
          </w:tcPr>
          <w:p w:rsidR="007119D4" w:rsidRDefault="00EC0158">
            <w:pPr>
              <w:jc w:val="center"/>
              <w:rPr>
                <w:noProof/>
                <w:color w:val="000000"/>
                <w:sz w:val="20"/>
                <w:szCs w:val="20"/>
              </w:rPr>
            </w:pPr>
            <w:r>
              <w:rPr>
                <w:noProof/>
                <w:color w:val="000000"/>
                <w:sz w:val="20"/>
                <w:szCs w:val="20"/>
              </w:rPr>
              <w:t>Nomenclature dans le PB 2021</w:t>
            </w:r>
          </w:p>
        </w:tc>
        <w:tc>
          <w:tcPr>
            <w:tcW w:w="492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7119D4" w:rsidRDefault="00EC0158">
            <w:pPr>
              <w:jc w:val="center"/>
              <w:rPr>
                <w:noProof/>
                <w:color w:val="000000"/>
                <w:sz w:val="20"/>
                <w:szCs w:val="20"/>
              </w:rPr>
            </w:pPr>
            <w:r>
              <w:rPr>
                <w:noProof/>
                <w:color w:val="000000"/>
                <w:sz w:val="20"/>
                <w:szCs w:val="20"/>
              </w:rPr>
              <w:t>Nomenclature dans la LR nº 1/2021</w:t>
            </w:r>
          </w:p>
        </w:tc>
      </w:tr>
      <w:tr w:rsidR="007119D4">
        <w:trPr>
          <w:trHeight w:val="350"/>
        </w:trPr>
        <w:tc>
          <w:tcPr>
            <w:tcW w:w="1195" w:type="dxa"/>
            <w:tcBorders>
              <w:top w:val="nil"/>
              <w:left w:val="single" w:sz="4" w:space="0" w:color="auto"/>
              <w:bottom w:val="nil"/>
              <w:right w:val="nil"/>
            </w:tcBorders>
            <w:shd w:val="clear" w:color="auto" w:fill="auto"/>
            <w:vAlign w:val="center"/>
            <w:hideMark/>
          </w:tcPr>
          <w:p w:rsidR="007119D4" w:rsidRDefault="00EC0158">
            <w:pPr>
              <w:rPr>
                <w:noProof/>
                <w:color w:val="000000"/>
                <w:sz w:val="20"/>
                <w:szCs w:val="20"/>
              </w:rPr>
            </w:pPr>
            <w:r>
              <w:rPr>
                <w:noProof/>
                <w:color w:val="000000"/>
                <w:sz w:val="20"/>
                <w:szCs w:val="20"/>
              </w:rPr>
              <w:t>02 01 04</w:t>
            </w:r>
          </w:p>
        </w:tc>
        <w:tc>
          <w:tcPr>
            <w:tcW w:w="3720" w:type="dxa"/>
            <w:tcBorders>
              <w:top w:val="nil"/>
              <w:left w:val="nil"/>
              <w:bottom w:val="nil"/>
              <w:right w:val="single" w:sz="4" w:space="0" w:color="auto"/>
            </w:tcBorders>
            <w:shd w:val="clear" w:color="auto" w:fill="auto"/>
            <w:vAlign w:val="center"/>
            <w:hideMark/>
          </w:tcPr>
          <w:p w:rsidR="007119D4" w:rsidRDefault="00EC0158">
            <w:pPr>
              <w:rPr>
                <w:noProof/>
                <w:color w:val="000000"/>
                <w:sz w:val="20"/>
                <w:szCs w:val="20"/>
              </w:rPr>
            </w:pPr>
            <w:r>
              <w:rPr>
                <w:noProof/>
                <w:color w:val="000000"/>
                <w:sz w:val="20"/>
                <w:szCs w:val="20"/>
              </w:rPr>
              <w:t>Dépenses d'appui pour le «Fonds européen pour les investissements stratégiques»</w:t>
            </w:r>
          </w:p>
        </w:tc>
        <w:tc>
          <w:tcPr>
            <w:tcW w:w="1320" w:type="dxa"/>
            <w:tcBorders>
              <w:top w:val="nil"/>
              <w:left w:val="nil"/>
              <w:bottom w:val="nil"/>
              <w:right w:val="nil"/>
            </w:tcBorders>
            <w:shd w:val="clear" w:color="auto" w:fill="F2F2F2" w:themeFill="background1" w:themeFillShade="F2"/>
            <w:vAlign w:val="center"/>
            <w:hideMark/>
          </w:tcPr>
          <w:p w:rsidR="007119D4" w:rsidRDefault="00EC0158">
            <w:pPr>
              <w:rPr>
                <w:i/>
                <w:noProof/>
                <w:color w:val="000000"/>
                <w:sz w:val="20"/>
                <w:szCs w:val="20"/>
              </w:rPr>
            </w:pPr>
            <w:r>
              <w:rPr>
                <w:i/>
                <w:noProof/>
                <w:color w:val="000000"/>
                <w:sz w:val="20"/>
                <w:szCs w:val="20"/>
              </w:rPr>
              <w:t>supprimé</w:t>
            </w:r>
          </w:p>
        </w:tc>
        <w:tc>
          <w:tcPr>
            <w:tcW w:w="3600" w:type="dxa"/>
            <w:tcBorders>
              <w:top w:val="nil"/>
              <w:left w:val="nil"/>
              <w:bottom w:val="nil"/>
              <w:right w:val="single" w:sz="4" w:space="0" w:color="auto"/>
            </w:tcBorders>
            <w:shd w:val="clear" w:color="auto" w:fill="F2F2F2" w:themeFill="background1" w:themeFillShade="F2"/>
            <w:vAlign w:val="center"/>
            <w:hideMark/>
          </w:tcPr>
          <w:p w:rsidR="007119D4" w:rsidRDefault="00EC0158">
            <w:pPr>
              <w:rPr>
                <w:i/>
                <w:noProof/>
                <w:color w:val="000000"/>
                <w:sz w:val="20"/>
                <w:szCs w:val="20"/>
              </w:rPr>
            </w:pPr>
            <w:r>
              <w:rPr>
                <w:i/>
                <w:noProof/>
                <w:color w:val="000000"/>
                <w:sz w:val="20"/>
                <w:szCs w:val="20"/>
              </w:rPr>
              <w:t> </w:t>
            </w:r>
          </w:p>
        </w:tc>
      </w:tr>
      <w:tr w:rsidR="007119D4">
        <w:trPr>
          <w:trHeight w:val="552"/>
        </w:trPr>
        <w:tc>
          <w:tcPr>
            <w:tcW w:w="1195" w:type="dxa"/>
            <w:tcBorders>
              <w:top w:val="nil"/>
              <w:left w:val="single" w:sz="4" w:space="0" w:color="auto"/>
              <w:bottom w:val="nil"/>
              <w:right w:val="nil"/>
            </w:tcBorders>
            <w:shd w:val="clear" w:color="auto" w:fill="auto"/>
            <w:vAlign w:val="center"/>
            <w:hideMark/>
          </w:tcPr>
          <w:p w:rsidR="007119D4" w:rsidRDefault="00EC0158">
            <w:pPr>
              <w:rPr>
                <w:noProof/>
                <w:color w:val="000000"/>
                <w:sz w:val="20"/>
                <w:szCs w:val="20"/>
              </w:rPr>
            </w:pPr>
            <w:r>
              <w:rPr>
                <w:noProof/>
                <w:color w:val="000000"/>
                <w:sz w:val="20"/>
                <w:szCs w:val="20"/>
              </w:rPr>
              <w:t>02 05 02 01</w:t>
            </w:r>
          </w:p>
        </w:tc>
        <w:tc>
          <w:tcPr>
            <w:tcW w:w="3720" w:type="dxa"/>
            <w:tcBorders>
              <w:top w:val="nil"/>
              <w:left w:val="nil"/>
              <w:bottom w:val="nil"/>
              <w:right w:val="single" w:sz="4" w:space="0" w:color="auto"/>
            </w:tcBorders>
            <w:shd w:val="clear" w:color="auto" w:fill="auto"/>
            <w:vAlign w:val="center"/>
            <w:hideMark/>
          </w:tcPr>
          <w:p w:rsidR="007119D4" w:rsidRDefault="00EC0158">
            <w:pPr>
              <w:rPr>
                <w:noProof/>
                <w:color w:val="000000"/>
                <w:sz w:val="20"/>
                <w:szCs w:val="20"/>
              </w:rPr>
            </w:pPr>
            <w:r>
              <w:rPr>
                <w:noProof/>
                <w:color w:val="000000"/>
                <w:sz w:val="20"/>
                <w:szCs w:val="20"/>
              </w:rPr>
              <w:t xml:space="preserve">Garantie </w:t>
            </w:r>
            <w:r>
              <w:rPr>
                <w:noProof/>
                <w:color w:val="000000"/>
                <w:sz w:val="20"/>
                <w:szCs w:val="20"/>
              </w:rPr>
              <w:t>EFSI – Volet «Infrastructures et innovation» et volet «PME»</w:t>
            </w:r>
          </w:p>
        </w:tc>
        <w:tc>
          <w:tcPr>
            <w:tcW w:w="1320" w:type="dxa"/>
            <w:tcBorders>
              <w:top w:val="nil"/>
              <w:left w:val="nil"/>
              <w:bottom w:val="nil"/>
              <w:right w:val="nil"/>
            </w:tcBorders>
            <w:shd w:val="clear" w:color="auto" w:fill="F2F2F2" w:themeFill="background1" w:themeFillShade="F2"/>
            <w:vAlign w:val="center"/>
            <w:hideMark/>
          </w:tcPr>
          <w:p w:rsidR="007119D4" w:rsidRDefault="00EC0158">
            <w:pPr>
              <w:rPr>
                <w:i/>
                <w:noProof/>
                <w:sz w:val="20"/>
                <w:szCs w:val="20"/>
              </w:rPr>
            </w:pPr>
            <w:r>
              <w:rPr>
                <w:i/>
                <w:noProof/>
                <w:sz w:val="20"/>
                <w:szCs w:val="20"/>
              </w:rPr>
              <w:t>02 02 99 12</w:t>
            </w:r>
          </w:p>
          <w:p w:rsidR="007119D4" w:rsidRDefault="00EC0158">
            <w:pPr>
              <w:rPr>
                <w:i/>
                <w:noProof/>
                <w:sz w:val="20"/>
                <w:szCs w:val="20"/>
              </w:rPr>
            </w:pPr>
            <w:r>
              <w:rPr>
                <w:i/>
                <w:noProof/>
                <w:sz w:val="20"/>
                <w:szCs w:val="20"/>
              </w:rPr>
              <w:t>(nouveau)</w:t>
            </w:r>
          </w:p>
        </w:tc>
        <w:tc>
          <w:tcPr>
            <w:tcW w:w="3600" w:type="dxa"/>
            <w:tcBorders>
              <w:top w:val="nil"/>
              <w:left w:val="nil"/>
              <w:bottom w:val="nil"/>
              <w:right w:val="single" w:sz="4" w:space="0" w:color="auto"/>
            </w:tcBorders>
            <w:shd w:val="clear" w:color="auto" w:fill="F2F2F2" w:themeFill="background1" w:themeFillShade="F2"/>
            <w:vAlign w:val="center"/>
            <w:hideMark/>
          </w:tcPr>
          <w:p w:rsidR="007119D4" w:rsidRDefault="00EC0158">
            <w:pPr>
              <w:rPr>
                <w:i/>
                <w:noProof/>
                <w:sz w:val="20"/>
                <w:szCs w:val="20"/>
              </w:rPr>
            </w:pPr>
            <w:r>
              <w:rPr>
                <w:i/>
                <w:noProof/>
                <w:sz w:val="20"/>
                <w:szCs w:val="20"/>
              </w:rPr>
              <w:t>Achèvement du «Fonds européen pour les investissements stratégiques (EFSI)»</w:t>
            </w:r>
          </w:p>
        </w:tc>
      </w:tr>
      <w:tr w:rsidR="007119D4">
        <w:trPr>
          <w:trHeight w:val="348"/>
        </w:trPr>
        <w:tc>
          <w:tcPr>
            <w:tcW w:w="1195" w:type="dxa"/>
            <w:tcBorders>
              <w:top w:val="nil"/>
              <w:left w:val="single" w:sz="4" w:space="0" w:color="auto"/>
              <w:bottom w:val="nil"/>
              <w:right w:val="nil"/>
            </w:tcBorders>
            <w:shd w:val="clear" w:color="auto" w:fill="auto"/>
            <w:vAlign w:val="center"/>
            <w:hideMark/>
          </w:tcPr>
          <w:p w:rsidR="007119D4" w:rsidRDefault="00EC0158">
            <w:pPr>
              <w:rPr>
                <w:noProof/>
                <w:color w:val="000000"/>
                <w:sz w:val="20"/>
                <w:szCs w:val="20"/>
              </w:rPr>
            </w:pPr>
            <w:r>
              <w:rPr>
                <w:noProof/>
                <w:color w:val="000000"/>
                <w:sz w:val="20"/>
                <w:szCs w:val="20"/>
              </w:rPr>
              <w:t>02 05 02 02</w:t>
            </w:r>
          </w:p>
        </w:tc>
        <w:tc>
          <w:tcPr>
            <w:tcW w:w="3720" w:type="dxa"/>
            <w:tcBorders>
              <w:top w:val="nil"/>
              <w:left w:val="nil"/>
              <w:bottom w:val="nil"/>
              <w:right w:val="single" w:sz="4" w:space="0" w:color="auto"/>
            </w:tcBorders>
            <w:shd w:val="clear" w:color="auto" w:fill="auto"/>
            <w:vAlign w:val="center"/>
            <w:hideMark/>
          </w:tcPr>
          <w:p w:rsidR="007119D4" w:rsidRDefault="00EC0158">
            <w:pPr>
              <w:rPr>
                <w:noProof/>
                <w:color w:val="000000"/>
                <w:sz w:val="20"/>
                <w:szCs w:val="20"/>
              </w:rPr>
            </w:pPr>
            <w:r>
              <w:rPr>
                <w:noProof/>
                <w:color w:val="000000"/>
                <w:sz w:val="20"/>
                <w:szCs w:val="20"/>
              </w:rPr>
              <w:t xml:space="preserve"> Garantie EFSI – Volet «Instrument de soutien à la solvabilité»</w:t>
            </w:r>
          </w:p>
        </w:tc>
        <w:tc>
          <w:tcPr>
            <w:tcW w:w="1320" w:type="dxa"/>
            <w:tcBorders>
              <w:top w:val="nil"/>
              <w:left w:val="nil"/>
              <w:bottom w:val="nil"/>
              <w:right w:val="nil"/>
            </w:tcBorders>
            <w:shd w:val="clear" w:color="auto" w:fill="F2F2F2" w:themeFill="background1" w:themeFillShade="F2"/>
            <w:vAlign w:val="center"/>
            <w:hideMark/>
          </w:tcPr>
          <w:p w:rsidR="007119D4" w:rsidRDefault="00EC0158">
            <w:pPr>
              <w:rPr>
                <w:i/>
                <w:noProof/>
                <w:color w:val="000000"/>
                <w:sz w:val="20"/>
                <w:szCs w:val="20"/>
              </w:rPr>
            </w:pPr>
            <w:r>
              <w:rPr>
                <w:i/>
                <w:noProof/>
                <w:color w:val="000000"/>
                <w:sz w:val="20"/>
                <w:szCs w:val="20"/>
              </w:rPr>
              <w:t>supprimé</w:t>
            </w:r>
          </w:p>
        </w:tc>
        <w:tc>
          <w:tcPr>
            <w:tcW w:w="3600" w:type="dxa"/>
            <w:tcBorders>
              <w:top w:val="nil"/>
              <w:left w:val="nil"/>
              <w:bottom w:val="nil"/>
              <w:right w:val="single" w:sz="4" w:space="0" w:color="auto"/>
            </w:tcBorders>
            <w:shd w:val="clear" w:color="auto" w:fill="F2F2F2" w:themeFill="background1" w:themeFillShade="F2"/>
            <w:vAlign w:val="center"/>
            <w:hideMark/>
          </w:tcPr>
          <w:p w:rsidR="007119D4" w:rsidRDefault="00EC0158">
            <w:pPr>
              <w:rPr>
                <w:i/>
                <w:noProof/>
                <w:color w:val="000000"/>
                <w:sz w:val="20"/>
                <w:szCs w:val="20"/>
              </w:rPr>
            </w:pPr>
            <w:r>
              <w:rPr>
                <w:i/>
                <w:noProof/>
                <w:color w:val="000000"/>
                <w:sz w:val="20"/>
                <w:szCs w:val="20"/>
              </w:rPr>
              <w:t> </w:t>
            </w:r>
          </w:p>
        </w:tc>
      </w:tr>
      <w:tr w:rsidR="007119D4">
        <w:trPr>
          <w:trHeight w:val="612"/>
        </w:trPr>
        <w:tc>
          <w:tcPr>
            <w:tcW w:w="1195" w:type="dxa"/>
            <w:tcBorders>
              <w:top w:val="nil"/>
              <w:left w:val="single" w:sz="4" w:space="0" w:color="auto"/>
              <w:bottom w:val="nil"/>
              <w:right w:val="nil"/>
            </w:tcBorders>
            <w:shd w:val="clear" w:color="auto" w:fill="auto"/>
            <w:vAlign w:val="center"/>
            <w:hideMark/>
          </w:tcPr>
          <w:p w:rsidR="007119D4" w:rsidRDefault="00EC0158">
            <w:pPr>
              <w:rPr>
                <w:noProof/>
                <w:color w:val="000000"/>
                <w:sz w:val="20"/>
                <w:szCs w:val="20"/>
              </w:rPr>
            </w:pPr>
            <w:r>
              <w:rPr>
                <w:noProof/>
                <w:color w:val="000000"/>
                <w:sz w:val="20"/>
                <w:szCs w:val="20"/>
              </w:rPr>
              <w:t xml:space="preserve">02 05 03 </w:t>
            </w:r>
            <w:r>
              <w:rPr>
                <w:noProof/>
                <w:color w:val="000000"/>
                <w:sz w:val="20"/>
                <w:szCs w:val="20"/>
              </w:rPr>
              <w:t>01</w:t>
            </w:r>
          </w:p>
        </w:tc>
        <w:tc>
          <w:tcPr>
            <w:tcW w:w="3720" w:type="dxa"/>
            <w:tcBorders>
              <w:top w:val="nil"/>
              <w:left w:val="nil"/>
              <w:bottom w:val="nil"/>
              <w:right w:val="single" w:sz="4" w:space="0" w:color="auto"/>
            </w:tcBorders>
            <w:shd w:val="clear" w:color="auto" w:fill="auto"/>
            <w:vAlign w:val="center"/>
            <w:hideMark/>
          </w:tcPr>
          <w:p w:rsidR="007119D4" w:rsidRDefault="00EC0158">
            <w:pPr>
              <w:rPr>
                <w:noProof/>
                <w:color w:val="000000"/>
                <w:sz w:val="20"/>
                <w:szCs w:val="20"/>
              </w:rPr>
            </w:pPr>
            <w:r>
              <w:rPr>
                <w:noProof/>
                <w:color w:val="000000"/>
                <w:sz w:val="20"/>
                <w:szCs w:val="20"/>
              </w:rPr>
              <w:t>EIAH et EIPP – Volet «Infrastructures et innovation» et volet «PME»</w:t>
            </w:r>
          </w:p>
        </w:tc>
        <w:tc>
          <w:tcPr>
            <w:tcW w:w="1320" w:type="dxa"/>
            <w:tcBorders>
              <w:top w:val="nil"/>
              <w:left w:val="nil"/>
              <w:bottom w:val="nil"/>
              <w:right w:val="nil"/>
            </w:tcBorders>
            <w:shd w:val="clear" w:color="auto" w:fill="F2F2F2" w:themeFill="background1" w:themeFillShade="F2"/>
            <w:vAlign w:val="center"/>
            <w:hideMark/>
          </w:tcPr>
          <w:p w:rsidR="007119D4" w:rsidRDefault="00EC0158">
            <w:pPr>
              <w:rPr>
                <w:i/>
                <w:noProof/>
                <w:sz w:val="20"/>
                <w:szCs w:val="20"/>
              </w:rPr>
            </w:pPr>
            <w:r>
              <w:rPr>
                <w:i/>
                <w:noProof/>
                <w:sz w:val="20"/>
                <w:szCs w:val="20"/>
              </w:rPr>
              <w:t>02 02 99 12</w:t>
            </w:r>
          </w:p>
          <w:p w:rsidR="007119D4" w:rsidRDefault="00EC0158">
            <w:pPr>
              <w:rPr>
                <w:i/>
                <w:noProof/>
                <w:color w:val="FF0000"/>
                <w:sz w:val="20"/>
                <w:szCs w:val="20"/>
              </w:rPr>
            </w:pPr>
            <w:r>
              <w:rPr>
                <w:i/>
                <w:noProof/>
                <w:sz w:val="20"/>
                <w:szCs w:val="20"/>
              </w:rPr>
              <w:t>(nouveau)</w:t>
            </w:r>
          </w:p>
        </w:tc>
        <w:tc>
          <w:tcPr>
            <w:tcW w:w="3600" w:type="dxa"/>
            <w:tcBorders>
              <w:top w:val="nil"/>
              <w:left w:val="nil"/>
              <w:bottom w:val="nil"/>
              <w:right w:val="single" w:sz="4" w:space="0" w:color="auto"/>
            </w:tcBorders>
            <w:shd w:val="clear" w:color="auto" w:fill="F2F2F2" w:themeFill="background1" w:themeFillShade="F2"/>
            <w:vAlign w:val="center"/>
            <w:hideMark/>
          </w:tcPr>
          <w:p w:rsidR="007119D4" w:rsidRDefault="00EC0158">
            <w:pPr>
              <w:rPr>
                <w:i/>
                <w:noProof/>
                <w:color w:val="FF0000"/>
                <w:sz w:val="20"/>
                <w:szCs w:val="20"/>
              </w:rPr>
            </w:pPr>
            <w:r>
              <w:rPr>
                <w:i/>
                <w:noProof/>
                <w:sz w:val="20"/>
                <w:szCs w:val="20"/>
              </w:rPr>
              <w:t>Achèvement du «Fonds européen pour les investissements stratégiques (EFSI)»</w:t>
            </w:r>
          </w:p>
        </w:tc>
      </w:tr>
      <w:tr w:rsidR="007119D4">
        <w:trPr>
          <w:trHeight w:val="288"/>
        </w:trPr>
        <w:tc>
          <w:tcPr>
            <w:tcW w:w="1195" w:type="dxa"/>
            <w:tcBorders>
              <w:top w:val="nil"/>
              <w:left w:val="single" w:sz="4" w:space="0" w:color="auto"/>
              <w:bottom w:val="single" w:sz="4" w:space="0" w:color="auto"/>
              <w:right w:val="nil"/>
            </w:tcBorders>
            <w:shd w:val="clear" w:color="auto" w:fill="auto"/>
            <w:vAlign w:val="center"/>
            <w:hideMark/>
          </w:tcPr>
          <w:p w:rsidR="007119D4" w:rsidRDefault="00EC0158">
            <w:pPr>
              <w:rPr>
                <w:noProof/>
                <w:color w:val="000000"/>
                <w:sz w:val="20"/>
                <w:szCs w:val="20"/>
              </w:rPr>
            </w:pPr>
            <w:r>
              <w:rPr>
                <w:noProof/>
                <w:color w:val="000000"/>
                <w:sz w:val="20"/>
                <w:szCs w:val="20"/>
              </w:rPr>
              <w:t>02 05 03 02</w:t>
            </w:r>
          </w:p>
        </w:tc>
        <w:tc>
          <w:tcPr>
            <w:tcW w:w="3720" w:type="dxa"/>
            <w:tcBorders>
              <w:top w:val="nil"/>
              <w:left w:val="nil"/>
              <w:bottom w:val="single" w:sz="4" w:space="0" w:color="auto"/>
              <w:right w:val="single" w:sz="4" w:space="0" w:color="auto"/>
            </w:tcBorders>
            <w:shd w:val="clear" w:color="auto" w:fill="auto"/>
            <w:vAlign w:val="center"/>
            <w:hideMark/>
          </w:tcPr>
          <w:p w:rsidR="007119D4" w:rsidRDefault="00EC0158">
            <w:pPr>
              <w:rPr>
                <w:noProof/>
                <w:color w:val="000000"/>
                <w:sz w:val="20"/>
                <w:szCs w:val="20"/>
              </w:rPr>
            </w:pPr>
            <w:r>
              <w:rPr>
                <w:noProof/>
                <w:color w:val="000000"/>
                <w:sz w:val="20"/>
                <w:szCs w:val="20"/>
              </w:rPr>
              <w:t>EIAH et EIPP – Volet «Instrument de soutien à la solvabilité»</w:t>
            </w:r>
          </w:p>
        </w:tc>
        <w:tc>
          <w:tcPr>
            <w:tcW w:w="1320" w:type="dxa"/>
            <w:tcBorders>
              <w:top w:val="nil"/>
              <w:left w:val="nil"/>
              <w:bottom w:val="single" w:sz="4" w:space="0" w:color="auto"/>
              <w:right w:val="nil"/>
            </w:tcBorders>
            <w:shd w:val="clear" w:color="auto" w:fill="F2F2F2" w:themeFill="background1" w:themeFillShade="F2"/>
            <w:vAlign w:val="center"/>
            <w:hideMark/>
          </w:tcPr>
          <w:p w:rsidR="007119D4" w:rsidRDefault="00EC0158">
            <w:pPr>
              <w:rPr>
                <w:i/>
                <w:noProof/>
                <w:color w:val="000000"/>
                <w:sz w:val="20"/>
                <w:szCs w:val="20"/>
              </w:rPr>
            </w:pPr>
            <w:r>
              <w:rPr>
                <w:i/>
                <w:noProof/>
                <w:color w:val="000000"/>
                <w:sz w:val="20"/>
                <w:szCs w:val="20"/>
              </w:rPr>
              <w:t>supprimé</w:t>
            </w:r>
          </w:p>
        </w:tc>
        <w:tc>
          <w:tcPr>
            <w:tcW w:w="3600"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rPr>
                <w:i/>
                <w:noProof/>
                <w:color w:val="000000"/>
                <w:sz w:val="20"/>
                <w:szCs w:val="20"/>
              </w:rPr>
            </w:pPr>
            <w:r>
              <w:rPr>
                <w:i/>
                <w:noProof/>
                <w:color w:val="000000"/>
                <w:sz w:val="20"/>
                <w:szCs w:val="20"/>
              </w:rPr>
              <w:t> </w:t>
            </w:r>
          </w:p>
        </w:tc>
      </w:tr>
    </w:tbl>
    <w:p w:rsidR="007119D4" w:rsidRDefault="00EC0158">
      <w:pPr>
        <w:keepNext/>
        <w:tabs>
          <w:tab w:val="left" w:pos="850"/>
        </w:tabs>
        <w:spacing w:before="240" w:after="120"/>
        <w:ind w:left="850" w:hanging="850"/>
        <w:jc w:val="both"/>
        <w:outlineLvl w:val="1"/>
        <w:rPr>
          <w:rFonts w:eastAsia="Calibri"/>
          <w:i/>
          <w:noProof/>
        </w:rPr>
      </w:pPr>
      <w:bookmarkStart w:id="40" w:name="_Toc54770314"/>
      <w:bookmarkStart w:id="41" w:name="_Toc55807124"/>
      <w:bookmarkStart w:id="42" w:name="_Toc56419355"/>
      <w:r>
        <w:rPr>
          <w:i/>
          <w:noProof/>
        </w:rPr>
        <w:t>2.3.2</w:t>
      </w:r>
      <w:r>
        <w:rPr>
          <w:i/>
          <w:noProof/>
        </w:rPr>
        <w:tab/>
        <w:t>Incidence liée au budget rectificatif nº 6/2020 (stratégie en matière de vaccins)</w:t>
      </w:r>
      <w:bookmarkEnd w:id="40"/>
      <w:bookmarkEnd w:id="41"/>
      <w:bookmarkEnd w:id="42"/>
    </w:p>
    <w:p w:rsidR="007119D4" w:rsidRDefault="00EC0158">
      <w:pPr>
        <w:spacing w:before="120" w:after="120"/>
        <w:jc w:val="both"/>
        <w:rPr>
          <w:noProof/>
          <w:szCs w:val="20"/>
        </w:rPr>
      </w:pPr>
      <w:r>
        <w:rPr>
          <w:noProof/>
        </w:rPr>
        <w:t>Le budget rectificatif nº 6/2020</w:t>
      </w:r>
      <w:r>
        <w:rPr>
          <w:rStyle w:val="FootnoteReference"/>
          <w:noProof/>
          <w:szCs w:val="20"/>
          <w:lang w:eastAsia="de-DE"/>
        </w:rPr>
        <w:footnoteReference w:id="15"/>
      </w:r>
      <w:r>
        <w:rPr>
          <w:noProof/>
        </w:rPr>
        <w:t xml:space="preserve"> a augmenté le niveau des crédits de paiement en 2020 pour l’instrument d’aide d’urgence (ESI) de 1 090 millions d’EUR en vue de financ</w:t>
      </w:r>
      <w:r>
        <w:rPr>
          <w:noProof/>
        </w:rPr>
        <w:t>er la stratégie en matière de vaccins contre la COVID-19, pour atteindre un total de 2 610 millions d’EUR, tandis que le total des engagements a été fixé à 2 700 millions d’EUR en 2020 dans le budget rectificatif nº 2/2020</w:t>
      </w:r>
      <w:r>
        <w:rPr>
          <w:rStyle w:val="FootnoteReference"/>
          <w:noProof/>
          <w:szCs w:val="20"/>
          <w:lang w:eastAsia="de-DE"/>
        </w:rPr>
        <w:footnoteReference w:id="16"/>
      </w:r>
      <w:r>
        <w:rPr>
          <w:noProof/>
        </w:rPr>
        <w:t xml:space="preserve">. </w:t>
      </w:r>
    </w:p>
    <w:p w:rsidR="007119D4" w:rsidRDefault="00EC0158">
      <w:pPr>
        <w:spacing w:before="120" w:after="120"/>
        <w:jc w:val="both"/>
        <w:rPr>
          <w:noProof/>
          <w:szCs w:val="20"/>
        </w:rPr>
      </w:pPr>
      <w:r>
        <w:rPr>
          <w:noProof/>
        </w:rPr>
        <w:t xml:space="preserve">En conséquence, le niveau des </w:t>
      </w:r>
      <w:r>
        <w:rPr>
          <w:noProof/>
        </w:rPr>
        <w:t>crédits de paiement pour 2021 doit être ramené à 90 millions d’EUR. Cela représente une diminution de 700 millions d’EUR par rapport au PB 2021, qui reposait sur un profil de paiement plus long, à savoir 790 millions d’EUR en 2021 et 265 millions d’EUR en </w:t>
      </w:r>
      <w:r>
        <w:rPr>
          <w:noProof/>
        </w:rPr>
        <w:t>2022 ainsi qu'en 2023.</w:t>
      </w:r>
    </w:p>
    <w:p w:rsidR="007119D4" w:rsidRDefault="00EC0158">
      <w:pPr>
        <w:keepNext/>
        <w:tabs>
          <w:tab w:val="left" w:pos="850"/>
        </w:tabs>
        <w:spacing w:before="240" w:after="120"/>
        <w:ind w:left="850" w:hanging="850"/>
        <w:jc w:val="both"/>
        <w:outlineLvl w:val="1"/>
        <w:rPr>
          <w:rFonts w:eastAsia="Calibri"/>
          <w:i/>
          <w:noProof/>
        </w:rPr>
      </w:pPr>
      <w:bookmarkStart w:id="43" w:name="_Toc54770315"/>
      <w:bookmarkStart w:id="44" w:name="_Toc55807125"/>
      <w:bookmarkStart w:id="45" w:name="_Toc56419356"/>
      <w:r>
        <w:rPr>
          <w:i/>
          <w:noProof/>
        </w:rPr>
        <w:t>2.3.3</w:t>
      </w:r>
      <w:r>
        <w:rPr>
          <w:i/>
          <w:noProof/>
        </w:rPr>
        <w:tab/>
        <w:t>Modifications des taux de préfinancement pour les Fonds structurels et d’investissement européens (Fonds ESI) pour 2014-2020</w:t>
      </w:r>
      <w:bookmarkEnd w:id="43"/>
      <w:bookmarkEnd w:id="44"/>
      <w:bookmarkEnd w:id="45"/>
    </w:p>
    <w:p w:rsidR="007119D4" w:rsidRDefault="00EC0158">
      <w:pPr>
        <w:spacing w:before="120" w:after="120"/>
        <w:jc w:val="both"/>
        <w:rPr>
          <w:noProof/>
          <w:szCs w:val="20"/>
        </w:rPr>
      </w:pPr>
      <w:r>
        <w:rPr>
          <w:noProof/>
        </w:rPr>
        <w:t>En 2018, la Commission a proposé</w:t>
      </w:r>
      <w:r>
        <w:rPr>
          <w:rStyle w:val="FootnoteReference"/>
          <w:noProof/>
        </w:rPr>
        <w:footnoteReference w:id="17"/>
      </w:r>
      <w:r>
        <w:rPr>
          <w:noProof/>
        </w:rPr>
        <w:t xml:space="preserve"> de modifier le règlement (UE) nº 1303/2013 (règlement portant dispos</w:t>
      </w:r>
      <w:r>
        <w:rPr>
          <w:noProof/>
        </w:rPr>
        <w:t xml:space="preserve">itions communes) et de réduire le préfinancement annuel pour les années 2021-2023 de 3 % à 1 % du soutien total apporté par le Fonds européen de développement régional (FEDER), le Fonds de cohésion (FC), le Fonds social européen (FSE) et le Fonds européen </w:t>
      </w:r>
      <w:r>
        <w:rPr>
          <w:noProof/>
        </w:rPr>
        <w:t>pour les affaires maritimes et la pêche (FEAMP). L’incidence budgétaire de cette proposition a été prise en compte dans le PB 2021.</w:t>
      </w:r>
    </w:p>
    <w:p w:rsidR="007119D4" w:rsidRDefault="00EC0158">
      <w:pPr>
        <w:spacing w:before="120" w:after="120"/>
        <w:jc w:val="both"/>
        <w:rPr>
          <w:noProof/>
        </w:rPr>
      </w:pPr>
      <w:r>
        <w:rPr>
          <w:noProof/>
        </w:rPr>
        <w:t xml:space="preserve">Le 4 avril 2019, le Parlement européen a adopté sa résolution législative modifiant la proposition de la Commission en </w:t>
      </w:r>
      <w:r>
        <w:rPr>
          <w:noProof/>
        </w:rPr>
        <w:t>fixant le taux annuel de préfinancement à 2 % pour la période 2021-2023. L’accord intervenu lors du Conseil européen extraordinaire de juillet 2020 a aussi retenu ce pourcentage.</w:t>
      </w:r>
    </w:p>
    <w:p w:rsidR="007119D4" w:rsidRDefault="00EC0158">
      <w:pPr>
        <w:spacing w:before="120" w:after="120"/>
        <w:jc w:val="both"/>
        <w:rPr>
          <w:noProof/>
        </w:rPr>
      </w:pPr>
      <w:r>
        <w:rPr>
          <w:noProof/>
        </w:rPr>
        <w:t>En conséquence, une augmentation globale de 3,6 milliards d’EUR en crédits de</w:t>
      </w:r>
      <w:r>
        <w:rPr>
          <w:noProof/>
        </w:rPr>
        <w:t xml:space="preserve"> paiement est incluse dans la LR nº 1/2021 pour les Fonds ESI, ce qui équivaut à 1 % de la dotation totale pour la période 2021-2027 en ce qui concerne le FEDER, le FC, le FSE et le FEAMP.</w:t>
      </w:r>
    </w:p>
    <w:tbl>
      <w:tblPr>
        <w:tblW w:w="9880" w:type="dxa"/>
        <w:tblInd w:w="108" w:type="dxa"/>
        <w:tblLook w:val="04A0" w:firstRow="1" w:lastRow="0" w:firstColumn="1" w:lastColumn="0" w:noHBand="0" w:noVBand="1"/>
      </w:tblPr>
      <w:tblGrid>
        <w:gridCol w:w="6240"/>
        <w:gridCol w:w="1820"/>
        <w:gridCol w:w="1820"/>
      </w:tblGrid>
      <w:tr w:rsidR="007119D4">
        <w:trPr>
          <w:trHeight w:val="288"/>
        </w:trPr>
        <w:tc>
          <w:tcPr>
            <w:tcW w:w="6240" w:type="dxa"/>
            <w:tcBorders>
              <w:top w:val="nil"/>
              <w:left w:val="nil"/>
              <w:bottom w:val="nil"/>
              <w:right w:val="nil"/>
            </w:tcBorders>
            <w:shd w:val="clear" w:color="auto" w:fill="auto"/>
            <w:noWrap/>
            <w:vAlign w:val="bottom"/>
            <w:hideMark/>
          </w:tcPr>
          <w:p w:rsidR="007119D4" w:rsidRDefault="007119D4">
            <w:pPr>
              <w:rPr>
                <w:noProof/>
                <w:sz w:val="20"/>
                <w:szCs w:val="20"/>
                <w:lang w:val="fr-BE" w:eastAsia="en-US"/>
              </w:rPr>
            </w:pPr>
          </w:p>
        </w:tc>
        <w:tc>
          <w:tcPr>
            <w:tcW w:w="1820" w:type="dxa"/>
            <w:tcBorders>
              <w:top w:val="nil"/>
              <w:left w:val="nil"/>
              <w:bottom w:val="nil"/>
              <w:right w:val="nil"/>
            </w:tcBorders>
            <w:shd w:val="clear" w:color="auto" w:fill="auto"/>
            <w:noWrap/>
            <w:vAlign w:val="bottom"/>
            <w:hideMark/>
          </w:tcPr>
          <w:p w:rsidR="007119D4" w:rsidRDefault="007119D4">
            <w:pPr>
              <w:rPr>
                <w:noProof/>
                <w:sz w:val="20"/>
                <w:szCs w:val="20"/>
                <w:lang w:val="fr-BE" w:eastAsia="en-US"/>
              </w:rPr>
            </w:pPr>
          </w:p>
        </w:tc>
        <w:tc>
          <w:tcPr>
            <w:tcW w:w="1820" w:type="dxa"/>
            <w:tcBorders>
              <w:top w:val="nil"/>
              <w:left w:val="nil"/>
              <w:bottom w:val="nil"/>
              <w:right w:val="nil"/>
            </w:tcBorders>
            <w:shd w:val="clear" w:color="auto" w:fill="auto"/>
            <w:noWrap/>
            <w:vAlign w:val="center"/>
            <w:hideMark/>
          </w:tcPr>
          <w:p w:rsidR="007119D4" w:rsidRDefault="00EC0158">
            <w:pPr>
              <w:jc w:val="right"/>
              <w:rPr>
                <w:i/>
                <w:iCs/>
                <w:noProof/>
                <w:color w:val="000000"/>
                <w:sz w:val="16"/>
                <w:szCs w:val="16"/>
              </w:rPr>
            </w:pPr>
            <w:r>
              <w:rPr>
                <w:i/>
                <w:iCs/>
                <w:noProof/>
                <w:color w:val="000000"/>
                <w:sz w:val="16"/>
                <w:szCs w:val="16"/>
              </w:rPr>
              <w:t>(en Mio EUR)</w:t>
            </w:r>
          </w:p>
        </w:tc>
      </w:tr>
      <w:tr w:rsidR="007119D4">
        <w:trPr>
          <w:trHeight w:val="548"/>
        </w:trPr>
        <w:tc>
          <w:tcPr>
            <w:tcW w:w="62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119D4" w:rsidRDefault="00EC0158">
            <w:pPr>
              <w:jc w:val="center"/>
              <w:rPr>
                <w:b/>
                <w:bCs/>
                <w:noProof/>
                <w:color w:val="000000"/>
                <w:sz w:val="22"/>
                <w:szCs w:val="22"/>
              </w:rPr>
            </w:pPr>
            <w:r>
              <w:rPr>
                <w:b/>
                <w:bCs/>
                <w:noProof/>
                <w:color w:val="000000"/>
                <w:sz w:val="22"/>
                <w:szCs w:val="22"/>
              </w:rPr>
              <w:t>Programme</w:t>
            </w:r>
          </w:p>
        </w:tc>
        <w:tc>
          <w:tcPr>
            <w:tcW w:w="1820" w:type="dxa"/>
            <w:tcBorders>
              <w:top w:val="single" w:sz="4" w:space="0" w:color="auto"/>
              <w:left w:val="nil"/>
              <w:bottom w:val="single" w:sz="4" w:space="0" w:color="auto"/>
              <w:right w:val="single" w:sz="4" w:space="0" w:color="auto"/>
            </w:tcBorders>
            <w:shd w:val="clear" w:color="000000" w:fill="D9D9D9"/>
            <w:vAlign w:val="center"/>
            <w:hideMark/>
          </w:tcPr>
          <w:p w:rsidR="007119D4" w:rsidRDefault="00EC0158">
            <w:pPr>
              <w:jc w:val="center"/>
              <w:rPr>
                <w:b/>
                <w:bCs/>
                <w:noProof/>
                <w:color w:val="000000"/>
                <w:sz w:val="22"/>
                <w:szCs w:val="22"/>
              </w:rPr>
            </w:pPr>
            <w:r>
              <w:rPr>
                <w:b/>
                <w:bCs/>
                <w:noProof/>
                <w:color w:val="000000"/>
                <w:sz w:val="22"/>
                <w:szCs w:val="22"/>
              </w:rPr>
              <w:t>Crédits d'engagement</w:t>
            </w:r>
          </w:p>
        </w:tc>
        <w:tc>
          <w:tcPr>
            <w:tcW w:w="1820" w:type="dxa"/>
            <w:tcBorders>
              <w:top w:val="single" w:sz="4" w:space="0" w:color="auto"/>
              <w:left w:val="nil"/>
              <w:bottom w:val="single" w:sz="4" w:space="0" w:color="auto"/>
              <w:right w:val="single" w:sz="4" w:space="0" w:color="auto"/>
            </w:tcBorders>
            <w:shd w:val="clear" w:color="000000" w:fill="D9D9D9"/>
            <w:vAlign w:val="center"/>
            <w:hideMark/>
          </w:tcPr>
          <w:p w:rsidR="007119D4" w:rsidRDefault="00EC0158">
            <w:pPr>
              <w:jc w:val="center"/>
              <w:rPr>
                <w:b/>
                <w:bCs/>
                <w:noProof/>
                <w:color w:val="000000"/>
                <w:sz w:val="22"/>
                <w:szCs w:val="22"/>
              </w:rPr>
            </w:pPr>
            <w:r>
              <w:rPr>
                <w:b/>
                <w:bCs/>
                <w:noProof/>
                <w:color w:val="000000"/>
                <w:sz w:val="22"/>
                <w:szCs w:val="22"/>
              </w:rPr>
              <w:t>Crédits de paiement</w:t>
            </w:r>
          </w:p>
        </w:tc>
      </w:tr>
      <w:tr w:rsidR="007119D4">
        <w:trPr>
          <w:trHeight w:val="288"/>
        </w:trPr>
        <w:tc>
          <w:tcPr>
            <w:tcW w:w="6240" w:type="dxa"/>
            <w:tcBorders>
              <w:top w:val="nil"/>
              <w:left w:val="single" w:sz="4" w:space="0" w:color="auto"/>
              <w:bottom w:val="nil"/>
              <w:right w:val="single" w:sz="4" w:space="0" w:color="auto"/>
            </w:tcBorders>
            <w:shd w:val="clear" w:color="auto" w:fill="auto"/>
            <w:noWrap/>
            <w:vAlign w:val="bottom"/>
            <w:hideMark/>
          </w:tcPr>
          <w:p w:rsidR="007119D4" w:rsidRDefault="00EC0158">
            <w:pPr>
              <w:rPr>
                <w:noProof/>
                <w:color w:val="000000"/>
                <w:sz w:val="22"/>
                <w:szCs w:val="22"/>
              </w:rPr>
            </w:pPr>
            <w:r>
              <w:rPr>
                <w:noProof/>
                <w:color w:val="000000"/>
                <w:sz w:val="22"/>
                <w:szCs w:val="22"/>
              </w:rPr>
              <w:t>Fonds européen de développement régional (FEDER)</w:t>
            </w:r>
          </w:p>
        </w:tc>
        <w:tc>
          <w:tcPr>
            <w:tcW w:w="1820" w:type="dxa"/>
            <w:tcBorders>
              <w:top w:val="nil"/>
              <w:left w:val="nil"/>
              <w:bottom w:val="nil"/>
              <w:right w:val="single" w:sz="4" w:space="0" w:color="auto"/>
            </w:tcBorders>
            <w:shd w:val="clear" w:color="auto" w:fill="auto"/>
            <w:noWrap/>
            <w:vAlign w:val="bottom"/>
            <w:hideMark/>
          </w:tcPr>
          <w:p w:rsidR="007119D4" w:rsidRDefault="00EC0158">
            <w:pPr>
              <w:jc w:val="right"/>
              <w:rPr>
                <w:noProof/>
                <w:color w:val="000000"/>
                <w:sz w:val="22"/>
                <w:szCs w:val="22"/>
              </w:rPr>
            </w:pPr>
            <w:r>
              <w:rPr>
                <w:noProof/>
                <w:color w:val="000000"/>
                <w:sz w:val="22"/>
                <w:szCs w:val="22"/>
              </w:rPr>
              <w:t>-</w:t>
            </w:r>
          </w:p>
        </w:tc>
        <w:tc>
          <w:tcPr>
            <w:tcW w:w="1820" w:type="dxa"/>
            <w:tcBorders>
              <w:top w:val="nil"/>
              <w:left w:val="nil"/>
              <w:bottom w:val="nil"/>
              <w:right w:val="single" w:sz="4" w:space="0" w:color="auto"/>
            </w:tcBorders>
            <w:shd w:val="clear" w:color="auto" w:fill="auto"/>
            <w:noWrap/>
            <w:vAlign w:val="bottom"/>
            <w:hideMark/>
          </w:tcPr>
          <w:p w:rsidR="007119D4" w:rsidRDefault="00EC0158">
            <w:pPr>
              <w:jc w:val="right"/>
              <w:rPr>
                <w:noProof/>
                <w:color w:val="000000"/>
                <w:sz w:val="22"/>
                <w:szCs w:val="22"/>
              </w:rPr>
            </w:pPr>
            <w:r>
              <w:rPr>
                <w:noProof/>
                <w:color w:val="000000"/>
                <w:sz w:val="22"/>
                <w:szCs w:val="22"/>
              </w:rPr>
              <w:t>1 996,6</w:t>
            </w:r>
          </w:p>
        </w:tc>
      </w:tr>
      <w:tr w:rsidR="007119D4">
        <w:trPr>
          <w:trHeight w:val="288"/>
        </w:trPr>
        <w:tc>
          <w:tcPr>
            <w:tcW w:w="6240" w:type="dxa"/>
            <w:tcBorders>
              <w:top w:val="nil"/>
              <w:left w:val="single" w:sz="4" w:space="0" w:color="auto"/>
              <w:bottom w:val="nil"/>
              <w:right w:val="single" w:sz="4" w:space="0" w:color="auto"/>
            </w:tcBorders>
            <w:shd w:val="clear" w:color="auto" w:fill="auto"/>
            <w:noWrap/>
            <w:vAlign w:val="bottom"/>
            <w:hideMark/>
          </w:tcPr>
          <w:p w:rsidR="007119D4" w:rsidRDefault="00EC0158">
            <w:pPr>
              <w:rPr>
                <w:noProof/>
                <w:color w:val="000000"/>
                <w:sz w:val="22"/>
                <w:szCs w:val="22"/>
              </w:rPr>
            </w:pPr>
            <w:r>
              <w:rPr>
                <w:noProof/>
                <w:color w:val="000000"/>
                <w:sz w:val="22"/>
                <w:szCs w:val="22"/>
              </w:rPr>
              <w:t>Fonds de cohésion (FC)</w:t>
            </w:r>
          </w:p>
        </w:tc>
        <w:tc>
          <w:tcPr>
            <w:tcW w:w="1820" w:type="dxa"/>
            <w:tcBorders>
              <w:top w:val="nil"/>
              <w:left w:val="nil"/>
              <w:bottom w:val="nil"/>
              <w:right w:val="single" w:sz="4" w:space="0" w:color="auto"/>
            </w:tcBorders>
            <w:shd w:val="clear" w:color="auto" w:fill="auto"/>
            <w:noWrap/>
            <w:vAlign w:val="bottom"/>
            <w:hideMark/>
          </w:tcPr>
          <w:p w:rsidR="007119D4" w:rsidRDefault="00EC0158">
            <w:pPr>
              <w:jc w:val="right"/>
              <w:rPr>
                <w:noProof/>
                <w:color w:val="000000"/>
                <w:sz w:val="22"/>
                <w:szCs w:val="22"/>
              </w:rPr>
            </w:pPr>
            <w:r>
              <w:rPr>
                <w:noProof/>
                <w:color w:val="000000"/>
                <w:sz w:val="22"/>
                <w:szCs w:val="22"/>
              </w:rPr>
              <w:t>-</w:t>
            </w:r>
          </w:p>
        </w:tc>
        <w:tc>
          <w:tcPr>
            <w:tcW w:w="1820" w:type="dxa"/>
            <w:tcBorders>
              <w:top w:val="nil"/>
              <w:left w:val="nil"/>
              <w:bottom w:val="nil"/>
              <w:right w:val="single" w:sz="4" w:space="0" w:color="auto"/>
            </w:tcBorders>
            <w:shd w:val="clear" w:color="auto" w:fill="auto"/>
            <w:noWrap/>
            <w:vAlign w:val="bottom"/>
            <w:hideMark/>
          </w:tcPr>
          <w:p w:rsidR="007119D4" w:rsidRDefault="00EC0158">
            <w:pPr>
              <w:jc w:val="right"/>
              <w:rPr>
                <w:noProof/>
                <w:color w:val="000000"/>
                <w:sz w:val="22"/>
                <w:szCs w:val="22"/>
              </w:rPr>
            </w:pPr>
            <w:r>
              <w:rPr>
                <w:noProof/>
                <w:color w:val="000000"/>
                <w:sz w:val="22"/>
                <w:szCs w:val="22"/>
              </w:rPr>
              <w:t>622,2</w:t>
            </w:r>
          </w:p>
        </w:tc>
      </w:tr>
      <w:tr w:rsidR="007119D4">
        <w:trPr>
          <w:trHeight w:val="288"/>
        </w:trPr>
        <w:tc>
          <w:tcPr>
            <w:tcW w:w="6240" w:type="dxa"/>
            <w:tcBorders>
              <w:top w:val="nil"/>
              <w:left w:val="single" w:sz="4" w:space="0" w:color="auto"/>
              <w:bottom w:val="nil"/>
              <w:right w:val="single" w:sz="4" w:space="0" w:color="auto"/>
            </w:tcBorders>
            <w:shd w:val="clear" w:color="auto" w:fill="auto"/>
            <w:noWrap/>
            <w:vAlign w:val="bottom"/>
            <w:hideMark/>
          </w:tcPr>
          <w:p w:rsidR="007119D4" w:rsidRDefault="00EC0158">
            <w:pPr>
              <w:rPr>
                <w:noProof/>
                <w:color w:val="000000"/>
                <w:sz w:val="22"/>
                <w:szCs w:val="22"/>
              </w:rPr>
            </w:pPr>
            <w:r>
              <w:rPr>
                <w:noProof/>
                <w:color w:val="000000"/>
                <w:sz w:val="22"/>
                <w:szCs w:val="22"/>
              </w:rPr>
              <w:t>Fonds social européen (FSE)</w:t>
            </w:r>
          </w:p>
        </w:tc>
        <w:tc>
          <w:tcPr>
            <w:tcW w:w="1820" w:type="dxa"/>
            <w:tcBorders>
              <w:top w:val="nil"/>
              <w:left w:val="nil"/>
              <w:bottom w:val="nil"/>
              <w:right w:val="single" w:sz="4" w:space="0" w:color="auto"/>
            </w:tcBorders>
            <w:shd w:val="clear" w:color="auto" w:fill="auto"/>
            <w:noWrap/>
            <w:vAlign w:val="bottom"/>
            <w:hideMark/>
          </w:tcPr>
          <w:p w:rsidR="007119D4" w:rsidRDefault="00EC0158">
            <w:pPr>
              <w:jc w:val="right"/>
              <w:rPr>
                <w:noProof/>
                <w:color w:val="000000"/>
                <w:sz w:val="22"/>
                <w:szCs w:val="22"/>
              </w:rPr>
            </w:pPr>
            <w:r>
              <w:rPr>
                <w:noProof/>
                <w:color w:val="000000"/>
                <w:sz w:val="22"/>
                <w:szCs w:val="22"/>
              </w:rPr>
              <w:t>-</w:t>
            </w:r>
          </w:p>
        </w:tc>
        <w:tc>
          <w:tcPr>
            <w:tcW w:w="1820" w:type="dxa"/>
            <w:tcBorders>
              <w:top w:val="nil"/>
              <w:left w:val="nil"/>
              <w:bottom w:val="nil"/>
              <w:right w:val="single" w:sz="4" w:space="0" w:color="auto"/>
            </w:tcBorders>
            <w:shd w:val="clear" w:color="auto" w:fill="auto"/>
            <w:noWrap/>
            <w:vAlign w:val="bottom"/>
            <w:hideMark/>
          </w:tcPr>
          <w:p w:rsidR="007119D4" w:rsidRDefault="00EC0158">
            <w:pPr>
              <w:jc w:val="right"/>
              <w:rPr>
                <w:noProof/>
                <w:color w:val="000000"/>
                <w:sz w:val="22"/>
                <w:szCs w:val="22"/>
              </w:rPr>
            </w:pPr>
            <w:r>
              <w:rPr>
                <w:noProof/>
                <w:color w:val="000000"/>
                <w:sz w:val="22"/>
                <w:szCs w:val="22"/>
              </w:rPr>
              <w:t>929,9</w:t>
            </w:r>
          </w:p>
        </w:tc>
      </w:tr>
      <w:tr w:rsidR="007119D4">
        <w:trPr>
          <w:trHeight w:val="288"/>
        </w:trPr>
        <w:tc>
          <w:tcPr>
            <w:tcW w:w="6240" w:type="dxa"/>
            <w:tcBorders>
              <w:top w:val="nil"/>
              <w:left w:val="single" w:sz="4" w:space="0" w:color="auto"/>
              <w:bottom w:val="nil"/>
              <w:right w:val="single" w:sz="4" w:space="0" w:color="auto"/>
            </w:tcBorders>
            <w:shd w:val="clear" w:color="auto" w:fill="auto"/>
            <w:noWrap/>
            <w:vAlign w:val="bottom"/>
            <w:hideMark/>
          </w:tcPr>
          <w:p w:rsidR="007119D4" w:rsidRDefault="00EC0158">
            <w:pPr>
              <w:rPr>
                <w:noProof/>
                <w:color w:val="000000"/>
                <w:sz w:val="22"/>
                <w:szCs w:val="22"/>
              </w:rPr>
            </w:pPr>
            <w:r>
              <w:rPr>
                <w:noProof/>
                <w:color w:val="000000"/>
                <w:sz w:val="22"/>
                <w:szCs w:val="22"/>
              </w:rPr>
              <w:t>Fonds européen pour les affaires maritimes et la pêche (FEAMP)</w:t>
            </w:r>
          </w:p>
        </w:tc>
        <w:tc>
          <w:tcPr>
            <w:tcW w:w="1820" w:type="dxa"/>
            <w:tcBorders>
              <w:top w:val="nil"/>
              <w:left w:val="nil"/>
              <w:bottom w:val="nil"/>
              <w:right w:val="single" w:sz="4" w:space="0" w:color="auto"/>
            </w:tcBorders>
            <w:shd w:val="clear" w:color="auto" w:fill="auto"/>
            <w:noWrap/>
            <w:vAlign w:val="bottom"/>
            <w:hideMark/>
          </w:tcPr>
          <w:p w:rsidR="007119D4" w:rsidRDefault="00EC0158">
            <w:pPr>
              <w:jc w:val="right"/>
              <w:rPr>
                <w:noProof/>
                <w:color w:val="000000"/>
                <w:sz w:val="22"/>
                <w:szCs w:val="22"/>
              </w:rPr>
            </w:pPr>
            <w:r>
              <w:rPr>
                <w:noProof/>
                <w:color w:val="000000"/>
                <w:sz w:val="22"/>
                <w:szCs w:val="22"/>
              </w:rPr>
              <w:t>-</w:t>
            </w:r>
          </w:p>
        </w:tc>
        <w:tc>
          <w:tcPr>
            <w:tcW w:w="1820" w:type="dxa"/>
            <w:tcBorders>
              <w:top w:val="nil"/>
              <w:left w:val="nil"/>
              <w:bottom w:val="nil"/>
              <w:right w:val="single" w:sz="4" w:space="0" w:color="auto"/>
            </w:tcBorders>
            <w:shd w:val="clear" w:color="auto" w:fill="auto"/>
            <w:noWrap/>
            <w:vAlign w:val="bottom"/>
            <w:hideMark/>
          </w:tcPr>
          <w:p w:rsidR="007119D4" w:rsidRDefault="00EC0158">
            <w:pPr>
              <w:jc w:val="right"/>
              <w:rPr>
                <w:noProof/>
                <w:color w:val="000000"/>
                <w:sz w:val="22"/>
                <w:szCs w:val="22"/>
              </w:rPr>
            </w:pPr>
            <w:r>
              <w:rPr>
                <w:noProof/>
                <w:color w:val="000000"/>
                <w:sz w:val="22"/>
                <w:szCs w:val="22"/>
              </w:rPr>
              <w:t>56,9</w:t>
            </w:r>
          </w:p>
        </w:tc>
      </w:tr>
      <w:tr w:rsidR="007119D4">
        <w:trPr>
          <w:trHeight w:val="288"/>
        </w:trPr>
        <w:tc>
          <w:tcPr>
            <w:tcW w:w="6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9D4" w:rsidRDefault="00EC0158">
            <w:pPr>
              <w:rPr>
                <w:b/>
                <w:bCs/>
                <w:noProof/>
                <w:color w:val="000000"/>
                <w:sz w:val="22"/>
                <w:szCs w:val="22"/>
              </w:rPr>
            </w:pPr>
            <w:r>
              <w:rPr>
                <w:b/>
                <w:bCs/>
                <w:noProof/>
                <w:color w:val="000000"/>
                <w:sz w:val="22"/>
                <w:szCs w:val="22"/>
              </w:rPr>
              <w:t>Total</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7119D4" w:rsidRDefault="00EC0158">
            <w:pPr>
              <w:jc w:val="right"/>
              <w:rPr>
                <w:b/>
                <w:bCs/>
                <w:noProof/>
                <w:color w:val="000000"/>
                <w:sz w:val="22"/>
                <w:szCs w:val="22"/>
              </w:rPr>
            </w:pPr>
            <w:r>
              <w:rPr>
                <w:b/>
                <w:bCs/>
                <w:noProof/>
                <w:color w:val="000000"/>
                <w:sz w:val="22"/>
                <w:szCs w:val="22"/>
              </w:rPr>
              <w:t>0,0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7119D4" w:rsidRDefault="00EC0158">
            <w:pPr>
              <w:jc w:val="right"/>
              <w:rPr>
                <w:b/>
                <w:bCs/>
                <w:noProof/>
                <w:color w:val="000000"/>
                <w:sz w:val="22"/>
                <w:szCs w:val="22"/>
              </w:rPr>
            </w:pPr>
            <w:r>
              <w:rPr>
                <w:b/>
                <w:bCs/>
                <w:noProof/>
                <w:color w:val="000000"/>
                <w:sz w:val="22"/>
                <w:szCs w:val="22"/>
              </w:rPr>
              <w:t>3 605,6</w:t>
            </w:r>
          </w:p>
        </w:tc>
      </w:tr>
    </w:tbl>
    <w:p w:rsidR="007119D4" w:rsidRDefault="00EC0158">
      <w:pPr>
        <w:keepNext/>
        <w:tabs>
          <w:tab w:val="left" w:pos="850"/>
        </w:tabs>
        <w:spacing w:before="240" w:after="120"/>
        <w:ind w:left="850" w:hanging="850"/>
        <w:jc w:val="both"/>
        <w:outlineLvl w:val="1"/>
        <w:rPr>
          <w:rFonts w:eastAsia="Calibri"/>
          <w:i/>
          <w:noProof/>
        </w:rPr>
      </w:pPr>
      <w:bookmarkStart w:id="46" w:name="_Toc55807126"/>
      <w:bookmarkStart w:id="47" w:name="_Toc56419357"/>
      <w:bookmarkEnd w:id="38"/>
      <w:bookmarkEnd w:id="39"/>
      <w:r>
        <w:rPr>
          <w:i/>
          <w:noProof/>
        </w:rPr>
        <w:lastRenderedPageBreak/>
        <w:t>2.3.4</w:t>
      </w:r>
      <w:r>
        <w:rPr>
          <w:i/>
          <w:noProof/>
        </w:rPr>
        <w:tab/>
      </w:r>
      <w:bookmarkStart w:id="48" w:name="_Toc54770316"/>
      <w:r>
        <w:rPr>
          <w:i/>
          <w:noProof/>
        </w:rPr>
        <w:t xml:space="preserve">Autre réévaluation des </w:t>
      </w:r>
      <w:bookmarkEnd w:id="48"/>
      <w:r>
        <w:rPr>
          <w:i/>
          <w:noProof/>
        </w:rPr>
        <w:t>paiements</w:t>
      </w:r>
      <w:bookmarkEnd w:id="46"/>
      <w:bookmarkEnd w:id="47"/>
    </w:p>
    <w:p w:rsidR="007119D4" w:rsidRDefault="00EC0158">
      <w:pPr>
        <w:spacing w:before="120" w:after="120"/>
        <w:jc w:val="both"/>
        <w:rPr>
          <w:noProof/>
          <w:szCs w:val="20"/>
        </w:rPr>
      </w:pPr>
      <w:r>
        <w:rPr>
          <w:noProof/>
        </w:rPr>
        <w:t>La Commission a réévalué les besoins en crédits de paiement (en plus des actualisations résultant des enveloppes ajustées précitées). Les sept programmes suivants sont concernés par une augmentation nette totale de 448,8 millions d’EUR et, à l'ex</w:t>
      </w:r>
      <w:r>
        <w:rPr>
          <w:noProof/>
        </w:rPr>
        <w:t>ception du programme Justice, droits et valeurs (pour lequel la légère augmentation découle d'une correction technique), la réévaluation porte sur les paiements relatifs à l’achèvement des engagements restant à liquider.</w:t>
      </w:r>
    </w:p>
    <w:tbl>
      <w:tblPr>
        <w:tblW w:w="9720" w:type="dxa"/>
        <w:tblInd w:w="108" w:type="dxa"/>
        <w:tblLook w:val="04A0" w:firstRow="1" w:lastRow="0" w:firstColumn="1" w:lastColumn="0" w:noHBand="0" w:noVBand="1"/>
      </w:tblPr>
      <w:tblGrid>
        <w:gridCol w:w="6240"/>
        <w:gridCol w:w="1820"/>
        <w:gridCol w:w="1660"/>
      </w:tblGrid>
      <w:tr w:rsidR="007119D4">
        <w:trPr>
          <w:trHeight w:val="288"/>
          <w:tblHeader/>
        </w:trPr>
        <w:tc>
          <w:tcPr>
            <w:tcW w:w="6240" w:type="dxa"/>
            <w:tcBorders>
              <w:top w:val="nil"/>
              <w:left w:val="nil"/>
              <w:bottom w:val="nil"/>
              <w:right w:val="nil"/>
            </w:tcBorders>
            <w:shd w:val="clear" w:color="auto" w:fill="auto"/>
            <w:noWrap/>
            <w:vAlign w:val="center"/>
            <w:hideMark/>
          </w:tcPr>
          <w:p w:rsidR="007119D4" w:rsidRDefault="007119D4">
            <w:pPr>
              <w:rPr>
                <w:noProof/>
                <w:sz w:val="20"/>
                <w:szCs w:val="20"/>
                <w:lang w:val="fr-BE" w:eastAsia="en-US"/>
              </w:rPr>
            </w:pPr>
          </w:p>
        </w:tc>
        <w:tc>
          <w:tcPr>
            <w:tcW w:w="1820" w:type="dxa"/>
            <w:tcBorders>
              <w:top w:val="nil"/>
              <w:left w:val="nil"/>
              <w:bottom w:val="nil"/>
              <w:right w:val="nil"/>
            </w:tcBorders>
            <w:shd w:val="clear" w:color="auto" w:fill="auto"/>
            <w:noWrap/>
            <w:vAlign w:val="center"/>
            <w:hideMark/>
          </w:tcPr>
          <w:p w:rsidR="007119D4" w:rsidRDefault="007119D4">
            <w:pPr>
              <w:rPr>
                <w:noProof/>
                <w:sz w:val="20"/>
                <w:szCs w:val="20"/>
                <w:lang w:val="fr-BE" w:eastAsia="en-US"/>
              </w:rPr>
            </w:pPr>
          </w:p>
        </w:tc>
        <w:tc>
          <w:tcPr>
            <w:tcW w:w="1660" w:type="dxa"/>
            <w:tcBorders>
              <w:top w:val="nil"/>
              <w:left w:val="nil"/>
              <w:bottom w:val="nil"/>
              <w:right w:val="nil"/>
            </w:tcBorders>
            <w:shd w:val="clear" w:color="auto" w:fill="auto"/>
            <w:noWrap/>
            <w:vAlign w:val="center"/>
            <w:hideMark/>
          </w:tcPr>
          <w:p w:rsidR="007119D4" w:rsidRDefault="00EC0158">
            <w:pPr>
              <w:jc w:val="right"/>
              <w:rPr>
                <w:i/>
                <w:iCs/>
                <w:noProof/>
                <w:color w:val="000000"/>
                <w:sz w:val="16"/>
                <w:szCs w:val="16"/>
              </w:rPr>
            </w:pPr>
            <w:r>
              <w:rPr>
                <w:i/>
                <w:iCs/>
                <w:noProof/>
                <w:color w:val="000000"/>
                <w:sz w:val="16"/>
                <w:szCs w:val="16"/>
              </w:rPr>
              <w:t>(en Mio EUR)</w:t>
            </w:r>
          </w:p>
        </w:tc>
      </w:tr>
      <w:tr w:rsidR="007119D4">
        <w:trPr>
          <w:trHeight w:val="548"/>
          <w:tblHeader/>
        </w:trPr>
        <w:tc>
          <w:tcPr>
            <w:tcW w:w="62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119D4" w:rsidRDefault="00EC0158">
            <w:pPr>
              <w:jc w:val="center"/>
              <w:rPr>
                <w:b/>
                <w:bCs/>
                <w:noProof/>
                <w:color w:val="000000"/>
                <w:sz w:val="22"/>
                <w:szCs w:val="22"/>
              </w:rPr>
            </w:pPr>
            <w:r>
              <w:rPr>
                <w:b/>
                <w:bCs/>
                <w:noProof/>
                <w:color w:val="000000"/>
                <w:sz w:val="22"/>
                <w:szCs w:val="22"/>
              </w:rPr>
              <w:t>Programme</w:t>
            </w:r>
          </w:p>
        </w:tc>
        <w:tc>
          <w:tcPr>
            <w:tcW w:w="1820" w:type="dxa"/>
            <w:tcBorders>
              <w:top w:val="single" w:sz="4" w:space="0" w:color="auto"/>
              <w:left w:val="nil"/>
              <w:bottom w:val="single" w:sz="4" w:space="0" w:color="auto"/>
              <w:right w:val="single" w:sz="4" w:space="0" w:color="auto"/>
            </w:tcBorders>
            <w:shd w:val="clear" w:color="000000" w:fill="D9D9D9"/>
            <w:vAlign w:val="center"/>
            <w:hideMark/>
          </w:tcPr>
          <w:p w:rsidR="007119D4" w:rsidRDefault="00EC0158">
            <w:pPr>
              <w:jc w:val="center"/>
              <w:rPr>
                <w:b/>
                <w:bCs/>
                <w:noProof/>
                <w:color w:val="000000"/>
                <w:sz w:val="22"/>
                <w:szCs w:val="22"/>
              </w:rPr>
            </w:pPr>
            <w:r>
              <w:rPr>
                <w:b/>
                <w:bCs/>
                <w:noProof/>
                <w:color w:val="000000"/>
                <w:sz w:val="22"/>
                <w:szCs w:val="22"/>
              </w:rPr>
              <w:t xml:space="preserve">Crédits </w:t>
            </w:r>
            <w:r>
              <w:rPr>
                <w:b/>
                <w:bCs/>
                <w:noProof/>
                <w:color w:val="000000"/>
                <w:sz w:val="22"/>
                <w:szCs w:val="22"/>
              </w:rPr>
              <w:t>d'engagement</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rsidR="007119D4" w:rsidRDefault="00EC0158">
            <w:pPr>
              <w:jc w:val="center"/>
              <w:rPr>
                <w:b/>
                <w:bCs/>
                <w:noProof/>
                <w:color w:val="000000"/>
                <w:sz w:val="22"/>
                <w:szCs w:val="22"/>
              </w:rPr>
            </w:pPr>
            <w:r>
              <w:rPr>
                <w:b/>
                <w:bCs/>
                <w:noProof/>
                <w:color w:val="000000"/>
                <w:sz w:val="22"/>
                <w:szCs w:val="22"/>
              </w:rPr>
              <w:t>Crédits de paiement</w:t>
            </w:r>
          </w:p>
        </w:tc>
      </w:tr>
      <w:tr w:rsidR="007119D4">
        <w:trPr>
          <w:trHeight w:val="288"/>
        </w:trPr>
        <w:tc>
          <w:tcPr>
            <w:tcW w:w="624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Instrument de voisinage, de coopération au développement et de coopération internationale (IVCDCI)</w:t>
            </w:r>
          </w:p>
        </w:tc>
        <w:tc>
          <w:tcPr>
            <w:tcW w:w="182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w:t>
            </w:r>
          </w:p>
        </w:tc>
        <w:tc>
          <w:tcPr>
            <w:tcW w:w="166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372,0</w:t>
            </w:r>
          </w:p>
        </w:tc>
      </w:tr>
      <w:tr w:rsidR="007119D4">
        <w:trPr>
          <w:trHeight w:val="288"/>
        </w:trPr>
        <w:tc>
          <w:tcPr>
            <w:tcW w:w="624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Instrument d'aide de préadhésion (IAP III)</w:t>
            </w:r>
          </w:p>
        </w:tc>
        <w:tc>
          <w:tcPr>
            <w:tcW w:w="182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w:t>
            </w:r>
          </w:p>
        </w:tc>
        <w:tc>
          <w:tcPr>
            <w:tcW w:w="166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120,0</w:t>
            </w:r>
          </w:p>
        </w:tc>
      </w:tr>
      <w:tr w:rsidR="007119D4">
        <w:trPr>
          <w:trHeight w:val="288"/>
        </w:trPr>
        <w:tc>
          <w:tcPr>
            <w:tcW w:w="624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Mécanisme de protection civile de l'Union (rescEU)</w:t>
            </w:r>
          </w:p>
        </w:tc>
        <w:tc>
          <w:tcPr>
            <w:tcW w:w="182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w:t>
            </w:r>
          </w:p>
        </w:tc>
        <w:tc>
          <w:tcPr>
            <w:tcW w:w="166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131,8</w:t>
            </w:r>
          </w:p>
        </w:tc>
      </w:tr>
      <w:tr w:rsidR="007119D4">
        <w:trPr>
          <w:trHeight w:val="288"/>
        </w:trPr>
        <w:tc>
          <w:tcPr>
            <w:tcW w:w="624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Soutien à la communauté chypriote turque</w:t>
            </w:r>
          </w:p>
        </w:tc>
        <w:tc>
          <w:tcPr>
            <w:tcW w:w="182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w:t>
            </w:r>
          </w:p>
        </w:tc>
        <w:tc>
          <w:tcPr>
            <w:tcW w:w="166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7,0</w:t>
            </w:r>
          </w:p>
        </w:tc>
      </w:tr>
      <w:tr w:rsidR="007119D4">
        <w:trPr>
          <w:trHeight w:val="288"/>
        </w:trPr>
        <w:tc>
          <w:tcPr>
            <w:tcW w:w="6240" w:type="dxa"/>
            <w:tcBorders>
              <w:top w:val="nil"/>
              <w:left w:val="single" w:sz="4" w:space="0" w:color="auto"/>
              <w:bottom w:val="nil"/>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Justice, droits et valeurs</w:t>
            </w:r>
          </w:p>
        </w:tc>
        <w:tc>
          <w:tcPr>
            <w:tcW w:w="182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w:t>
            </w:r>
          </w:p>
        </w:tc>
        <w:tc>
          <w:tcPr>
            <w:tcW w:w="166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6,8</w:t>
            </w:r>
          </w:p>
        </w:tc>
      </w:tr>
      <w:tr w:rsidR="007119D4">
        <w:trPr>
          <w:trHeight w:val="576"/>
        </w:trPr>
        <w:tc>
          <w:tcPr>
            <w:tcW w:w="6240" w:type="dxa"/>
            <w:tcBorders>
              <w:top w:val="nil"/>
              <w:left w:val="single" w:sz="4" w:space="0" w:color="auto"/>
              <w:bottom w:val="nil"/>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Mécanisme pour l’interconnexion en Europe — Transports (y compris la contribution du Fonds de cohésion et la mobilité militaire)</w:t>
            </w:r>
          </w:p>
        </w:tc>
        <w:tc>
          <w:tcPr>
            <w:tcW w:w="182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w:t>
            </w:r>
          </w:p>
        </w:tc>
        <w:tc>
          <w:tcPr>
            <w:tcW w:w="1660" w:type="dxa"/>
            <w:tcBorders>
              <w:top w:val="nil"/>
              <w:left w:val="nil"/>
              <w:bottom w:val="nil"/>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-155,0</w:t>
            </w:r>
          </w:p>
        </w:tc>
      </w:tr>
      <w:tr w:rsidR="007119D4">
        <w:trPr>
          <w:trHeight w:val="288"/>
        </w:trPr>
        <w:tc>
          <w:tcPr>
            <w:tcW w:w="6240" w:type="dxa"/>
            <w:tcBorders>
              <w:top w:val="nil"/>
              <w:left w:val="single" w:sz="4" w:space="0" w:color="auto"/>
              <w:bottom w:val="single" w:sz="4" w:space="0" w:color="auto"/>
              <w:right w:val="single" w:sz="4" w:space="0" w:color="auto"/>
            </w:tcBorders>
            <w:shd w:val="clear" w:color="auto" w:fill="auto"/>
            <w:noWrap/>
            <w:vAlign w:val="center"/>
            <w:hideMark/>
          </w:tcPr>
          <w:p w:rsidR="007119D4" w:rsidRDefault="00EC0158">
            <w:pPr>
              <w:rPr>
                <w:noProof/>
                <w:color w:val="000000"/>
                <w:sz w:val="22"/>
                <w:szCs w:val="22"/>
              </w:rPr>
            </w:pPr>
            <w:r>
              <w:rPr>
                <w:noProof/>
                <w:color w:val="000000"/>
                <w:sz w:val="22"/>
                <w:szCs w:val="22"/>
              </w:rPr>
              <w:t>InvestEU</w:t>
            </w:r>
          </w:p>
        </w:tc>
        <w:tc>
          <w:tcPr>
            <w:tcW w:w="182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w:t>
            </w:r>
          </w:p>
        </w:tc>
        <w:tc>
          <w:tcPr>
            <w:tcW w:w="1660" w:type="dxa"/>
            <w:tcBorders>
              <w:top w:val="nil"/>
              <w:left w:val="nil"/>
              <w:bottom w:val="nil"/>
              <w:right w:val="single" w:sz="4" w:space="0" w:color="auto"/>
            </w:tcBorders>
            <w:shd w:val="clear" w:color="000000" w:fill="FFFFFF"/>
            <w:noWrap/>
            <w:vAlign w:val="center"/>
            <w:hideMark/>
          </w:tcPr>
          <w:p w:rsidR="007119D4" w:rsidRDefault="00EC0158">
            <w:pPr>
              <w:jc w:val="right"/>
              <w:rPr>
                <w:noProof/>
                <w:color w:val="000000"/>
                <w:sz w:val="22"/>
                <w:szCs w:val="22"/>
              </w:rPr>
            </w:pPr>
            <w:r>
              <w:rPr>
                <w:noProof/>
                <w:color w:val="000000"/>
                <w:sz w:val="22"/>
                <w:szCs w:val="22"/>
              </w:rPr>
              <w:t>-33,7</w:t>
            </w:r>
          </w:p>
        </w:tc>
      </w:tr>
      <w:tr w:rsidR="007119D4">
        <w:trPr>
          <w:trHeight w:val="288"/>
        </w:trPr>
        <w:tc>
          <w:tcPr>
            <w:tcW w:w="6240" w:type="dxa"/>
            <w:tcBorders>
              <w:top w:val="nil"/>
              <w:left w:val="single" w:sz="4" w:space="0" w:color="auto"/>
              <w:bottom w:val="single" w:sz="4" w:space="0" w:color="auto"/>
              <w:right w:val="single" w:sz="4" w:space="0" w:color="auto"/>
            </w:tcBorders>
            <w:shd w:val="clear" w:color="auto" w:fill="auto"/>
            <w:noWrap/>
            <w:vAlign w:val="center"/>
            <w:hideMark/>
          </w:tcPr>
          <w:p w:rsidR="007119D4" w:rsidRDefault="00EC0158">
            <w:pPr>
              <w:rPr>
                <w:b/>
                <w:bCs/>
                <w:noProof/>
                <w:color w:val="000000"/>
                <w:sz w:val="22"/>
                <w:szCs w:val="22"/>
              </w:rPr>
            </w:pPr>
            <w:r>
              <w:rPr>
                <w:b/>
                <w:bCs/>
                <w:noProof/>
                <w:color w:val="000000"/>
                <w:sz w:val="22"/>
                <w:szCs w:val="22"/>
              </w:rPr>
              <w:t>Total</w:t>
            </w:r>
          </w:p>
        </w:tc>
        <w:tc>
          <w:tcPr>
            <w:tcW w:w="182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b/>
                <w:bCs/>
                <w:noProof/>
                <w:color w:val="000000"/>
                <w:sz w:val="22"/>
                <w:szCs w:val="22"/>
              </w:rPr>
            </w:pPr>
            <w:r>
              <w:rPr>
                <w:b/>
                <w:bCs/>
                <w:noProof/>
                <w:color w:val="000000"/>
                <w:sz w:val="22"/>
                <w:szCs w:val="22"/>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19D4" w:rsidRDefault="00EC0158">
            <w:pPr>
              <w:jc w:val="right"/>
              <w:rPr>
                <w:b/>
                <w:bCs/>
                <w:noProof/>
                <w:color w:val="000000"/>
                <w:sz w:val="22"/>
                <w:szCs w:val="22"/>
              </w:rPr>
            </w:pPr>
            <w:r>
              <w:rPr>
                <w:b/>
                <w:bCs/>
                <w:noProof/>
                <w:color w:val="000000"/>
                <w:sz w:val="22"/>
                <w:szCs w:val="22"/>
              </w:rPr>
              <w:t>448,8</w:t>
            </w:r>
          </w:p>
        </w:tc>
      </w:tr>
    </w:tbl>
    <w:p w:rsidR="007119D4" w:rsidRDefault="00EC0158">
      <w:pPr>
        <w:pStyle w:val="ListParagraph"/>
        <w:numPr>
          <w:ilvl w:val="0"/>
          <w:numId w:val="28"/>
        </w:numPr>
        <w:spacing w:before="240" w:after="120" w:line="240" w:lineRule="auto"/>
        <w:ind w:left="360"/>
        <w:contextualSpacing w:val="0"/>
        <w:jc w:val="both"/>
        <w:rPr>
          <w:rFonts w:ascii="Times New Roman" w:hAnsi="Times New Roman"/>
          <w:noProof/>
          <w:sz w:val="24"/>
          <w:szCs w:val="24"/>
        </w:rPr>
      </w:pPr>
      <w:r>
        <w:rPr>
          <w:rFonts w:ascii="Times New Roman" w:hAnsi="Times New Roman"/>
          <w:noProof/>
          <w:sz w:val="24"/>
          <w:szCs w:val="24"/>
          <w:u w:val="single"/>
        </w:rPr>
        <w:t>IVCDCI et IAP III</w:t>
      </w:r>
      <w:r>
        <w:rPr>
          <w:rFonts w:ascii="Times New Roman" w:hAnsi="Times New Roman"/>
          <w:noProof/>
          <w:sz w:val="24"/>
          <w:szCs w:val="24"/>
        </w:rPr>
        <w:t>: à la suite de la publication de la communication conjointe sur la réaction de l’UE au niveau mondial face à la pandémie de COVID-19</w:t>
      </w:r>
      <w:r>
        <w:rPr>
          <w:rStyle w:val="FootnoteReference"/>
          <w:rFonts w:eastAsia="Times New Roman"/>
          <w:noProof/>
          <w:lang w:eastAsia="en-GB"/>
        </w:rPr>
        <w:footnoteReference w:id="18"/>
      </w:r>
      <w:r>
        <w:rPr>
          <w:rFonts w:ascii="Times New Roman" w:hAnsi="Times New Roman"/>
          <w:noProof/>
          <w:sz w:val="24"/>
          <w:szCs w:val="24"/>
        </w:rPr>
        <w:t>, dans laquelle l’Union exprimait sa solidarité et sa volonté d'aider les pays partenaires à faire face a</w:t>
      </w:r>
      <w:r>
        <w:rPr>
          <w:rFonts w:ascii="Times New Roman" w:hAnsi="Times New Roman"/>
          <w:noProof/>
          <w:sz w:val="24"/>
          <w:szCs w:val="24"/>
        </w:rPr>
        <w:t>ux conséquences sanitaires, économiques et sociales de la crise de la COVID-19 dans le cadre des efforts de l’équipe d’Europe, une reprogrammation a eu lieu et la mise en œuvre de l’assistance aux pays tiers, qui se poursuivra en 2021, s’est accélérée. Com</w:t>
      </w:r>
      <w:r>
        <w:rPr>
          <w:rFonts w:ascii="Times New Roman" w:hAnsi="Times New Roman"/>
          <w:noProof/>
          <w:sz w:val="24"/>
          <w:szCs w:val="24"/>
        </w:rPr>
        <w:t>pte tenu des engagements politiques de l’Union envers les pays tiers et des obligations contractuelles comme les délais de paiement, un besoin accru de crédits de paiement de 492 millions d’EUR a été identifié en raison de la modification des modalités des</w:t>
      </w:r>
      <w:r>
        <w:rPr>
          <w:rFonts w:ascii="Times New Roman" w:hAnsi="Times New Roman"/>
          <w:noProof/>
          <w:sz w:val="24"/>
          <w:szCs w:val="24"/>
        </w:rPr>
        <w:t xml:space="preserve"> décaissements au titre de l’appui budgétaire, de l’augmentation des préfinancements et de l’accélération de l’exécution dans le cadre de la gestion indirecte.</w:t>
      </w:r>
    </w:p>
    <w:p w:rsidR="007119D4" w:rsidRDefault="00EC0158">
      <w:pPr>
        <w:pStyle w:val="ListParagraph"/>
        <w:numPr>
          <w:ilvl w:val="0"/>
          <w:numId w:val="28"/>
        </w:numPr>
        <w:spacing w:before="120" w:line="240" w:lineRule="auto"/>
        <w:ind w:left="360"/>
        <w:contextualSpacing w:val="0"/>
        <w:jc w:val="both"/>
        <w:rPr>
          <w:noProof/>
          <w:u w:val="single"/>
        </w:rPr>
      </w:pPr>
      <w:r>
        <w:rPr>
          <w:rFonts w:ascii="Times New Roman" w:hAnsi="Times New Roman"/>
          <w:noProof/>
          <w:sz w:val="24"/>
          <w:szCs w:val="24"/>
          <w:u w:val="single"/>
        </w:rPr>
        <w:t>RescEU</w:t>
      </w:r>
      <w:r>
        <w:rPr>
          <w:rFonts w:ascii="Times New Roman" w:hAnsi="Times New Roman"/>
          <w:noProof/>
          <w:sz w:val="24"/>
          <w:szCs w:val="24"/>
        </w:rPr>
        <w:t>: les budgets rectificatifs nº 1 et nº 2/2020 ont considérablement augmenté les ressources</w:t>
      </w:r>
      <w:r>
        <w:rPr>
          <w:rFonts w:ascii="Times New Roman" w:hAnsi="Times New Roman"/>
          <w:noProof/>
          <w:sz w:val="24"/>
          <w:szCs w:val="24"/>
        </w:rPr>
        <w:t xml:space="preserve"> disponibles dans le cadre du programme «Protection civile de l’Union» pour faire face aux besoins urgents liés à la COVID-19 (constitution de stocks médicaux et rapatriement). Cela représente un renforcement total de 415 millions d’EUR en crédits d’engage</w:t>
      </w:r>
      <w:r>
        <w:rPr>
          <w:rFonts w:ascii="Times New Roman" w:hAnsi="Times New Roman"/>
          <w:noProof/>
          <w:sz w:val="24"/>
          <w:szCs w:val="24"/>
        </w:rPr>
        <w:t>ment. Moins de la moitié de ces crédits a été couverte par des crédits de paiement en 2020 et des estimations révisées indiquent qu’environ 132 millions d’EUR seront nécessaires en 2021 pour mener à bien ces mesures. Ces paiements serviront, pour la plupar</w:t>
      </w:r>
      <w:r>
        <w:rPr>
          <w:rFonts w:ascii="Times New Roman" w:hAnsi="Times New Roman"/>
          <w:noProof/>
          <w:sz w:val="24"/>
          <w:szCs w:val="24"/>
        </w:rPr>
        <w:t>t, à financer des remboursements destinés aux États membres en rapport avec des mesures déjà mises en œuvre.</w:t>
      </w:r>
    </w:p>
    <w:p w:rsidR="007119D4" w:rsidRDefault="00EC0158">
      <w:pPr>
        <w:pStyle w:val="ListParagraph"/>
        <w:numPr>
          <w:ilvl w:val="0"/>
          <w:numId w:val="28"/>
        </w:numPr>
        <w:spacing w:before="120" w:after="120" w:line="240" w:lineRule="auto"/>
        <w:ind w:left="426" w:hanging="426"/>
        <w:contextualSpacing w:val="0"/>
        <w:jc w:val="both"/>
        <w:rPr>
          <w:rFonts w:ascii="Times New Roman" w:hAnsi="Times New Roman"/>
          <w:noProof/>
          <w:sz w:val="24"/>
          <w:szCs w:val="24"/>
        </w:rPr>
      </w:pPr>
      <w:r>
        <w:rPr>
          <w:rFonts w:ascii="Times New Roman" w:hAnsi="Times New Roman"/>
          <w:noProof/>
          <w:sz w:val="24"/>
          <w:szCs w:val="24"/>
          <w:u w:val="single"/>
        </w:rPr>
        <w:t>Soutien à la communauté chypriote turque</w:t>
      </w:r>
      <w:r>
        <w:rPr>
          <w:rFonts w:ascii="Times New Roman" w:hAnsi="Times New Roman"/>
          <w:noProof/>
          <w:sz w:val="24"/>
          <w:szCs w:val="24"/>
        </w:rPr>
        <w:t>: à la suite de la crise de la COVID-19, le programme des Nations unies pour le développement (PNUD) – Méca</w:t>
      </w:r>
      <w:r>
        <w:rPr>
          <w:rFonts w:ascii="Times New Roman" w:hAnsi="Times New Roman"/>
          <w:noProof/>
          <w:sz w:val="24"/>
          <w:szCs w:val="24"/>
        </w:rPr>
        <w:t>nisme pour les infrastructures locales (LIF) a fourni une assistance technique accrue pour recenser les besoins de réaction d’urgence, ce qui a entraîné une augmentation des paiements par rapport aux prévisions. Outre l’augmentation résultant du renforceme</w:t>
      </w:r>
      <w:r>
        <w:rPr>
          <w:rFonts w:ascii="Times New Roman" w:hAnsi="Times New Roman"/>
          <w:noProof/>
          <w:sz w:val="24"/>
          <w:szCs w:val="24"/>
        </w:rPr>
        <w:t>nt ciblé décrit à la section 8.1.1 ci-dessous (3 millions d’EUR), 4 millions d’EUR de crédits de paiement supplémentaires sont nécessaires pour achever des opérations telles que le programme de bourses d’études, le programme d’analyse économique pour la cr</w:t>
      </w:r>
      <w:r>
        <w:rPr>
          <w:rFonts w:ascii="Times New Roman" w:hAnsi="Times New Roman"/>
          <w:noProof/>
          <w:sz w:val="24"/>
          <w:szCs w:val="24"/>
        </w:rPr>
        <w:t>oissance et le développement durable mis en œuvre par la Banque internationale pour la reconstruction et le développement, le soutien aux microentreprises et le projet de construction du collecteur d’acheminement des eaux usées du nord de Nicosie.</w:t>
      </w:r>
    </w:p>
    <w:p w:rsidR="007119D4" w:rsidRDefault="00EC0158">
      <w:pPr>
        <w:pStyle w:val="ListParagraph"/>
        <w:numPr>
          <w:ilvl w:val="0"/>
          <w:numId w:val="28"/>
        </w:numPr>
        <w:spacing w:before="120" w:after="120" w:line="240" w:lineRule="auto"/>
        <w:ind w:left="360"/>
        <w:contextualSpacing w:val="0"/>
        <w:jc w:val="both"/>
        <w:rPr>
          <w:rFonts w:ascii="Times New Roman" w:hAnsi="Times New Roman"/>
          <w:noProof/>
          <w:sz w:val="24"/>
          <w:szCs w:val="24"/>
        </w:rPr>
      </w:pPr>
      <w:r>
        <w:rPr>
          <w:rFonts w:ascii="Times New Roman" w:hAnsi="Times New Roman"/>
          <w:noProof/>
          <w:sz w:val="24"/>
          <w:szCs w:val="24"/>
          <w:u w:val="single"/>
        </w:rPr>
        <w:t>MIE — Tr</w:t>
      </w:r>
      <w:r>
        <w:rPr>
          <w:rFonts w:ascii="Times New Roman" w:hAnsi="Times New Roman"/>
          <w:noProof/>
          <w:sz w:val="24"/>
          <w:szCs w:val="24"/>
          <w:u w:val="single"/>
        </w:rPr>
        <w:t>ansports (y compris la contribution du Fonds de cohésion et la mobilité militaire)</w:t>
      </w:r>
      <w:r>
        <w:rPr>
          <w:rFonts w:ascii="Times New Roman" w:hAnsi="Times New Roman"/>
          <w:noProof/>
          <w:sz w:val="24"/>
          <w:szCs w:val="24"/>
        </w:rPr>
        <w:t>: la diminution globale de -155 millions d’EUR résulte de la combinaison des deux éléments suivants:</w:t>
      </w:r>
    </w:p>
    <w:p w:rsidR="007119D4" w:rsidRDefault="00EC0158">
      <w:pPr>
        <w:pStyle w:val="ListParagraph"/>
        <w:numPr>
          <w:ilvl w:val="1"/>
          <w:numId w:val="28"/>
        </w:numPr>
        <w:spacing w:before="120" w:after="120" w:line="240" w:lineRule="auto"/>
        <w:ind w:left="720"/>
        <w:contextualSpacing w:val="0"/>
        <w:jc w:val="both"/>
        <w:rPr>
          <w:rFonts w:ascii="Times New Roman" w:hAnsi="Times New Roman"/>
          <w:noProof/>
          <w:sz w:val="24"/>
          <w:szCs w:val="24"/>
        </w:rPr>
      </w:pPr>
      <w:r>
        <w:rPr>
          <w:rFonts w:ascii="Times New Roman" w:hAnsi="Times New Roman"/>
          <w:noProof/>
          <w:sz w:val="24"/>
          <w:szCs w:val="24"/>
        </w:rPr>
        <w:lastRenderedPageBreak/>
        <w:t xml:space="preserve">une diminution de -100 millions d’EUR correspondant aux paiements qui </w:t>
      </w:r>
      <w:r>
        <w:rPr>
          <w:rFonts w:ascii="Times New Roman" w:hAnsi="Times New Roman"/>
          <w:noProof/>
          <w:sz w:val="24"/>
          <w:szCs w:val="24"/>
        </w:rPr>
        <w:t>seront effectués en 2020, alors qu’ils étaient initialement prévus en 2021. Ces paiements sont liés aux informations facultatives envoyées par plusieurs grands bénéficiaires et pour lesquelles un renforcement a été proposé par la Commission dans le PBR nº </w:t>
      </w:r>
      <w:r>
        <w:rPr>
          <w:rFonts w:ascii="Times New Roman" w:hAnsi="Times New Roman"/>
          <w:noProof/>
          <w:sz w:val="24"/>
          <w:szCs w:val="24"/>
        </w:rPr>
        <w:t>10/2020;</w:t>
      </w:r>
    </w:p>
    <w:p w:rsidR="007119D4" w:rsidRDefault="00EC0158">
      <w:pPr>
        <w:pStyle w:val="ListParagraph"/>
        <w:numPr>
          <w:ilvl w:val="1"/>
          <w:numId w:val="28"/>
        </w:numPr>
        <w:spacing w:before="120" w:after="120" w:line="240" w:lineRule="auto"/>
        <w:ind w:left="720"/>
        <w:contextualSpacing w:val="0"/>
        <w:jc w:val="both"/>
        <w:rPr>
          <w:rFonts w:ascii="Times New Roman" w:hAnsi="Times New Roman"/>
          <w:noProof/>
          <w:sz w:val="24"/>
          <w:szCs w:val="24"/>
        </w:rPr>
      </w:pPr>
      <w:r>
        <w:rPr>
          <w:rFonts w:ascii="Times New Roman" w:hAnsi="Times New Roman"/>
          <w:noProof/>
          <w:sz w:val="24"/>
          <w:szCs w:val="24"/>
        </w:rPr>
        <w:t xml:space="preserve">une réévaluation à la baisse des besoins en crédits de paiement de tous les volets du MIE –– Transports pour un montant total de -55 millions d’EUR (dont -37 millions d’EUR pour la contribution du Fonds de cohésion et -13,4 millions d’EUR pour la </w:t>
      </w:r>
      <w:r>
        <w:rPr>
          <w:rFonts w:ascii="Times New Roman" w:hAnsi="Times New Roman"/>
          <w:noProof/>
          <w:sz w:val="24"/>
          <w:szCs w:val="24"/>
        </w:rPr>
        <w:t>mobilité militaire). Compte tenu du calendrier actuel de publication du premier appel à propositions MIE — Transports en 2021, la Commission estime que seule une petite partie des conventions de subvention sera signée (et donc des préfinancements versés) e</w:t>
      </w:r>
      <w:r>
        <w:rPr>
          <w:rFonts w:ascii="Times New Roman" w:hAnsi="Times New Roman"/>
          <w:noProof/>
          <w:sz w:val="24"/>
          <w:szCs w:val="24"/>
        </w:rPr>
        <w:t>n 2021.</w:t>
      </w:r>
    </w:p>
    <w:p w:rsidR="007119D4" w:rsidRDefault="007119D4">
      <w:pPr>
        <w:spacing w:after="200" w:line="276" w:lineRule="auto"/>
        <w:rPr>
          <w:rFonts w:eastAsia="MS Mincho"/>
          <w:noProof/>
          <w:u w:val="single"/>
        </w:rPr>
      </w:pPr>
    </w:p>
    <w:p w:rsidR="007119D4" w:rsidRDefault="00EC0158">
      <w:pPr>
        <w:pStyle w:val="ListParagraph"/>
        <w:numPr>
          <w:ilvl w:val="0"/>
          <w:numId w:val="28"/>
        </w:numPr>
        <w:spacing w:before="120" w:after="120" w:line="240" w:lineRule="auto"/>
        <w:ind w:left="426" w:hanging="426"/>
        <w:contextualSpacing w:val="0"/>
        <w:jc w:val="both"/>
        <w:rPr>
          <w:rFonts w:ascii="Times New Roman" w:hAnsi="Times New Roman"/>
          <w:noProof/>
          <w:sz w:val="24"/>
          <w:szCs w:val="24"/>
        </w:rPr>
      </w:pPr>
      <w:r>
        <w:rPr>
          <w:rFonts w:ascii="Times New Roman" w:hAnsi="Times New Roman"/>
          <w:noProof/>
          <w:sz w:val="24"/>
          <w:szCs w:val="24"/>
          <w:u w:val="single"/>
        </w:rPr>
        <w:t>InvestEU</w:t>
      </w:r>
      <w:r>
        <w:rPr>
          <w:rFonts w:ascii="Times New Roman" w:hAnsi="Times New Roman"/>
          <w:noProof/>
          <w:sz w:val="24"/>
          <w:szCs w:val="24"/>
        </w:rPr>
        <w:t xml:space="preserve">: la diminution des besoins en crédits de paiement pour l’instrument de prêt du mécanisme pour l’interconnexion en Europe (IP MIE) correspond aux paiements qui seront effectués en 2020, alors qu’ils étaient initialement prévus en 2021 </w:t>
      </w:r>
      <w:r>
        <w:rPr>
          <w:rFonts w:ascii="Times New Roman" w:hAnsi="Times New Roman"/>
          <w:noProof/>
          <w:sz w:val="24"/>
          <w:szCs w:val="24"/>
        </w:rPr>
        <w:t xml:space="preserve">(dans les lignes d’achèvement d’InvestEU) et qu'ils doivent donc être concentrés en début de période. D’ici la fin de 2020, la BEI devrait finaliser la signature d’une série de projets comprenant des opérations liées au déploiement de bornes de chargement </w:t>
      </w:r>
      <w:r>
        <w:rPr>
          <w:rFonts w:ascii="Times New Roman" w:hAnsi="Times New Roman"/>
          <w:noProof/>
          <w:sz w:val="24"/>
          <w:szCs w:val="24"/>
        </w:rPr>
        <w:t>pour véhicules électriques, de points de ravitaillement en hydrogène, d’autobus électriques à pile à hydrogène et de camions électriques pour le transport de marchandises, qui ont progressé plus rapidement que prévu.</w:t>
      </w:r>
    </w:p>
    <w:p w:rsidR="007119D4" w:rsidRDefault="00EC0158">
      <w:pPr>
        <w:keepNext/>
        <w:tabs>
          <w:tab w:val="left" w:pos="850"/>
        </w:tabs>
        <w:spacing w:before="360" w:after="120"/>
        <w:ind w:left="357" w:hanging="357"/>
        <w:jc w:val="both"/>
        <w:outlineLvl w:val="1"/>
        <w:rPr>
          <w:rFonts w:eastAsia="Calibri"/>
          <w:b/>
          <w:noProof/>
        </w:rPr>
      </w:pPr>
      <w:bookmarkStart w:id="49" w:name="_Toc54770317"/>
      <w:bookmarkStart w:id="50" w:name="_Toc55807127"/>
      <w:bookmarkStart w:id="51" w:name="_Toc56419358"/>
      <w:r>
        <w:rPr>
          <w:b/>
          <w:noProof/>
        </w:rPr>
        <w:t xml:space="preserve">2.4 </w:t>
      </w:r>
      <w:r>
        <w:rPr>
          <w:b/>
          <w:noProof/>
        </w:rPr>
        <w:tab/>
        <w:t>Ajustement de la portée des rubriq</w:t>
      </w:r>
      <w:r>
        <w:rPr>
          <w:b/>
          <w:noProof/>
        </w:rPr>
        <w:t>ues du CFP et incidence sur la structure de la nomenclature</w:t>
      </w:r>
      <w:bookmarkEnd w:id="49"/>
      <w:bookmarkEnd w:id="50"/>
      <w:bookmarkEnd w:id="51"/>
    </w:p>
    <w:p w:rsidR="007119D4" w:rsidRDefault="00EC0158">
      <w:pPr>
        <w:spacing w:after="240"/>
        <w:jc w:val="both"/>
        <w:rPr>
          <w:noProof/>
        </w:rPr>
      </w:pPr>
      <w:r>
        <w:rPr>
          <w:noProof/>
        </w:rPr>
        <w:t>Conformément à l’accord intervenu lors du Conseil européen extraordinaire de juillet 2020 et confirmé dans l'accord politique de novembre 2020 entre le Parlement européen et le Conseil, les progra</w:t>
      </w:r>
      <w:r>
        <w:rPr>
          <w:noProof/>
        </w:rPr>
        <w:t>mmes (et autres éléments) inclus dans le PB 2021 sous le nouveau titre 14 «Résilience et réaction aux crises» (et qui était inclus dans la rubrique 5 «Résilience, sécurité et défense») sont transférés vers le nouveau titre 06 «Reprise et résilience» (inclu</w:t>
      </w:r>
      <w:r>
        <w:rPr>
          <w:noProof/>
        </w:rPr>
        <w:t>s dans la rubrique 2b «Résilience et valeurs»).</w:t>
      </w:r>
    </w:p>
    <w:p w:rsidR="007119D4" w:rsidRDefault="00EC0158">
      <w:pPr>
        <w:spacing w:after="240"/>
        <w:jc w:val="both"/>
        <w:rPr>
          <w:noProof/>
        </w:rPr>
      </w:pPr>
      <w:r>
        <w:rPr>
          <w:noProof/>
        </w:rPr>
        <w:t>Ce transfert nécessitera une nouvelle numérotation technique des titres 15 «Action extérieure», 16 «Aide de préadhésion» et 17 «Dépenses s'inscrivant en dehors des plafonds annuels fixés dans le cadre financi</w:t>
      </w:r>
      <w:r>
        <w:rPr>
          <w:noProof/>
        </w:rPr>
        <w:t>er pluriannuel». Cette nouvelle numérotation technique sera appliquée lors de la publication du budget 2021, après son adoption.</w:t>
      </w:r>
    </w:p>
    <w:p w:rsidR="007119D4" w:rsidRDefault="00EC0158">
      <w:pPr>
        <w:keepNext/>
        <w:tabs>
          <w:tab w:val="left" w:pos="850"/>
        </w:tabs>
        <w:spacing w:before="360" w:after="120"/>
        <w:ind w:left="357" w:hanging="357"/>
        <w:jc w:val="both"/>
        <w:outlineLvl w:val="1"/>
        <w:rPr>
          <w:rFonts w:eastAsia="Calibri"/>
          <w:b/>
          <w:noProof/>
        </w:rPr>
      </w:pPr>
      <w:bookmarkStart w:id="52" w:name="_Toc54770318"/>
      <w:bookmarkStart w:id="53" w:name="_Toc55807128"/>
      <w:bookmarkStart w:id="54" w:name="_Toc56419359"/>
      <w:r>
        <w:rPr>
          <w:b/>
          <w:noProof/>
        </w:rPr>
        <w:t xml:space="preserve">2.5 </w:t>
      </w:r>
      <w:r>
        <w:rPr>
          <w:b/>
          <w:noProof/>
        </w:rPr>
        <w:tab/>
        <w:t>Révision de la répartition des fonds de Next Generation EU entre subventions et prêts</w:t>
      </w:r>
      <w:bookmarkEnd w:id="52"/>
      <w:bookmarkEnd w:id="53"/>
      <w:bookmarkEnd w:id="54"/>
    </w:p>
    <w:p w:rsidR="007119D4" w:rsidRDefault="00EC0158">
      <w:pPr>
        <w:spacing w:after="240"/>
        <w:jc w:val="both"/>
        <w:rPr>
          <w:noProof/>
        </w:rPr>
      </w:pPr>
      <w:r>
        <w:rPr>
          <w:noProof/>
        </w:rPr>
        <w:t>Comme confirmé dans l’accord politiq</w:t>
      </w:r>
      <w:r>
        <w:rPr>
          <w:noProof/>
        </w:rPr>
        <w:t>ue intervenu en novembre 2020 entre le Parlement européen et le Conseil, le volet des subventions des fonds de Next Generation EU (750 milliards d’EUR aux prix de 2018), qui soutiendra les programmes de l’Union, a été réduit tant en ce qui concerne son mon</w:t>
      </w:r>
      <w:r>
        <w:rPr>
          <w:noProof/>
        </w:rPr>
        <w:t>tant (de 500 milliards d’EUR à 390 milliards d’EUR) que sa portée.</w:t>
      </w:r>
    </w:p>
    <w:p w:rsidR="007119D4" w:rsidRDefault="00EC0158">
      <w:pPr>
        <w:spacing w:after="240"/>
        <w:jc w:val="both"/>
        <w:rPr>
          <w:rFonts w:eastAsia="Calibri"/>
          <w:noProof/>
        </w:rPr>
      </w:pPr>
      <w:r>
        <w:rPr>
          <w:noProof/>
        </w:rPr>
        <w:t>Les commentaires budgétaires des lignes budgétaires concernées ont été adaptés en conséquence dans la LR nº 1/2021. Par ailleurs, en ce qui concerne le Feader, la période transitoire de deu</w:t>
      </w:r>
      <w:r>
        <w:rPr>
          <w:noProof/>
        </w:rPr>
        <w:t>x ans déjà convenue par le Conseil et le Parlement européen inclura la mise en œuvre de la contribution de Next Generation EU à partir de 2021. Une nouvelle ligne budgétaire a été créée à cet effet dans la LR nº 1/2021.</w:t>
      </w:r>
    </w:p>
    <w:p w:rsidR="007119D4" w:rsidRDefault="00EC0158">
      <w:pPr>
        <w:spacing w:after="240"/>
        <w:jc w:val="both"/>
        <w:rPr>
          <w:noProof/>
        </w:rPr>
      </w:pPr>
      <w:r>
        <w:rPr>
          <w:noProof/>
        </w:rPr>
        <w:t>Les montants prévus au titre de Next</w:t>
      </w:r>
      <w:r>
        <w:rPr>
          <w:noProof/>
        </w:rPr>
        <w:t xml:space="preserve"> Generation EU pour 2021, par programme et par ligne budgétaire, sont présentés dans le tableau ci-dessous:</w:t>
      </w:r>
    </w:p>
    <w:p w:rsidR="007119D4" w:rsidRDefault="007119D4">
      <w:pPr>
        <w:spacing w:after="240"/>
        <w:jc w:val="both"/>
        <w:rPr>
          <w:noProof/>
        </w:rPr>
      </w:pPr>
    </w:p>
    <w:p w:rsidR="007119D4" w:rsidRDefault="007119D4">
      <w:pPr>
        <w:spacing w:after="240"/>
        <w:jc w:val="both"/>
        <w:rPr>
          <w:noProof/>
        </w:rPr>
      </w:pPr>
    </w:p>
    <w:tbl>
      <w:tblPr>
        <w:tblW w:w="9912" w:type="dxa"/>
        <w:tblInd w:w="113" w:type="dxa"/>
        <w:tblLook w:val="04A0" w:firstRow="1" w:lastRow="0" w:firstColumn="1" w:lastColumn="0" w:noHBand="0" w:noVBand="1"/>
      </w:tblPr>
      <w:tblGrid>
        <w:gridCol w:w="6715"/>
        <w:gridCol w:w="1560"/>
        <w:gridCol w:w="1622"/>
        <w:gridCol w:w="15"/>
      </w:tblGrid>
      <w:tr w:rsidR="007119D4">
        <w:trPr>
          <w:trHeight w:val="300"/>
          <w:tblHeader/>
        </w:trPr>
        <w:tc>
          <w:tcPr>
            <w:tcW w:w="671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119D4" w:rsidRDefault="00EC0158">
            <w:pPr>
              <w:jc w:val="center"/>
              <w:rPr>
                <w:b/>
                <w:bCs/>
                <w:noProof/>
                <w:color w:val="000000"/>
                <w:sz w:val="22"/>
                <w:szCs w:val="22"/>
              </w:rPr>
            </w:pPr>
            <w:r>
              <w:rPr>
                <w:b/>
                <w:bCs/>
                <w:noProof/>
                <w:color w:val="000000"/>
                <w:sz w:val="22"/>
                <w:szCs w:val="22"/>
              </w:rPr>
              <w:lastRenderedPageBreak/>
              <w:t>Programme / ligne budgétaire</w:t>
            </w:r>
          </w:p>
        </w:tc>
        <w:tc>
          <w:tcPr>
            <w:tcW w:w="3197"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7119D4" w:rsidRDefault="00EC0158">
            <w:pPr>
              <w:jc w:val="center"/>
              <w:rPr>
                <w:b/>
                <w:bCs/>
                <w:noProof/>
                <w:color w:val="000000"/>
                <w:sz w:val="22"/>
                <w:szCs w:val="22"/>
              </w:rPr>
            </w:pPr>
            <w:r>
              <w:rPr>
                <w:b/>
                <w:bCs/>
                <w:noProof/>
                <w:color w:val="000000"/>
                <w:sz w:val="22"/>
                <w:szCs w:val="22"/>
              </w:rPr>
              <w:t>Contribution de Next Generation EU</w:t>
            </w:r>
            <w:r>
              <w:rPr>
                <w:i/>
                <w:iCs/>
                <w:noProof/>
                <w:color w:val="000000"/>
                <w:sz w:val="22"/>
                <w:szCs w:val="22"/>
              </w:rPr>
              <w:t xml:space="preserve"> (en Mio EUR)</w:t>
            </w:r>
          </w:p>
        </w:tc>
      </w:tr>
      <w:tr w:rsidR="007119D4">
        <w:trPr>
          <w:gridAfter w:val="1"/>
          <w:wAfter w:w="15" w:type="dxa"/>
          <w:trHeight w:val="300"/>
          <w:tblHeader/>
        </w:trPr>
        <w:tc>
          <w:tcPr>
            <w:tcW w:w="6715" w:type="dxa"/>
            <w:vMerge/>
            <w:tcBorders>
              <w:top w:val="single" w:sz="4" w:space="0" w:color="auto"/>
              <w:left w:val="single" w:sz="4" w:space="0" w:color="auto"/>
              <w:bottom w:val="single" w:sz="4" w:space="0" w:color="auto"/>
              <w:right w:val="single" w:sz="4" w:space="0" w:color="auto"/>
            </w:tcBorders>
            <w:vAlign w:val="center"/>
            <w:hideMark/>
          </w:tcPr>
          <w:p w:rsidR="007119D4" w:rsidRDefault="007119D4">
            <w:pPr>
              <w:rPr>
                <w:b/>
                <w:bCs/>
                <w:noProof/>
                <w:color w:val="000000"/>
                <w:sz w:val="22"/>
                <w:szCs w:val="22"/>
                <w:lang w:val="fr-BE" w:eastAsia="en-US"/>
              </w:rPr>
            </w:pPr>
          </w:p>
        </w:tc>
        <w:tc>
          <w:tcPr>
            <w:tcW w:w="1560" w:type="dxa"/>
            <w:tcBorders>
              <w:top w:val="nil"/>
              <w:left w:val="nil"/>
              <w:bottom w:val="single" w:sz="4" w:space="0" w:color="auto"/>
              <w:right w:val="single" w:sz="4" w:space="0" w:color="auto"/>
            </w:tcBorders>
            <w:shd w:val="clear" w:color="000000" w:fill="BFBFBF"/>
            <w:vAlign w:val="center"/>
            <w:hideMark/>
          </w:tcPr>
          <w:p w:rsidR="007119D4" w:rsidRDefault="00EC0158">
            <w:pPr>
              <w:jc w:val="center"/>
              <w:rPr>
                <w:b/>
                <w:bCs/>
                <w:noProof/>
                <w:color w:val="000000"/>
                <w:sz w:val="22"/>
                <w:szCs w:val="22"/>
              </w:rPr>
            </w:pPr>
            <w:r>
              <w:rPr>
                <w:b/>
                <w:bCs/>
                <w:noProof/>
                <w:color w:val="000000"/>
                <w:sz w:val="22"/>
                <w:szCs w:val="22"/>
              </w:rPr>
              <w:t>Engagements budgétaires</w:t>
            </w:r>
          </w:p>
        </w:tc>
        <w:tc>
          <w:tcPr>
            <w:tcW w:w="1622" w:type="dxa"/>
            <w:tcBorders>
              <w:top w:val="nil"/>
              <w:left w:val="nil"/>
              <w:bottom w:val="single" w:sz="4" w:space="0" w:color="auto"/>
              <w:right w:val="single" w:sz="4" w:space="0" w:color="auto"/>
            </w:tcBorders>
            <w:shd w:val="clear" w:color="000000" w:fill="BFBFBF"/>
            <w:vAlign w:val="center"/>
            <w:hideMark/>
          </w:tcPr>
          <w:p w:rsidR="007119D4" w:rsidRDefault="00EC0158">
            <w:pPr>
              <w:jc w:val="center"/>
              <w:rPr>
                <w:b/>
                <w:bCs/>
                <w:noProof/>
                <w:color w:val="000000"/>
                <w:sz w:val="22"/>
                <w:szCs w:val="22"/>
              </w:rPr>
            </w:pPr>
            <w:r>
              <w:rPr>
                <w:b/>
                <w:bCs/>
                <w:noProof/>
                <w:color w:val="000000"/>
                <w:sz w:val="22"/>
                <w:szCs w:val="22"/>
              </w:rPr>
              <w:t>Crédits de paiement</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7119D4" w:rsidRDefault="00EC0158">
            <w:pPr>
              <w:rPr>
                <w:b/>
                <w:bCs/>
                <w:noProof/>
                <w:color w:val="000000"/>
                <w:sz w:val="22"/>
                <w:szCs w:val="22"/>
              </w:rPr>
            </w:pPr>
            <w:r>
              <w:rPr>
                <w:b/>
                <w:bCs/>
                <w:noProof/>
                <w:color w:val="000000"/>
                <w:sz w:val="22"/>
                <w:szCs w:val="22"/>
              </w:rPr>
              <w:t>Horizon Europe</w:t>
            </w:r>
          </w:p>
        </w:tc>
        <w:tc>
          <w:tcPr>
            <w:tcW w:w="1560" w:type="dxa"/>
            <w:tcBorders>
              <w:top w:val="nil"/>
              <w:left w:val="nil"/>
              <w:bottom w:val="single" w:sz="4" w:space="0" w:color="auto"/>
              <w:right w:val="single" w:sz="4" w:space="0" w:color="auto"/>
            </w:tcBorders>
            <w:shd w:val="clear" w:color="000000" w:fill="D9D9D9"/>
            <w:noWrap/>
            <w:vAlign w:val="center"/>
            <w:hideMark/>
          </w:tcPr>
          <w:p w:rsidR="007119D4" w:rsidRDefault="00EC0158">
            <w:pPr>
              <w:jc w:val="right"/>
              <w:rPr>
                <w:b/>
                <w:bCs/>
                <w:noProof/>
                <w:color w:val="000000"/>
                <w:sz w:val="22"/>
                <w:szCs w:val="22"/>
              </w:rPr>
            </w:pPr>
            <w:r>
              <w:rPr>
                <w:b/>
                <w:bCs/>
                <w:noProof/>
                <w:color w:val="000000"/>
                <w:sz w:val="22"/>
                <w:szCs w:val="22"/>
              </w:rPr>
              <w:t>1 772,0</w:t>
            </w:r>
          </w:p>
        </w:tc>
        <w:tc>
          <w:tcPr>
            <w:tcW w:w="1622" w:type="dxa"/>
            <w:tcBorders>
              <w:top w:val="nil"/>
              <w:left w:val="nil"/>
              <w:bottom w:val="single" w:sz="4" w:space="0" w:color="auto"/>
              <w:right w:val="single" w:sz="4" w:space="0" w:color="auto"/>
            </w:tcBorders>
            <w:shd w:val="clear" w:color="000000" w:fill="D9D9D9"/>
            <w:noWrap/>
            <w:vAlign w:val="center"/>
            <w:hideMark/>
          </w:tcPr>
          <w:p w:rsidR="007119D4" w:rsidRDefault="00EC0158">
            <w:pPr>
              <w:jc w:val="right"/>
              <w:rPr>
                <w:b/>
                <w:bCs/>
                <w:noProof/>
                <w:color w:val="000000"/>
                <w:sz w:val="22"/>
                <w:szCs w:val="22"/>
              </w:rPr>
            </w:pPr>
            <w:r>
              <w:rPr>
                <w:b/>
                <w:bCs/>
                <w:noProof/>
                <w:color w:val="000000"/>
                <w:sz w:val="22"/>
                <w:szCs w:val="22"/>
              </w:rPr>
              <w:t>177,9</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01 01 01 02 - Personnel externe mettant en œuvre «Horizon Europe» — Recherche indirecte</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3,7</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3,7</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01 01 01 03 - Autres dépenses de gestion pour «Horizon Europe» — Recherche indirecte</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3,7</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3,7</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01 02 02 10 - Pôle «Santé»</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441,2</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32,2</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01 02 02 40 - Pôle</w:t>
            </w:r>
            <w:r>
              <w:rPr>
                <w:noProof/>
                <w:color w:val="000000"/>
                <w:sz w:val="22"/>
                <w:szCs w:val="22"/>
              </w:rPr>
              <w:t xml:space="preserve"> «Numérique, industrie et espace»</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441,2</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47,9</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01 02 02 50 - Pôle «Climat, énergie et mobilité»</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441,2</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7,0</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01 02 03 01 - Conseil européen de l'innovation</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441,2</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83,5</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7119D4" w:rsidRDefault="00EC0158">
            <w:pPr>
              <w:rPr>
                <w:b/>
                <w:bCs/>
                <w:noProof/>
                <w:color w:val="000000"/>
                <w:sz w:val="22"/>
                <w:szCs w:val="22"/>
              </w:rPr>
            </w:pPr>
            <w:r>
              <w:rPr>
                <w:b/>
                <w:bCs/>
                <w:noProof/>
                <w:color w:val="000000"/>
                <w:sz w:val="22"/>
                <w:szCs w:val="22"/>
              </w:rPr>
              <w:t>Fonds InvestEU</w:t>
            </w:r>
          </w:p>
        </w:tc>
        <w:tc>
          <w:tcPr>
            <w:tcW w:w="1560" w:type="dxa"/>
            <w:tcBorders>
              <w:top w:val="nil"/>
              <w:left w:val="nil"/>
              <w:bottom w:val="single" w:sz="4" w:space="0" w:color="auto"/>
              <w:right w:val="single" w:sz="4" w:space="0" w:color="auto"/>
            </w:tcBorders>
            <w:shd w:val="clear" w:color="000000" w:fill="D9D9D9"/>
            <w:noWrap/>
            <w:vAlign w:val="center"/>
            <w:hideMark/>
          </w:tcPr>
          <w:p w:rsidR="007119D4" w:rsidRDefault="00EC0158">
            <w:pPr>
              <w:jc w:val="right"/>
              <w:rPr>
                <w:b/>
                <w:bCs/>
                <w:noProof/>
                <w:color w:val="000000"/>
                <w:sz w:val="22"/>
                <w:szCs w:val="22"/>
              </w:rPr>
            </w:pPr>
            <w:r>
              <w:rPr>
                <w:b/>
                <w:bCs/>
                <w:noProof/>
                <w:color w:val="000000"/>
                <w:sz w:val="22"/>
                <w:szCs w:val="22"/>
              </w:rPr>
              <w:t>1 783,0</w:t>
            </w:r>
          </w:p>
        </w:tc>
        <w:tc>
          <w:tcPr>
            <w:tcW w:w="1622" w:type="dxa"/>
            <w:tcBorders>
              <w:top w:val="nil"/>
              <w:left w:val="nil"/>
              <w:bottom w:val="single" w:sz="4" w:space="0" w:color="auto"/>
              <w:right w:val="single" w:sz="4" w:space="0" w:color="auto"/>
            </w:tcBorders>
            <w:shd w:val="clear" w:color="000000" w:fill="D9D9D9"/>
            <w:noWrap/>
            <w:vAlign w:val="center"/>
            <w:hideMark/>
          </w:tcPr>
          <w:p w:rsidR="007119D4" w:rsidRDefault="00EC0158">
            <w:pPr>
              <w:jc w:val="right"/>
              <w:rPr>
                <w:b/>
                <w:bCs/>
                <w:noProof/>
                <w:color w:val="000000"/>
                <w:sz w:val="22"/>
                <w:szCs w:val="22"/>
              </w:rPr>
            </w:pPr>
            <w:r>
              <w:rPr>
                <w:b/>
                <w:bCs/>
                <w:noProof/>
                <w:color w:val="000000"/>
                <w:sz w:val="22"/>
                <w:szCs w:val="22"/>
              </w:rPr>
              <w:t>174,0</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02 01 01 - Dépenses d'appui pour «InvestEU»</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0,5</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0,5</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02 02 02</w:t>
            </w:r>
            <w:r>
              <w:rPr>
                <w:noProof/>
                <w:color w:val="000000"/>
                <w:sz w:val="22"/>
                <w:szCs w:val="22"/>
              </w:rPr>
              <w:t xml:space="preserve"> - Garantie InvestEU - Provisionnement du fonds commun de provisionnement</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1 745,0</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151,0</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02 02 03 - Plateforme de conseil InvestEU, portail InvestEU et mesures d’accompagnement</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37,5</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22,5</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7119D4" w:rsidRDefault="00EC0158">
            <w:pPr>
              <w:rPr>
                <w:b/>
                <w:bCs/>
                <w:noProof/>
                <w:color w:val="000000"/>
                <w:sz w:val="22"/>
                <w:szCs w:val="22"/>
              </w:rPr>
            </w:pPr>
            <w:r>
              <w:rPr>
                <w:b/>
                <w:bCs/>
                <w:noProof/>
                <w:color w:val="000000"/>
                <w:sz w:val="22"/>
                <w:szCs w:val="22"/>
              </w:rPr>
              <w:t>REACT-EU Fonds européen de développement régional (FEDER)</w:t>
            </w:r>
          </w:p>
        </w:tc>
        <w:tc>
          <w:tcPr>
            <w:tcW w:w="1560" w:type="dxa"/>
            <w:tcBorders>
              <w:top w:val="nil"/>
              <w:left w:val="nil"/>
              <w:bottom w:val="single" w:sz="4" w:space="0" w:color="auto"/>
              <w:right w:val="single" w:sz="4" w:space="0" w:color="auto"/>
            </w:tcBorders>
            <w:shd w:val="clear" w:color="000000" w:fill="D9D9D9"/>
            <w:noWrap/>
            <w:vAlign w:val="center"/>
            <w:hideMark/>
          </w:tcPr>
          <w:p w:rsidR="007119D4" w:rsidRDefault="00EC0158">
            <w:pPr>
              <w:jc w:val="right"/>
              <w:rPr>
                <w:b/>
                <w:bCs/>
                <w:noProof/>
                <w:color w:val="000000"/>
                <w:sz w:val="22"/>
                <w:szCs w:val="22"/>
              </w:rPr>
            </w:pPr>
            <w:r>
              <w:rPr>
                <w:b/>
                <w:bCs/>
                <w:noProof/>
                <w:color w:val="000000"/>
                <w:sz w:val="22"/>
                <w:szCs w:val="22"/>
              </w:rPr>
              <w:t>27 856,5</w:t>
            </w:r>
          </w:p>
        </w:tc>
        <w:tc>
          <w:tcPr>
            <w:tcW w:w="1622" w:type="dxa"/>
            <w:tcBorders>
              <w:top w:val="nil"/>
              <w:left w:val="nil"/>
              <w:bottom w:val="single" w:sz="4" w:space="0" w:color="auto"/>
              <w:right w:val="single" w:sz="4" w:space="0" w:color="auto"/>
            </w:tcBorders>
            <w:shd w:val="clear" w:color="000000" w:fill="D9D9D9"/>
            <w:noWrap/>
            <w:vAlign w:val="center"/>
            <w:hideMark/>
          </w:tcPr>
          <w:p w:rsidR="007119D4" w:rsidRDefault="00EC0158">
            <w:pPr>
              <w:jc w:val="right"/>
              <w:rPr>
                <w:b/>
                <w:bCs/>
                <w:noProof/>
                <w:color w:val="000000"/>
                <w:sz w:val="22"/>
                <w:szCs w:val="22"/>
              </w:rPr>
            </w:pPr>
            <w:r>
              <w:rPr>
                <w:b/>
                <w:bCs/>
                <w:noProof/>
                <w:color w:val="000000"/>
                <w:sz w:val="22"/>
                <w:szCs w:val="22"/>
              </w:rPr>
              <w:t>4</w:t>
            </w:r>
            <w:r>
              <w:rPr>
                <w:b/>
                <w:bCs/>
                <w:noProof/>
                <w:color w:val="000000"/>
                <w:sz w:val="22"/>
                <w:szCs w:val="22"/>
              </w:rPr>
              <w:t xml:space="preserve"> 983,5</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05 01 01 - Dépenses d’appui pour le «Fonds européen de développement régional»</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2,5</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2,5</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05 02 05 01 - FEDER — Dépenses opérationnelles — Financement au titre de REACT-EU</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27 756,8</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4 977,1</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 xml:space="preserve">05 02 05 02 - FEDER — Assistance technique opérationnelle — </w:t>
            </w:r>
            <w:r>
              <w:rPr>
                <w:noProof/>
                <w:color w:val="000000"/>
                <w:sz w:val="22"/>
                <w:szCs w:val="22"/>
              </w:rPr>
              <w:t>Financement au titre de REACT-EU</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97,2</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3,9</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7119D4" w:rsidRDefault="00EC0158">
            <w:pPr>
              <w:rPr>
                <w:b/>
                <w:bCs/>
                <w:noProof/>
                <w:color w:val="000000"/>
                <w:sz w:val="22"/>
                <w:szCs w:val="22"/>
              </w:rPr>
            </w:pPr>
            <w:r>
              <w:rPr>
                <w:b/>
                <w:bCs/>
                <w:noProof/>
                <w:color w:val="000000"/>
                <w:sz w:val="22"/>
                <w:szCs w:val="22"/>
              </w:rPr>
              <w:t>Facilité pour la reprise et la résilience (y compris l’instrument d’appui technique)</w:t>
            </w:r>
          </w:p>
        </w:tc>
        <w:tc>
          <w:tcPr>
            <w:tcW w:w="1560" w:type="dxa"/>
            <w:tcBorders>
              <w:top w:val="nil"/>
              <w:left w:val="nil"/>
              <w:bottom w:val="single" w:sz="4" w:space="0" w:color="auto"/>
              <w:right w:val="single" w:sz="4" w:space="0" w:color="auto"/>
            </w:tcBorders>
            <w:shd w:val="clear" w:color="000000" w:fill="D9D9D9"/>
            <w:noWrap/>
            <w:vAlign w:val="center"/>
            <w:hideMark/>
          </w:tcPr>
          <w:p w:rsidR="007119D4" w:rsidRDefault="00EC0158">
            <w:pPr>
              <w:jc w:val="right"/>
              <w:rPr>
                <w:b/>
                <w:bCs/>
                <w:noProof/>
                <w:color w:val="000000"/>
                <w:sz w:val="22"/>
                <w:szCs w:val="22"/>
              </w:rPr>
            </w:pPr>
            <w:r>
              <w:rPr>
                <w:b/>
                <w:bCs/>
                <w:noProof/>
                <w:color w:val="000000"/>
                <w:sz w:val="22"/>
                <w:szCs w:val="22"/>
              </w:rPr>
              <w:t>236 607,0</w:t>
            </w:r>
          </w:p>
        </w:tc>
        <w:tc>
          <w:tcPr>
            <w:tcW w:w="1622" w:type="dxa"/>
            <w:tcBorders>
              <w:top w:val="nil"/>
              <w:left w:val="nil"/>
              <w:bottom w:val="single" w:sz="4" w:space="0" w:color="auto"/>
              <w:right w:val="single" w:sz="4" w:space="0" w:color="auto"/>
            </w:tcBorders>
            <w:shd w:val="clear" w:color="000000" w:fill="D9D9D9"/>
            <w:noWrap/>
            <w:vAlign w:val="center"/>
            <w:hideMark/>
          </w:tcPr>
          <w:p w:rsidR="007119D4" w:rsidRDefault="00EC0158">
            <w:pPr>
              <w:jc w:val="right"/>
              <w:rPr>
                <w:b/>
                <w:bCs/>
                <w:noProof/>
                <w:color w:val="000000"/>
                <w:sz w:val="22"/>
                <w:szCs w:val="22"/>
              </w:rPr>
            </w:pPr>
            <w:r>
              <w:rPr>
                <w:b/>
                <w:bCs/>
                <w:noProof/>
                <w:color w:val="000000"/>
                <w:sz w:val="22"/>
                <w:szCs w:val="22"/>
              </w:rPr>
              <w:t>67 607,0</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 xml:space="preserve">06 01 01 - Dépenses d’appui pour la «Facilité pour la reprise et la résilience (y compris l’instrument </w:t>
            </w:r>
            <w:r>
              <w:rPr>
                <w:noProof/>
                <w:color w:val="000000"/>
                <w:sz w:val="22"/>
                <w:szCs w:val="22"/>
              </w:rPr>
              <w:t>d’appui technique)»</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7,0</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7,0</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06 02 01 - Facilité pour la reprise et la résilience — Subventions</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236 600,0</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67 600,0</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7119D4" w:rsidRDefault="00EC0158">
            <w:pPr>
              <w:rPr>
                <w:b/>
                <w:bCs/>
                <w:noProof/>
                <w:color w:val="000000"/>
                <w:sz w:val="22"/>
                <w:szCs w:val="22"/>
              </w:rPr>
            </w:pPr>
            <w:r>
              <w:rPr>
                <w:b/>
                <w:bCs/>
                <w:noProof/>
                <w:color w:val="000000"/>
                <w:sz w:val="22"/>
                <w:szCs w:val="22"/>
              </w:rPr>
              <w:t>Mécanisme de protection civile de l'Union (rescEU)</w:t>
            </w:r>
          </w:p>
        </w:tc>
        <w:tc>
          <w:tcPr>
            <w:tcW w:w="1560" w:type="dxa"/>
            <w:tcBorders>
              <w:top w:val="nil"/>
              <w:left w:val="nil"/>
              <w:bottom w:val="single" w:sz="4" w:space="0" w:color="auto"/>
              <w:right w:val="single" w:sz="4" w:space="0" w:color="auto"/>
            </w:tcBorders>
            <w:shd w:val="clear" w:color="000000" w:fill="D9D9D9"/>
            <w:noWrap/>
            <w:vAlign w:val="center"/>
            <w:hideMark/>
          </w:tcPr>
          <w:p w:rsidR="007119D4" w:rsidRDefault="00EC0158">
            <w:pPr>
              <w:jc w:val="right"/>
              <w:rPr>
                <w:b/>
                <w:bCs/>
                <w:noProof/>
                <w:color w:val="000000"/>
                <w:sz w:val="22"/>
                <w:szCs w:val="22"/>
              </w:rPr>
            </w:pPr>
            <w:r>
              <w:rPr>
                <w:b/>
                <w:bCs/>
                <w:noProof/>
                <w:color w:val="000000"/>
                <w:sz w:val="22"/>
                <w:szCs w:val="22"/>
              </w:rPr>
              <w:t>682,5</w:t>
            </w:r>
          </w:p>
        </w:tc>
        <w:tc>
          <w:tcPr>
            <w:tcW w:w="1622" w:type="dxa"/>
            <w:tcBorders>
              <w:top w:val="nil"/>
              <w:left w:val="nil"/>
              <w:bottom w:val="single" w:sz="4" w:space="0" w:color="auto"/>
              <w:right w:val="single" w:sz="4" w:space="0" w:color="auto"/>
            </w:tcBorders>
            <w:shd w:val="clear" w:color="000000" w:fill="D9D9D9"/>
            <w:noWrap/>
            <w:vAlign w:val="center"/>
            <w:hideMark/>
          </w:tcPr>
          <w:p w:rsidR="007119D4" w:rsidRDefault="00EC0158">
            <w:pPr>
              <w:jc w:val="right"/>
              <w:rPr>
                <w:b/>
                <w:bCs/>
                <w:noProof/>
                <w:color w:val="000000"/>
                <w:sz w:val="22"/>
                <w:szCs w:val="22"/>
              </w:rPr>
            </w:pPr>
            <w:r>
              <w:rPr>
                <w:b/>
                <w:bCs/>
                <w:noProof/>
                <w:color w:val="000000"/>
                <w:sz w:val="22"/>
                <w:szCs w:val="22"/>
              </w:rPr>
              <w:t>197,0</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 xml:space="preserve">06 01 04 - Dépenses d’appui pour le mécanisme de protection civile de </w:t>
            </w:r>
            <w:r>
              <w:rPr>
                <w:noProof/>
                <w:color w:val="000000"/>
                <w:sz w:val="22"/>
                <w:szCs w:val="22"/>
              </w:rPr>
              <w:t>l’Union (rescEU)</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3,9</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3,9</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06 05 01 - Mécanisme de protection civile de l’Union (rescEU)</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678,6</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193,1</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7119D4" w:rsidRDefault="00EC0158">
            <w:pPr>
              <w:rPr>
                <w:b/>
                <w:bCs/>
                <w:noProof/>
                <w:color w:val="000000"/>
                <w:sz w:val="22"/>
                <w:szCs w:val="22"/>
              </w:rPr>
            </w:pPr>
            <w:r>
              <w:rPr>
                <w:b/>
                <w:bCs/>
                <w:noProof/>
                <w:color w:val="000000"/>
                <w:sz w:val="22"/>
                <w:szCs w:val="22"/>
              </w:rPr>
              <w:t>REACT-EU Fonds social européen (FSE)</w:t>
            </w:r>
          </w:p>
        </w:tc>
        <w:tc>
          <w:tcPr>
            <w:tcW w:w="1560" w:type="dxa"/>
            <w:tcBorders>
              <w:top w:val="nil"/>
              <w:left w:val="nil"/>
              <w:bottom w:val="single" w:sz="4" w:space="0" w:color="auto"/>
              <w:right w:val="single" w:sz="4" w:space="0" w:color="auto"/>
            </w:tcBorders>
            <w:shd w:val="clear" w:color="000000" w:fill="D9D9D9"/>
            <w:noWrap/>
            <w:vAlign w:val="center"/>
            <w:hideMark/>
          </w:tcPr>
          <w:p w:rsidR="007119D4" w:rsidRDefault="00EC0158">
            <w:pPr>
              <w:jc w:val="right"/>
              <w:rPr>
                <w:b/>
                <w:bCs/>
                <w:noProof/>
                <w:color w:val="000000"/>
                <w:sz w:val="22"/>
                <w:szCs w:val="22"/>
              </w:rPr>
            </w:pPr>
            <w:r>
              <w:rPr>
                <w:b/>
                <w:bCs/>
                <w:noProof/>
                <w:color w:val="000000"/>
                <w:sz w:val="22"/>
                <w:szCs w:val="22"/>
              </w:rPr>
              <w:t>11 938,5</w:t>
            </w:r>
          </w:p>
        </w:tc>
        <w:tc>
          <w:tcPr>
            <w:tcW w:w="1622" w:type="dxa"/>
            <w:tcBorders>
              <w:top w:val="nil"/>
              <w:left w:val="nil"/>
              <w:bottom w:val="single" w:sz="4" w:space="0" w:color="auto"/>
              <w:right w:val="single" w:sz="4" w:space="0" w:color="auto"/>
            </w:tcBorders>
            <w:shd w:val="clear" w:color="000000" w:fill="D9D9D9"/>
            <w:noWrap/>
            <w:vAlign w:val="center"/>
            <w:hideMark/>
          </w:tcPr>
          <w:p w:rsidR="007119D4" w:rsidRDefault="00EC0158">
            <w:pPr>
              <w:jc w:val="right"/>
              <w:rPr>
                <w:b/>
                <w:bCs/>
                <w:noProof/>
                <w:color w:val="000000"/>
                <w:sz w:val="22"/>
                <w:szCs w:val="22"/>
              </w:rPr>
            </w:pPr>
            <w:r>
              <w:rPr>
                <w:b/>
                <w:bCs/>
                <w:noProof/>
                <w:color w:val="000000"/>
                <w:sz w:val="22"/>
                <w:szCs w:val="22"/>
              </w:rPr>
              <w:t>2 135,8</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07 01 01 01 - Dépenses d’appui pour le «Fonds social européen plus» — gestion partagée</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1,1</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1,1</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 xml:space="preserve">07 </w:t>
            </w:r>
            <w:r>
              <w:rPr>
                <w:noProof/>
                <w:color w:val="000000"/>
                <w:sz w:val="22"/>
                <w:szCs w:val="22"/>
              </w:rPr>
              <w:t>02 05 01 - FSE — Dépenses opérationnelles — Financement au titre de REACT-EU</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11 895,8</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2 133,0</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07 02 05 02 - FSE — Assistance technique opérationnelle — Financement au titre de REACT-EU</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41,6</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1,7</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7119D4" w:rsidRDefault="00EC0158">
            <w:pPr>
              <w:rPr>
                <w:b/>
                <w:bCs/>
                <w:noProof/>
                <w:color w:val="000000"/>
                <w:sz w:val="22"/>
                <w:szCs w:val="22"/>
              </w:rPr>
            </w:pPr>
            <w:r>
              <w:rPr>
                <w:b/>
                <w:bCs/>
                <w:noProof/>
                <w:color w:val="000000"/>
                <w:sz w:val="22"/>
                <w:szCs w:val="22"/>
              </w:rPr>
              <w:t>Fonds européen agricole pour le développement rural (Feader)</w:t>
            </w:r>
          </w:p>
        </w:tc>
        <w:tc>
          <w:tcPr>
            <w:tcW w:w="1560" w:type="dxa"/>
            <w:tcBorders>
              <w:top w:val="nil"/>
              <w:left w:val="nil"/>
              <w:bottom w:val="single" w:sz="4" w:space="0" w:color="auto"/>
              <w:right w:val="single" w:sz="4" w:space="0" w:color="auto"/>
            </w:tcBorders>
            <w:shd w:val="clear" w:color="000000" w:fill="D9D9D9"/>
            <w:noWrap/>
            <w:vAlign w:val="center"/>
            <w:hideMark/>
          </w:tcPr>
          <w:p w:rsidR="007119D4" w:rsidRDefault="00EC0158">
            <w:pPr>
              <w:jc w:val="right"/>
              <w:rPr>
                <w:b/>
                <w:bCs/>
                <w:noProof/>
                <w:color w:val="000000"/>
                <w:sz w:val="22"/>
                <w:szCs w:val="22"/>
              </w:rPr>
            </w:pPr>
            <w:r>
              <w:rPr>
                <w:b/>
                <w:bCs/>
                <w:noProof/>
                <w:color w:val="000000"/>
                <w:sz w:val="22"/>
                <w:szCs w:val="22"/>
              </w:rPr>
              <w:t>2 387,7</w:t>
            </w:r>
          </w:p>
        </w:tc>
        <w:tc>
          <w:tcPr>
            <w:tcW w:w="1622" w:type="dxa"/>
            <w:tcBorders>
              <w:top w:val="nil"/>
              <w:left w:val="nil"/>
              <w:bottom w:val="single" w:sz="4" w:space="0" w:color="auto"/>
              <w:right w:val="single" w:sz="4" w:space="0" w:color="auto"/>
            </w:tcBorders>
            <w:shd w:val="clear" w:color="000000" w:fill="D9D9D9"/>
            <w:noWrap/>
            <w:vAlign w:val="center"/>
            <w:hideMark/>
          </w:tcPr>
          <w:p w:rsidR="007119D4" w:rsidRDefault="00EC0158">
            <w:pPr>
              <w:jc w:val="right"/>
              <w:rPr>
                <w:b/>
                <w:bCs/>
                <w:noProof/>
                <w:color w:val="000000"/>
                <w:sz w:val="22"/>
                <w:szCs w:val="22"/>
              </w:rPr>
            </w:pPr>
            <w:r>
              <w:rPr>
                <w:b/>
                <w:bCs/>
                <w:noProof/>
                <w:color w:val="000000"/>
                <w:sz w:val="22"/>
                <w:szCs w:val="22"/>
              </w:rPr>
              <w:t>596,9</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08 03 01 03 - Types d'interventions en faveur du développement rural dans le cadre des plans stratégiques relevant de la PAC financés par l'instrument de l'Union européenne pour la relance (EURI)</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2 381,7</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595,4</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 xml:space="preserve">08 03 03 - Feader — </w:t>
            </w:r>
            <w:r>
              <w:rPr>
                <w:noProof/>
                <w:color w:val="000000"/>
                <w:sz w:val="22"/>
                <w:szCs w:val="22"/>
              </w:rPr>
              <w:t>Assistance technique opérationnelle financée par l’instrument de l’Union européenne pour la relance (EURI)</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6,0</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1,5</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7119D4" w:rsidRDefault="00EC0158">
            <w:pPr>
              <w:rPr>
                <w:b/>
                <w:bCs/>
                <w:noProof/>
                <w:color w:val="000000"/>
                <w:sz w:val="22"/>
                <w:szCs w:val="22"/>
              </w:rPr>
            </w:pPr>
            <w:r>
              <w:rPr>
                <w:b/>
                <w:bCs/>
                <w:noProof/>
                <w:color w:val="000000"/>
                <w:sz w:val="22"/>
                <w:szCs w:val="22"/>
              </w:rPr>
              <w:t>Fonds pour une transition juste</w:t>
            </w:r>
          </w:p>
        </w:tc>
        <w:tc>
          <w:tcPr>
            <w:tcW w:w="1560" w:type="dxa"/>
            <w:tcBorders>
              <w:top w:val="nil"/>
              <w:left w:val="nil"/>
              <w:bottom w:val="single" w:sz="4" w:space="0" w:color="auto"/>
              <w:right w:val="single" w:sz="4" w:space="0" w:color="auto"/>
            </w:tcBorders>
            <w:shd w:val="clear" w:color="000000" w:fill="D9D9D9"/>
            <w:noWrap/>
            <w:vAlign w:val="center"/>
            <w:hideMark/>
          </w:tcPr>
          <w:p w:rsidR="007119D4" w:rsidRDefault="00EC0158">
            <w:pPr>
              <w:jc w:val="right"/>
              <w:rPr>
                <w:b/>
                <w:bCs/>
                <w:noProof/>
                <w:color w:val="000000"/>
                <w:sz w:val="22"/>
                <w:szCs w:val="22"/>
              </w:rPr>
            </w:pPr>
            <w:r>
              <w:rPr>
                <w:b/>
                <w:bCs/>
                <w:noProof/>
                <w:color w:val="000000"/>
                <w:sz w:val="22"/>
                <w:szCs w:val="22"/>
              </w:rPr>
              <w:t>2 122,0</w:t>
            </w:r>
          </w:p>
        </w:tc>
        <w:tc>
          <w:tcPr>
            <w:tcW w:w="1622" w:type="dxa"/>
            <w:tcBorders>
              <w:top w:val="nil"/>
              <w:left w:val="nil"/>
              <w:bottom w:val="single" w:sz="4" w:space="0" w:color="auto"/>
              <w:right w:val="single" w:sz="4" w:space="0" w:color="auto"/>
            </w:tcBorders>
            <w:shd w:val="clear" w:color="000000" w:fill="D9D9D9"/>
            <w:noWrap/>
            <w:vAlign w:val="center"/>
            <w:hideMark/>
          </w:tcPr>
          <w:p w:rsidR="007119D4" w:rsidRDefault="00EC0158">
            <w:pPr>
              <w:jc w:val="right"/>
              <w:rPr>
                <w:b/>
                <w:bCs/>
                <w:noProof/>
                <w:color w:val="000000"/>
                <w:sz w:val="22"/>
                <w:szCs w:val="22"/>
              </w:rPr>
            </w:pPr>
            <w:r>
              <w:rPr>
                <w:b/>
                <w:bCs/>
                <w:noProof/>
                <w:color w:val="000000"/>
                <w:sz w:val="22"/>
                <w:szCs w:val="22"/>
              </w:rPr>
              <w:t>55,0</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09 01 02 - Dépenses d’appui pour le «Fonds pour une transition juste»</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2,4</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2,4</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 xml:space="preserve">09 03 01 - </w:t>
            </w:r>
            <w:r>
              <w:rPr>
                <w:noProof/>
                <w:color w:val="000000"/>
                <w:sz w:val="22"/>
                <w:szCs w:val="22"/>
              </w:rPr>
              <w:t>Fonds pour une transition juste (FTJ) — Dépenses opérationnelles</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2 112,2</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52,4</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119D4" w:rsidRDefault="00EC0158">
            <w:pPr>
              <w:rPr>
                <w:noProof/>
                <w:color w:val="000000"/>
                <w:sz w:val="22"/>
                <w:szCs w:val="22"/>
              </w:rPr>
            </w:pPr>
            <w:r>
              <w:rPr>
                <w:noProof/>
                <w:color w:val="000000"/>
                <w:sz w:val="22"/>
                <w:szCs w:val="22"/>
              </w:rPr>
              <w:t>09 03 02 - Fonds pour une transition juste (FTJ) — Assistance technique opérationnelle</w:t>
            </w:r>
          </w:p>
        </w:tc>
        <w:tc>
          <w:tcPr>
            <w:tcW w:w="1560"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7,4</w:t>
            </w:r>
          </w:p>
        </w:tc>
        <w:tc>
          <w:tcPr>
            <w:tcW w:w="1622" w:type="dxa"/>
            <w:tcBorders>
              <w:top w:val="nil"/>
              <w:left w:val="nil"/>
              <w:bottom w:val="single" w:sz="4" w:space="0" w:color="auto"/>
              <w:right w:val="single" w:sz="4" w:space="0" w:color="auto"/>
            </w:tcBorders>
            <w:shd w:val="clear" w:color="auto" w:fill="auto"/>
            <w:noWrap/>
            <w:vAlign w:val="center"/>
            <w:hideMark/>
          </w:tcPr>
          <w:p w:rsidR="007119D4" w:rsidRDefault="00EC0158">
            <w:pPr>
              <w:jc w:val="right"/>
              <w:rPr>
                <w:noProof/>
                <w:color w:val="000000"/>
                <w:sz w:val="22"/>
                <w:szCs w:val="22"/>
              </w:rPr>
            </w:pPr>
            <w:r>
              <w:rPr>
                <w:noProof/>
                <w:color w:val="000000"/>
                <w:sz w:val="22"/>
                <w:szCs w:val="22"/>
              </w:rPr>
              <w:t>0,2</w:t>
            </w:r>
          </w:p>
        </w:tc>
      </w:tr>
      <w:tr w:rsidR="007119D4">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7119D4" w:rsidRDefault="00EC0158">
            <w:pPr>
              <w:rPr>
                <w:b/>
                <w:bCs/>
                <w:noProof/>
                <w:color w:val="000000"/>
                <w:sz w:val="22"/>
                <w:szCs w:val="22"/>
              </w:rPr>
            </w:pPr>
            <w:r>
              <w:rPr>
                <w:b/>
                <w:bCs/>
                <w:noProof/>
                <w:color w:val="000000"/>
                <w:sz w:val="22"/>
                <w:szCs w:val="22"/>
              </w:rPr>
              <w:t>TOTAL</w:t>
            </w:r>
          </w:p>
        </w:tc>
        <w:tc>
          <w:tcPr>
            <w:tcW w:w="1560" w:type="dxa"/>
            <w:tcBorders>
              <w:top w:val="nil"/>
              <w:left w:val="nil"/>
              <w:bottom w:val="single" w:sz="4" w:space="0" w:color="auto"/>
              <w:right w:val="single" w:sz="4" w:space="0" w:color="auto"/>
            </w:tcBorders>
            <w:shd w:val="clear" w:color="000000" w:fill="D9D9D9"/>
            <w:noWrap/>
            <w:vAlign w:val="center"/>
            <w:hideMark/>
          </w:tcPr>
          <w:p w:rsidR="007119D4" w:rsidRDefault="00EC0158">
            <w:pPr>
              <w:jc w:val="right"/>
              <w:rPr>
                <w:b/>
                <w:bCs/>
                <w:noProof/>
                <w:color w:val="000000"/>
                <w:sz w:val="22"/>
                <w:szCs w:val="22"/>
              </w:rPr>
            </w:pPr>
            <w:r>
              <w:rPr>
                <w:b/>
                <w:bCs/>
                <w:noProof/>
                <w:color w:val="000000"/>
                <w:sz w:val="22"/>
                <w:szCs w:val="22"/>
              </w:rPr>
              <w:t>285 149,2</w:t>
            </w:r>
          </w:p>
        </w:tc>
        <w:tc>
          <w:tcPr>
            <w:tcW w:w="1622" w:type="dxa"/>
            <w:tcBorders>
              <w:top w:val="nil"/>
              <w:left w:val="nil"/>
              <w:bottom w:val="single" w:sz="4" w:space="0" w:color="auto"/>
              <w:right w:val="single" w:sz="4" w:space="0" w:color="auto"/>
            </w:tcBorders>
            <w:shd w:val="clear" w:color="000000" w:fill="D9D9D9"/>
            <w:noWrap/>
            <w:vAlign w:val="center"/>
            <w:hideMark/>
          </w:tcPr>
          <w:p w:rsidR="007119D4" w:rsidRDefault="00EC0158">
            <w:pPr>
              <w:jc w:val="right"/>
              <w:rPr>
                <w:b/>
                <w:bCs/>
                <w:noProof/>
                <w:color w:val="000000"/>
                <w:sz w:val="22"/>
                <w:szCs w:val="22"/>
              </w:rPr>
            </w:pPr>
            <w:r>
              <w:rPr>
                <w:b/>
                <w:bCs/>
                <w:noProof/>
                <w:color w:val="000000"/>
                <w:sz w:val="22"/>
                <w:szCs w:val="22"/>
              </w:rPr>
              <w:t>75 927,1</w:t>
            </w:r>
          </w:p>
        </w:tc>
      </w:tr>
    </w:tbl>
    <w:p w:rsidR="007119D4" w:rsidRDefault="00EC0158">
      <w:pPr>
        <w:pStyle w:val="ManualHeading1"/>
        <w:spacing w:before="240"/>
        <w:ind w:left="840" w:hanging="840"/>
        <w:rPr>
          <w:rFonts w:eastAsia="Calibri"/>
          <w:noProof/>
        </w:rPr>
      </w:pPr>
      <w:bookmarkStart w:id="55" w:name="_Toc54770319"/>
      <w:bookmarkStart w:id="56" w:name="_Toc55807129"/>
      <w:bookmarkStart w:id="57" w:name="_Toc56419360"/>
      <w:r>
        <w:rPr>
          <w:noProof/>
        </w:rPr>
        <w:lastRenderedPageBreak/>
        <w:t>3.</w:t>
      </w:r>
      <w:r>
        <w:rPr>
          <w:noProof/>
        </w:rPr>
        <w:tab/>
        <w:t>Participation de l’Union à l’augmentation de capital</w:t>
      </w:r>
      <w:r>
        <w:rPr>
          <w:noProof/>
        </w:rPr>
        <w:t xml:space="preserve"> du Fonds européen d’investissement (FEI)</w:t>
      </w:r>
      <w:bookmarkEnd w:id="55"/>
      <w:bookmarkEnd w:id="56"/>
      <w:bookmarkEnd w:id="57"/>
    </w:p>
    <w:p w:rsidR="007119D4" w:rsidRDefault="00EC0158">
      <w:pPr>
        <w:spacing w:before="120" w:after="120"/>
        <w:jc w:val="both"/>
        <w:rPr>
          <w:noProof/>
          <w:szCs w:val="20"/>
        </w:rPr>
      </w:pPr>
      <w:r>
        <w:rPr>
          <w:noProof/>
        </w:rPr>
        <w:t>Le 14 juillet 2020, le conseil d’administration du Fonds européen d’investissement (FEI) a approuvé, dans son principe, la proposition adressée aux actionnaires d’augmenter le capital souscrit du FEI. Le Groupe Ban</w:t>
      </w:r>
      <w:r>
        <w:rPr>
          <w:noProof/>
        </w:rPr>
        <w:t xml:space="preserve">que européenne d’investissement (BEI) a déterminé l’ampleur nécessaire de l’augmentation de capital du FEI pour que soient injectées dans ce dernier des liquidités d'un montant de 1 250 millions d’EUR. Le prix des nouvelles parts devrait être fondé sur la </w:t>
      </w:r>
      <w:r>
        <w:rPr>
          <w:noProof/>
        </w:rPr>
        <w:t xml:space="preserve">formule de la valeur nette d’inventaire convenue entre les actionnaires du FEI et se compose de la partie libérée et de la prime d’émission. </w:t>
      </w:r>
    </w:p>
    <w:p w:rsidR="007119D4" w:rsidRDefault="00EC0158">
      <w:pPr>
        <w:spacing w:before="120" w:after="120"/>
        <w:jc w:val="both"/>
        <w:rPr>
          <w:noProof/>
          <w:szCs w:val="20"/>
        </w:rPr>
      </w:pPr>
      <w:r>
        <w:rPr>
          <w:noProof/>
        </w:rPr>
        <w:t xml:space="preserve">L’Union, représentée par la Commission, devrait être en mesure de participer à cette augmentation de capital afin </w:t>
      </w:r>
      <w:r>
        <w:rPr>
          <w:noProof/>
        </w:rPr>
        <w:t>de permettre au FEI de continuer à soutenir l’économie de l’Union et sa relance, notamment par sa contribution à la mise en œuvre du programme InvestEU. L’Union devrait en outre être en mesure de maintenir le niveau de sa part globale dans le capital du FE</w:t>
      </w:r>
      <w:r>
        <w:rPr>
          <w:noProof/>
        </w:rPr>
        <w:t>I. Il est très probable que l’Union souscrira aux nouvelles parts émises par le FEI et qu'elle effectuera le paiement correspondant au cours du premier semestre de 2021.</w:t>
      </w:r>
    </w:p>
    <w:p w:rsidR="007119D4" w:rsidRDefault="00EC0158">
      <w:pPr>
        <w:spacing w:before="120" w:after="120"/>
        <w:jc w:val="both"/>
        <w:rPr>
          <w:noProof/>
          <w:szCs w:val="20"/>
        </w:rPr>
      </w:pPr>
      <w:r>
        <w:rPr>
          <w:noProof/>
        </w:rPr>
        <w:t>Afin que l’Union puisse participer au prorata à l’augmentation de capital du FEI de l'</w:t>
      </w:r>
      <w:r>
        <w:rPr>
          <w:noProof/>
        </w:rPr>
        <w:t>ampleur précitée, un montant estimé de 375 millions d’EUR</w:t>
      </w:r>
      <w:r>
        <w:rPr>
          <w:rStyle w:val="FootnoteReference"/>
          <w:noProof/>
        </w:rPr>
        <w:footnoteReference w:id="19"/>
      </w:r>
      <w:r>
        <w:rPr>
          <w:noProof/>
        </w:rPr>
        <w:t>, tant en crédits d’engagement qu’en crédits de paiement, sera nécessaire pour couvrir le coût de la souscription. Ce montant, déduit de l’enveloppe d’InvestEU pour 2021, a été affecté à la ligne bu</w:t>
      </w:r>
      <w:r>
        <w:rPr>
          <w:noProof/>
        </w:rPr>
        <w:t>dgétaire spécifique du FEI figurant au chapitre 20 du même titre (02 20 03 01 «</w:t>
      </w:r>
      <w:r>
        <w:rPr>
          <w:i/>
          <w:noProof/>
          <w:szCs w:val="20"/>
        </w:rPr>
        <w:t>Fonds européen d’investissement — Mise à disposition des parts libérées du capital souscrit</w:t>
      </w:r>
      <w:r>
        <w:rPr>
          <w:noProof/>
        </w:rPr>
        <w:t>»).</w:t>
      </w:r>
    </w:p>
    <w:p w:rsidR="007119D4" w:rsidRDefault="00EC0158">
      <w:pPr>
        <w:pStyle w:val="ManualHeading1"/>
        <w:spacing w:before="240"/>
        <w:ind w:left="0" w:firstLine="0"/>
        <w:rPr>
          <w:noProof/>
        </w:rPr>
      </w:pPr>
      <w:bookmarkStart w:id="58" w:name="_Toc54770320"/>
      <w:bookmarkStart w:id="59" w:name="_Toc55807130"/>
      <w:bookmarkStart w:id="60" w:name="_Toc56419361"/>
      <w:r>
        <w:rPr>
          <w:noProof/>
        </w:rPr>
        <w:t>4.</w:t>
      </w:r>
      <w:r>
        <w:rPr>
          <w:noProof/>
        </w:rPr>
        <w:tab/>
      </w:r>
      <w:bookmarkEnd w:id="19"/>
      <w:r>
        <w:rPr>
          <w:noProof/>
        </w:rPr>
        <w:t xml:space="preserve">Fonds européen agricole de garantie </w:t>
      </w:r>
      <w:bookmarkEnd w:id="20"/>
      <w:r>
        <w:rPr>
          <w:noProof/>
        </w:rPr>
        <w:t>(FEAGA)</w:t>
      </w:r>
      <w:bookmarkEnd w:id="58"/>
      <w:bookmarkEnd w:id="59"/>
      <w:bookmarkEnd w:id="60"/>
    </w:p>
    <w:p w:rsidR="007119D4" w:rsidRDefault="00EC0158">
      <w:pPr>
        <w:autoSpaceDE w:val="0"/>
        <w:autoSpaceDN w:val="0"/>
        <w:adjustRightInd w:val="0"/>
        <w:spacing w:before="120" w:after="120"/>
        <w:jc w:val="both"/>
        <w:rPr>
          <w:noProof/>
        </w:rPr>
      </w:pPr>
      <w:bookmarkStart w:id="61" w:name="_Toc462933829"/>
      <w:bookmarkStart w:id="62" w:name="_Toc462935190"/>
      <w:bookmarkStart w:id="63" w:name="_Toc462935292"/>
      <w:bookmarkStart w:id="64" w:name="_Toc462935340"/>
      <w:bookmarkStart w:id="65" w:name="_Toc462935497"/>
      <w:bookmarkStart w:id="66" w:name="_Toc463004731"/>
      <w:bookmarkStart w:id="67" w:name="_Toc463264164"/>
      <w:bookmarkStart w:id="68" w:name="_Toc463376628"/>
      <w:bookmarkStart w:id="69" w:name="_Toc463438680"/>
      <w:bookmarkStart w:id="70" w:name="_Toc463438848"/>
      <w:bookmarkStart w:id="71" w:name="_Toc463462765"/>
      <w:bookmarkStart w:id="72" w:name="_Toc463974150"/>
      <w:bookmarkStart w:id="73" w:name="_Toc464028191"/>
      <w:bookmarkStart w:id="74" w:name="_Toc462933830"/>
      <w:bookmarkStart w:id="75" w:name="_Toc462935191"/>
      <w:bookmarkStart w:id="76" w:name="_Toc462935293"/>
      <w:bookmarkStart w:id="77" w:name="_Toc462935341"/>
      <w:bookmarkStart w:id="78" w:name="_Toc462935498"/>
      <w:bookmarkStart w:id="79" w:name="_Toc463004732"/>
      <w:bookmarkStart w:id="80" w:name="_Toc463264165"/>
      <w:bookmarkStart w:id="81" w:name="_Toc463376629"/>
      <w:bookmarkStart w:id="82" w:name="_Toc463438681"/>
      <w:bookmarkStart w:id="83" w:name="_Toc463438849"/>
      <w:bookmarkStart w:id="84" w:name="_Toc463462766"/>
      <w:bookmarkStart w:id="85" w:name="_Toc463974151"/>
      <w:bookmarkStart w:id="86" w:name="_Toc464028192"/>
      <w:bookmarkStart w:id="87" w:name="_Toc464028333"/>
      <w:bookmarkStart w:id="88" w:name="_Toc526753782"/>
      <w:bookmarkStart w:id="89" w:name="_Toc526753784"/>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noProof/>
        </w:rPr>
        <w:t>La LR nº 1/2021 actualise les estim</w:t>
      </w:r>
      <w:r>
        <w:rPr>
          <w:noProof/>
        </w:rPr>
        <w:t>ations des dépenses agricoles sur la base des données économiques et du cadre législatif les plus récents. Au début de novembre 2020, la Commission disposait d'une première indication du niveau de production pour 2020 et des perspectives des marchés agrico</w:t>
      </w:r>
      <w:r>
        <w:rPr>
          <w:noProof/>
        </w:rPr>
        <w:t xml:space="preserve">les, ainsi que des chiffres réels pour la majeure partie de l’exécution du budget 2020 en ce qui concerne la gestion partagée du FEAGA, qui servent de base aux estimations actualisées des besoins budgétaires pour 2021. </w:t>
      </w:r>
    </w:p>
    <w:p w:rsidR="007119D4" w:rsidRDefault="00EC0158">
      <w:pPr>
        <w:autoSpaceDE w:val="0"/>
        <w:autoSpaceDN w:val="0"/>
        <w:adjustRightInd w:val="0"/>
        <w:spacing w:before="120" w:after="120"/>
        <w:jc w:val="both"/>
        <w:rPr>
          <w:noProof/>
        </w:rPr>
      </w:pPr>
      <w:r>
        <w:rPr>
          <w:noProof/>
        </w:rPr>
        <w:t xml:space="preserve">Outre les éléments de marché, la LR </w:t>
      </w:r>
      <w:r>
        <w:rPr>
          <w:noProof/>
        </w:rPr>
        <w:t>nº 1/2021 intègre aussi les conséquences des décisions législatives dans le secteur agricole depuis l’adoption du PB 2021, en juillet 2020, ainsi que de certains textes toujours en préparation, mais qui seront adoptés prochainement. Elle actualise en parti</w:t>
      </w:r>
      <w:r>
        <w:rPr>
          <w:noProof/>
        </w:rPr>
        <w:t>culier les montants des transferts entre le FEAGA et le Feader, pour lesquels plusieurs États membres ont transmis leurs notifications le 18 mai 2020 au plus tard.</w:t>
      </w:r>
    </w:p>
    <w:p w:rsidR="007119D4" w:rsidRDefault="00EC0158">
      <w:pPr>
        <w:autoSpaceDE w:val="0"/>
        <w:autoSpaceDN w:val="0"/>
        <w:adjustRightInd w:val="0"/>
        <w:spacing w:before="120" w:after="120"/>
        <w:jc w:val="both"/>
        <w:rPr>
          <w:noProof/>
        </w:rPr>
      </w:pPr>
      <w:r>
        <w:rPr>
          <w:noProof/>
        </w:rPr>
        <w:t>D’après l'accord politique intervenu en novembre 2020 entre le Parlement européen et le Cons</w:t>
      </w:r>
      <w:r>
        <w:rPr>
          <w:noProof/>
        </w:rPr>
        <w:t>eil et compte tenu d’un transfert net de 557,0 millions d’EUR au développement rural, le solde net disponible en 2021 pour le FEAGA, s’élève à 40 368,0 millions d’EUR. Ce nouveau montant inclut les transferts du FEAGA vers le Feader et inversement, tels qu</w:t>
      </w:r>
      <w:r>
        <w:rPr>
          <w:noProof/>
        </w:rPr>
        <w:t>e notifiés par plusieurs États membres à la Commission en 2019, y compris les modifications communiquées en 2020</w:t>
      </w:r>
      <w:r>
        <w:rPr>
          <w:rStyle w:val="FootnoteReference"/>
          <w:noProof/>
        </w:rPr>
        <w:footnoteReference w:id="20"/>
      </w:r>
      <w:r>
        <w:rPr>
          <w:noProof/>
        </w:rPr>
        <w:t>.</w:t>
      </w:r>
    </w:p>
    <w:p w:rsidR="007119D4" w:rsidRDefault="00EC0158">
      <w:pPr>
        <w:spacing w:after="200" w:line="276" w:lineRule="auto"/>
        <w:rPr>
          <w:noProof/>
          <w:highlight w:val="yellow"/>
        </w:rPr>
      </w:pPr>
      <w:r>
        <w:rPr>
          <w:noProof/>
        </w:rPr>
        <w:lastRenderedPageBreak/>
        <w:t>Globalement, les besoins du FEAGA pour 2021 (après prise en compte des dispositions du FEAGA liées à la «discipline financière») sont à prése</w:t>
      </w:r>
      <w:r>
        <w:rPr>
          <w:noProof/>
        </w:rPr>
        <w:t>nt estimés à 40 987,0 millions d’EUR</w:t>
      </w:r>
      <w:r>
        <w:rPr>
          <w:noProof/>
          <w:vertAlign w:val="superscript"/>
        </w:rPr>
        <w:footnoteReference w:id="21"/>
      </w:r>
      <w:r>
        <w:rPr>
          <w:noProof/>
        </w:rPr>
        <w:t>, ce qui représente une hausse de 222,2 millions d’EUR par rapport au PB 2021. Cette augmentation est principalement due à des besoins supplémentaires de corrections financières en faveur des États membres (+233,1 milli</w:t>
      </w:r>
      <w:r>
        <w:rPr>
          <w:noProof/>
        </w:rPr>
        <w:t xml:space="preserve">ons d’EUR), tandis que les modifications portant sur les dépenses relatives au marché hors des plans stratégiques relevant de la PAC (+15,0 millions d’EUR) et les paiements directs hors des plans stratégiques relevant de la PAC (-29,7 millions d’EUR) sont </w:t>
      </w:r>
      <w:r>
        <w:rPr>
          <w:noProof/>
        </w:rPr>
        <w:t xml:space="preserve">relativement peu importantes. </w:t>
      </w:r>
    </w:p>
    <w:p w:rsidR="007119D4" w:rsidRDefault="00EC0158">
      <w:pPr>
        <w:spacing w:before="120" w:after="120"/>
        <w:jc w:val="both"/>
        <w:rPr>
          <w:noProof/>
          <w:highlight w:val="yellow"/>
        </w:rPr>
      </w:pPr>
      <w:r>
        <w:rPr>
          <w:noProof/>
        </w:rPr>
        <w:t>Le montant des recettes affectées estimées être disponibles en 2021 est en légère augmentation, passant de 585,7 millions d’EUR dans le PB 2021 à 619,0 millions d’EUR (+33,3 millions d’EUR). Contrairement aux années précédent</w:t>
      </w:r>
      <w:r>
        <w:rPr>
          <w:noProof/>
        </w:rPr>
        <w:t>es, la LR nº 1/2021 ne tient pas compte d’un report attendu de recettes affectées de 2020 à 2021, étant donné que l’exécution se situe, pour 2020, à un niveau élevé</w:t>
      </w:r>
      <w:r>
        <w:rPr>
          <w:noProof/>
          <w:vertAlign w:val="superscript"/>
        </w:rPr>
        <w:footnoteReference w:id="22"/>
      </w:r>
      <w:r>
        <w:rPr>
          <w:noProof/>
        </w:rPr>
        <w:t>. Les crédits inutilisés (478 millions d’EUR) de la réserve 2020 pour les crises dans le se</w:t>
      </w:r>
      <w:r>
        <w:rPr>
          <w:noProof/>
        </w:rPr>
        <w:t>cteur agricole, qui ne seront pas mobilisés, seront reportés pour être reversés aux agriculteurs soumis à la discipline financière en 2021.</w:t>
      </w:r>
    </w:p>
    <w:p w:rsidR="007119D4" w:rsidRDefault="007119D4">
      <w:pPr>
        <w:spacing w:after="200" w:line="276" w:lineRule="auto"/>
        <w:rPr>
          <w:noProof/>
        </w:rPr>
      </w:pPr>
    </w:p>
    <w:p w:rsidR="007119D4" w:rsidRDefault="00EC0158">
      <w:pPr>
        <w:autoSpaceDE w:val="0"/>
        <w:autoSpaceDN w:val="0"/>
        <w:adjustRightInd w:val="0"/>
        <w:spacing w:before="120" w:after="120"/>
        <w:jc w:val="both"/>
        <w:rPr>
          <w:noProof/>
        </w:rPr>
      </w:pPr>
      <w:r>
        <w:rPr>
          <w:noProof/>
        </w:rPr>
        <w:t xml:space="preserve">À la suite de ces actualisations, la Commission propose d'augmenter les estimations des dépenses agricoles de 188,9 millions d’EUR par rapport au PB 2021. Des crédits d’engagement d’un montant de 40 368,0 millions d’EUR, qui incluent la </w:t>
      </w:r>
      <w:r>
        <w:rPr>
          <w:i/>
          <w:noProof/>
        </w:rPr>
        <w:t>réserve pour les cr</w:t>
      </w:r>
      <w:r>
        <w:rPr>
          <w:i/>
          <w:noProof/>
        </w:rPr>
        <w:t>ises dans le secteur agricole</w:t>
      </w:r>
      <w:r>
        <w:rPr>
          <w:noProof/>
        </w:rPr>
        <w:t>, seront nécessaires pour couvrir les besoins du FEAGA pour 2021. Ce montant global correspond exactement au solde net du FEAGA résultant du CFP 2021-2027, tel qu’il a été approuvé par le Conseil européen, et tient compte des t</w:t>
      </w:r>
      <w:r>
        <w:rPr>
          <w:noProof/>
        </w:rPr>
        <w:t>ransferts modifiés entre les deux piliers, notifiés par les États membres. Étant donné que les besoins dépassent le solde net du FEAGA pour 2021, ils doivent être ajustés au moyen du mécanisme de discipline financière, qui vise à réduire les montants dispo</w:t>
      </w:r>
      <w:r>
        <w:rPr>
          <w:noProof/>
        </w:rPr>
        <w:t>nibles pour les paiements directs afin de respecter le solde net du FEAGA et de constituer la réserve pour les crises</w:t>
      </w:r>
      <w:r>
        <w:rPr>
          <w:noProof/>
          <w:vertAlign w:val="superscript"/>
        </w:rPr>
        <w:footnoteReference w:id="23"/>
      </w:r>
      <w:r>
        <w:rPr>
          <w:noProof/>
        </w:rPr>
        <w:t xml:space="preserve">. </w:t>
      </w:r>
    </w:p>
    <w:p w:rsidR="007119D4" w:rsidRDefault="00EC0158">
      <w:pPr>
        <w:pStyle w:val="ManualHeading1"/>
        <w:spacing w:before="240"/>
        <w:rPr>
          <w:noProof/>
        </w:rPr>
      </w:pPr>
      <w:bookmarkStart w:id="90" w:name="_Toc462933859"/>
      <w:bookmarkStart w:id="91" w:name="_Toc462935220"/>
      <w:bookmarkStart w:id="92" w:name="_Toc462935322"/>
      <w:bookmarkStart w:id="93" w:name="_Toc462935370"/>
      <w:bookmarkStart w:id="94" w:name="_Toc462935527"/>
      <w:bookmarkStart w:id="95" w:name="_Toc463004747"/>
      <w:bookmarkStart w:id="96" w:name="_Toc463974174"/>
      <w:bookmarkStart w:id="97" w:name="_Toc464028219"/>
      <w:bookmarkStart w:id="98" w:name="_Toc464028351"/>
      <w:bookmarkStart w:id="99" w:name="_Toc463974178"/>
      <w:bookmarkStart w:id="100" w:name="_Toc464028223"/>
      <w:bookmarkStart w:id="101" w:name="_Toc464028355"/>
      <w:bookmarkStart w:id="102" w:name="_Toc54770321"/>
      <w:bookmarkStart w:id="103" w:name="_Toc55807131"/>
      <w:bookmarkStart w:id="104" w:name="_Toc56419362"/>
      <w:bookmarkStart w:id="105" w:name="_Toc526753785"/>
      <w:bookmarkEnd w:id="88"/>
      <w:bookmarkEnd w:id="89"/>
      <w:bookmarkEnd w:id="90"/>
      <w:bookmarkEnd w:id="91"/>
      <w:bookmarkEnd w:id="92"/>
      <w:bookmarkEnd w:id="93"/>
      <w:bookmarkEnd w:id="94"/>
      <w:bookmarkEnd w:id="95"/>
      <w:bookmarkEnd w:id="96"/>
      <w:bookmarkEnd w:id="97"/>
      <w:bookmarkEnd w:id="98"/>
      <w:bookmarkEnd w:id="99"/>
      <w:bookmarkEnd w:id="100"/>
      <w:bookmarkEnd w:id="101"/>
      <w:r>
        <w:rPr>
          <w:noProof/>
        </w:rPr>
        <w:t>5.</w:t>
      </w:r>
      <w:r>
        <w:rPr>
          <w:noProof/>
        </w:rPr>
        <w:tab/>
        <w:t>Paquet « délégation» pour les six agences exécutives</w:t>
      </w:r>
      <w:bookmarkEnd w:id="102"/>
      <w:bookmarkEnd w:id="103"/>
      <w:bookmarkEnd w:id="104"/>
    </w:p>
    <w:p w:rsidR="007119D4" w:rsidRDefault="00EC0158">
      <w:pPr>
        <w:keepNext/>
        <w:tabs>
          <w:tab w:val="left" w:pos="850"/>
        </w:tabs>
        <w:spacing w:before="360" w:after="120"/>
        <w:ind w:left="357" w:hanging="357"/>
        <w:jc w:val="both"/>
        <w:outlineLvl w:val="1"/>
        <w:rPr>
          <w:rFonts w:eastAsia="Calibri"/>
          <w:b/>
          <w:noProof/>
        </w:rPr>
      </w:pPr>
      <w:bookmarkStart w:id="106" w:name="_Toc54770322"/>
      <w:bookmarkStart w:id="107" w:name="_Toc55807132"/>
      <w:bookmarkStart w:id="108" w:name="_Toc56419363"/>
      <w:r>
        <w:rPr>
          <w:b/>
          <w:noProof/>
        </w:rPr>
        <w:t xml:space="preserve">5.1 </w:t>
      </w:r>
      <w:r>
        <w:rPr>
          <w:b/>
          <w:noProof/>
        </w:rPr>
        <w:tab/>
        <w:t>Présentation au comité des agences exécutives</w:t>
      </w:r>
      <w:bookmarkEnd w:id="106"/>
      <w:bookmarkEnd w:id="107"/>
      <w:bookmarkEnd w:id="108"/>
    </w:p>
    <w:p w:rsidR="007119D4" w:rsidRDefault="00EC0158">
      <w:pPr>
        <w:spacing w:before="120" w:after="120"/>
        <w:jc w:val="both"/>
        <w:rPr>
          <w:noProof/>
        </w:rPr>
      </w:pPr>
      <w:r>
        <w:rPr>
          <w:noProof/>
        </w:rPr>
        <w:t>Dans les prochains jours, et</w:t>
      </w:r>
      <w:r>
        <w:rPr>
          <w:noProof/>
        </w:rPr>
        <w:t xml:space="preserve"> conformément à la procédure prévue par le règlement nº 58/2003</w:t>
      </w:r>
      <w:r>
        <w:rPr>
          <w:rStyle w:val="FootnoteReference"/>
          <w:bCs/>
          <w:noProof/>
        </w:rPr>
        <w:footnoteReference w:id="24"/>
      </w:r>
      <w:r>
        <w:rPr>
          <w:noProof/>
        </w:rPr>
        <w:t xml:space="preserve">, la Commission invitera le comité des agences exécutives à émettre un avis sur le projet de décision d’exécution de la Commission établissant la nouvelle génération d’agences exécutives. </w:t>
      </w:r>
      <w:r>
        <w:rPr>
          <w:noProof/>
        </w:rPr>
        <w:t xml:space="preserve">Parallèlement, la Commission transmettra l’ensemble des documents relatifs aux délégations au Parlement européen et au Conseil, notamment une note d’information exposant les principaux éléments du paquet «délégation» prévu. Le paquet à soumettre au comité </w:t>
      </w:r>
      <w:r>
        <w:rPr>
          <w:noProof/>
        </w:rPr>
        <w:t>des agences exécutives sera actualisé pour tenir compte du niveau des enveloppes des programmes de dépenses qu’il est proposé de déléguer conformément à l’accord politique sur le prochain CFP, intervenu en novembre 2020 entre le Parlement européen et le Co</w:t>
      </w:r>
      <w:r>
        <w:rPr>
          <w:noProof/>
        </w:rPr>
        <w:t>nseil.</w:t>
      </w:r>
    </w:p>
    <w:p w:rsidR="007119D4" w:rsidRDefault="00EC0158">
      <w:pPr>
        <w:spacing w:before="120" w:after="120"/>
        <w:jc w:val="both"/>
        <w:rPr>
          <w:noProof/>
        </w:rPr>
      </w:pPr>
      <w:r>
        <w:rPr>
          <w:noProof/>
        </w:rPr>
        <w:t xml:space="preserve">Il n’a pas été possible de mettre à jour les données pertinentes à temps pour la présente lettre rectificative; par conséquent, tous les tableaux de la présente section – y compris les effectifs des </w:t>
      </w:r>
      <w:r>
        <w:rPr>
          <w:noProof/>
        </w:rPr>
        <w:lastRenderedPageBreak/>
        <w:t>agences et les propositions de compensation à la C</w:t>
      </w:r>
      <w:r>
        <w:rPr>
          <w:noProof/>
        </w:rPr>
        <w:t>ommission — reposent encore sur les enveloppes des programmes de dépenses fixées dans l’accord du Conseil européen extraordinaire de juillet 2020. Compte tenu de l’augmentation significative du budget de certains programmes inclus dans l’accord politique d</w:t>
      </w:r>
      <w:r>
        <w:rPr>
          <w:noProof/>
        </w:rPr>
        <w:t>e novembre 2020, qui sont partiellement ou totalement délégués à des agences exécutives (Erasmus, Horizon Europe, EU4Health, Europe créative, Droits et valeur), le budget délégué et les effectifs proposés des agences concernées augmenteront en conséquence.</w:t>
      </w:r>
      <w:r>
        <w:rPr>
          <w:noProof/>
        </w:rPr>
        <w:t xml:space="preserve"> Cela n’aura toutefois aucune incidence sur la répartition proposée des programmes entre les agences exécutives. </w:t>
      </w:r>
    </w:p>
    <w:p w:rsidR="007119D4" w:rsidRDefault="00EC0158">
      <w:pPr>
        <w:spacing w:before="120" w:after="120"/>
        <w:jc w:val="both"/>
        <w:rPr>
          <w:noProof/>
        </w:rPr>
      </w:pPr>
      <w:r>
        <w:rPr>
          <w:noProof/>
        </w:rPr>
        <w:t>À cet égard, la Commission entend conserver un nombre identique d’agences exécutives. Elle propose toutefois de modifier les portefeuilles des</w:t>
      </w:r>
      <w:r>
        <w:rPr>
          <w:noProof/>
        </w:rPr>
        <w:t xml:space="preserve"> agences afin de générer davantage de synergies et d’économies et d’empêcher que des programmes ou sous-programmes se trouvent divisés entre les agences. Par conséquent, il est proposé de transférer les activités de l’Agence exécutive pour les consommateur</w:t>
      </w:r>
      <w:r>
        <w:rPr>
          <w:noProof/>
        </w:rPr>
        <w:t>s, la santé et l’alimentation (Chafea), établie à Luxembourg, vers les agences établies à Bruxelles, tout en créant une nouvelle agence dans cette dernière ville. Il est aussi proposé d’adapter les noms des agences à leurs portefeuilles futurs:</w:t>
      </w:r>
    </w:p>
    <w:p w:rsidR="007119D4" w:rsidRDefault="00EC0158">
      <w:pPr>
        <w:numPr>
          <w:ilvl w:val="0"/>
          <w:numId w:val="30"/>
        </w:numPr>
        <w:spacing w:before="120" w:after="120"/>
        <w:jc w:val="both"/>
        <w:rPr>
          <w:noProof/>
        </w:rPr>
      </w:pPr>
      <w:r>
        <w:rPr>
          <w:noProof/>
        </w:rPr>
        <w:t>l'Agence ex</w:t>
      </w:r>
      <w:r>
        <w:rPr>
          <w:noProof/>
        </w:rPr>
        <w:t>écutive du Conseil européen de la recherche (ERCEA);</w:t>
      </w:r>
    </w:p>
    <w:p w:rsidR="007119D4" w:rsidRDefault="00EC0158">
      <w:pPr>
        <w:numPr>
          <w:ilvl w:val="0"/>
          <w:numId w:val="30"/>
        </w:numPr>
        <w:spacing w:before="120" w:after="120"/>
        <w:jc w:val="both"/>
        <w:rPr>
          <w:noProof/>
        </w:rPr>
      </w:pPr>
      <w:r>
        <w:rPr>
          <w:noProof/>
        </w:rPr>
        <w:t>l’Agence exécutive européenne pour la recherche [ancienne Agence exécutive pour la recherche (REA)];</w:t>
      </w:r>
    </w:p>
    <w:p w:rsidR="007119D4" w:rsidRDefault="00EC0158">
      <w:pPr>
        <w:numPr>
          <w:ilvl w:val="0"/>
          <w:numId w:val="30"/>
        </w:numPr>
        <w:spacing w:before="120" w:after="120"/>
        <w:jc w:val="both"/>
        <w:rPr>
          <w:noProof/>
        </w:rPr>
      </w:pPr>
      <w:r>
        <w:rPr>
          <w:noProof/>
        </w:rPr>
        <w:t>l’Agence exécutive européenne pour la santé et le numérique (nouvelle agence);</w:t>
      </w:r>
    </w:p>
    <w:p w:rsidR="007119D4" w:rsidRDefault="00EC0158">
      <w:pPr>
        <w:numPr>
          <w:ilvl w:val="0"/>
          <w:numId w:val="30"/>
        </w:numPr>
        <w:spacing w:before="120" w:after="120"/>
        <w:jc w:val="both"/>
        <w:rPr>
          <w:noProof/>
        </w:rPr>
      </w:pPr>
      <w:r>
        <w:rPr>
          <w:noProof/>
        </w:rPr>
        <w:t>l’Agence exécutive euro</w:t>
      </w:r>
      <w:r>
        <w:rPr>
          <w:noProof/>
        </w:rPr>
        <w:t>péenne pour le climat, les infrastructures et l’environnement [ancienne Agence exécutive pour l’innovation et les réseaux (INEA)];</w:t>
      </w:r>
    </w:p>
    <w:p w:rsidR="007119D4" w:rsidRDefault="00EC0158">
      <w:pPr>
        <w:numPr>
          <w:ilvl w:val="0"/>
          <w:numId w:val="30"/>
        </w:numPr>
        <w:spacing w:before="120" w:after="120"/>
        <w:jc w:val="both"/>
        <w:rPr>
          <w:noProof/>
        </w:rPr>
      </w:pPr>
      <w:r>
        <w:rPr>
          <w:noProof/>
        </w:rPr>
        <w:t>l’Agence exécutive européenne pour l'éducation et la culture [ancienne Agence exécutive «Éducation, audiovisuel et culture» (</w:t>
      </w:r>
      <w:r>
        <w:rPr>
          <w:noProof/>
        </w:rPr>
        <w:t>EACEA)];</w:t>
      </w:r>
    </w:p>
    <w:p w:rsidR="007119D4" w:rsidRDefault="00EC0158">
      <w:pPr>
        <w:numPr>
          <w:ilvl w:val="0"/>
          <w:numId w:val="30"/>
        </w:numPr>
        <w:spacing w:before="120" w:after="120"/>
        <w:jc w:val="both"/>
        <w:rPr>
          <w:noProof/>
        </w:rPr>
      </w:pPr>
      <w:r>
        <w:rPr>
          <w:noProof/>
        </w:rPr>
        <w:t>l'Agence exécutive pour le Conseil européen de l’innovation et les PME [ancienne Agence exécutive pour les petites et moyennes entreprises (EASME)].</w:t>
      </w:r>
    </w:p>
    <w:p w:rsidR="007119D4" w:rsidRDefault="00EC0158">
      <w:pPr>
        <w:spacing w:before="120" w:after="120"/>
        <w:jc w:val="both"/>
        <w:rPr>
          <w:rFonts w:eastAsia="Calibri"/>
          <w:bCs/>
          <w:noProof/>
          <w:szCs w:val="32"/>
        </w:rPr>
      </w:pPr>
      <w:r>
        <w:rPr>
          <w:noProof/>
        </w:rPr>
        <w:t>Sous réserve de l’avis favorable du comité des agences exécutives, pour autant que ni le Parlement</w:t>
      </w:r>
      <w:r>
        <w:rPr>
          <w:noProof/>
        </w:rPr>
        <w:t xml:space="preserve"> européen ni le Conseil n’aient soulevé d’objections et que les actes de base des programmes 2021</w:t>
      </w:r>
      <w:r>
        <w:rPr>
          <w:noProof/>
        </w:rPr>
        <w:noBreakHyphen/>
        <w:t xml:space="preserve">2027 soient adoptés en temps utile par l’autorité législative, la Commission a l’intention d’adopter le projet de proposition dès que possible pour permettre </w:t>
      </w:r>
      <w:r>
        <w:rPr>
          <w:noProof/>
        </w:rPr>
        <w:t>à la nouvelle génération d’agences exécutives de mettre en œuvre les nouveaux programmes de l’Union.</w:t>
      </w:r>
    </w:p>
    <w:p w:rsidR="007119D4" w:rsidRDefault="00EC0158">
      <w:pPr>
        <w:keepNext/>
        <w:tabs>
          <w:tab w:val="left" w:pos="850"/>
        </w:tabs>
        <w:spacing w:before="360" w:after="120"/>
        <w:ind w:left="357" w:hanging="357"/>
        <w:jc w:val="both"/>
        <w:outlineLvl w:val="1"/>
        <w:rPr>
          <w:rFonts w:eastAsia="Calibri"/>
          <w:b/>
          <w:noProof/>
        </w:rPr>
      </w:pPr>
      <w:bookmarkStart w:id="109" w:name="_Toc54770323"/>
      <w:bookmarkStart w:id="110" w:name="_Toc55807133"/>
      <w:bookmarkStart w:id="111" w:name="_Toc56419364"/>
      <w:r>
        <w:rPr>
          <w:b/>
          <w:noProof/>
        </w:rPr>
        <w:t xml:space="preserve">5.2 </w:t>
      </w:r>
      <w:r>
        <w:rPr>
          <w:b/>
          <w:noProof/>
        </w:rPr>
        <w:tab/>
        <w:t>Niveau proposé de crédits opérationnels à déléguer pour la période 2021-2027</w:t>
      </w:r>
      <w:bookmarkEnd w:id="109"/>
      <w:bookmarkEnd w:id="110"/>
      <w:bookmarkEnd w:id="111"/>
    </w:p>
    <w:p w:rsidR="007119D4" w:rsidRDefault="00EC0158">
      <w:pPr>
        <w:spacing w:before="120" w:after="120"/>
        <w:jc w:val="both"/>
        <w:rPr>
          <w:noProof/>
        </w:rPr>
      </w:pPr>
      <w:r>
        <w:rPr>
          <w:noProof/>
        </w:rPr>
        <w:t>Le tableau récapitulatif ci-dessous compare, agence par agence, le niveau</w:t>
      </w:r>
      <w:r>
        <w:rPr>
          <w:noProof/>
        </w:rPr>
        <w:t xml:space="preserve"> total des crédits opérationnels gérés par les agences dans le CFP actuel et dans le prochain CFP, avec le volume des effectifs (en équivalents temps plein, ETP) et la subvention correspondante destinée à couvrir les frais de fonctionnement des agences.</w:t>
      </w:r>
    </w:p>
    <w:tbl>
      <w:tblPr>
        <w:tblW w:w="9955" w:type="dxa"/>
        <w:tblInd w:w="113" w:type="dxa"/>
        <w:tblLook w:val="04A0" w:firstRow="1" w:lastRow="0" w:firstColumn="1" w:lastColumn="0" w:noHBand="0" w:noVBand="1"/>
      </w:tblPr>
      <w:tblGrid>
        <w:gridCol w:w="4315"/>
        <w:gridCol w:w="1320"/>
        <w:gridCol w:w="1440"/>
        <w:gridCol w:w="1440"/>
        <w:gridCol w:w="1440"/>
      </w:tblGrid>
      <w:tr w:rsidR="007119D4">
        <w:trPr>
          <w:trHeight w:val="300"/>
          <w:tblHeader/>
        </w:trPr>
        <w:tc>
          <w:tcPr>
            <w:tcW w:w="4315" w:type="dxa"/>
            <w:tcBorders>
              <w:top w:val="single" w:sz="4" w:space="0" w:color="auto"/>
              <w:left w:val="single" w:sz="4" w:space="0" w:color="auto"/>
              <w:bottom w:val="single" w:sz="8" w:space="0" w:color="auto"/>
              <w:right w:val="single" w:sz="8" w:space="0" w:color="auto"/>
            </w:tcBorders>
            <w:shd w:val="clear" w:color="000000" w:fill="D9D9D9"/>
            <w:vAlign w:val="center"/>
            <w:hideMark/>
          </w:tcPr>
          <w:p w:rsidR="007119D4" w:rsidRDefault="00EC0158">
            <w:pPr>
              <w:jc w:val="center"/>
              <w:rPr>
                <w:b/>
                <w:bCs/>
                <w:noProof/>
                <w:color w:val="000000"/>
                <w:sz w:val="20"/>
                <w:szCs w:val="20"/>
              </w:rPr>
            </w:pPr>
            <w:r>
              <w:rPr>
                <w:b/>
                <w:bCs/>
                <w:noProof/>
                <w:color w:val="000000"/>
                <w:sz w:val="20"/>
                <w:szCs w:val="20"/>
              </w:rPr>
              <w:t>Ag</w:t>
            </w:r>
            <w:r>
              <w:rPr>
                <w:b/>
                <w:bCs/>
                <w:noProof/>
                <w:color w:val="000000"/>
                <w:sz w:val="20"/>
                <w:szCs w:val="20"/>
              </w:rPr>
              <w:t>ences exécutives</w:t>
            </w:r>
          </w:p>
        </w:tc>
        <w:tc>
          <w:tcPr>
            <w:tcW w:w="1320" w:type="dxa"/>
            <w:tcBorders>
              <w:top w:val="single" w:sz="4" w:space="0" w:color="auto"/>
              <w:left w:val="nil"/>
              <w:bottom w:val="single" w:sz="8" w:space="0" w:color="auto"/>
              <w:right w:val="single" w:sz="8" w:space="0" w:color="auto"/>
            </w:tcBorders>
            <w:shd w:val="clear" w:color="000000" w:fill="D9D9D9"/>
            <w:vAlign w:val="center"/>
            <w:hideMark/>
          </w:tcPr>
          <w:p w:rsidR="007119D4" w:rsidRDefault="00EC0158">
            <w:pPr>
              <w:jc w:val="center"/>
              <w:rPr>
                <w:b/>
                <w:bCs/>
                <w:noProof/>
                <w:color w:val="000000"/>
                <w:sz w:val="20"/>
                <w:szCs w:val="20"/>
              </w:rPr>
            </w:pPr>
            <w:r>
              <w:rPr>
                <w:b/>
                <w:bCs/>
                <w:noProof/>
                <w:color w:val="000000"/>
                <w:sz w:val="20"/>
                <w:szCs w:val="20"/>
              </w:rPr>
              <w:t>Budget géré, par agence exécutive, pour 2014-2020 (en milliards d’EUR)</w:t>
            </w:r>
          </w:p>
        </w:tc>
        <w:tc>
          <w:tcPr>
            <w:tcW w:w="1440" w:type="dxa"/>
            <w:tcBorders>
              <w:top w:val="single" w:sz="4" w:space="0" w:color="auto"/>
              <w:left w:val="nil"/>
              <w:bottom w:val="single" w:sz="8" w:space="0" w:color="auto"/>
              <w:right w:val="single" w:sz="8" w:space="0" w:color="auto"/>
            </w:tcBorders>
            <w:shd w:val="clear" w:color="000000" w:fill="D9D9D9"/>
            <w:vAlign w:val="center"/>
            <w:hideMark/>
          </w:tcPr>
          <w:p w:rsidR="007119D4" w:rsidRDefault="00EC0158">
            <w:pPr>
              <w:jc w:val="center"/>
              <w:rPr>
                <w:b/>
                <w:bCs/>
                <w:noProof/>
                <w:color w:val="000000"/>
                <w:sz w:val="20"/>
                <w:szCs w:val="20"/>
              </w:rPr>
            </w:pPr>
            <w:r>
              <w:rPr>
                <w:b/>
                <w:bCs/>
                <w:noProof/>
                <w:color w:val="000000"/>
                <w:sz w:val="20"/>
                <w:szCs w:val="20"/>
              </w:rPr>
              <w:t>ETP dans les agences exécutives 2020</w:t>
            </w:r>
          </w:p>
        </w:tc>
        <w:tc>
          <w:tcPr>
            <w:tcW w:w="1440" w:type="dxa"/>
            <w:tcBorders>
              <w:top w:val="single" w:sz="4" w:space="0" w:color="auto"/>
              <w:left w:val="nil"/>
              <w:bottom w:val="single" w:sz="8" w:space="0" w:color="auto"/>
              <w:right w:val="single" w:sz="8" w:space="0" w:color="auto"/>
            </w:tcBorders>
            <w:shd w:val="clear" w:color="000000" w:fill="D9D9D9"/>
            <w:vAlign w:val="center"/>
            <w:hideMark/>
          </w:tcPr>
          <w:p w:rsidR="007119D4" w:rsidRDefault="00EC0158">
            <w:pPr>
              <w:jc w:val="center"/>
              <w:rPr>
                <w:b/>
                <w:bCs/>
                <w:noProof/>
                <w:color w:val="000000"/>
                <w:sz w:val="20"/>
                <w:szCs w:val="20"/>
              </w:rPr>
            </w:pPr>
            <w:r>
              <w:rPr>
                <w:b/>
                <w:bCs/>
                <w:noProof/>
                <w:color w:val="000000"/>
                <w:sz w:val="20"/>
                <w:szCs w:val="20"/>
              </w:rPr>
              <w:t>Budget à gérer pour 2021-2027 (en milliards d’EUR, prix de 2018)</w:t>
            </w:r>
          </w:p>
        </w:tc>
        <w:tc>
          <w:tcPr>
            <w:tcW w:w="1440" w:type="dxa"/>
            <w:tcBorders>
              <w:top w:val="single" w:sz="4" w:space="0" w:color="auto"/>
              <w:left w:val="nil"/>
              <w:bottom w:val="single" w:sz="8" w:space="0" w:color="auto"/>
              <w:right w:val="single" w:sz="4" w:space="0" w:color="auto"/>
            </w:tcBorders>
            <w:shd w:val="clear" w:color="000000" w:fill="D9D9D9"/>
            <w:vAlign w:val="center"/>
            <w:hideMark/>
          </w:tcPr>
          <w:p w:rsidR="007119D4" w:rsidRDefault="00EC0158">
            <w:pPr>
              <w:jc w:val="center"/>
              <w:rPr>
                <w:b/>
                <w:bCs/>
                <w:noProof/>
                <w:color w:val="000000"/>
                <w:sz w:val="20"/>
                <w:szCs w:val="20"/>
              </w:rPr>
            </w:pPr>
            <w:r>
              <w:rPr>
                <w:b/>
                <w:bCs/>
                <w:noProof/>
                <w:color w:val="000000"/>
                <w:sz w:val="20"/>
                <w:szCs w:val="20"/>
              </w:rPr>
              <w:t>ETP envisagés dans les agences exécutives 2027</w:t>
            </w:r>
          </w:p>
        </w:tc>
      </w:tr>
      <w:tr w:rsidR="007119D4">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rsidR="007119D4" w:rsidRDefault="00EC0158">
            <w:pPr>
              <w:jc w:val="both"/>
              <w:rPr>
                <w:noProof/>
                <w:color w:val="000000"/>
                <w:sz w:val="20"/>
                <w:szCs w:val="20"/>
              </w:rPr>
            </w:pPr>
            <w:r>
              <w:rPr>
                <w:noProof/>
                <w:color w:val="000000"/>
                <w:sz w:val="20"/>
                <w:szCs w:val="20"/>
              </w:rPr>
              <w:t xml:space="preserve">Agence exécutive </w:t>
            </w:r>
            <w:r>
              <w:rPr>
                <w:noProof/>
                <w:color w:val="000000"/>
                <w:sz w:val="20"/>
                <w:szCs w:val="20"/>
              </w:rPr>
              <w:t>du Conseil européen de la recherche (ancienne ERCEA)</w:t>
            </w:r>
          </w:p>
        </w:tc>
        <w:tc>
          <w:tcPr>
            <w:tcW w:w="132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13</w:t>
            </w:r>
          </w:p>
        </w:tc>
        <w:tc>
          <w:tcPr>
            <w:tcW w:w="144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529</w:t>
            </w:r>
          </w:p>
        </w:tc>
        <w:tc>
          <w:tcPr>
            <w:tcW w:w="144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12,3</w:t>
            </w:r>
          </w:p>
        </w:tc>
        <w:tc>
          <w:tcPr>
            <w:tcW w:w="144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457</w:t>
            </w:r>
          </w:p>
        </w:tc>
      </w:tr>
      <w:tr w:rsidR="007119D4">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rsidR="007119D4" w:rsidRDefault="00EC0158">
            <w:pPr>
              <w:jc w:val="both"/>
              <w:rPr>
                <w:noProof/>
                <w:color w:val="000000"/>
                <w:sz w:val="20"/>
                <w:szCs w:val="20"/>
              </w:rPr>
            </w:pPr>
            <w:r>
              <w:rPr>
                <w:noProof/>
                <w:color w:val="000000"/>
                <w:sz w:val="20"/>
                <w:szCs w:val="20"/>
              </w:rPr>
              <w:t>Agence exécutive européenne pour la recherche (ancienne REA)</w:t>
            </w:r>
          </w:p>
        </w:tc>
        <w:tc>
          <w:tcPr>
            <w:tcW w:w="132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13</w:t>
            </w:r>
          </w:p>
        </w:tc>
        <w:tc>
          <w:tcPr>
            <w:tcW w:w="144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785</w:t>
            </w:r>
          </w:p>
        </w:tc>
        <w:tc>
          <w:tcPr>
            <w:tcW w:w="144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18,2</w:t>
            </w:r>
          </w:p>
        </w:tc>
        <w:tc>
          <w:tcPr>
            <w:tcW w:w="144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877</w:t>
            </w:r>
          </w:p>
        </w:tc>
      </w:tr>
      <w:tr w:rsidR="007119D4">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rsidR="007119D4" w:rsidRDefault="00EC0158">
            <w:pPr>
              <w:jc w:val="both"/>
              <w:rPr>
                <w:noProof/>
                <w:color w:val="000000"/>
                <w:sz w:val="20"/>
                <w:szCs w:val="20"/>
              </w:rPr>
            </w:pPr>
            <w:r>
              <w:rPr>
                <w:noProof/>
                <w:color w:val="000000"/>
                <w:sz w:val="20"/>
                <w:szCs w:val="20"/>
              </w:rPr>
              <w:t>Agence exécutive européenne pour la santé et le numérique (nouvelle agence)</w:t>
            </w:r>
          </w:p>
        </w:tc>
        <w:tc>
          <w:tcPr>
            <w:tcW w:w="132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 xml:space="preserve"> - </w:t>
            </w:r>
          </w:p>
        </w:tc>
        <w:tc>
          <w:tcPr>
            <w:tcW w:w="144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 xml:space="preserve"> - </w:t>
            </w:r>
          </w:p>
        </w:tc>
        <w:tc>
          <w:tcPr>
            <w:tcW w:w="144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13,2</w:t>
            </w:r>
          </w:p>
        </w:tc>
        <w:tc>
          <w:tcPr>
            <w:tcW w:w="144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404</w:t>
            </w:r>
          </w:p>
        </w:tc>
      </w:tr>
      <w:tr w:rsidR="007119D4">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rsidR="007119D4" w:rsidRDefault="00EC0158">
            <w:pPr>
              <w:jc w:val="both"/>
              <w:rPr>
                <w:noProof/>
                <w:color w:val="000000"/>
                <w:sz w:val="20"/>
                <w:szCs w:val="20"/>
              </w:rPr>
            </w:pPr>
            <w:r>
              <w:rPr>
                <w:noProof/>
                <w:color w:val="000000"/>
                <w:sz w:val="20"/>
                <w:szCs w:val="20"/>
              </w:rPr>
              <w:t xml:space="preserve">Agence </w:t>
            </w:r>
            <w:r>
              <w:rPr>
                <w:noProof/>
                <w:color w:val="000000"/>
                <w:sz w:val="20"/>
                <w:szCs w:val="20"/>
              </w:rPr>
              <w:t>exécutive européenne pour le climat, les infrastructures et l’environnement (ancienne INEA)</w:t>
            </w:r>
          </w:p>
        </w:tc>
        <w:tc>
          <w:tcPr>
            <w:tcW w:w="132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34</w:t>
            </w:r>
          </w:p>
        </w:tc>
        <w:tc>
          <w:tcPr>
            <w:tcW w:w="144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313</w:t>
            </w:r>
          </w:p>
        </w:tc>
        <w:tc>
          <w:tcPr>
            <w:tcW w:w="144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39,1</w:t>
            </w:r>
          </w:p>
        </w:tc>
        <w:tc>
          <w:tcPr>
            <w:tcW w:w="144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474</w:t>
            </w:r>
          </w:p>
        </w:tc>
      </w:tr>
      <w:tr w:rsidR="007119D4">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rsidR="007119D4" w:rsidRDefault="00EC0158">
            <w:pPr>
              <w:jc w:val="both"/>
              <w:rPr>
                <w:noProof/>
                <w:color w:val="000000"/>
                <w:sz w:val="20"/>
                <w:szCs w:val="20"/>
              </w:rPr>
            </w:pPr>
            <w:r>
              <w:rPr>
                <w:noProof/>
                <w:color w:val="000000"/>
                <w:sz w:val="20"/>
                <w:szCs w:val="20"/>
              </w:rPr>
              <w:t>Agence exécutive européenne pour l'éducation et la culture (ancienne EACEA)</w:t>
            </w:r>
          </w:p>
        </w:tc>
        <w:tc>
          <w:tcPr>
            <w:tcW w:w="132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5</w:t>
            </w:r>
          </w:p>
        </w:tc>
        <w:tc>
          <w:tcPr>
            <w:tcW w:w="144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438</w:t>
            </w:r>
          </w:p>
        </w:tc>
        <w:tc>
          <w:tcPr>
            <w:tcW w:w="144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6,5</w:t>
            </w:r>
          </w:p>
        </w:tc>
        <w:tc>
          <w:tcPr>
            <w:tcW w:w="144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501</w:t>
            </w:r>
          </w:p>
        </w:tc>
      </w:tr>
      <w:tr w:rsidR="007119D4">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rsidR="007119D4" w:rsidRDefault="00EC0158">
            <w:pPr>
              <w:jc w:val="both"/>
              <w:rPr>
                <w:noProof/>
                <w:color w:val="000000"/>
                <w:sz w:val="20"/>
                <w:szCs w:val="20"/>
              </w:rPr>
            </w:pPr>
            <w:r>
              <w:rPr>
                <w:noProof/>
                <w:color w:val="000000"/>
                <w:sz w:val="20"/>
                <w:szCs w:val="20"/>
              </w:rPr>
              <w:lastRenderedPageBreak/>
              <w:t>Agence exécutive pour le Conseil européen de l’innovatio</w:t>
            </w:r>
            <w:r>
              <w:rPr>
                <w:noProof/>
                <w:color w:val="000000"/>
                <w:sz w:val="20"/>
                <w:szCs w:val="20"/>
              </w:rPr>
              <w:t>n et les PME (ancienne EASME)</w:t>
            </w:r>
          </w:p>
        </w:tc>
        <w:tc>
          <w:tcPr>
            <w:tcW w:w="132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10</w:t>
            </w:r>
          </w:p>
        </w:tc>
        <w:tc>
          <w:tcPr>
            <w:tcW w:w="144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506</w:t>
            </w:r>
          </w:p>
        </w:tc>
        <w:tc>
          <w:tcPr>
            <w:tcW w:w="144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9,2</w:t>
            </w:r>
          </w:p>
        </w:tc>
        <w:tc>
          <w:tcPr>
            <w:tcW w:w="144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328</w:t>
            </w:r>
          </w:p>
        </w:tc>
      </w:tr>
      <w:tr w:rsidR="007119D4">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rsidR="007119D4" w:rsidRDefault="00EC0158">
            <w:pPr>
              <w:jc w:val="both"/>
              <w:rPr>
                <w:noProof/>
                <w:color w:val="000000"/>
                <w:sz w:val="20"/>
                <w:szCs w:val="20"/>
              </w:rPr>
            </w:pPr>
            <w:r>
              <w:rPr>
                <w:noProof/>
                <w:sz w:val="20"/>
                <w:szCs w:val="20"/>
              </w:rPr>
              <w:t>Agence exécutive pour les consommateurs, la santé et l'alimentation (Chafea)</w:t>
            </w:r>
          </w:p>
        </w:tc>
        <w:tc>
          <w:tcPr>
            <w:tcW w:w="132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1</w:t>
            </w:r>
          </w:p>
        </w:tc>
        <w:tc>
          <w:tcPr>
            <w:tcW w:w="144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79</w:t>
            </w:r>
          </w:p>
        </w:tc>
        <w:tc>
          <w:tcPr>
            <w:tcW w:w="144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 xml:space="preserve"> - </w:t>
            </w:r>
          </w:p>
        </w:tc>
        <w:tc>
          <w:tcPr>
            <w:tcW w:w="1440" w:type="dxa"/>
            <w:tcBorders>
              <w:top w:val="nil"/>
              <w:left w:val="nil"/>
              <w:bottom w:val="single" w:sz="8" w:space="0" w:color="auto"/>
              <w:right w:val="single" w:sz="8" w:space="0" w:color="auto"/>
            </w:tcBorders>
            <w:shd w:val="clear" w:color="auto" w:fill="auto"/>
            <w:vAlign w:val="center"/>
            <w:hideMark/>
          </w:tcPr>
          <w:p w:rsidR="007119D4" w:rsidRDefault="00EC0158">
            <w:pPr>
              <w:jc w:val="right"/>
              <w:rPr>
                <w:noProof/>
                <w:color w:val="000000"/>
                <w:sz w:val="20"/>
                <w:szCs w:val="20"/>
              </w:rPr>
            </w:pPr>
            <w:r>
              <w:rPr>
                <w:noProof/>
                <w:color w:val="000000"/>
                <w:sz w:val="20"/>
                <w:szCs w:val="20"/>
              </w:rPr>
              <w:t xml:space="preserve"> - </w:t>
            </w:r>
          </w:p>
        </w:tc>
      </w:tr>
      <w:tr w:rsidR="007119D4">
        <w:trPr>
          <w:trHeight w:val="300"/>
        </w:trPr>
        <w:tc>
          <w:tcPr>
            <w:tcW w:w="4315" w:type="dxa"/>
            <w:tcBorders>
              <w:top w:val="nil"/>
              <w:left w:val="single" w:sz="8" w:space="0" w:color="auto"/>
              <w:bottom w:val="single" w:sz="8" w:space="0" w:color="auto"/>
              <w:right w:val="nil"/>
            </w:tcBorders>
            <w:shd w:val="clear" w:color="000000" w:fill="D9D9D9"/>
            <w:vAlign w:val="center"/>
            <w:hideMark/>
          </w:tcPr>
          <w:p w:rsidR="007119D4" w:rsidRDefault="00EC0158">
            <w:pPr>
              <w:jc w:val="both"/>
              <w:rPr>
                <w:b/>
                <w:bCs/>
                <w:noProof/>
                <w:color w:val="000000"/>
                <w:sz w:val="20"/>
                <w:szCs w:val="20"/>
              </w:rPr>
            </w:pPr>
            <w:r>
              <w:rPr>
                <w:b/>
                <w:bCs/>
                <w:noProof/>
                <w:color w:val="000000"/>
                <w:sz w:val="20"/>
                <w:szCs w:val="20"/>
              </w:rPr>
              <w:t>Total</w:t>
            </w:r>
          </w:p>
        </w:tc>
        <w:tc>
          <w:tcPr>
            <w:tcW w:w="1320" w:type="dxa"/>
            <w:tcBorders>
              <w:top w:val="nil"/>
              <w:left w:val="single" w:sz="8" w:space="0" w:color="auto"/>
              <w:bottom w:val="single" w:sz="8" w:space="0" w:color="auto"/>
              <w:right w:val="single" w:sz="8" w:space="0" w:color="auto"/>
            </w:tcBorders>
            <w:shd w:val="clear" w:color="000000" w:fill="D9D9D9"/>
            <w:vAlign w:val="center"/>
            <w:hideMark/>
          </w:tcPr>
          <w:p w:rsidR="007119D4" w:rsidRDefault="00EC0158">
            <w:pPr>
              <w:jc w:val="right"/>
              <w:rPr>
                <w:b/>
                <w:bCs/>
                <w:noProof/>
                <w:color w:val="000000"/>
                <w:sz w:val="20"/>
                <w:szCs w:val="20"/>
              </w:rPr>
            </w:pPr>
            <w:r>
              <w:rPr>
                <w:b/>
                <w:bCs/>
                <w:noProof/>
                <w:color w:val="000000"/>
                <w:sz w:val="20"/>
                <w:szCs w:val="20"/>
              </w:rPr>
              <w:t>75</w:t>
            </w:r>
          </w:p>
        </w:tc>
        <w:tc>
          <w:tcPr>
            <w:tcW w:w="1440" w:type="dxa"/>
            <w:tcBorders>
              <w:top w:val="nil"/>
              <w:left w:val="nil"/>
              <w:bottom w:val="single" w:sz="8" w:space="0" w:color="auto"/>
              <w:right w:val="single" w:sz="8" w:space="0" w:color="auto"/>
            </w:tcBorders>
            <w:shd w:val="clear" w:color="000000" w:fill="D9D9D9"/>
            <w:vAlign w:val="center"/>
            <w:hideMark/>
          </w:tcPr>
          <w:p w:rsidR="007119D4" w:rsidRDefault="00EC0158">
            <w:pPr>
              <w:jc w:val="right"/>
              <w:rPr>
                <w:b/>
                <w:bCs/>
                <w:noProof/>
                <w:color w:val="000000"/>
                <w:sz w:val="20"/>
                <w:szCs w:val="20"/>
              </w:rPr>
            </w:pPr>
            <w:r>
              <w:rPr>
                <w:b/>
                <w:bCs/>
                <w:noProof/>
                <w:color w:val="000000"/>
                <w:sz w:val="20"/>
                <w:szCs w:val="20"/>
              </w:rPr>
              <w:t>2 650</w:t>
            </w:r>
          </w:p>
        </w:tc>
        <w:tc>
          <w:tcPr>
            <w:tcW w:w="1440" w:type="dxa"/>
            <w:tcBorders>
              <w:top w:val="nil"/>
              <w:left w:val="nil"/>
              <w:bottom w:val="single" w:sz="8" w:space="0" w:color="auto"/>
              <w:right w:val="single" w:sz="8" w:space="0" w:color="auto"/>
            </w:tcBorders>
            <w:shd w:val="clear" w:color="000000" w:fill="D9D9D9"/>
            <w:vAlign w:val="center"/>
            <w:hideMark/>
          </w:tcPr>
          <w:p w:rsidR="007119D4" w:rsidRDefault="00EC0158">
            <w:pPr>
              <w:jc w:val="right"/>
              <w:rPr>
                <w:b/>
                <w:bCs/>
                <w:noProof/>
                <w:color w:val="000000"/>
                <w:sz w:val="20"/>
                <w:szCs w:val="20"/>
              </w:rPr>
            </w:pPr>
            <w:r>
              <w:rPr>
                <w:b/>
                <w:bCs/>
                <w:noProof/>
                <w:color w:val="000000"/>
                <w:sz w:val="20"/>
                <w:szCs w:val="20"/>
              </w:rPr>
              <w:t>98,4</w:t>
            </w:r>
          </w:p>
        </w:tc>
        <w:tc>
          <w:tcPr>
            <w:tcW w:w="1440" w:type="dxa"/>
            <w:tcBorders>
              <w:top w:val="nil"/>
              <w:left w:val="nil"/>
              <w:bottom w:val="single" w:sz="8" w:space="0" w:color="auto"/>
              <w:right w:val="single" w:sz="8" w:space="0" w:color="auto"/>
            </w:tcBorders>
            <w:shd w:val="clear" w:color="000000" w:fill="D9D9D9"/>
            <w:vAlign w:val="center"/>
            <w:hideMark/>
          </w:tcPr>
          <w:p w:rsidR="007119D4" w:rsidRDefault="00EC0158">
            <w:pPr>
              <w:jc w:val="right"/>
              <w:rPr>
                <w:b/>
                <w:bCs/>
                <w:noProof/>
                <w:color w:val="000000"/>
                <w:sz w:val="20"/>
                <w:szCs w:val="20"/>
              </w:rPr>
            </w:pPr>
            <w:r>
              <w:rPr>
                <w:b/>
                <w:bCs/>
                <w:noProof/>
                <w:color w:val="000000"/>
                <w:sz w:val="20"/>
                <w:szCs w:val="20"/>
              </w:rPr>
              <w:t>3 041</w:t>
            </w:r>
          </w:p>
        </w:tc>
      </w:tr>
    </w:tbl>
    <w:p w:rsidR="007119D4" w:rsidRDefault="00EC0158">
      <w:pPr>
        <w:keepNext/>
        <w:tabs>
          <w:tab w:val="left" w:pos="850"/>
        </w:tabs>
        <w:spacing w:before="120" w:after="120"/>
        <w:ind w:left="357" w:hanging="357"/>
        <w:jc w:val="both"/>
        <w:outlineLvl w:val="1"/>
        <w:rPr>
          <w:rFonts w:eastAsia="Calibri"/>
          <w:b/>
          <w:noProof/>
        </w:rPr>
      </w:pPr>
      <w:bookmarkStart w:id="112" w:name="_Toc54770324"/>
      <w:bookmarkStart w:id="113" w:name="_Toc55807134"/>
      <w:bookmarkStart w:id="114" w:name="_Toc56419365"/>
      <w:bookmarkEnd w:id="105"/>
      <w:r>
        <w:rPr>
          <w:b/>
          <w:noProof/>
        </w:rPr>
        <w:t xml:space="preserve">5.3 </w:t>
      </w:r>
      <w:r>
        <w:rPr>
          <w:noProof/>
        </w:rPr>
        <w:tab/>
      </w:r>
      <w:bookmarkStart w:id="115" w:name="_Toc369629643"/>
      <w:r>
        <w:rPr>
          <w:b/>
          <w:noProof/>
        </w:rPr>
        <w:t>Incidence sur les ressources humaines et financières dans les agences exécutives</w:t>
      </w:r>
      <w:bookmarkEnd w:id="115"/>
      <w:r>
        <w:rPr>
          <w:b/>
          <w:noProof/>
        </w:rPr>
        <w:t xml:space="preserve"> en 2021</w:t>
      </w:r>
      <w:bookmarkEnd w:id="112"/>
      <w:bookmarkEnd w:id="113"/>
      <w:bookmarkEnd w:id="114"/>
    </w:p>
    <w:p w:rsidR="007119D4" w:rsidRDefault="00EC0158">
      <w:pPr>
        <w:spacing w:before="120" w:after="120"/>
        <w:jc w:val="both"/>
        <w:rPr>
          <w:noProof/>
        </w:rPr>
      </w:pPr>
      <w:r>
        <w:rPr>
          <w:noProof/>
        </w:rPr>
        <w:t>L’incidence des crédits délégués votés</w:t>
      </w:r>
      <w:r>
        <w:rPr>
          <w:rStyle w:val="FootnoteReference"/>
          <w:noProof/>
        </w:rPr>
        <w:footnoteReference w:id="25"/>
      </w:r>
      <w:r>
        <w:rPr>
          <w:noProof/>
        </w:rPr>
        <w:t xml:space="preserve"> sur les lignes de subvention relatives aux agences exécutives et les ETP en 2021 est résumée dans le tableau ci-dessous.</w:t>
      </w:r>
    </w:p>
    <w:tbl>
      <w:tblPr>
        <w:tblW w:w="10081" w:type="dxa"/>
        <w:jc w:val="center"/>
        <w:tblLook w:val="04A0" w:firstRow="1" w:lastRow="0" w:firstColumn="1" w:lastColumn="0" w:noHBand="0" w:noVBand="1"/>
      </w:tblPr>
      <w:tblGrid>
        <w:gridCol w:w="1381"/>
        <w:gridCol w:w="670"/>
        <w:gridCol w:w="1069"/>
        <w:gridCol w:w="624"/>
        <w:gridCol w:w="1069"/>
        <w:gridCol w:w="560"/>
        <w:gridCol w:w="1069"/>
        <w:gridCol w:w="560"/>
        <w:gridCol w:w="1069"/>
        <w:gridCol w:w="941"/>
        <w:gridCol w:w="1069"/>
      </w:tblGrid>
      <w:tr w:rsidR="007119D4">
        <w:trPr>
          <w:trHeight w:val="300"/>
          <w:tblHeader/>
          <w:jc w:val="center"/>
        </w:trPr>
        <w:tc>
          <w:tcPr>
            <w:tcW w:w="138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119D4" w:rsidRDefault="00EC0158">
            <w:pPr>
              <w:spacing w:line="276" w:lineRule="auto"/>
              <w:jc w:val="center"/>
              <w:rPr>
                <w:b/>
                <w:bCs/>
                <w:noProof/>
                <w:color w:val="000000"/>
                <w:sz w:val="18"/>
                <w:szCs w:val="18"/>
              </w:rPr>
            </w:pPr>
            <w:r>
              <w:rPr>
                <w:b/>
                <w:bCs/>
                <w:noProof/>
                <w:color w:val="000000"/>
                <w:sz w:val="18"/>
                <w:szCs w:val="18"/>
              </w:rPr>
              <w:t>Agence exécutive</w:t>
            </w:r>
          </w:p>
        </w:tc>
        <w:tc>
          <w:tcPr>
            <w:tcW w:w="1746" w:type="dxa"/>
            <w:gridSpan w:val="2"/>
            <w:tcBorders>
              <w:top w:val="single" w:sz="4" w:space="0" w:color="auto"/>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b/>
                <w:bCs/>
                <w:noProof/>
                <w:color w:val="000000"/>
                <w:sz w:val="18"/>
                <w:szCs w:val="18"/>
              </w:rPr>
            </w:pPr>
            <w:r>
              <w:rPr>
                <w:b/>
                <w:bCs/>
                <w:noProof/>
                <w:color w:val="000000"/>
                <w:sz w:val="18"/>
                <w:szCs w:val="18"/>
              </w:rPr>
              <w:t>Budget 2020</w:t>
            </w:r>
          </w:p>
        </w:tc>
        <w:tc>
          <w:tcPr>
            <w:tcW w:w="1699" w:type="dxa"/>
            <w:gridSpan w:val="2"/>
            <w:tcBorders>
              <w:top w:val="single" w:sz="4" w:space="0" w:color="auto"/>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b/>
                <w:bCs/>
                <w:noProof/>
                <w:color w:val="000000"/>
                <w:sz w:val="18"/>
                <w:szCs w:val="18"/>
              </w:rPr>
            </w:pPr>
            <w:r>
              <w:rPr>
                <w:b/>
                <w:bCs/>
                <w:noProof/>
                <w:color w:val="000000"/>
                <w:sz w:val="18"/>
                <w:szCs w:val="18"/>
              </w:rPr>
              <w:t xml:space="preserve"> PB 2021</w:t>
            </w:r>
          </w:p>
        </w:tc>
        <w:tc>
          <w:tcPr>
            <w:tcW w:w="1624" w:type="dxa"/>
            <w:gridSpan w:val="2"/>
            <w:tcBorders>
              <w:top w:val="single" w:sz="4" w:space="0" w:color="auto"/>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b/>
                <w:bCs/>
                <w:noProof/>
                <w:color w:val="000000"/>
                <w:sz w:val="18"/>
                <w:szCs w:val="18"/>
              </w:rPr>
            </w:pPr>
            <w:r>
              <w:rPr>
                <w:b/>
                <w:bCs/>
                <w:noProof/>
                <w:color w:val="000000"/>
                <w:sz w:val="18"/>
                <w:szCs w:val="18"/>
              </w:rPr>
              <w:t>LR nº 1/2021</w:t>
            </w:r>
          </w:p>
        </w:tc>
        <w:tc>
          <w:tcPr>
            <w:tcW w:w="3628" w:type="dxa"/>
            <w:gridSpan w:val="4"/>
            <w:tcBorders>
              <w:top w:val="single" w:sz="4" w:space="0" w:color="auto"/>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b/>
                <w:bCs/>
                <w:noProof/>
                <w:color w:val="000000"/>
                <w:sz w:val="18"/>
                <w:szCs w:val="18"/>
              </w:rPr>
            </w:pPr>
            <w:r>
              <w:rPr>
                <w:b/>
                <w:bCs/>
                <w:noProof/>
                <w:color w:val="000000"/>
                <w:sz w:val="18"/>
                <w:szCs w:val="18"/>
              </w:rPr>
              <w:t>PB 2021 (y compris LR nº 1)</w:t>
            </w:r>
          </w:p>
        </w:tc>
      </w:tr>
      <w:tr w:rsidR="007119D4">
        <w:trPr>
          <w:trHeight w:val="300"/>
          <w:tblHeader/>
          <w:jc w:val="center"/>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7119D4" w:rsidRDefault="007119D4">
            <w:pPr>
              <w:spacing w:line="276" w:lineRule="auto"/>
              <w:rPr>
                <w:b/>
                <w:bCs/>
                <w:noProof/>
                <w:color w:val="000000"/>
                <w:sz w:val="18"/>
                <w:szCs w:val="18"/>
              </w:rPr>
            </w:pPr>
          </w:p>
        </w:tc>
        <w:tc>
          <w:tcPr>
            <w:tcW w:w="680"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b/>
                <w:bCs/>
                <w:noProof/>
                <w:color w:val="000000"/>
                <w:sz w:val="18"/>
                <w:szCs w:val="18"/>
              </w:rPr>
            </w:pPr>
            <w:r>
              <w:rPr>
                <w:b/>
                <w:bCs/>
                <w:noProof/>
                <w:color w:val="000000"/>
                <w:sz w:val="18"/>
                <w:szCs w:val="18"/>
              </w:rPr>
              <w:t>ETP</w:t>
            </w:r>
          </w:p>
        </w:tc>
        <w:tc>
          <w:tcPr>
            <w:tcW w:w="1066"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b/>
                <w:bCs/>
                <w:noProof/>
                <w:color w:val="000000"/>
                <w:sz w:val="18"/>
                <w:szCs w:val="18"/>
              </w:rPr>
            </w:pPr>
            <w:r>
              <w:rPr>
                <w:b/>
                <w:bCs/>
                <w:noProof/>
                <w:color w:val="000000"/>
                <w:sz w:val="18"/>
                <w:szCs w:val="18"/>
              </w:rPr>
              <w:t>Subvention AE</w:t>
            </w:r>
          </w:p>
        </w:tc>
        <w:tc>
          <w:tcPr>
            <w:tcW w:w="633"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b/>
                <w:bCs/>
                <w:noProof/>
                <w:color w:val="000000"/>
                <w:sz w:val="18"/>
                <w:szCs w:val="18"/>
              </w:rPr>
            </w:pPr>
            <w:r>
              <w:rPr>
                <w:b/>
                <w:bCs/>
                <w:noProof/>
                <w:color w:val="000000"/>
                <w:sz w:val="18"/>
                <w:szCs w:val="18"/>
              </w:rPr>
              <w:t>ETP</w:t>
            </w:r>
          </w:p>
        </w:tc>
        <w:tc>
          <w:tcPr>
            <w:tcW w:w="1066"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b/>
                <w:bCs/>
                <w:noProof/>
                <w:color w:val="000000"/>
                <w:sz w:val="18"/>
                <w:szCs w:val="18"/>
              </w:rPr>
            </w:pPr>
            <w:r>
              <w:rPr>
                <w:b/>
                <w:bCs/>
                <w:noProof/>
                <w:color w:val="000000"/>
                <w:sz w:val="18"/>
                <w:szCs w:val="18"/>
              </w:rPr>
              <w:t>Subvention AE</w:t>
            </w:r>
          </w:p>
        </w:tc>
        <w:tc>
          <w:tcPr>
            <w:tcW w:w="558"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b/>
                <w:bCs/>
                <w:noProof/>
                <w:color w:val="000000"/>
                <w:sz w:val="18"/>
                <w:szCs w:val="18"/>
              </w:rPr>
            </w:pPr>
            <w:r>
              <w:rPr>
                <w:b/>
                <w:bCs/>
                <w:noProof/>
                <w:color w:val="000000"/>
                <w:sz w:val="18"/>
                <w:szCs w:val="18"/>
              </w:rPr>
              <w:t>ETP</w:t>
            </w:r>
          </w:p>
        </w:tc>
        <w:tc>
          <w:tcPr>
            <w:tcW w:w="1066"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b/>
                <w:bCs/>
                <w:noProof/>
                <w:color w:val="000000"/>
                <w:sz w:val="18"/>
                <w:szCs w:val="18"/>
              </w:rPr>
            </w:pPr>
            <w:r>
              <w:rPr>
                <w:b/>
                <w:bCs/>
                <w:noProof/>
                <w:color w:val="000000"/>
                <w:sz w:val="18"/>
                <w:szCs w:val="18"/>
              </w:rPr>
              <w:t>Subvention AE</w:t>
            </w:r>
          </w:p>
        </w:tc>
        <w:tc>
          <w:tcPr>
            <w:tcW w:w="558"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b/>
                <w:bCs/>
                <w:noProof/>
                <w:color w:val="000000"/>
                <w:sz w:val="18"/>
                <w:szCs w:val="18"/>
              </w:rPr>
            </w:pPr>
            <w:r>
              <w:rPr>
                <w:b/>
                <w:bCs/>
                <w:noProof/>
                <w:color w:val="000000"/>
                <w:sz w:val="18"/>
                <w:szCs w:val="18"/>
              </w:rPr>
              <w:t xml:space="preserve">ETP </w:t>
            </w:r>
          </w:p>
        </w:tc>
        <w:tc>
          <w:tcPr>
            <w:tcW w:w="1066"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b/>
                <w:bCs/>
                <w:noProof/>
                <w:color w:val="000000"/>
                <w:sz w:val="18"/>
                <w:szCs w:val="18"/>
              </w:rPr>
            </w:pPr>
            <w:r>
              <w:rPr>
                <w:b/>
                <w:bCs/>
                <w:noProof/>
                <w:color w:val="000000"/>
                <w:sz w:val="18"/>
                <w:szCs w:val="18"/>
              </w:rPr>
              <w:t xml:space="preserve">Subvention AE </w:t>
            </w:r>
          </w:p>
        </w:tc>
        <w:tc>
          <w:tcPr>
            <w:tcW w:w="938"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b/>
                <w:bCs/>
                <w:noProof/>
                <w:color w:val="000000"/>
                <w:sz w:val="18"/>
                <w:szCs w:val="18"/>
              </w:rPr>
            </w:pPr>
            <w:r>
              <w:rPr>
                <w:b/>
                <w:bCs/>
                <w:noProof/>
                <w:color w:val="000000"/>
                <w:sz w:val="18"/>
                <w:szCs w:val="18"/>
              </w:rPr>
              <w:t xml:space="preserve">Variation ETP par rapport à 2020 </w:t>
            </w:r>
          </w:p>
        </w:tc>
        <w:tc>
          <w:tcPr>
            <w:tcW w:w="1066"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b/>
                <w:bCs/>
                <w:noProof/>
                <w:color w:val="000000"/>
                <w:sz w:val="18"/>
                <w:szCs w:val="18"/>
              </w:rPr>
            </w:pPr>
            <w:r>
              <w:rPr>
                <w:b/>
                <w:bCs/>
                <w:noProof/>
                <w:color w:val="000000"/>
                <w:sz w:val="18"/>
                <w:szCs w:val="18"/>
              </w:rPr>
              <w:t xml:space="preserve">Variation Subvention AE par rapport à 2020 </w:t>
            </w:r>
          </w:p>
        </w:tc>
      </w:tr>
      <w:tr w:rsidR="007119D4">
        <w:trPr>
          <w:trHeight w:val="300"/>
          <w:jc w:val="center"/>
        </w:trPr>
        <w:tc>
          <w:tcPr>
            <w:tcW w:w="1384" w:type="dxa"/>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color w:val="000000"/>
                <w:sz w:val="18"/>
                <w:szCs w:val="18"/>
              </w:rPr>
            </w:pPr>
            <w:r>
              <w:rPr>
                <w:noProof/>
                <w:color w:val="000000"/>
                <w:sz w:val="18"/>
                <w:szCs w:val="18"/>
              </w:rPr>
              <w:t>Agence exécutive du Conseil européen de la recherche (ancienne ERCEA)</w:t>
            </w:r>
          </w:p>
        </w:tc>
        <w:tc>
          <w:tcPr>
            <w:tcW w:w="680"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529</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51,319</w:t>
            </w:r>
          </w:p>
        </w:tc>
        <w:tc>
          <w:tcPr>
            <w:tcW w:w="633"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529</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 xml:space="preserve">        -     </w:t>
            </w:r>
          </w:p>
        </w:tc>
        <w:tc>
          <w:tcPr>
            <w:tcW w:w="558"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-10</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53,915</w:t>
            </w:r>
          </w:p>
        </w:tc>
        <w:tc>
          <w:tcPr>
            <w:tcW w:w="558"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519</w:t>
            </w:r>
          </w:p>
        </w:tc>
        <w:tc>
          <w:tcPr>
            <w:tcW w:w="1066" w:type="dxa"/>
            <w:tcBorders>
              <w:top w:val="nil"/>
              <w:left w:val="nil"/>
              <w:bottom w:val="single" w:sz="4" w:space="0" w:color="auto"/>
              <w:right w:val="single" w:sz="4" w:space="0" w:color="auto"/>
            </w:tcBorders>
            <w:shd w:val="clear" w:color="auto" w:fill="FFFFFF"/>
            <w:noWrap/>
            <w:vAlign w:val="center"/>
            <w:hideMark/>
          </w:tcPr>
          <w:p w:rsidR="007119D4" w:rsidRDefault="00EC0158">
            <w:pPr>
              <w:spacing w:line="276" w:lineRule="auto"/>
              <w:jc w:val="right"/>
              <w:rPr>
                <w:noProof/>
                <w:color w:val="000000"/>
                <w:sz w:val="18"/>
                <w:szCs w:val="18"/>
              </w:rPr>
            </w:pPr>
            <w:r>
              <w:rPr>
                <w:noProof/>
                <w:color w:val="000000"/>
                <w:sz w:val="18"/>
                <w:szCs w:val="18"/>
              </w:rPr>
              <w:t>53,915</w:t>
            </w:r>
          </w:p>
        </w:tc>
        <w:tc>
          <w:tcPr>
            <w:tcW w:w="938" w:type="dxa"/>
            <w:tcBorders>
              <w:top w:val="nil"/>
              <w:left w:val="nil"/>
              <w:bottom w:val="single" w:sz="4" w:space="0" w:color="auto"/>
              <w:right w:val="single" w:sz="4" w:space="0" w:color="auto"/>
            </w:tcBorders>
            <w:noWrap/>
            <w:vAlign w:val="center"/>
            <w:hideMark/>
          </w:tcPr>
          <w:p w:rsidR="007119D4" w:rsidRDefault="00EC0158">
            <w:pPr>
              <w:spacing w:line="276" w:lineRule="auto"/>
              <w:jc w:val="right"/>
              <w:rPr>
                <w:noProof/>
                <w:color w:val="000000"/>
                <w:sz w:val="18"/>
                <w:szCs w:val="18"/>
              </w:rPr>
            </w:pPr>
            <w:r>
              <w:rPr>
                <w:noProof/>
                <w:color w:val="000000"/>
                <w:sz w:val="18"/>
                <w:szCs w:val="18"/>
              </w:rPr>
              <w:t>-1,89 %</w:t>
            </w:r>
          </w:p>
        </w:tc>
        <w:tc>
          <w:tcPr>
            <w:tcW w:w="1066" w:type="dxa"/>
            <w:tcBorders>
              <w:top w:val="nil"/>
              <w:left w:val="nil"/>
              <w:bottom w:val="single" w:sz="4" w:space="0" w:color="auto"/>
              <w:right w:val="single" w:sz="4" w:space="0" w:color="auto"/>
            </w:tcBorders>
            <w:shd w:val="clear" w:color="auto" w:fill="FFFFFF"/>
            <w:noWrap/>
            <w:vAlign w:val="center"/>
            <w:hideMark/>
          </w:tcPr>
          <w:p w:rsidR="007119D4" w:rsidRDefault="00EC0158">
            <w:pPr>
              <w:spacing w:line="276" w:lineRule="auto"/>
              <w:jc w:val="right"/>
              <w:rPr>
                <w:noProof/>
                <w:color w:val="000000"/>
                <w:sz w:val="18"/>
                <w:szCs w:val="18"/>
              </w:rPr>
            </w:pPr>
            <w:r>
              <w:rPr>
                <w:noProof/>
                <w:color w:val="000000"/>
                <w:sz w:val="18"/>
                <w:szCs w:val="18"/>
              </w:rPr>
              <w:t>5,06 %</w:t>
            </w:r>
          </w:p>
        </w:tc>
      </w:tr>
      <w:tr w:rsidR="007119D4">
        <w:trPr>
          <w:trHeight w:val="300"/>
          <w:jc w:val="center"/>
        </w:trPr>
        <w:tc>
          <w:tcPr>
            <w:tcW w:w="1384" w:type="dxa"/>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color w:val="000000"/>
                <w:sz w:val="18"/>
                <w:szCs w:val="18"/>
              </w:rPr>
            </w:pPr>
            <w:hyperlink r:id="rId28" w:anchor="Sheet1!#REF!" w:history="1">
              <w:r>
                <w:rPr>
                  <w:rStyle w:val="Hyperlink"/>
                  <w:noProof/>
                  <w:color w:val="000000"/>
                  <w:sz w:val="18"/>
                  <w:szCs w:val="18"/>
                </w:rPr>
                <w:t>Agence exécutive européenne pour la recherche (ancienne REA)</w:t>
              </w:r>
            </w:hyperlink>
          </w:p>
        </w:tc>
        <w:tc>
          <w:tcPr>
            <w:tcW w:w="680"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785</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75,749</w:t>
            </w:r>
          </w:p>
        </w:tc>
        <w:tc>
          <w:tcPr>
            <w:tcW w:w="633"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785</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 xml:space="preserve">        -     </w:t>
            </w:r>
          </w:p>
        </w:tc>
        <w:tc>
          <w:tcPr>
            <w:tcW w:w="558"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49</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91,592</w:t>
            </w:r>
          </w:p>
        </w:tc>
        <w:tc>
          <w:tcPr>
            <w:tcW w:w="558"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834</w:t>
            </w:r>
          </w:p>
        </w:tc>
        <w:tc>
          <w:tcPr>
            <w:tcW w:w="1066" w:type="dxa"/>
            <w:tcBorders>
              <w:top w:val="nil"/>
              <w:left w:val="nil"/>
              <w:bottom w:val="single" w:sz="4" w:space="0" w:color="auto"/>
              <w:right w:val="single" w:sz="4" w:space="0" w:color="auto"/>
            </w:tcBorders>
            <w:shd w:val="clear" w:color="auto" w:fill="FFFFFF"/>
            <w:noWrap/>
            <w:vAlign w:val="center"/>
            <w:hideMark/>
          </w:tcPr>
          <w:p w:rsidR="007119D4" w:rsidRDefault="00EC0158">
            <w:pPr>
              <w:spacing w:line="276" w:lineRule="auto"/>
              <w:jc w:val="right"/>
              <w:rPr>
                <w:noProof/>
                <w:color w:val="000000"/>
                <w:sz w:val="18"/>
                <w:szCs w:val="18"/>
              </w:rPr>
            </w:pPr>
            <w:r>
              <w:rPr>
                <w:noProof/>
                <w:color w:val="000000"/>
                <w:sz w:val="18"/>
                <w:szCs w:val="18"/>
              </w:rPr>
              <w:t>91,592</w:t>
            </w:r>
          </w:p>
        </w:tc>
        <w:tc>
          <w:tcPr>
            <w:tcW w:w="938" w:type="dxa"/>
            <w:tcBorders>
              <w:top w:val="nil"/>
              <w:left w:val="nil"/>
              <w:bottom w:val="single" w:sz="4" w:space="0" w:color="auto"/>
              <w:right w:val="single" w:sz="4" w:space="0" w:color="auto"/>
            </w:tcBorders>
            <w:noWrap/>
            <w:vAlign w:val="center"/>
            <w:hideMark/>
          </w:tcPr>
          <w:p w:rsidR="007119D4" w:rsidRDefault="00EC0158">
            <w:pPr>
              <w:spacing w:line="276" w:lineRule="auto"/>
              <w:jc w:val="right"/>
              <w:rPr>
                <w:noProof/>
                <w:color w:val="000000"/>
                <w:sz w:val="18"/>
                <w:szCs w:val="18"/>
              </w:rPr>
            </w:pPr>
            <w:r>
              <w:rPr>
                <w:noProof/>
                <w:color w:val="000000"/>
                <w:sz w:val="18"/>
                <w:szCs w:val="18"/>
              </w:rPr>
              <w:t>6,24 %</w:t>
            </w:r>
          </w:p>
        </w:tc>
        <w:tc>
          <w:tcPr>
            <w:tcW w:w="1066" w:type="dxa"/>
            <w:tcBorders>
              <w:top w:val="nil"/>
              <w:left w:val="nil"/>
              <w:bottom w:val="single" w:sz="4" w:space="0" w:color="auto"/>
              <w:right w:val="single" w:sz="4" w:space="0" w:color="auto"/>
            </w:tcBorders>
            <w:shd w:val="clear" w:color="auto" w:fill="FFFFFF"/>
            <w:noWrap/>
            <w:vAlign w:val="center"/>
            <w:hideMark/>
          </w:tcPr>
          <w:p w:rsidR="007119D4" w:rsidRDefault="00EC0158">
            <w:pPr>
              <w:spacing w:line="276" w:lineRule="auto"/>
              <w:jc w:val="right"/>
              <w:rPr>
                <w:noProof/>
                <w:color w:val="000000"/>
                <w:sz w:val="18"/>
                <w:szCs w:val="18"/>
              </w:rPr>
            </w:pPr>
            <w:r>
              <w:rPr>
                <w:noProof/>
                <w:color w:val="000000"/>
                <w:sz w:val="18"/>
                <w:szCs w:val="18"/>
              </w:rPr>
              <w:t>20,92 %</w:t>
            </w:r>
          </w:p>
        </w:tc>
      </w:tr>
      <w:tr w:rsidR="007119D4">
        <w:trPr>
          <w:trHeight w:val="300"/>
          <w:jc w:val="center"/>
        </w:trPr>
        <w:tc>
          <w:tcPr>
            <w:tcW w:w="1384" w:type="dxa"/>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color w:val="000000"/>
                <w:sz w:val="18"/>
                <w:szCs w:val="18"/>
              </w:rPr>
            </w:pPr>
            <w:r>
              <w:rPr>
                <w:noProof/>
                <w:color w:val="000000"/>
                <w:sz w:val="18"/>
                <w:szCs w:val="18"/>
              </w:rPr>
              <w:t>Agence exécutive européenne pour la santé et le numérique (nouvelle)</w:t>
            </w:r>
          </w:p>
        </w:tc>
        <w:tc>
          <w:tcPr>
            <w:tcW w:w="680" w:type="dxa"/>
            <w:tcBorders>
              <w:top w:val="nil"/>
              <w:left w:val="nil"/>
              <w:bottom w:val="single" w:sz="4" w:space="0" w:color="auto"/>
              <w:right w:val="single" w:sz="4" w:space="0" w:color="auto"/>
            </w:tcBorders>
            <w:noWrap/>
            <w:vAlign w:val="center"/>
            <w:hideMark/>
          </w:tcPr>
          <w:p w:rsidR="007119D4" w:rsidRDefault="00EC0158">
            <w:pPr>
              <w:spacing w:line="276" w:lineRule="auto"/>
              <w:rPr>
                <w:rFonts w:ascii="Calibri" w:hAnsi="Calibri" w:cs="Calibri"/>
                <w:noProof/>
                <w:color w:val="000000"/>
                <w:sz w:val="18"/>
                <w:szCs w:val="18"/>
              </w:rPr>
            </w:pPr>
            <w:r>
              <w:rPr>
                <w:noProof/>
                <w:color w:val="000000"/>
                <w:sz w:val="18"/>
                <w:szCs w:val="18"/>
              </w:rPr>
              <w:t xml:space="preserve">        -</w:t>
            </w:r>
          </w:p>
        </w:tc>
        <w:tc>
          <w:tcPr>
            <w:tcW w:w="1066" w:type="dxa"/>
            <w:tcBorders>
              <w:top w:val="nil"/>
              <w:left w:val="nil"/>
              <w:bottom w:val="single" w:sz="4" w:space="0" w:color="auto"/>
              <w:right w:val="single" w:sz="4" w:space="0" w:color="auto"/>
            </w:tcBorders>
            <w:noWrap/>
            <w:vAlign w:val="center"/>
            <w:hideMark/>
          </w:tcPr>
          <w:p w:rsidR="007119D4" w:rsidRDefault="00EC0158">
            <w:pPr>
              <w:spacing w:line="276" w:lineRule="auto"/>
              <w:rPr>
                <w:rFonts w:ascii="Calibri" w:hAnsi="Calibri" w:cs="Calibri"/>
                <w:noProof/>
                <w:color w:val="000000"/>
                <w:sz w:val="18"/>
                <w:szCs w:val="18"/>
              </w:rPr>
            </w:pPr>
            <w:r>
              <w:rPr>
                <w:noProof/>
                <w:color w:val="000000"/>
                <w:sz w:val="18"/>
                <w:szCs w:val="18"/>
              </w:rPr>
              <w:t xml:space="preserve">        -</w:t>
            </w:r>
          </w:p>
        </w:tc>
        <w:tc>
          <w:tcPr>
            <w:tcW w:w="633" w:type="dxa"/>
            <w:tcBorders>
              <w:top w:val="nil"/>
              <w:left w:val="nil"/>
              <w:bottom w:val="single" w:sz="4" w:space="0" w:color="auto"/>
              <w:right w:val="single" w:sz="4" w:space="0" w:color="auto"/>
            </w:tcBorders>
            <w:noWrap/>
            <w:vAlign w:val="center"/>
            <w:hideMark/>
          </w:tcPr>
          <w:p w:rsidR="007119D4" w:rsidRDefault="00EC0158">
            <w:pPr>
              <w:spacing w:line="276" w:lineRule="auto"/>
              <w:rPr>
                <w:rFonts w:ascii="Calibri" w:hAnsi="Calibri" w:cs="Calibri"/>
                <w:noProof/>
                <w:color w:val="000000"/>
                <w:sz w:val="18"/>
                <w:szCs w:val="18"/>
              </w:rPr>
            </w:pPr>
            <w:r>
              <w:rPr>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 xml:space="preserve">        -     </w:t>
            </w:r>
          </w:p>
        </w:tc>
        <w:tc>
          <w:tcPr>
            <w:tcW w:w="558"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307</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39,078</w:t>
            </w:r>
          </w:p>
        </w:tc>
        <w:tc>
          <w:tcPr>
            <w:tcW w:w="558"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307</w:t>
            </w:r>
          </w:p>
        </w:tc>
        <w:tc>
          <w:tcPr>
            <w:tcW w:w="1066" w:type="dxa"/>
            <w:tcBorders>
              <w:top w:val="nil"/>
              <w:left w:val="nil"/>
              <w:bottom w:val="single" w:sz="4" w:space="0" w:color="auto"/>
              <w:right w:val="single" w:sz="4" w:space="0" w:color="auto"/>
            </w:tcBorders>
            <w:shd w:val="clear" w:color="auto" w:fill="FFFFFF"/>
            <w:noWrap/>
            <w:vAlign w:val="center"/>
            <w:hideMark/>
          </w:tcPr>
          <w:p w:rsidR="007119D4" w:rsidRDefault="00EC0158">
            <w:pPr>
              <w:spacing w:line="276" w:lineRule="auto"/>
              <w:jc w:val="right"/>
              <w:rPr>
                <w:noProof/>
                <w:color w:val="000000"/>
                <w:sz w:val="18"/>
                <w:szCs w:val="18"/>
              </w:rPr>
            </w:pPr>
            <w:r>
              <w:rPr>
                <w:noProof/>
                <w:color w:val="000000"/>
                <w:sz w:val="18"/>
                <w:szCs w:val="18"/>
              </w:rPr>
              <w:t>39,078</w:t>
            </w:r>
          </w:p>
        </w:tc>
        <w:tc>
          <w:tcPr>
            <w:tcW w:w="938" w:type="dxa"/>
            <w:tcBorders>
              <w:top w:val="nil"/>
              <w:left w:val="nil"/>
              <w:bottom w:val="single" w:sz="4" w:space="0" w:color="auto"/>
              <w:right w:val="single" w:sz="4" w:space="0" w:color="auto"/>
            </w:tcBorders>
            <w:noWrap/>
            <w:vAlign w:val="center"/>
            <w:hideMark/>
          </w:tcPr>
          <w:p w:rsidR="007119D4" w:rsidRDefault="00EC0158">
            <w:pPr>
              <w:spacing w:line="276" w:lineRule="auto"/>
              <w:jc w:val="right"/>
              <w:rPr>
                <w:noProof/>
                <w:color w:val="000000"/>
                <w:sz w:val="18"/>
                <w:szCs w:val="18"/>
              </w:rPr>
            </w:pPr>
            <w:r>
              <w:rPr>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FFFFFF"/>
            <w:noWrap/>
            <w:vAlign w:val="center"/>
            <w:hideMark/>
          </w:tcPr>
          <w:p w:rsidR="007119D4" w:rsidRDefault="00EC0158">
            <w:pPr>
              <w:spacing w:line="276" w:lineRule="auto"/>
              <w:jc w:val="right"/>
              <w:rPr>
                <w:noProof/>
                <w:color w:val="000000"/>
                <w:sz w:val="18"/>
                <w:szCs w:val="18"/>
              </w:rPr>
            </w:pPr>
            <w:r>
              <w:rPr>
                <w:noProof/>
                <w:color w:val="000000"/>
                <w:sz w:val="18"/>
                <w:szCs w:val="18"/>
              </w:rPr>
              <w:t xml:space="preserve">- </w:t>
            </w:r>
          </w:p>
        </w:tc>
      </w:tr>
      <w:tr w:rsidR="007119D4">
        <w:trPr>
          <w:trHeight w:val="300"/>
          <w:jc w:val="center"/>
        </w:trPr>
        <w:tc>
          <w:tcPr>
            <w:tcW w:w="1384" w:type="dxa"/>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color w:val="000000"/>
                <w:sz w:val="18"/>
                <w:szCs w:val="18"/>
              </w:rPr>
            </w:pPr>
            <w:r>
              <w:rPr>
                <w:noProof/>
                <w:color w:val="000000"/>
                <w:sz w:val="18"/>
                <w:szCs w:val="18"/>
              </w:rPr>
              <w:t xml:space="preserve">Agence exécutive européenne pour le climat, les </w:t>
            </w:r>
            <w:r>
              <w:rPr>
                <w:noProof/>
                <w:color w:val="000000"/>
                <w:sz w:val="18"/>
                <w:szCs w:val="18"/>
              </w:rPr>
              <w:t>infrastructures et l’environnement (ancienne INEA)</w:t>
            </w:r>
          </w:p>
        </w:tc>
        <w:tc>
          <w:tcPr>
            <w:tcW w:w="680"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313</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30,383</w:t>
            </w:r>
          </w:p>
        </w:tc>
        <w:tc>
          <w:tcPr>
            <w:tcW w:w="633"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313</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 xml:space="preserve">        -     </w:t>
            </w:r>
          </w:p>
        </w:tc>
        <w:tc>
          <w:tcPr>
            <w:tcW w:w="558"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146</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47,969</w:t>
            </w:r>
          </w:p>
        </w:tc>
        <w:tc>
          <w:tcPr>
            <w:tcW w:w="558"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459</w:t>
            </w:r>
          </w:p>
        </w:tc>
        <w:tc>
          <w:tcPr>
            <w:tcW w:w="1066" w:type="dxa"/>
            <w:tcBorders>
              <w:top w:val="nil"/>
              <w:left w:val="nil"/>
              <w:bottom w:val="single" w:sz="4" w:space="0" w:color="auto"/>
              <w:right w:val="single" w:sz="4" w:space="0" w:color="auto"/>
            </w:tcBorders>
            <w:shd w:val="clear" w:color="auto" w:fill="FFFFFF"/>
            <w:noWrap/>
            <w:vAlign w:val="center"/>
            <w:hideMark/>
          </w:tcPr>
          <w:p w:rsidR="007119D4" w:rsidRDefault="00EC0158">
            <w:pPr>
              <w:spacing w:line="276" w:lineRule="auto"/>
              <w:jc w:val="right"/>
              <w:rPr>
                <w:noProof/>
                <w:color w:val="000000"/>
                <w:sz w:val="18"/>
                <w:szCs w:val="18"/>
              </w:rPr>
            </w:pPr>
            <w:r>
              <w:rPr>
                <w:noProof/>
                <w:color w:val="000000"/>
                <w:sz w:val="18"/>
                <w:szCs w:val="18"/>
              </w:rPr>
              <w:t>47,969</w:t>
            </w:r>
          </w:p>
        </w:tc>
        <w:tc>
          <w:tcPr>
            <w:tcW w:w="938" w:type="dxa"/>
            <w:tcBorders>
              <w:top w:val="nil"/>
              <w:left w:val="nil"/>
              <w:bottom w:val="single" w:sz="4" w:space="0" w:color="auto"/>
              <w:right w:val="single" w:sz="4" w:space="0" w:color="auto"/>
            </w:tcBorders>
            <w:noWrap/>
            <w:vAlign w:val="center"/>
            <w:hideMark/>
          </w:tcPr>
          <w:p w:rsidR="007119D4" w:rsidRDefault="00EC0158">
            <w:pPr>
              <w:spacing w:line="276" w:lineRule="auto"/>
              <w:jc w:val="right"/>
              <w:rPr>
                <w:noProof/>
                <w:color w:val="000000"/>
                <w:sz w:val="18"/>
                <w:szCs w:val="18"/>
              </w:rPr>
            </w:pPr>
            <w:r>
              <w:rPr>
                <w:noProof/>
                <w:color w:val="000000"/>
                <w:sz w:val="18"/>
                <w:szCs w:val="18"/>
              </w:rPr>
              <w:t>46,65 %</w:t>
            </w:r>
          </w:p>
        </w:tc>
        <w:tc>
          <w:tcPr>
            <w:tcW w:w="1066" w:type="dxa"/>
            <w:tcBorders>
              <w:top w:val="nil"/>
              <w:left w:val="nil"/>
              <w:bottom w:val="single" w:sz="4" w:space="0" w:color="auto"/>
              <w:right w:val="single" w:sz="4" w:space="0" w:color="auto"/>
            </w:tcBorders>
            <w:shd w:val="clear" w:color="auto" w:fill="FFFFFF"/>
            <w:noWrap/>
            <w:vAlign w:val="center"/>
            <w:hideMark/>
          </w:tcPr>
          <w:p w:rsidR="007119D4" w:rsidRDefault="00EC0158">
            <w:pPr>
              <w:spacing w:line="276" w:lineRule="auto"/>
              <w:jc w:val="right"/>
              <w:rPr>
                <w:noProof/>
                <w:color w:val="000000"/>
                <w:sz w:val="18"/>
                <w:szCs w:val="18"/>
              </w:rPr>
            </w:pPr>
            <w:r>
              <w:rPr>
                <w:noProof/>
                <w:color w:val="000000"/>
                <w:sz w:val="18"/>
                <w:szCs w:val="18"/>
              </w:rPr>
              <w:t>57,88 %</w:t>
            </w:r>
          </w:p>
        </w:tc>
      </w:tr>
      <w:tr w:rsidR="007119D4">
        <w:trPr>
          <w:trHeight w:val="300"/>
          <w:jc w:val="center"/>
        </w:trPr>
        <w:tc>
          <w:tcPr>
            <w:tcW w:w="1384" w:type="dxa"/>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color w:val="000000"/>
                <w:sz w:val="18"/>
                <w:szCs w:val="18"/>
              </w:rPr>
            </w:pPr>
            <w:r>
              <w:rPr>
                <w:noProof/>
                <w:color w:val="000000"/>
                <w:sz w:val="18"/>
                <w:szCs w:val="18"/>
              </w:rPr>
              <w:t xml:space="preserve">Agence exécutive européenne pour l’éducation et la culture (ancienne </w:t>
            </w:r>
            <w:r>
              <w:rPr>
                <w:noProof/>
                <w:color w:val="000000"/>
                <w:sz w:val="18"/>
                <w:szCs w:val="18"/>
              </w:rPr>
              <w:lastRenderedPageBreak/>
              <w:t>EACEA)</w:t>
            </w:r>
          </w:p>
        </w:tc>
        <w:tc>
          <w:tcPr>
            <w:tcW w:w="680"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lastRenderedPageBreak/>
              <w:t>438</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47,750</w:t>
            </w:r>
          </w:p>
        </w:tc>
        <w:tc>
          <w:tcPr>
            <w:tcW w:w="633"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438</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5,11</w:t>
            </w:r>
          </w:p>
        </w:tc>
        <w:tc>
          <w:tcPr>
            <w:tcW w:w="558"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9</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45,693</w:t>
            </w:r>
          </w:p>
        </w:tc>
        <w:tc>
          <w:tcPr>
            <w:tcW w:w="558"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447</w:t>
            </w:r>
          </w:p>
        </w:tc>
        <w:tc>
          <w:tcPr>
            <w:tcW w:w="1066" w:type="dxa"/>
            <w:tcBorders>
              <w:top w:val="nil"/>
              <w:left w:val="nil"/>
              <w:bottom w:val="single" w:sz="4" w:space="0" w:color="auto"/>
              <w:right w:val="single" w:sz="4" w:space="0" w:color="auto"/>
            </w:tcBorders>
            <w:shd w:val="clear" w:color="auto" w:fill="FFFFFF"/>
            <w:noWrap/>
            <w:vAlign w:val="center"/>
            <w:hideMark/>
          </w:tcPr>
          <w:p w:rsidR="007119D4" w:rsidRDefault="00EC0158">
            <w:pPr>
              <w:spacing w:line="276" w:lineRule="auto"/>
              <w:jc w:val="right"/>
              <w:rPr>
                <w:noProof/>
                <w:color w:val="000000"/>
                <w:sz w:val="18"/>
                <w:szCs w:val="18"/>
              </w:rPr>
            </w:pPr>
            <w:r>
              <w:rPr>
                <w:noProof/>
                <w:color w:val="000000"/>
                <w:sz w:val="18"/>
                <w:szCs w:val="18"/>
              </w:rPr>
              <w:t>50,803</w:t>
            </w:r>
          </w:p>
        </w:tc>
        <w:tc>
          <w:tcPr>
            <w:tcW w:w="938" w:type="dxa"/>
            <w:tcBorders>
              <w:top w:val="nil"/>
              <w:left w:val="nil"/>
              <w:bottom w:val="single" w:sz="4" w:space="0" w:color="auto"/>
              <w:right w:val="single" w:sz="4" w:space="0" w:color="auto"/>
            </w:tcBorders>
            <w:noWrap/>
            <w:vAlign w:val="center"/>
            <w:hideMark/>
          </w:tcPr>
          <w:p w:rsidR="007119D4" w:rsidRDefault="00EC0158">
            <w:pPr>
              <w:spacing w:line="276" w:lineRule="auto"/>
              <w:jc w:val="right"/>
              <w:rPr>
                <w:noProof/>
                <w:color w:val="000000"/>
                <w:sz w:val="18"/>
                <w:szCs w:val="18"/>
              </w:rPr>
            </w:pPr>
            <w:r>
              <w:rPr>
                <w:noProof/>
                <w:color w:val="000000"/>
                <w:sz w:val="18"/>
                <w:szCs w:val="18"/>
              </w:rPr>
              <w:t>2,05 %</w:t>
            </w:r>
          </w:p>
        </w:tc>
        <w:tc>
          <w:tcPr>
            <w:tcW w:w="1066" w:type="dxa"/>
            <w:tcBorders>
              <w:top w:val="nil"/>
              <w:left w:val="nil"/>
              <w:bottom w:val="single" w:sz="4" w:space="0" w:color="auto"/>
              <w:right w:val="single" w:sz="4" w:space="0" w:color="auto"/>
            </w:tcBorders>
            <w:shd w:val="clear" w:color="auto" w:fill="FFFFFF"/>
            <w:noWrap/>
            <w:vAlign w:val="center"/>
            <w:hideMark/>
          </w:tcPr>
          <w:p w:rsidR="007119D4" w:rsidRDefault="00EC0158">
            <w:pPr>
              <w:spacing w:line="276" w:lineRule="auto"/>
              <w:jc w:val="right"/>
              <w:rPr>
                <w:noProof/>
                <w:color w:val="000000"/>
                <w:sz w:val="18"/>
                <w:szCs w:val="18"/>
              </w:rPr>
            </w:pPr>
            <w:r>
              <w:rPr>
                <w:noProof/>
                <w:color w:val="000000"/>
                <w:sz w:val="18"/>
                <w:szCs w:val="18"/>
              </w:rPr>
              <w:t>6,39 %</w:t>
            </w:r>
          </w:p>
        </w:tc>
      </w:tr>
      <w:tr w:rsidR="007119D4">
        <w:trPr>
          <w:trHeight w:val="300"/>
          <w:jc w:val="center"/>
        </w:trPr>
        <w:tc>
          <w:tcPr>
            <w:tcW w:w="1384" w:type="dxa"/>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color w:val="000000"/>
                <w:sz w:val="18"/>
                <w:szCs w:val="18"/>
              </w:rPr>
            </w:pPr>
            <w:r>
              <w:rPr>
                <w:noProof/>
                <w:color w:val="000000"/>
                <w:sz w:val="18"/>
                <w:szCs w:val="18"/>
              </w:rPr>
              <w:t>Agence exécutive pour le Conseil européen de l’innovation et les PME (ancienne EASME)</w:t>
            </w:r>
          </w:p>
        </w:tc>
        <w:tc>
          <w:tcPr>
            <w:tcW w:w="680"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506</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51,177</w:t>
            </w:r>
          </w:p>
        </w:tc>
        <w:tc>
          <w:tcPr>
            <w:tcW w:w="633"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506</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 xml:space="preserve">        -     </w:t>
            </w:r>
          </w:p>
        </w:tc>
        <w:tc>
          <w:tcPr>
            <w:tcW w:w="558"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-119</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43,744</w:t>
            </w:r>
          </w:p>
        </w:tc>
        <w:tc>
          <w:tcPr>
            <w:tcW w:w="558"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387</w:t>
            </w:r>
          </w:p>
        </w:tc>
        <w:tc>
          <w:tcPr>
            <w:tcW w:w="1066" w:type="dxa"/>
            <w:tcBorders>
              <w:top w:val="nil"/>
              <w:left w:val="nil"/>
              <w:bottom w:val="single" w:sz="4" w:space="0" w:color="auto"/>
              <w:right w:val="single" w:sz="4" w:space="0" w:color="auto"/>
            </w:tcBorders>
            <w:shd w:val="clear" w:color="auto" w:fill="FFFFFF"/>
            <w:noWrap/>
            <w:vAlign w:val="center"/>
            <w:hideMark/>
          </w:tcPr>
          <w:p w:rsidR="007119D4" w:rsidRDefault="00EC0158">
            <w:pPr>
              <w:spacing w:line="276" w:lineRule="auto"/>
              <w:jc w:val="right"/>
              <w:rPr>
                <w:noProof/>
                <w:color w:val="000000"/>
                <w:sz w:val="18"/>
                <w:szCs w:val="18"/>
              </w:rPr>
            </w:pPr>
            <w:r>
              <w:rPr>
                <w:noProof/>
                <w:color w:val="000000"/>
                <w:sz w:val="18"/>
                <w:szCs w:val="18"/>
              </w:rPr>
              <w:t>43,744</w:t>
            </w:r>
          </w:p>
        </w:tc>
        <w:tc>
          <w:tcPr>
            <w:tcW w:w="938" w:type="dxa"/>
            <w:tcBorders>
              <w:top w:val="nil"/>
              <w:left w:val="nil"/>
              <w:bottom w:val="single" w:sz="4" w:space="0" w:color="auto"/>
              <w:right w:val="single" w:sz="4" w:space="0" w:color="auto"/>
            </w:tcBorders>
            <w:noWrap/>
            <w:vAlign w:val="center"/>
            <w:hideMark/>
          </w:tcPr>
          <w:p w:rsidR="007119D4" w:rsidRDefault="00EC0158">
            <w:pPr>
              <w:spacing w:line="276" w:lineRule="auto"/>
              <w:jc w:val="right"/>
              <w:rPr>
                <w:noProof/>
                <w:color w:val="000000"/>
                <w:sz w:val="18"/>
                <w:szCs w:val="18"/>
              </w:rPr>
            </w:pPr>
            <w:r>
              <w:rPr>
                <w:noProof/>
                <w:color w:val="000000"/>
                <w:sz w:val="18"/>
                <w:szCs w:val="18"/>
              </w:rPr>
              <w:t>-23,52 %</w:t>
            </w:r>
          </w:p>
        </w:tc>
        <w:tc>
          <w:tcPr>
            <w:tcW w:w="1066" w:type="dxa"/>
            <w:tcBorders>
              <w:top w:val="nil"/>
              <w:left w:val="nil"/>
              <w:bottom w:val="single" w:sz="4" w:space="0" w:color="auto"/>
              <w:right w:val="single" w:sz="4" w:space="0" w:color="auto"/>
            </w:tcBorders>
            <w:shd w:val="clear" w:color="auto" w:fill="FFFFFF"/>
            <w:noWrap/>
            <w:vAlign w:val="center"/>
            <w:hideMark/>
          </w:tcPr>
          <w:p w:rsidR="007119D4" w:rsidRDefault="00EC0158">
            <w:pPr>
              <w:spacing w:line="276" w:lineRule="auto"/>
              <w:jc w:val="right"/>
              <w:rPr>
                <w:noProof/>
                <w:color w:val="000000"/>
                <w:sz w:val="18"/>
                <w:szCs w:val="18"/>
              </w:rPr>
            </w:pPr>
            <w:r>
              <w:rPr>
                <w:noProof/>
                <w:color w:val="000000"/>
                <w:sz w:val="18"/>
                <w:szCs w:val="18"/>
              </w:rPr>
              <w:t>-14,52 %</w:t>
            </w:r>
          </w:p>
        </w:tc>
      </w:tr>
      <w:tr w:rsidR="007119D4">
        <w:trPr>
          <w:trHeight w:val="300"/>
          <w:jc w:val="center"/>
        </w:trPr>
        <w:tc>
          <w:tcPr>
            <w:tcW w:w="1384" w:type="dxa"/>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color w:val="000000"/>
                <w:sz w:val="18"/>
                <w:szCs w:val="18"/>
              </w:rPr>
            </w:pPr>
            <w:r>
              <w:rPr>
                <w:noProof/>
                <w:sz w:val="18"/>
                <w:szCs w:val="18"/>
              </w:rPr>
              <w:t>Agence exécutive pour les consommateurs, la santé et l'alimentation (Chafea)</w:t>
            </w:r>
          </w:p>
        </w:tc>
        <w:tc>
          <w:tcPr>
            <w:tcW w:w="680"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79</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11,301</w:t>
            </w:r>
          </w:p>
        </w:tc>
        <w:tc>
          <w:tcPr>
            <w:tcW w:w="633"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79</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 xml:space="preserve">        -     </w:t>
            </w:r>
          </w:p>
        </w:tc>
        <w:tc>
          <w:tcPr>
            <w:tcW w:w="558"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-79</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0</w:t>
            </w:r>
          </w:p>
        </w:tc>
        <w:tc>
          <w:tcPr>
            <w:tcW w:w="558"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0</w:t>
            </w:r>
          </w:p>
        </w:tc>
        <w:tc>
          <w:tcPr>
            <w:tcW w:w="1066" w:type="dxa"/>
            <w:tcBorders>
              <w:top w:val="nil"/>
              <w:left w:val="nil"/>
              <w:bottom w:val="single" w:sz="4" w:space="0" w:color="auto"/>
              <w:right w:val="single" w:sz="4" w:space="0" w:color="auto"/>
            </w:tcBorders>
            <w:shd w:val="clear" w:color="auto" w:fill="FFFFFF"/>
            <w:noWrap/>
            <w:vAlign w:val="center"/>
            <w:hideMark/>
          </w:tcPr>
          <w:p w:rsidR="007119D4" w:rsidRDefault="00EC0158">
            <w:pPr>
              <w:spacing w:line="276" w:lineRule="auto"/>
              <w:jc w:val="right"/>
              <w:rPr>
                <w:noProof/>
                <w:color w:val="000000"/>
                <w:sz w:val="18"/>
                <w:szCs w:val="18"/>
              </w:rPr>
            </w:pPr>
            <w:r>
              <w:rPr>
                <w:noProof/>
                <w:color w:val="000000"/>
                <w:sz w:val="18"/>
                <w:szCs w:val="18"/>
              </w:rPr>
              <w:t>0</w:t>
            </w:r>
          </w:p>
        </w:tc>
        <w:tc>
          <w:tcPr>
            <w:tcW w:w="938" w:type="dxa"/>
            <w:tcBorders>
              <w:top w:val="nil"/>
              <w:left w:val="nil"/>
              <w:bottom w:val="single" w:sz="4" w:space="0" w:color="auto"/>
              <w:right w:val="single" w:sz="4" w:space="0" w:color="auto"/>
            </w:tcBorders>
            <w:noWrap/>
            <w:vAlign w:val="center"/>
            <w:hideMark/>
          </w:tcPr>
          <w:p w:rsidR="007119D4" w:rsidRDefault="00EC0158">
            <w:pPr>
              <w:spacing w:line="276" w:lineRule="auto"/>
              <w:jc w:val="right"/>
              <w:rPr>
                <w:noProof/>
                <w:color w:val="000000"/>
                <w:sz w:val="18"/>
                <w:szCs w:val="18"/>
              </w:rPr>
            </w:pPr>
            <w:r>
              <w:rPr>
                <w:noProof/>
                <w:color w:val="000000"/>
                <w:sz w:val="18"/>
                <w:szCs w:val="18"/>
              </w:rPr>
              <w:t>-100 %</w:t>
            </w:r>
          </w:p>
        </w:tc>
        <w:tc>
          <w:tcPr>
            <w:tcW w:w="1066" w:type="dxa"/>
            <w:tcBorders>
              <w:top w:val="nil"/>
              <w:left w:val="nil"/>
              <w:bottom w:val="single" w:sz="4" w:space="0" w:color="auto"/>
              <w:right w:val="single" w:sz="4" w:space="0" w:color="auto"/>
            </w:tcBorders>
            <w:shd w:val="clear" w:color="auto" w:fill="FFFFFF"/>
            <w:noWrap/>
            <w:vAlign w:val="center"/>
            <w:hideMark/>
          </w:tcPr>
          <w:p w:rsidR="007119D4" w:rsidRDefault="00EC0158">
            <w:pPr>
              <w:spacing w:line="276" w:lineRule="auto"/>
              <w:jc w:val="right"/>
              <w:rPr>
                <w:noProof/>
                <w:color w:val="000000"/>
                <w:sz w:val="18"/>
                <w:szCs w:val="18"/>
              </w:rPr>
            </w:pPr>
            <w:r>
              <w:rPr>
                <w:noProof/>
                <w:color w:val="000000"/>
                <w:sz w:val="18"/>
                <w:szCs w:val="18"/>
              </w:rPr>
              <w:t>-100 %</w:t>
            </w:r>
          </w:p>
        </w:tc>
      </w:tr>
      <w:tr w:rsidR="007119D4">
        <w:trPr>
          <w:trHeight w:val="300"/>
          <w:jc w:val="center"/>
        </w:trPr>
        <w:tc>
          <w:tcPr>
            <w:tcW w:w="1384" w:type="dxa"/>
            <w:tcBorders>
              <w:top w:val="nil"/>
              <w:left w:val="single" w:sz="4" w:space="0" w:color="auto"/>
              <w:bottom w:val="single" w:sz="4" w:space="0" w:color="auto"/>
              <w:right w:val="single" w:sz="4" w:space="0" w:color="auto"/>
            </w:tcBorders>
            <w:shd w:val="clear" w:color="auto" w:fill="FFFFFF"/>
            <w:vAlign w:val="center"/>
            <w:hideMark/>
          </w:tcPr>
          <w:p w:rsidR="007119D4" w:rsidRDefault="00EC0158">
            <w:pPr>
              <w:spacing w:line="276" w:lineRule="auto"/>
              <w:jc w:val="both"/>
              <w:rPr>
                <w:b/>
                <w:bCs/>
                <w:noProof/>
                <w:color w:val="000000"/>
                <w:sz w:val="18"/>
                <w:szCs w:val="18"/>
              </w:rPr>
            </w:pPr>
            <w:r>
              <w:rPr>
                <w:b/>
                <w:bCs/>
                <w:noProof/>
                <w:color w:val="000000"/>
                <w:sz w:val="18"/>
                <w:szCs w:val="18"/>
              </w:rPr>
              <w:t>Total</w:t>
            </w:r>
          </w:p>
        </w:tc>
        <w:tc>
          <w:tcPr>
            <w:tcW w:w="680"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8"/>
                <w:szCs w:val="18"/>
              </w:rPr>
            </w:pPr>
            <w:r>
              <w:rPr>
                <w:b/>
                <w:bCs/>
                <w:noProof/>
                <w:color w:val="000000"/>
                <w:sz w:val="18"/>
                <w:szCs w:val="18"/>
              </w:rPr>
              <w:t>2 650</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8"/>
                <w:szCs w:val="18"/>
              </w:rPr>
            </w:pPr>
            <w:r>
              <w:rPr>
                <w:b/>
                <w:bCs/>
                <w:noProof/>
                <w:color w:val="000000"/>
                <w:sz w:val="18"/>
                <w:szCs w:val="18"/>
              </w:rPr>
              <w:t>267,679</w:t>
            </w:r>
          </w:p>
        </w:tc>
        <w:tc>
          <w:tcPr>
            <w:tcW w:w="633"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8"/>
                <w:szCs w:val="18"/>
              </w:rPr>
            </w:pPr>
            <w:r>
              <w:rPr>
                <w:b/>
                <w:bCs/>
                <w:noProof/>
                <w:color w:val="000000"/>
                <w:sz w:val="18"/>
                <w:szCs w:val="18"/>
              </w:rPr>
              <w:t>2 650</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8"/>
                <w:szCs w:val="18"/>
              </w:rPr>
            </w:pPr>
            <w:r>
              <w:rPr>
                <w:b/>
                <w:bCs/>
                <w:noProof/>
                <w:color w:val="000000"/>
                <w:sz w:val="18"/>
                <w:szCs w:val="18"/>
              </w:rPr>
              <w:t>5,11</w:t>
            </w:r>
          </w:p>
        </w:tc>
        <w:tc>
          <w:tcPr>
            <w:tcW w:w="558"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8"/>
                <w:szCs w:val="18"/>
              </w:rPr>
            </w:pPr>
            <w:r>
              <w:rPr>
                <w:noProof/>
                <w:color w:val="000000"/>
                <w:sz w:val="18"/>
                <w:szCs w:val="18"/>
              </w:rPr>
              <w:t>302</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8"/>
                <w:szCs w:val="18"/>
              </w:rPr>
            </w:pPr>
            <w:r>
              <w:rPr>
                <w:b/>
                <w:bCs/>
                <w:noProof/>
                <w:color w:val="000000"/>
                <w:sz w:val="18"/>
                <w:szCs w:val="18"/>
              </w:rPr>
              <w:t>321,991</w:t>
            </w:r>
          </w:p>
        </w:tc>
        <w:tc>
          <w:tcPr>
            <w:tcW w:w="558"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8"/>
                <w:szCs w:val="18"/>
              </w:rPr>
            </w:pPr>
            <w:r>
              <w:rPr>
                <w:b/>
                <w:bCs/>
                <w:noProof/>
                <w:color w:val="000000"/>
                <w:sz w:val="18"/>
                <w:szCs w:val="18"/>
              </w:rPr>
              <w:t>2 952</w:t>
            </w:r>
          </w:p>
        </w:tc>
        <w:tc>
          <w:tcPr>
            <w:tcW w:w="1066"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8"/>
                <w:szCs w:val="18"/>
              </w:rPr>
            </w:pPr>
            <w:r>
              <w:rPr>
                <w:b/>
                <w:bCs/>
                <w:noProof/>
                <w:color w:val="000000"/>
                <w:sz w:val="18"/>
                <w:szCs w:val="18"/>
              </w:rPr>
              <w:t>327,101</w:t>
            </w:r>
          </w:p>
        </w:tc>
        <w:tc>
          <w:tcPr>
            <w:tcW w:w="938" w:type="dxa"/>
            <w:tcBorders>
              <w:top w:val="nil"/>
              <w:left w:val="nil"/>
              <w:bottom w:val="single" w:sz="4" w:space="0" w:color="auto"/>
              <w:right w:val="single" w:sz="4" w:space="0" w:color="auto"/>
            </w:tcBorders>
            <w:noWrap/>
            <w:vAlign w:val="center"/>
            <w:hideMark/>
          </w:tcPr>
          <w:p w:rsidR="007119D4" w:rsidRDefault="00EC0158">
            <w:pPr>
              <w:spacing w:line="276" w:lineRule="auto"/>
              <w:jc w:val="right"/>
              <w:rPr>
                <w:b/>
                <w:bCs/>
                <w:noProof/>
                <w:color w:val="000000"/>
                <w:sz w:val="18"/>
                <w:szCs w:val="18"/>
              </w:rPr>
            </w:pPr>
            <w:r>
              <w:rPr>
                <w:b/>
                <w:bCs/>
                <w:noProof/>
                <w:color w:val="000000"/>
                <w:sz w:val="18"/>
                <w:szCs w:val="18"/>
              </w:rPr>
              <w:t>11,40 %</w:t>
            </w:r>
          </w:p>
        </w:tc>
        <w:tc>
          <w:tcPr>
            <w:tcW w:w="1066" w:type="dxa"/>
            <w:tcBorders>
              <w:top w:val="nil"/>
              <w:left w:val="nil"/>
              <w:bottom w:val="single" w:sz="4" w:space="0" w:color="auto"/>
              <w:right w:val="single" w:sz="4" w:space="0" w:color="auto"/>
            </w:tcBorders>
            <w:shd w:val="clear" w:color="auto" w:fill="FFFFFF"/>
            <w:noWrap/>
            <w:vAlign w:val="center"/>
            <w:hideMark/>
          </w:tcPr>
          <w:p w:rsidR="007119D4" w:rsidRDefault="00EC0158">
            <w:pPr>
              <w:spacing w:line="276" w:lineRule="auto"/>
              <w:jc w:val="right"/>
              <w:rPr>
                <w:b/>
                <w:bCs/>
                <w:noProof/>
                <w:color w:val="000000"/>
                <w:sz w:val="18"/>
                <w:szCs w:val="18"/>
              </w:rPr>
            </w:pPr>
            <w:r>
              <w:rPr>
                <w:b/>
                <w:bCs/>
                <w:noProof/>
                <w:color w:val="000000"/>
                <w:sz w:val="18"/>
                <w:szCs w:val="18"/>
              </w:rPr>
              <w:t>22,20 %</w:t>
            </w:r>
          </w:p>
        </w:tc>
      </w:tr>
    </w:tbl>
    <w:p w:rsidR="007119D4" w:rsidRDefault="00EC0158">
      <w:pPr>
        <w:spacing w:before="120" w:after="120"/>
        <w:jc w:val="both"/>
        <w:rPr>
          <w:noProof/>
        </w:rPr>
      </w:pPr>
      <w:r>
        <w:rPr>
          <w:noProof/>
        </w:rPr>
        <w:t xml:space="preserve">Les effectifs estimés nécessaires dans les agences exécutives en 2021 augmentent de 302 ETP (11,4 %) par rapport au budget 2020. La </w:t>
      </w:r>
      <w:r>
        <w:rPr>
          <w:noProof/>
        </w:rPr>
        <w:t>contribution correspondante de l’Union augmente de 22,2 % par rapport à 2020.</w:t>
      </w:r>
    </w:p>
    <w:p w:rsidR="007119D4" w:rsidRDefault="00EC0158">
      <w:pPr>
        <w:keepNext/>
        <w:tabs>
          <w:tab w:val="left" w:pos="850"/>
        </w:tabs>
        <w:spacing w:before="360" w:after="120"/>
        <w:ind w:left="357" w:hanging="357"/>
        <w:jc w:val="both"/>
        <w:outlineLvl w:val="1"/>
        <w:rPr>
          <w:rFonts w:eastAsia="Calibri"/>
          <w:b/>
          <w:noProof/>
        </w:rPr>
      </w:pPr>
      <w:bookmarkStart w:id="116" w:name="_Toc55807135"/>
      <w:bookmarkStart w:id="117" w:name="_Toc54770325"/>
      <w:bookmarkStart w:id="118" w:name="_Toc369629644"/>
      <w:bookmarkStart w:id="119" w:name="_Toc56419366"/>
      <w:r>
        <w:rPr>
          <w:b/>
          <w:noProof/>
        </w:rPr>
        <w:t>5.4</w:t>
      </w:r>
      <w:r>
        <w:rPr>
          <w:noProof/>
        </w:rPr>
        <w:tab/>
      </w:r>
      <w:r>
        <w:rPr>
          <w:noProof/>
        </w:rPr>
        <w:tab/>
      </w:r>
      <w:r>
        <w:rPr>
          <w:b/>
          <w:noProof/>
        </w:rPr>
        <w:t>Incidence sur les ressources humaines au sein de la Commission</w:t>
      </w:r>
      <w:bookmarkEnd w:id="116"/>
      <w:bookmarkEnd w:id="117"/>
      <w:bookmarkEnd w:id="118"/>
      <w:bookmarkEnd w:id="119"/>
    </w:p>
    <w:p w:rsidR="007119D4" w:rsidRDefault="00EC0158">
      <w:pPr>
        <w:spacing w:before="120" w:after="120"/>
        <w:jc w:val="both"/>
        <w:rPr>
          <w:noProof/>
        </w:rPr>
      </w:pPr>
      <w:bookmarkStart w:id="120" w:name="_Toc369629645"/>
      <w:r>
        <w:rPr>
          <w:noProof/>
        </w:rPr>
        <w:t xml:space="preserve">Le règlement nº 58/2003 exige que toute délégation de tâches à une agence exécutive ait un bon rapport </w:t>
      </w:r>
      <w:r>
        <w:rPr>
          <w:noProof/>
        </w:rPr>
        <w:t>coûts/avantages et soit conforme au principe de bonne gestion financière. Comme le montre le tableau récapitulatif figurant au point 5.2 ci-dessus, il en résultera une charge de travail accrue pour les agences exécutives au cours de la période 2021-2027 et</w:t>
      </w:r>
      <w:r>
        <w:rPr>
          <w:noProof/>
        </w:rPr>
        <w:t xml:space="preserve"> la nécessité de disposer de personnel supplémentaire pour gérer efficacement les programmes.</w:t>
      </w:r>
    </w:p>
    <w:p w:rsidR="007119D4" w:rsidRDefault="00EC0158">
      <w:pPr>
        <w:spacing w:before="120" w:after="120"/>
        <w:jc w:val="both"/>
        <w:rPr>
          <w:noProof/>
        </w:rPr>
      </w:pPr>
      <w:r>
        <w:rPr>
          <w:noProof/>
        </w:rPr>
        <w:t>Une partie du surcroît de travail pour les agences exécutives sera due aux programmes et aux tâches nouvellement délégués qui sont exécutés actuellement par les s</w:t>
      </w:r>
      <w:r>
        <w:rPr>
          <w:noProof/>
        </w:rPr>
        <w:t>ervices de la Commission. Le transfert de ces tâches d’exécution réduira d’autant les ressources humaines à la Commission, puisque lesdites tâches ne seront plus effectuées en son sein. Une autre partie du surcroît de travail dans les agences exécutives ré</w:t>
      </w:r>
      <w:r>
        <w:rPr>
          <w:noProof/>
        </w:rPr>
        <w:t>sultera de l’augmentation des budgets alloués aux programmes déjà délégués ainsi que des nouveaux programmes. Dans ces cas, il n’y aura pas d’incidence sur la charge de travail à la Commission, car il s’agira de tâches déjà transférées ou n’ayant jamais ét</w:t>
      </w:r>
      <w:r>
        <w:rPr>
          <w:noProof/>
        </w:rPr>
        <w:t xml:space="preserve">é mises en œuvre en interne. La Commission propose dès lors de libérer des ressources afin de garantir la neutralité budgétaire globale. </w:t>
      </w:r>
    </w:p>
    <w:p w:rsidR="007119D4" w:rsidRDefault="00EC0158">
      <w:pPr>
        <w:spacing w:before="120" w:after="120"/>
        <w:jc w:val="both"/>
        <w:rPr>
          <w:noProof/>
        </w:rPr>
      </w:pPr>
      <w:r>
        <w:rPr>
          <w:noProof/>
        </w:rPr>
        <w:t>Par le passé, les ressources humaines «libérées» étaient réaffectées à d'autres tâches conformément à l'article 13, pa</w:t>
      </w:r>
      <w:r>
        <w:rPr>
          <w:noProof/>
        </w:rPr>
        <w:t>ragraphe 6, point c), du règlement (CE) nº 58/2003. Étant donné l’engagement qu’a pris la Commission de garantir la neutralité budgétaire concernant les dépenses administratives, elle réduira ses ressources humaines, du fait de la délégation de tâches supp</w:t>
      </w:r>
      <w:r>
        <w:rPr>
          <w:noProof/>
        </w:rPr>
        <w:t>lémentaires concernant la gestion de programmes, de manière à compenser les ETP supplémentaires dans les agences exécutives. De même, les dépenses liées aux emplois «gelés» pour tenir compte des détachements auprès des agences exécutives seront réduites el</w:t>
      </w:r>
      <w:r>
        <w:rPr>
          <w:noProof/>
        </w:rPr>
        <w:t>les aussi en conséquence.</w:t>
      </w:r>
    </w:p>
    <w:p w:rsidR="007119D4" w:rsidRDefault="00EC0158">
      <w:pPr>
        <w:spacing w:before="120" w:after="120"/>
        <w:jc w:val="both"/>
        <w:rPr>
          <w:noProof/>
        </w:rPr>
      </w:pPr>
      <w:r>
        <w:rPr>
          <w:noProof/>
        </w:rPr>
        <w:t>Le tableau ci-après montre comment la Commission propose de compenser les ressources humaines supplémentaires affectées aux agences exécutives, pour 2027:</w:t>
      </w:r>
    </w:p>
    <w:p w:rsidR="007119D4" w:rsidRDefault="007119D4">
      <w:pPr>
        <w:spacing w:before="120" w:after="120"/>
        <w:jc w:val="both"/>
        <w:rPr>
          <w:noProof/>
        </w:rPr>
      </w:pPr>
    </w:p>
    <w:p w:rsidR="007119D4" w:rsidRDefault="007119D4">
      <w:pPr>
        <w:spacing w:before="120" w:after="120"/>
        <w:jc w:val="both"/>
        <w:rPr>
          <w:noProof/>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1"/>
        <w:gridCol w:w="1579"/>
      </w:tblGrid>
      <w:tr w:rsidR="007119D4">
        <w:trPr>
          <w:jc w:val="center"/>
        </w:trPr>
        <w:tc>
          <w:tcPr>
            <w:tcW w:w="83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119D4" w:rsidRDefault="00EC0158">
            <w:pPr>
              <w:spacing w:before="30" w:after="30" w:line="276" w:lineRule="auto"/>
              <w:jc w:val="center"/>
              <w:rPr>
                <w:b/>
                <w:noProof/>
                <w:sz w:val="18"/>
                <w:szCs w:val="18"/>
              </w:rPr>
            </w:pPr>
            <w:r>
              <w:rPr>
                <w:b/>
                <w:noProof/>
                <w:sz w:val="18"/>
                <w:szCs w:val="18"/>
              </w:rPr>
              <w:lastRenderedPageBreak/>
              <w:t>Compensation de l’augmentation des ressources humaines dans les agences e</w:t>
            </w:r>
            <w:r>
              <w:rPr>
                <w:b/>
                <w:noProof/>
                <w:sz w:val="18"/>
                <w:szCs w:val="18"/>
              </w:rPr>
              <w:t>xécutives</w:t>
            </w:r>
          </w:p>
        </w:tc>
        <w:tc>
          <w:tcPr>
            <w:tcW w:w="15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119D4" w:rsidRDefault="00EC0158">
            <w:pPr>
              <w:spacing w:before="30" w:after="30" w:line="276" w:lineRule="auto"/>
              <w:jc w:val="center"/>
              <w:rPr>
                <w:b/>
                <w:noProof/>
                <w:sz w:val="18"/>
                <w:szCs w:val="18"/>
                <w:highlight w:val="lightGray"/>
              </w:rPr>
            </w:pPr>
            <w:r>
              <w:rPr>
                <w:b/>
                <w:noProof/>
                <w:sz w:val="18"/>
                <w:szCs w:val="18"/>
                <w:highlight w:val="lightGray"/>
              </w:rPr>
              <w:t>Ressources humaines (ETP)</w:t>
            </w:r>
          </w:p>
        </w:tc>
      </w:tr>
      <w:tr w:rsidR="007119D4">
        <w:trPr>
          <w:jc w:val="center"/>
        </w:trPr>
        <w:tc>
          <w:tcPr>
            <w:tcW w:w="8361" w:type="dxa"/>
            <w:tcBorders>
              <w:top w:val="single" w:sz="4" w:space="0" w:color="auto"/>
              <w:left w:val="single" w:sz="4" w:space="0" w:color="auto"/>
              <w:bottom w:val="single" w:sz="4" w:space="0" w:color="auto"/>
              <w:right w:val="single" w:sz="4" w:space="0" w:color="auto"/>
            </w:tcBorders>
            <w:vAlign w:val="center"/>
            <w:hideMark/>
          </w:tcPr>
          <w:p w:rsidR="007119D4" w:rsidRDefault="00EC0158">
            <w:pPr>
              <w:spacing w:before="30" w:after="30" w:line="276" w:lineRule="auto"/>
              <w:jc w:val="both"/>
              <w:rPr>
                <w:noProof/>
                <w:sz w:val="16"/>
                <w:szCs w:val="16"/>
              </w:rPr>
            </w:pPr>
            <w:r>
              <w:rPr>
                <w:noProof/>
                <w:sz w:val="16"/>
                <w:szCs w:val="16"/>
              </w:rPr>
              <w:t>Augmentation des ressources destinées à couvrir les frais de fonctionnement de six agences, résultant d’une délégation supplémentaire</w:t>
            </w:r>
          </w:p>
        </w:tc>
        <w:tc>
          <w:tcPr>
            <w:tcW w:w="1579" w:type="dxa"/>
            <w:tcBorders>
              <w:top w:val="single" w:sz="4" w:space="0" w:color="auto"/>
              <w:left w:val="single" w:sz="4" w:space="0" w:color="auto"/>
              <w:bottom w:val="single" w:sz="4" w:space="0" w:color="auto"/>
              <w:right w:val="single" w:sz="4" w:space="0" w:color="auto"/>
            </w:tcBorders>
            <w:vAlign w:val="center"/>
            <w:hideMark/>
          </w:tcPr>
          <w:p w:rsidR="007119D4" w:rsidRDefault="00EC0158">
            <w:pPr>
              <w:spacing w:before="30" w:after="30" w:line="276" w:lineRule="auto"/>
              <w:jc w:val="right"/>
              <w:rPr>
                <w:noProof/>
                <w:sz w:val="18"/>
                <w:szCs w:val="18"/>
              </w:rPr>
            </w:pPr>
            <w:r>
              <w:rPr>
                <w:noProof/>
                <w:sz w:val="18"/>
                <w:szCs w:val="18"/>
              </w:rPr>
              <w:t>+390</w:t>
            </w:r>
          </w:p>
        </w:tc>
      </w:tr>
      <w:tr w:rsidR="007119D4">
        <w:trPr>
          <w:jc w:val="center"/>
        </w:trPr>
        <w:tc>
          <w:tcPr>
            <w:tcW w:w="8361" w:type="dxa"/>
            <w:tcBorders>
              <w:top w:val="single" w:sz="4" w:space="0" w:color="auto"/>
              <w:left w:val="single" w:sz="4" w:space="0" w:color="auto"/>
              <w:bottom w:val="single" w:sz="4" w:space="0" w:color="auto"/>
              <w:right w:val="single" w:sz="4" w:space="0" w:color="auto"/>
            </w:tcBorders>
            <w:vAlign w:val="center"/>
            <w:hideMark/>
          </w:tcPr>
          <w:p w:rsidR="007119D4" w:rsidRDefault="00EC0158">
            <w:pPr>
              <w:spacing w:before="30" w:after="30" w:line="276" w:lineRule="auto"/>
              <w:jc w:val="both"/>
              <w:rPr>
                <w:noProof/>
                <w:sz w:val="16"/>
                <w:szCs w:val="16"/>
              </w:rPr>
            </w:pPr>
            <w:r>
              <w:rPr>
                <w:noProof/>
                <w:sz w:val="16"/>
                <w:szCs w:val="16"/>
              </w:rPr>
              <w:t xml:space="preserve">Réduction des ressources administratives de la rubrique 7, résultant de la </w:t>
            </w:r>
            <w:r>
              <w:rPr>
                <w:noProof/>
                <w:sz w:val="16"/>
                <w:szCs w:val="16"/>
              </w:rPr>
              <w:t>délégation de tâches actuellement gérées par la Commission</w:t>
            </w:r>
          </w:p>
        </w:tc>
        <w:tc>
          <w:tcPr>
            <w:tcW w:w="1579" w:type="dxa"/>
            <w:tcBorders>
              <w:top w:val="single" w:sz="4" w:space="0" w:color="auto"/>
              <w:left w:val="single" w:sz="4" w:space="0" w:color="auto"/>
              <w:bottom w:val="single" w:sz="4" w:space="0" w:color="auto"/>
              <w:right w:val="single" w:sz="4" w:space="0" w:color="auto"/>
            </w:tcBorders>
            <w:vAlign w:val="center"/>
            <w:hideMark/>
          </w:tcPr>
          <w:p w:rsidR="007119D4" w:rsidRDefault="00EC0158">
            <w:pPr>
              <w:spacing w:before="30" w:after="30" w:line="276" w:lineRule="auto"/>
              <w:jc w:val="right"/>
              <w:rPr>
                <w:noProof/>
                <w:sz w:val="18"/>
                <w:szCs w:val="18"/>
              </w:rPr>
            </w:pPr>
            <w:r>
              <w:rPr>
                <w:noProof/>
                <w:sz w:val="18"/>
                <w:szCs w:val="18"/>
              </w:rPr>
              <w:t>-59</w:t>
            </w:r>
          </w:p>
        </w:tc>
      </w:tr>
      <w:tr w:rsidR="007119D4">
        <w:trPr>
          <w:jc w:val="center"/>
        </w:trPr>
        <w:tc>
          <w:tcPr>
            <w:tcW w:w="8361" w:type="dxa"/>
            <w:tcBorders>
              <w:top w:val="single" w:sz="4" w:space="0" w:color="auto"/>
              <w:left w:val="single" w:sz="4" w:space="0" w:color="auto"/>
              <w:bottom w:val="single" w:sz="4" w:space="0" w:color="auto"/>
              <w:right w:val="single" w:sz="4" w:space="0" w:color="auto"/>
            </w:tcBorders>
            <w:vAlign w:val="center"/>
            <w:hideMark/>
          </w:tcPr>
          <w:p w:rsidR="007119D4" w:rsidRDefault="00EC0158">
            <w:pPr>
              <w:spacing w:before="30" w:after="30" w:line="276" w:lineRule="auto"/>
              <w:jc w:val="both"/>
              <w:rPr>
                <w:noProof/>
                <w:sz w:val="16"/>
                <w:szCs w:val="16"/>
              </w:rPr>
            </w:pPr>
            <w:r>
              <w:rPr>
                <w:noProof/>
                <w:sz w:val="16"/>
                <w:szCs w:val="16"/>
              </w:rPr>
              <w:t>Réduction des ressources administratives et d’appui sous d'autres rubriques, résultant de la délégation de tâches actuellement gérées par la Commission</w:t>
            </w:r>
          </w:p>
        </w:tc>
        <w:tc>
          <w:tcPr>
            <w:tcW w:w="1579" w:type="dxa"/>
            <w:tcBorders>
              <w:top w:val="single" w:sz="4" w:space="0" w:color="auto"/>
              <w:left w:val="single" w:sz="4" w:space="0" w:color="auto"/>
              <w:bottom w:val="single" w:sz="4" w:space="0" w:color="auto"/>
              <w:right w:val="single" w:sz="4" w:space="0" w:color="auto"/>
            </w:tcBorders>
            <w:vAlign w:val="center"/>
            <w:hideMark/>
          </w:tcPr>
          <w:p w:rsidR="007119D4" w:rsidRDefault="00EC0158">
            <w:pPr>
              <w:spacing w:before="30" w:after="30" w:line="276" w:lineRule="auto"/>
              <w:jc w:val="right"/>
              <w:rPr>
                <w:noProof/>
                <w:sz w:val="18"/>
                <w:szCs w:val="18"/>
              </w:rPr>
            </w:pPr>
            <w:r>
              <w:rPr>
                <w:noProof/>
                <w:sz w:val="18"/>
                <w:szCs w:val="18"/>
              </w:rPr>
              <w:t>-188</w:t>
            </w:r>
          </w:p>
        </w:tc>
      </w:tr>
    </w:tbl>
    <w:p w:rsidR="007119D4" w:rsidRDefault="00EC0158">
      <w:pPr>
        <w:keepNext/>
        <w:tabs>
          <w:tab w:val="left" w:pos="850"/>
        </w:tabs>
        <w:spacing w:before="360" w:after="120"/>
        <w:ind w:left="357" w:hanging="357"/>
        <w:jc w:val="both"/>
        <w:outlineLvl w:val="1"/>
        <w:rPr>
          <w:rFonts w:eastAsia="Calibri"/>
          <w:b/>
          <w:noProof/>
        </w:rPr>
      </w:pPr>
      <w:bookmarkStart w:id="121" w:name="_Toc55807136"/>
      <w:bookmarkStart w:id="122" w:name="_Toc54770326"/>
      <w:bookmarkStart w:id="123" w:name="_Toc56419367"/>
      <w:bookmarkEnd w:id="120"/>
      <w:r>
        <w:rPr>
          <w:b/>
          <w:noProof/>
        </w:rPr>
        <w:t>5.5</w:t>
      </w:r>
      <w:r>
        <w:rPr>
          <w:noProof/>
        </w:rPr>
        <w:tab/>
      </w:r>
      <w:r>
        <w:rPr>
          <w:noProof/>
        </w:rPr>
        <w:tab/>
      </w:r>
      <w:r>
        <w:rPr>
          <w:b/>
          <w:noProof/>
        </w:rPr>
        <w:t>Ajustements inclus dans la LR</w:t>
      </w:r>
      <w:r>
        <w:rPr>
          <w:b/>
          <w:noProof/>
        </w:rPr>
        <w:t xml:space="preserve"> nº 1/2021</w:t>
      </w:r>
      <w:bookmarkEnd w:id="121"/>
      <w:bookmarkEnd w:id="122"/>
      <w:bookmarkEnd w:id="123"/>
    </w:p>
    <w:p w:rsidR="007119D4" w:rsidRDefault="00EC0158">
      <w:pPr>
        <w:spacing w:before="120" w:after="120"/>
        <w:jc w:val="both"/>
        <w:rPr>
          <w:noProof/>
        </w:rPr>
      </w:pPr>
      <w:r>
        <w:rPr>
          <w:noProof/>
        </w:rPr>
        <w:t xml:space="preserve">Les ajustements inclus dans la LR nº 1/2021 traduisent les effets, en termes de ressources, de la délégation prévue pour les programmes 2021-2027, tant du côté des agences exécutives que de celui de la Commission pour 2021. Pour cette dernière, </w:t>
      </w:r>
      <w:r>
        <w:rPr>
          <w:noProof/>
        </w:rPr>
        <w:t>l’incidence prend la forme d'une réduction nette des crédits relatifs aux rémunérations de la rubrique 7 «Administration publique européenne», d’un montant de 2,5 millions d'EUR, et d'une réallocation des crédits, neutre sur le plan budgétaire, au sein des</w:t>
      </w:r>
      <w:r>
        <w:rPr>
          <w:noProof/>
        </w:rPr>
        <w:t xml:space="preserve"> enveloppes respectives des programmes délégués visés.</w:t>
      </w:r>
    </w:p>
    <w:p w:rsidR="007119D4" w:rsidRDefault="00EC0158">
      <w:pPr>
        <w:spacing w:after="200" w:line="276" w:lineRule="auto"/>
        <w:rPr>
          <w:noProof/>
        </w:rPr>
      </w:pPr>
      <w:r>
        <w:rPr>
          <w:noProof/>
        </w:rPr>
        <w:br w:type="page"/>
      </w:r>
    </w:p>
    <w:p w:rsidR="007119D4" w:rsidRDefault="00EC0158">
      <w:pPr>
        <w:spacing w:before="120" w:after="120"/>
        <w:jc w:val="both"/>
        <w:rPr>
          <w:noProof/>
        </w:rPr>
      </w:pPr>
      <w:r>
        <w:rPr>
          <w:noProof/>
        </w:rPr>
        <w:lastRenderedPageBreak/>
        <w:t xml:space="preserve">En termes de nomenclature, comme le montre le tableau ci-dessous, il est proposé de créer de nouvelles lignes budgétaires dans chaque programme délégué, pour la subvention destinée aux six nouvelles agences exécutives, en complément des lignes budgétaires </w:t>
      </w:r>
      <w:r>
        <w:rPr>
          <w:noProof/>
        </w:rPr>
        <w:t>déjà incluses dans le PB 2021 pour les agences exécutives «héritées» actuelles. Le maintien de cette structure parallèle garantira une transition sans heurts de l'actuelle vers la nouvelle configuration des agences exécutives, quel qu’en soit le calendrier</w:t>
      </w:r>
      <w:r>
        <w:rPr>
          <w:noProof/>
        </w:rPr>
        <w:t xml:space="preserve"> exact, qui dépend étroitement de l’adoption formelle du CFP et des actes de base des programmes 2021-2027. </w:t>
      </w:r>
    </w:p>
    <w:tbl>
      <w:tblPr>
        <w:tblW w:w="9810" w:type="dxa"/>
        <w:tblInd w:w="113" w:type="dxa"/>
        <w:tblLook w:val="04A0" w:firstRow="1" w:lastRow="0" w:firstColumn="1" w:lastColumn="0" w:noHBand="0" w:noVBand="1"/>
      </w:tblPr>
      <w:tblGrid>
        <w:gridCol w:w="1661"/>
        <w:gridCol w:w="1071"/>
        <w:gridCol w:w="1892"/>
        <w:gridCol w:w="1156"/>
        <w:gridCol w:w="1090"/>
        <w:gridCol w:w="1158"/>
        <w:gridCol w:w="1782"/>
      </w:tblGrid>
      <w:tr w:rsidR="007119D4">
        <w:trPr>
          <w:trHeight w:val="240"/>
          <w:tblHeader/>
        </w:trPr>
        <w:tc>
          <w:tcPr>
            <w:tcW w:w="1675" w:type="dxa"/>
            <w:tcBorders>
              <w:top w:val="single" w:sz="4" w:space="0" w:color="auto"/>
              <w:left w:val="single" w:sz="4" w:space="0" w:color="auto"/>
              <w:bottom w:val="single" w:sz="4" w:space="0" w:color="auto"/>
              <w:right w:val="nil"/>
            </w:tcBorders>
            <w:shd w:val="clear" w:color="auto" w:fill="D9D9D9"/>
            <w:vAlign w:val="center"/>
            <w:hideMark/>
          </w:tcPr>
          <w:p w:rsidR="007119D4" w:rsidRDefault="00EC0158">
            <w:pPr>
              <w:spacing w:line="276" w:lineRule="auto"/>
              <w:jc w:val="center"/>
              <w:rPr>
                <w:noProof/>
                <w:color w:val="000000"/>
                <w:sz w:val="18"/>
                <w:szCs w:val="18"/>
              </w:rPr>
            </w:pPr>
            <w:r>
              <w:rPr>
                <w:noProof/>
                <w:color w:val="000000"/>
                <w:sz w:val="18"/>
                <w:szCs w:val="18"/>
              </w:rPr>
              <w:t>Nouvelle agence exécutive</w:t>
            </w:r>
          </w:p>
        </w:tc>
        <w:tc>
          <w:tcPr>
            <w:tcW w:w="10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119D4" w:rsidRDefault="00EC0158">
            <w:pPr>
              <w:spacing w:line="276" w:lineRule="auto"/>
              <w:jc w:val="center"/>
              <w:rPr>
                <w:noProof/>
                <w:color w:val="000000"/>
                <w:sz w:val="18"/>
                <w:szCs w:val="18"/>
              </w:rPr>
            </w:pPr>
            <w:r>
              <w:rPr>
                <w:noProof/>
                <w:color w:val="000000"/>
                <w:sz w:val="18"/>
                <w:szCs w:val="18"/>
              </w:rPr>
              <w:t>Nouvelle ligne de subvention</w:t>
            </w:r>
          </w:p>
        </w:tc>
        <w:tc>
          <w:tcPr>
            <w:tcW w:w="1925" w:type="dxa"/>
            <w:tcBorders>
              <w:top w:val="single" w:sz="4" w:space="0" w:color="auto"/>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noProof/>
                <w:color w:val="000000"/>
                <w:sz w:val="18"/>
                <w:szCs w:val="18"/>
              </w:rPr>
            </w:pPr>
            <w:r>
              <w:rPr>
                <w:noProof/>
                <w:color w:val="000000"/>
                <w:sz w:val="18"/>
                <w:szCs w:val="18"/>
              </w:rPr>
              <w:t>Nouveau portefeuille</w:t>
            </w:r>
          </w:p>
        </w:tc>
        <w:tc>
          <w:tcPr>
            <w:tcW w:w="1066" w:type="dxa"/>
            <w:tcBorders>
              <w:top w:val="single" w:sz="4" w:space="0" w:color="auto"/>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noProof/>
                <w:color w:val="000000"/>
                <w:sz w:val="18"/>
                <w:szCs w:val="18"/>
              </w:rPr>
            </w:pPr>
            <w:r>
              <w:rPr>
                <w:noProof/>
                <w:color w:val="000000"/>
                <w:sz w:val="18"/>
                <w:szCs w:val="18"/>
              </w:rPr>
              <w:t>Prédécesseur en droit</w:t>
            </w:r>
          </w:p>
        </w:tc>
        <w:tc>
          <w:tcPr>
            <w:tcW w:w="1094" w:type="dxa"/>
            <w:tcBorders>
              <w:top w:val="single" w:sz="4" w:space="0" w:color="auto"/>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noProof/>
                <w:color w:val="000000"/>
                <w:sz w:val="18"/>
                <w:szCs w:val="18"/>
              </w:rPr>
            </w:pPr>
            <w:r>
              <w:rPr>
                <w:noProof/>
                <w:color w:val="000000"/>
                <w:sz w:val="18"/>
                <w:szCs w:val="18"/>
              </w:rPr>
              <w:t>Délégation «héritée»</w:t>
            </w:r>
          </w:p>
        </w:tc>
        <w:tc>
          <w:tcPr>
            <w:tcW w:w="1166" w:type="dxa"/>
            <w:tcBorders>
              <w:top w:val="single" w:sz="4" w:space="0" w:color="auto"/>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noProof/>
                <w:color w:val="000000"/>
                <w:sz w:val="18"/>
                <w:szCs w:val="18"/>
              </w:rPr>
            </w:pPr>
            <w:r>
              <w:rPr>
                <w:noProof/>
                <w:color w:val="000000"/>
                <w:sz w:val="18"/>
                <w:szCs w:val="18"/>
              </w:rPr>
              <w:t>Ligne de subvention «héritée</w:t>
            </w:r>
            <w:r>
              <w:rPr>
                <w:noProof/>
                <w:color w:val="000000"/>
                <w:sz w:val="18"/>
                <w:szCs w:val="18"/>
              </w:rPr>
              <w:t>»</w:t>
            </w:r>
          </w:p>
        </w:tc>
        <w:tc>
          <w:tcPr>
            <w:tcW w:w="1809" w:type="dxa"/>
            <w:tcBorders>
              <w:top w:val="single" w:sz="4" w:space="0" w:color="auto"/>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noProof/>
                <w:color w:val="000000"/>
                <w:sz w:val="18"/>
                <w:szCs w:val="18"/>
              </w:rPr>
            </w:pPr>
            <w:r>
              <w:rPr>
                <w:noProof/>
                <w:color w:val="000000"/>
                <w:sz w:val="18"/>
                <w:szCs w:val="18"/>
              </w:rPr>
              <w:t>Portefeuille précédent</w:t>
            </w:r>
          </w:p>
        </w:tc>
      </w:tr>
      <w:tr w:rsidR="007119D4">
        <w:trPr>
          <w:trHeight w:val="240"/>
        </w:trPr>
        <w:tc>
          <w:tcPr>
            <w:tcW w:w="1675" w:type="dxa"/>
            <w:tcBorders>
              <w:top w:val="nil"/>
              <w:left w:val="single" w:sz="4" w:space="0" w:color="auto"/>
              <w:bottom w:val="single" w:sz="4" w:space="0" w:color="auto"/>
              <w:right w:val="nil"/>
            </w:tcBorders>
            <w:vAlign w:val="center"/>
            <w:hideMark/>
          </w:tcPr>
          <w:p w:rsidR="007119D4" w:rsidRDefault="00EC0158">
            <w:pPr>
              <w:spacing w:line="276" w:lineRule="auto"/>
              <w:rPr>
                <w:noProof/>
                <w:color w:val="000000"/>
                <w:sz w:val="18"/>
                <w:szCs w:val="18"/>
              </w:rPr>
            </w:pPr>
            <w:r>
              <w:rPr>
                <w:noProof/>
                <w:color w:val="000000"/>
                <w:sz w:val="18"/>
                <w:szCs w:val="18"/>
              </w:rPr>
              <w:t>Agence exécutive du Conseil européen de la recherche</w:t>
            </w:r>
          </w:p>
        </w:tc>
        <w:tc>
          <w:tcPr>
            <w:tcW w:w="1075" w:type="dxa"/>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01 01 01 71</w:t>
            </w:r>
          </w:p>
        </w:tc>
        <w:tc>
          <w:tcPr>
            <w:tcW w:w="1925"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Horizon Europe</w:t>
            </w:r>
          </w:p>
        </w:tc>
        <w:tc>
          <w:tcPr>
            <w:tcW w:w="1066" w:type="dxa"/>
            <w:tcBorders>
              <w:top w:val="nil"/>
              <w:left w:val="nil"/>
              <w:bottom w:val="single" w:sz="4" w:space="0" w:color="auto"/>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ERCEA</w:t>
            </w:r>
          </w:p>
        </w:tc>
        <w:tc>
          <w:tcPr>
            <w:tcW w:w="1094"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ERCEA</w:t>
            </w:r>
          </w:p>
        </w:tc>
        <w:tc>
          <w:tcPr>
            <w:tcW w:w="1166"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01 01 01 61</w:t>
            </w: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Horizon 2020</w:t>
            </w:r>
          </w:p>
        </w:tc>
      </w:tr>
      <w:tr w:rsidR="007119D4">
        <w:trPr>
          <w:trHeight w:val="240"/>
        </w:trPr>
        <w:tc>
          <w:tcPr>
            <w:tcW w:w="1675" w:type="dxa"/>
            <w:vMerge w:val="restart"/>
            <w:tcBorders>
              <w:top w:val="nil"/>
              <w:left w:val="single" w:sz="4" w:space="0" w:color="auto"/>
              <w:bottom w:val="single" w:sz="4" w:space="0" w:color="000000"/>
              <w:right w:val="nil"/>
            </w:tcBorders>
            <w:vAlign w:val="center"/>
            <w:hideMark/>
          </w:tcPr>
          <w:p w:rsidR="007119D4" w:rsidRDefault="00EC0158">
            <w:pPr>
              <w:spacing w:line="276" w:lineRule="auto"/>
              <w:rPr>
                <w:noProof/>
                <w:color w:val="000000"/>
                <w:sz w:val="18"/>
                <w:szCs w:val="18"/>
              </w:rPr>
            </w:pPr>
            <w:r>
              <w:rPr>
                <w:noProof/>
                <w:color w:val="000000"/>
                <w:sz w:val="18"/>
                <w:szCs w:val="18"/>
              </w:rPr>
              <w:t>Agence exécutive européenne pour la recherche</w:t>
            </w:r>
          </w:p>
        </w:tc>
        <w:tc>
          <w:tcPr>
            <w:tcW w:w="1075" w:type="dxa"/>
            <w:vMerge w:val="restart"/>
            <w:tcBorders>
              <w:top w:val="single" w:sz="4" w:space="0" w:color="auto"/>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01 01 01 72</w:t>
            </w:r>
          </w:p>
        </w:tc>
        <w:tc>
          <w:tcPr>
            <w:tcW w:w="1925" w:type="dxa"/>
            <w:vMerge w:val="restart"/>
            <w:tcBorders>
              <w:top w:val="single" w:sz="4" w:space="0" w:color="auto"/>
              <w:left w:val="single" w:sz="4" w:space="0" w:color="auto"/>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Horizon Europe</w:t>
            </w:r>
          </w:p>
        </w:tc>
        <w:tc>
          <w:tcPr>
            <w:tcW w:w="1066" w:type="dxa"/>
            <w:vMerge w:val="restart"/>
            <w:tcBorders>
              <w:top w:val="nil"/>
              <w:left w:val="nil"/>
              <w:bottom w:val="single" w:sz="4" w:space="0" w:color="000000"/>
              <w:right w:val="nil"/>
            </w:tcBorders>
            <w:vAlign w:val="center"/>
            <w:hideMark/>
          </w:tcPr>
          <w:p w:rsidR="007119D4" w:rsidRDefault="00EC0158">
            <w:pPr>
              <w:spacing w:line="276" w:lineRule="auto"/>
              <w:jc w:val="center"/>
              <w:rPr>
                <w:noProof/>
                <w:color w:val="000000"/>
                <w:sz w:val="18"/>
                <w:szCs w:val="18"/>
              </w:rPr>
            </w:pPr>
            <w:r>
              <w:rPr>
                <w:noProof/>
                <w:color w:val="000000"/>
                <w:sz w:val="18"/>
                <w:szCs w:val="18"/>
              </w:rPr>
              <w:t>REA</w:t>
            </w:r>
          </w:p>
        </w:tc>
        <w:tc>
          <w:tcPr>
            <w:tcW w:w="1094" w:type="dxa"/>
            <w:tcBorders>
              <w:top w:val="single" w:sz="4" w:space="0" w:color="auto"/>
              <w:left w:val="single" w:sz="4" w:space="0" w:color="auto"/>
              <w:bottom w:val="nil"/>
              <w:right w:val="nil"/>
            </w:tcBorders>
            <w:vAlign w:val="center"/>
            <w:hideMark/>
          </w:tcPr>
          <w:p w:rsidR="007119D4" w:rsidRDefault="00EC0158">
            <w:pPr>
              <w:spacing w:line="276" w:lineRule="auto"/>
              <w:jc w:val="center"/>
              <w:rPr>
                <w:noProof/>
                <w:color w:val="000000"/>
                <w:sz w:val="18"/>
                <w:szCs w:val="18"/>
              </w:rPr>
            </w:pPr>
            <w:r>
              <w:rPr>
                <w:noProof/>
                <w:color w:val="000000"/>
                <w:sz w:val="18"/>
                <w:szCs w:val="18"/>
              </w:rPr>
              <w:t>REA</w:t>
            </w:r>
          </w:p>
        </w:tc>
        <w:tc>
          <w:tcPr>
            <w:tcW w:w="1166" w:type="dxa"/>
            <w:tcBorders>
              <w:top w:val="single" w:sz="4" w:space="0" w:color="auto"/>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01 01 01 62</w:t>
            </w:r>
          </w:p>
        </w:tc>
        <w:tc>
          <w:tcPr>
            <w:tcW w:w="1809" w:type="dxa"/>
            <w:vMerge w:val="restart"/>
            <w:tcBorders>
              <w:top w:val="single" w:sz="4" w:space="0" w:color="auto"/>
              <w:left w:val="single" w:sz="4" w:space="0" w:color="auto"/>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Horizon 2020</w:t>
            </w: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7119D4" w:rsidRDefault="007119D4">
            <w:pPr>
              <w:spacing w:line="276" w:lineRule="auto"/>
              <w:rPr>
                <w:noProof/>
                <w:color w:val="000000"/>
                <w:sz w:val="16"/>
                <w:szCs w:val="16"/>
              </w:rPr>
            </w:pPr>
          </w:p>
        </w:tc>
        <w:tc>
          <w:tcPr>
            <w:tcW w:w="0" w:type="auto"/>
            <w:vMerge/>
            <w:tcBorders>
              <w:top w:val="nil"/>
              <w:left w:val="nil"/>
              <w:bottom w:val="single" w:sz="4" w:space="0" w:color="000000"/>
              <w:right w:val="nil"/>
            </w:tcBorders>
            <w:vAlign w:val="center"/>
            <w:hideMark/>
          </w:tcPr>
          <w:p w:rsidR="007119D4" w:rsidRDefault="007119D4">
            <w:pPr>
              <w:spacing w:line="276" w:lineRule="auto"/>
              <w:rPr>
                <w:noProof/>
                <w:color w:val="000000"/>
                <w:sz w:val="18"/>
                <w:szCs w:val="18"/>
              </w:rPr>
            </w:pPr>
          </w:p>
        </w:tc>
        <w:tc>
          <w:tcPr>
            <w:tcW w:w="1094" w:type="dxa"/>
            <w:tcBorders>
              <w:top w:val="nil"/>
              <w:left w:val="single" w:sz="4" w:space="0" w:color="auto"/>
              <w:bottom w:val="nil"/>
              <w:right w:val="nil"/>
            </w:tcBorders>
            <w:vAlign w:val="center"/>
            <w:hideMark/>
          </w:tcPr>
          <w:p w:rsidR="007119D4" w:rsidRDefault="00EC0158">
            <w:pPr>
              <w:spacing w:line="276" w:lineRule="auto"/>
              <w:jc w:val="center"/>
              <w:rPr>
                <w:noProof/>
                <w:color w:val="000000"/>
                <w:sz w:val="18"/>
                <w:szCs w:val="18"/>
              </w:rPr>
            </w:pPr>
            <w:r>
              <w:rPr>
                <w:noProof/>
                <w:color w:val="000000"/>
                <w:sz w:val="18"/>
                <w:szCs w:val="18"/>
              </w:rPr>
              <w:t>EASME</w:t>
            </w:r>
          </w:p>
        </w:tc>
        <w:tc>
          <w:tcPr>
            <w:tcW w:w="1166" w:type="dxa"/>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01 01 01 63</w:t>
            </w:r>
          </w:p>
        </w:tc>
        <w:tc>
          <w:tcPr>
            <w:tcW w:w="0" w:type="auto"/>
            <w:vMerge/>
            <w:tcBorders>
              <w:top w:val="single" w:sz="4" w:space="0" w:color="auto"/>
              <w:left w:val="single" w:sz="4" w:space="0" w:color="auto"/>
              <w:bottom w:val="nil"/>
              <w:right w:val="single" w:sz="4" w:space="0" w:color="auto"/>
            </w:tcBorders>
            <w:vAlign w:val="center"/>
            <w:hideMark/>
          </w:tcPr>
          <w:p w:rsidR="007119D4" w:rsidRDefault="007119D4">
            <w:pPr>
              <w:spacing w:line="276" w:lineRule="auto"/>
              <w:rPr>
                <w:noProof/>
                <w:color w:val="000000"/>
                <w:sz w:val="16"/>
                <w:szCs w:val="16"/>
              </w:rPr>
            </w:pP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1075" w:type="dxa"/>
            <w:tcBorders>
              <w:top w:val="nil"/>
              <w:left w:val="single" w:sz="4" w:space="0" w:color="auto"/>
              <w:bottom w:val="nil"/>
              <w:right w:val="nil"/>
            </w:tcBorders>
            <w:vAlign w:val="center"/>
            <w:hideMark/>
          </w:tcPr>
          <w:p w:rsidR="007119D4" w:rsidRDefault="00EC0158">
            <w:pPr>
              <w:spacing w:line="276" w:lineRule="auto"/>
              <w:jc w:val="center"/>
              <w:rPr>
                <w:noProof/>
                <w:color w:val="000000"/>
                <w:sz w:val="18"/>
                <w:szCs w:val="18"/>
              </w:rPr>
            </w:pPr>
            <w:r>
              <w:rPr>
                <w:noProof/>
                <w:color w:val="000000"/>
                <w:sz w:val="18"/>
                <w:szCs w:val="18"/>
              </w:rPr>
              <w:t>20 03 14 72</w:t>
            </w:r>
          </w:p>
        </w:tc>
        <w:tc>
          <w:tcPr>
            <w:tcW w:w="1925" w:type="dxa"/>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Service central d’assistance</w:t>
            </w:r>
          </w:p>
        </w:tc>
        <w:tc>
          <w:tcPr>
            <w:tcW w:w="0" w:type="auto"/>
            <w:vMerge/>
            <w:tcBorders>
              <w:top w:val="nil"/>
              <w:left w:val="nil"/>
              <w:bottom w:val="single" w:sz="4" w:space="0" w:color="000000"/>
              <w:right w:val="nil"/>
            </w:tcBorders>
            <w:vAlign w:val="center"/>
            <w:hideMark/>
          </w:tcPr>
          <w:p w:rsidR="007119D4" w:rsidRDefault="007119D4">
            <w:pPr>
              <w:spacing w:line="276" w:lineRule="auto"/>
              <w:rPr>
                <w:noProof/>
                <w:color w:val="000000"/>
                <w:sz w:val="18"/>
                <w:szCs w:val="18"/>
              </w:rPr>
            </w:pPr>
          </w:p>
        </w:tc>
        <w:tc>
          <w:tcPr>
            <w:tcW w:w="1094" w:type="dxa"/>
            <w:tcBorders>
              <w:top w:val="nil"/>
              <w:left w:val="single" w:sz="4" w:space="0" w:color="auto"/>
              <w:bottom w:val="nil"/>
              <w:right w:val="nil"/>
            </w:tcBorders>
            <w:vAlign w:val="center"/>
            <w:hideMark/>
          </w:tcPr>
          <w:p w:rsidR="007119D4" w:rsidRDefault="00EC0158">
            <w:pPr>
              <w:spacing w:line="276" w:lineRule="auto"/>
              <w:jc w:val="center"/>
              <w:rPr>
                <w:noProof/>
                <w:color w:val="000000"/>
                <w:sz w:val="18"/>
                <w:szCs w:val="18"/>
              </w:rPr>
            </w:pPr>
            <w:r>
              <w:rPr>
                <w:noProof/>
                <w:color w:val="000000"/>
                <w:sz w:val="18"/>
                <w:szCs w:val="18"/>
              </w:rPr>
              <w:t>REA</w:t>
            </w:r>
          </w:p>
        </w:tc>
        <w:tc>
          <w:tcPr>
            <w:tcW w:w="1166" w:type="dxa"/>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20 03 14 62</w:t>
            </w: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Service central d’assistance</w:t>
            </w: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1075" w:type="dxa"/>
            <w:tcBorders>
              <w:top w:val="nil"/>
              <w:left w:val="single" w:sz="4" w:space="0" w:color="auto"/>
              <w:bottom w:val="nil"/>
              <w:right w:val="nil"/>
            </w:tcBorders>
            <w:vAlign w:val="center"/>
            <w:hideMark/>
          </w:tcPr>
          <w:p w:rsidR="007119D4" w:rsidRDefault="00EC0158">
            <w:pPr>
              <w:spacing w:line="276" w:lineRule="auto"/>
              <w:jc w:val="center"/>
              <w:rPr>
                <w:noProof/>
                <w:color w:val="000000"/>
                <w:sz w:val="18"/>
                <w:szCs w:val="18"/>
              </w:rPr>
            </w:pPr>
            <w:r>
              <w:rPr>
                <w:noProof/>
                <w:color w:val="000000"/>
                <w:sz w:val="18"/>
                <w:szCs w:val="18"/>
              </w:rPr>
              <w:t>08 01 01 72</w:t>
            </w:r>
          </w:p>
        </w:tc>
        <w:tc>
          <w:tcPr>
            <w:tcW w:w="1925" w:type="dxa"/>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Fonds européen agricole de garantie</w:t>
            </w:r>
          </w:p>
        </w:tc>
        <w:tc>
          <w:tcPr>
            <w:tcW w:w="0" w:type="auto"/>
            <w:vMerge/>
            <w:tcBorders>
              <w:top w:val="nil"/>
              <w:left w:val="nil"/>
              <w:bottom w:val="single" w:sz="4" w:space="0" w:color="000000"/>
              <w:right w:val="nil"/>
            </w:tcBorders>
            <w:vAlign w:val="center"/>
            <w:hideMark/>
          </w:tcPr>
          <w:p w:rsidR="007119D4" w:rsidRDefault="007119D4">
            <w:pPr>
              <w:spacing w:line="276" w:lineRule="auto"/>
              <w:rPr>
                <w:noProof/>
                <w:color w:val="000000"/>
                <w:sz w:val="18"/>
                <w:szCs w:val="18"/>
              </w:rPr>
            </w:pPr>
          </w:p>
        </w:tc>
        <w:tc>
          <w:tcPr>
            <w:tcW w:w="1094" w:type="dxa"/>
            <w:tcBorders>
              <w:top w:val="nil"/>
              <w:left w:val="single" w:sz="4" w:space="0" w:color="auto"/>
              <w:bottom w:val="nil"/>
              <w:right w:val="nil"/>
            </w:tcBorders>
            <w:vAlign w:val="center"/>
            <w:hideMark/>
          </w:tcPr>
          <w:p w:rsidR="007119D4" w:rsidRDefault="00EC0158">
            <w:pPr>
              <w:spacing w:line="276" w:lineRule="auto"/>
              <w:jc w:val="center"/>
              <w:rPr>
                <w:iCs/>
                <w:noProof/>
                <w:color w:val="000000"/>
                <w:sz w:val="18"/>
                <w:szCs w:val="18"/>
              </w:rPr>
            </w:pPr>
            <w:r>
              <w:rPr>
                <w:iCs/>
                <w:noProof/>
                <w:color w:val="000000"/>
                <w:sz w:val="18"/>
                <w:szCs w:val="18"/>
              </w:rPr>
              <w:t>Chafea</w:t>
            </w:r>
          </w:p>
        </w:tc>
        <w:tc>
          <w:tcPr>
            <w:tcW w:w="1166" w:type="dxa"/>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08 01 01 66</w:t>
            </w: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Fonds européen agricole de garantie</w:t>
            </w: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1075" w:type="dxa"/>
            <w:tcBorders>
              <w:top w:val="nil"/>
              <w:left w:val="single" w:sz="4" w:space="0" w:color="auto"/>
              <w:bottom w:val="single" w:sz="4" w:space="0" w:color="auto"/>
              <w:right w:val="nil"/>
            </w:tcBorders>
            <w:vAlign w:val="center"/>
            <w:hideMark/>
          </w:tcPr>
          <w:p w:rsidR="007119D4" w:rsidRDefault="00EC0158">
            <w:pPr>
              <w:spacing w:line="276" w:lineRule="auto"/>
              <w:jc w:val="center"/>
              <w:rPr>
                <w:noProof/>
                <w:color w:val="000000"/>
                <w:sz w:val="18"/>
                <w:szCs w:val="18"/>
              </w:rPr>
            </w:pPr>
            <w:r>
              <w:rPr>
                <w:noProof/>
                <w:color w:val="000000"/>
                <w:sz w:val="18"/>
                <w:szCs w:val="18"/>
              </w:rPr>
              <w:t>20 03 14 72</w:t>
            </w:r>
          </w:p>
        </w:tc>
        <w:tc>
          <w:tcPr>
            <w:tcW w:w="1925" w:type="dxa"/>
            <w:tcBorders>
              <w:top w:val="nil"/>
              <w:left w:val="single" w:sz="4" w:space="0" w:color="auto"/>
              <w:bottom w:val="single" w:sz="4" w:space="0" w:color="auto"/>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 xml:space="preserve">Programme de recherche pour </w:t>
            </w:r>
            <w:r>
              <w:rPr>
                <w:noProof/>
                <w:color w:val="000000"/>
                <w:sz w:val="16"/>
                <w:szCs w:val="16"/>
              </w:rPr>
              <w:t>le charbon et l’acier</w:t>
            </w:r>
          </w:p>
        </w:tc>
        <w:tc>
          <w:tcPr>
            <w:tcW w:w="0" w:type="auto"/>
            <w:vMerge/>
            <w:tcBorders>
              <w:top w:val="nil"/>
              <w:left w:val="nil"/>
              <w:bottom w:val="single" w:sz="4" w:space="0" w:color="000000"/>
              <w:right w:val="nil"/>
            </w:tcBorders>
            <w:vAlign w:val="center"/>
            <w:hideMark/>
          </w:tcPr>
          <w:p w:rsidR="007119D4" w:rsidRDefault="007119D4">
            <w:pPr>
              <w:spacing w:line="276" w:lineRule="auto"/>
              <w:rPr>
                <w:noProof/>
                <w:color w:val="000000"/>
                <w:sz w:val="18"/>
                <w:szCs w:val="18"/>
              </w:rPr>
            </w:pPr>
          </w:p>
        </w:tc>
        <w:tc>
          <w:tcPr>
            <w:tcW w:w="1094" w:type="dxa"/>
            <w:tcBorders>
              <w:top w:val="nil"/>
              <w:left w:val="single" w:sz="4" w:space="0" w:color="auto"/>
              <w:bottom w:val="single" w:sz="4" w:space="0" w:color="auto"/>
              <w:right w:val="nil"/>
            </w:tcBorders>
            <w:vAlign w:val="center"/>
            <w:hideMark/>
          </w:tcPr>
          <w:p w:rsidR="007119D4" w:rsidRDefault="00EC0158">
            <w:pPr>
              <w:spacing w:line="276" w:lineRule="auto"/>
              <w:jc w:val="center"/>
              <w:rPr>
                <w:noProof/>
                <w:color w:val="000000"/>
                <w:sz w:val="18"/>
                <w:szCs w:val="18"/>
              </w:rPr>
            </w:pPr>
            <w:r>
              <w:rPr>
                <w:noProof/>
                <w:color w:val="000000"/>
                <w:sz w:val="18"/>
                <w:szCs w:val="18"/>
              </w:rPr>
              <w:t>REA</w:t>
            </w:r>
          </w:p>
        </w:tc>
        <w:tc>
          <w:tcPr>
            <w:tcW w:w="1166" w:type="dxa"/>
            <w:tcBorders>
              <w:top w:val="nil"/>
              <w:left w:val="single" w:sz="4" w:space="0" w:color="auto"/>
              <w:bottom w:val="single" w:sz="4" w:space="0" w:color="auto"/>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w:t>
            </w:r>
          </w:p>
        </w:tc>
        <w:tc>
          <w:tcPr>
            <w:tcW w:w="1809" w:type="dxa"/>
            <w:tcBorders>
              <w:top w:val="nil"/>
              <w:left w:val="nil"/>
              <w:bottom w:val="single" w:sz="4" w:space="0" w:color="auto"/>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w:t>
            </w:r>
          </w:p>
        </w:tc>
      </w:tr>
      <w:tr w:rsidR="007119D4">
        <w:trPr>
          <w:trHeight w:val="240"/>
        </w:trPr>
        <w:tc>
          <w:tcPr>
            <w:tcW w:w="1675" w:type="dxa"/>
            <w:vMerge w:val="restart"/>
            <w:tcBorders>
              <w:top w:val="nil"/>
              <w:left w:val="single" w:sz="4" w:space="0" w:color="auto"/>
              <w:bottom w:val="single" w:sz="4" w:space="0" w:color="000000"/>
              <w:right w:val="single" w:sz="4" w:space="0" w:color="auto"/>
            </w:tcBorders>
            <w:vAlign w:val="center"/>
            <w:hideMark/>
          </w:tcPr>
          <w:p w:rsidR="007119D4" w:rsidRDefault="00EC0158">
            <w:pPr>
              <w:spacing w:line="276" w:lineRule="auto"/>
              <w:rPr>
                <w:noProof/>
                <w:color w:val="000000"/>
                <w:sz w:val="18"/>
                <w:szCs w:val="18"/>
              </w:rPr>
            </w:pPr>
            <w:r>
              <w:rPr>
                <w:noProof/>
                <w:color w:val="000000"/>
                <w:sz w:val="18"/>
                <w:szCs w:val="18"/>
              </w:rPr>
              <w:t>Agence exécutive européenne pour la santé et le numérique</w:t>
            </w:r>
          </w:p>
        </w:tc>
        <w:tc>
          <w:tcPr>
            <w:tcW w:w="1075" w:type="dxa"/>
            <w:vMerge w:val="restart"/>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01 01 01 73</w:t>
            </w:r>
          </w:p>
        </w:tc>
        <w:tc>
          <w:tcPr>
            <w:tcW w:w="1925" w:type="dxa"/>
            <w:vMerge w:val="restart"/>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Horizon Europe</w:t>
            </w:r>
          </w:p>
        </w:tc>
        <w:tc>
          <w:tcPr>
            <w:tcW w:w="1066" w:type="dxa"/>
            <w:vMerge w:val="restart"/>
            <w:tcBorders>
              <w:top w:val="nil"/>
              <w:left w:val="single" w:sz="4" w:space="0" w:color="auto"/>
              <w:bottom w:val="single" w:sz="4" w:space="0" w:color="000000"/>
              <w:right w:val="single" w:sz="4" w:space="0" w:color="auto"/>
            </w:tcBorders>
            <w:vAlign w:val="center"/>
            <w:hideMark/>
          </w:tcPr>
          <w:p w:rsidR="007119D4" w:rsidRDefault="00EC0158">
            <w:pPr>
              <w:spacing w:line="276" w:lineRule="auto"/>
              <w:jc w:val="center"/>
              <w:rPr>
                <w:i/>
                <w:iCs/>
                <w:noProof/>
                <w:color w:val="000000"/>
                <w:sz w:val="18"/>
                <w:szCs w:val="18"/>
              </w:rPr>
            </w:pPr>
            <w:r>
              <w:rPr>
                <w:i/>
                <w:iCs/>
                <w:noProof/>
                <w:color w:val="000000"/>
                <w:sz w:val="18"/>
                <w:szCs w:val="18"/>
              </w:rPr>
              <w:t>nouveau</w:t>
            </w:r>
          </w:p>
        </w:tc>
        <w:tc>
          <w:tcPr>
            <w:tcW w:w="1094" w:type="dxa"/>
            <w:vAlign w:val="center"/>
            <w:hideMark/>
          </w:tcPr>
          <w:p w:rsidR="007119D4" w:rsidRDefault="00EC0158">
            <w:pPr>
              <w:spacing w:line="276" w:lineRule="auto"/>
              <w:jc w:val="center"/>
              <w:rPr>
                <w:noProof/>
                <w:color w:val="000000"/>
                <w:sz w:val="18"/>
                <w:szCs w:val="18"/>
              </w:rPr>
            </w:pPr>
            <w:r>
              <w:rPr>
                <w:noProof/>
                <w:color w:val="000000"/>
                <w:sz w:val="18"/>
                <w:szCs w:val="18"/>
              </w:rPr>
              <w:t>REA</w:t>
            </w:r>
          </w:p>
        </w:tc>
        <w:tc>
          <w:tcPr>
            <w:tcW w:w="1166" w:type="dxa"/>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01 01 01 62</w:t>
            </w:r>
          </w:p>
        </w:tc>
        <w:tc>
          <w:tcPr>
            <w:tcW w:w="1809" w:type="dxa"/>
            <w:vMerge w:val="restart"/>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Horizon 2020</w:t>
            </w:r>
          </w:p>
        </w:tc>
      </w:tr>
      <w:tr w:rsidR="007119D4">
        <w:trPr>
          <w:trHeight w:val="240"/>
        </w:trPr>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i/>
                <w:iCs/>
                <w:noProof/>
                <w:color w:val="000000"/>
                <w:sz w:val="18"/>
                <w:szCs w:val="18"/>
              </w:rPr>
            </w:pPr>
          </w:p>
        </w:tc>
        <w:tc>
          <w:tcPr>
            <w:tcW w:w="1094"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EASME</w:t>
            </w:r>
          </w:p>
        </w:tc>
        <w:tc>
          <w:tcPr>
            <w:tcW w:w="1166"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01 01 01 63</w:t>
            </w:r>
          </w:p>
        </w:tc>
        <w:tc>
          <w:tcPr>
            <w:tcW w:w="0" w:type="auto"/>
            <w:vMerge/>
            <w:tcBorders>
              <w:top w:val="nil"/>
              <w:left w:val="nil"/>
              <w:bottom w:val="nil"/>
              <w:right w:val="single" w:sz="4" w:space="0" w:color="auto"/>
            </w:tcBorders>
            <w:vAlign w:val="center"/>
            <w:hideMark/>
          </w:tcPr>
          <w:p w:rsidR="007119D4" w:rsidRDefault="007119D4">
            <w:pPr>
              <w:spacing w:line="276" w:lineRule="auto"/>
              <w:rPr>
                <w:noProof/>
                <w:color w:val="000000"/>
                <w:sz w:val="16"/>
                <w:szCs w:val="16"/>
              </w:rPr>
            </w:pPr>
          </w:p>
        </w:tc>
      </w:tr>
      <w:tr w:rsidR="007119D4">
        <w:trPr>
          <w:trHeight w:val="240"/>
        </w:trPr>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075"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02 01 23 73</w:t>
            </w:r>
          </w:p>
        </w:tc>
        <w:tc>
          <w:tcPr>
            <w:tcW w:w="1925"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Mécanisme pour l'interconnexion en Europe - Numérique</w:t>
            </w: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i/>
                <w:iCs/>
                <w:noProof/>
                <w:color w:val="000000"/>
                <w:sz w:val="18"/>
                <w:szCs w:val="18"/>
              </w:rPr>
            </w:pPr>
          </w:p>
        </w:tc>
        <w:tc>
          <w:tcPr>
            <w:tcW w:w="1094"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INEA</w:t>
            </w:r>
          </w:p>
        </w:tc>
        <w:tc>
          <w:tcPr>
            <w:tcW w:w="1166"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 xml:space="preserve">02 </w:t>
            </w:r>
            <w:r>
              <w:rPr>
                <w:noProof/>
                <w:color w:val="000000"/>
                <w:sz w:val="18"/>
                <w:szCs w:val="18"/>
              </w:rPr>
              <w:t>01 21 64</w:t>
            </w: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Mécanisme pour l'interconnexion en Europe</w:t>
            </w:r>
          </w:p>
        </w:tc>
      </w:tr>
      <w:tr w:rsidR="007119D4">
        <w:trPr>
          <w:trHeight w:val="240"/>
        </w:trPr>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075"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02 01 30 73</w:t>
            </w:r>
          </w:p>
        </w:tc>
        <w:tc>
          <w:tcPr>
            <w:tcW w:w="1925"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Programme pour une Europe numérique</w:t>
            </w: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i/>
                <w:iCs/>
                <w:noProof/>
                <w:color w:val="000000"/>
                <w:sz w:val="18"/>
                <w:szCs w:val="18"/>
              </w:rPr>
            </w:pPr>
          </w:p>
        </w:tc>
        <w:tc>
          <w:tcPr>
            <w:tcW w:w="1094"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w:t>
            </w:r>
          </w:p>
        </w:tc>
        <w:tc>
          <w:tcPr>
            <w:tcW w:w="1166"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w:t>
            </w: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w:t>
            </w:r>
          </w:p>
        </w:tc>
      </w:tr>
      <w:tr w:rsidR="007119D4">
        <w:trPr>
          <w:trHeight w:val="240"/>
        </w:trPr>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075"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03 01 01 73</w:t>
            </w:r>
          </w:p>
        </w:tc>
        <w:tc>
          <w:tcPr>
            <w:tcW w:w="1925"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Programme en faveur du marché unique</w:t>
            </w: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i/>
                <w:iCs/>
                <w:noProof/>
                <w:color w:val="000000"/>
                <w:sz w:val="18"/>
                <w:szCs w:val="18"/>
              </w:rPr>
            </w:pPr>
          </w:p>
        </w:tc>
        <w:tc>
          <w:tcPr>
            <w:tcW w:w="1094" w:type="dxa"/>
            <w:vMerge w:val="restart"/>
            <w:tcBorders>
              <w:top w:val="nil"/>
              <w:left w:val="single" w:sz="4" w:space="0" w:color="auto"/>
              <w:bottom w:val="single" w:sz="4" w:space="0" w:color="000000"/>
              <w:right w:val="single" w:sz="4" w:space="0" w:color="auto"/>
            </w:tcBorders>
            <w:vAlign w:val="center"/>
            <w:hideMark/>
          </w:tcPr>
          <w:p w:rsidR="007119D4" w:rsidRDefault="00EC0158">
            <w:pPr>
              <w:spacing w:line="276" w:lineRule="auto"/>
              <w:jc w:val="center"/>
              <w:rPr>
                <w:iCs/>
                <w:noProof/>
                <w:color w:val="000000"/>
                <w:sz w:val="18"/>
                <w:szCs w:val="18"/>
              </w:rPr>
            </w:pPr>
            <w:r>
              <w:rPr>
                <w:iCs/>
                <w:noProof/>
                <w:color w:val="000000"/>
                <w:sz w:val="18"/>
                <w:szCs w:val="18"/>
              </w:rPr>
              <w:t>Chafea</w:t>
            </w:r>
          </w:p>
        </w:tc>
        <w:tc>
          <w:tcPr>
            <w:tcW w:w="1166"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03 01 01 66</w:t>
            </w: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 xml:space="preserve">Sécurité des denrées alimentaires et des aliments pour animaux, santé et </w:t>
            </w:r>
            <w:r>
              <w:rPr>
                <w:noProof/>
                <w:color w:val="000000"/>
                <w:sz w:val="16"/>
                <w:szCs w:val="16"/>
              </w:rPr>
              <w:t>bien-être des animaux et domaine phytosanitaire</w:t>
            </w:r>
          </w:p>
        </w:tc>
      </w:tr>
      <w:tr w:rsidR="007119D4">
        <w:trPr>
          <w:trHeight w:val="240"/>
        </w:trPr>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075"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06 01 05 73</w:t>
            </w:r>
          </w:p>
        </w:tc>
        <w:tc>
          <w:tcPr>
            <w:tcW w:w="1925"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EU4HEALTH</w:t>
            </w: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i/>
                <w:iCs/>
                <w:noProof/>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iCs/>
                <w:noProof/>
                <w:color w:val="000000"/>
                <w:sz w:val="18"/>
                <w:szCs w:val="18"/>
              </w:rPr>
            </w:pPr>
          </w:p>
        </w:tc>
        <w:tc>
          <w:tcPr>
            <w:tcW w:w="1166"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06 01 05 66</w:t>
            </w: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Santé</w:t>
            </w:r>
          </w:p>
        </w:tc>
      </w:tr>
      <w:tr w:rsidR="007119D4">
        <w:trPr>
          <w:trHeight w:val="240"/>
        </w:trPr>
        <w:tc>
          <w:tcPr>
            <w:tcW w:w="1675" w:type="dxa"/>
            <w:vMerge w:val="restart"/>
            <w:tcBorders>
              <w:top w:val="nil"/>
              <w:left w:val="single" w:sz="4" w:space="0" w:color="auto"/>
              <w:bottom w:val="single" w:sz="4" w:space="0" w:color="000000"/>
              <w:right w:val="nil"/>
            </w:tcBorders>
            <w:vAlign w:val="center"/>
            <w:hideMark/>
          </w:tcPr>
          <w:p w:rsidR="007119D4" w:rsidRDefault="00EC0158">
            <w:pPr>
              <w:spacing w:line="276" w:lineRule="auto"/>
              <w:rPr>
                <w:noProof/>
                <w:color w:val="000000"/>
                <w:sz w:val="18"/>
                <w:szCs w:val="18"/>
              </w:rPr>
            </w:pPr>
            <w:r>
              <w:rPr>
                <w:noProof/>
                <w:color w:val="000000"/>
                <w:sz w:val="18"/>
                <w:szCs w:val="18"/>
              </w:rPr>
              <w:t>Agence exécutive européenne pour le climat, les infrastructures et l’environnement</w:t>
            </w:r>
          </w:p>
        </w:tc>
        <w:tc>
          <w:tcPr>
            <w:tcW w:w="1075" w:type="dxa"/>
            <w:vMerge w:val="restart"/>
            <w:tcBorders>
              <w:top w:val="single" w:sz="4" w:space="0" w:color="auto"/>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01 01 01 74</w:t>
            </w:r>
          </w:p>
        </w:tc>
        <w:tc>
          <w:tcPr>
            <w:tcW w:w="1925" w:type="dxa"/>
            <w:vMerge w:val="restart"/>
            <w:tcBorders>
              <w:top w:val="single" w:sz="4" w:space="0" w:color="auto"/>
              <w:left w:val="single" w:sz="4" w:space="0" w:color="auto"/>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Horizon Europe</w:t>
            </w:r>
          </w:p>
        </w:tc>
        <w:tc>
          <w:tcPr>
            <w:tcW w:w="1066" w:type="dxa"/>
            <w:vMerge w:val="restart"/>
            <w:tcBorders>
              <w:top w:val="nil"/>
              <w:left w:val="single" w:sz="4" w:space="0" w:color="auto"/>
              <w:bottom w:val="single" w:sz="4" w:space="0" w:color="000000"/>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INEA</w:t>
            </w:r>
          </w:p>
        </w:tc>
        <w:tc>
          <w:tcPr>
            <w:tcW w:w="1094"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EASME</w:t>
            </w:r>
          </w:p>
        </w:tc>
        <w:tc>
          <w:tcPr>
            <w:tcW w:w="1166" w:type="dxa"/>
            <w:tcBorders>
              <w:top w:val="single" w:sz="4" w:space="0" w:color="auto"/>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01 01 01 63</w:t>
            </w:r>
          </w:p>
        </w:tc>
        <w:tc>
          <w:tcPr>
            <w:tcW w:w="1809" w:type="dxa"/>
            <w:vMerge w:val="restart"/>
            <w:tcBorders>
              <w:top w:val="single" w:sz="4" w:space="0" w:color="auto"/>
              <w:left w:val="single" w:sz="4" w:space="0" w:color="auto"/>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Horizon 2020</w:t>
            </w: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7119D4" w:rsidRDefault="007119D4">
            <w:pPr>
              <w:spacing w:line="276" w:lineRule="auto"/>
              <w:rPr>
                <w:noProof/>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094"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INEA</w:t>
            </w:r>
          </w:p>
        </w:tc>
        <w:tc>
          <w:tcPr>
            <w:tcW w:w="1166"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 xml:space="preserve">01 01 </w:t>
            </w:r>
            <w:r>
              <w:rPr>
                <w:noProof/>
                <w:color w:val="000000"/>
                <w:sz w:val="18"/>
                <w:szCs w:val="18"/>
              </w:rPr>
              <w:t>01 64</w:t>
            </w:r>
          </w:p>
        </w:tc>
        <w:tc>
          <w:tcPr>
            <w:tcW w:w="0" w:type="auto"/>
            <w:vMerge/>
            <w:tcBorders>
              <w:top w:val="single" w:sz="4" w:space="0" w:color="auto"/>
              <w:left w:val="single" w:sz="4" w:space="0" w:color="auto"/>
              <w:bottom w:val="nil"/>
              <w:right w:val="single" w:sz="4" w:space="0" w:color="auto"/>
            </w:tcBorders>
            <w:vAlign w:val="center"/>
            <w:hideMark/>
          </w:tcPr>
          <w:p w:rsidR="007119D4" w:rsidRDefault="007119D4">
            <w:pPr>
              <w:spacing w:line="276" w:lineRule="auto"/>
              <w:rPr>
                <w:noProof/>
                <w:color w:val="000000"/>
                <w:sz w:val="16"/>
                <w:szCs w:val="16"/>
              </w:rPr>
            </w:pP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1075" w:type="dxa"/>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02 01 21 74</w:t>
            </w:r>
          </w:p>
        </w:tc>
        <w:tc>
          <w:tcPr>
            <w:tcW w:w="1925"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Mécanisme pour l'interconnexion en Europe - Transports</w:t>
            </w: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094" w:type="dxa"/>
            <w:vMerge w:val="restart"/>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INEA</w:t>
            </w:r>
          </w:p>
        </w:tc>
        <w:tc>
          <w:tcPr>
            <w:tcW w:w="1166" w:type="dxa"/>
            <w:vMerge w:val="restart"/>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02 01 21 64</w:t>
            </w:r>
          </w:p>
        </w:tc>
        <w:tc>
          <w:tcPr>
            <w:tcW w:w="1809" w:type="dxa"/>
            <w:vMerge w:val="restart"/>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Mécanisme pour l'interconnexion en Europe</w:t>
            </w: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1075" w:type="dxa"/>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02 01 22 74</w:t>
            </w:r>
          </w:p>
        </w:tc>
        <w:tc>
          <w:tcPr>
            <w:tcW w:w="1925"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Mécanisme pour l'interconnexion en Europe - Énergie</w:t>
            </w: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nil"/>
              <w:bottom w:val="nil"/>
              <w:right w:val="single" w:sz="4" w:space="0" w:color="auto"/>
            </w:tcBorders>
            <w:vAlign w:val="center"/>
            <w:hideMark/>
          </w:tcPr>
          <w:p w:rsidR="007119D4" w:rsidRDefault="007119D4">
            <w:pPr>
              <w:spacing w:line="276" w:lineRule="auto"/>
              <w:rPr>
                <w:noProof/>
                <w:color w:val="000000"/>
                <w:sz w:val="16"/>
                <w:szCs w:val="16"/>
              </w:rPr>
            </w:pP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1075" w:type="dxa"/>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02 01 40 74</w:t>
            </w:r>
          </w:p>
        </w:tc>
        <w:tc>
          <w:tcPr>
            <w:tcW w:w="1925"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 xml:space="preserve">Mécanisme de financement des </w:t>
            </w:r>
            <w:r>
              <w:rPr>
                <w:noProof/>
                <w:color w:val="000000"/>
                <w:sz w:val="16"/>
                <w:szCs w:val="16"/>
              </w:rPr>
              <w:t>énergies renouvelables</w:t>
            </w: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094"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w:t>
            </w:r>
          </w:p>
        </w:tc>
        <w:tc>
          <w:tcPr>
            <w:tcW w:w="1166"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w:t>
            </w: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w:t>
            </w: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1075" w:type="dxa"/>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05 01 02 74</w:t>
            </w:r>
          </w:p>
        </w:tc>
        <w:tc>
          <w:tcPr>
            <w:tcW w:w="1925"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 xml:space="preserve">Fonds de cohésion (contribution au mécanisme pour l'interconnexion en Europe) </w:t>
            </w: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094"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INEA</w:t>
            </w:r>
          </w:p>
        </w:tc>
        <w:tc>
          <w:tcPr>
            <w:tcW w:w="1166"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05 01 02 64</w:t>
            </w: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 xml:space="preserve">Fonds de cohésion (contribution au mécanisme pour l'interconnexion en Europe) </w:t>
            </w: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1075" w:type="dxa"/>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08 01 03 74</w:t>
            </w:r>
          </w:p>
        </w:tc>
        <w:tc>
          <w:tcPr>
            <w:tcW w:w="1925"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 xml:space="preserve">Fonds européen pour </w:t>
            </w:r>
            <w:r>
              <w:rPr>
                <w:noProof/>
                <w:color w:val="000000"/>
                <w:sz w:val="16"/>
                <w:szCs w:val="16"/>
              </w:rPr>
              <w:t>les affaires maritimes et la pêche</w:t>
            </w: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094" w:type="dxa"/>
            <w:vMerge w:val="restart"/>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EASME</w:t>
            </w:r>
          </w:p>
        </w:tc>
        <w:tc>
          <w:tcPr>
            <w:tcW w:w="1166"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08 01 03 63</w:t>
            </w: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Fonds européen pour les affaires maritimes et la pêche</w:t>
            </w: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1075" w:type="dxa"/>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09 01 01 74</w:t>
            </w:r>
          </w:p>
        </w:tc>
        <w:tc>
          <w:tcPr>
            <w:tcW w:w="1925"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Instrument de financement de l’Union pour l’environnement et l’action pour le climat (LIFE)</w:t>
            </w: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color w:val="000000"/>
                <w:sz w:val="18"/>
                <w:szCs w:val="18"/>
              </w:rPr>
            </w:pPr>
          </w:p>
        </w:tc>
        <w:tc>
          <w:tcPr>
            <w:tcW w:w="1166"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09 01 01 63</w:t>
            </w: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 xml:space="preserve">Instrument de financement </w:t>
            </w:r>
            <w:r>
              <w:rPr>
                <w:noProof/>
                <w:color w:val="000000"/>
                <w:sz w:val="16"/>
                <w:szCs w:val="16"/>
              </w:rPr>
              <w:t>de l’Union pour l’environnement et l’action pour le climat (LIFE)</w:t>
            </w: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1075" w:type="dxa"/>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09 01 03 74</w:t>
            </w:r>
          </w:p>
        </w:tc>
        <w:tc>
          <w:tcPr>
            <w:tcW w:w="1925"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Facilité de prêt au secteur public dans le cadre du mécanisme pour une transition juste</w:t>
            </w: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094"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w:t>
            </w:r>
          </w:p>
        </w:tc>
        <w:tc>
          <w:tcPr>
            <w:tcW w:w="1166"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w:t>
            </w: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w:t>
            </w: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1075" w:type="dxa"/>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13 01 03 74</w:t>
            </w:r>
          </w:p>
        </w:tc>
        <w:tc>
          <w:tcPr>
            <w:tcW w:w="1925"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Mobilité militaire</w:t>
            </w: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094"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w:t>
            </w:r>
          </w:p>
        </w:tc>
        <w:tc>
          <w:tcPr>
            <w:tcW w:w="1166"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w:t>
            </w: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w:t>
            </w: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1075" w:type="dxa"/>
            <w:tcBorders>
              <w:top w:val="nil"/>
              <w:left w:val="single" w:sz="4" w:space="0" w:color="auto"/>
              <w:bottom w:val="single" w:sz="4" w:space="0" w:color="auto"/>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17 01 02 74</w:t>
            </w:r>
          </w:p>
        </w:tc>
        <w:tc>
          <w:tcPr>
            <w:tcW w:w="1925" w:type="dxa"/>
            <w:tcBorders>
              <w:top w:val="nil"/>
              <w:left w:val="nil"/>
              <w:bottom w:val="single" w:sz="4" w:space="0" w:color="auto"/>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Fonds pour l’innovation</w:t>
            </w: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094" w:type="dxa"/>
            <w:tcBorders>
              <w:top w:val="nil"/>
              <w:left w:val="nil"/>
              <w:bottom w:val="single" w:sz="4" w:space="0" w:color="auto"/>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INEA</w:t>
            </w:r>
          </w:p>
        </w:tc>
        <w:tc>
          <w:tcPr>
            <w:tcW w:w="1166" w:type="dxa"/>
            <w:tcBorders>
              <w:top w:val="nil"/>
              <w:left w:val="nil"/>
              <w:bottom w:val="single" w:sz="4" w:space="0" w:color="auto"/>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17 01 02 64</w:t>
            </w:r>
          </w:p>
        </w:tc>
        <w:tc>
          <w:tcPr>
            <w:tcW w:w="1809" w:type="dxa"/>
            <w:tcBorders>
              <w:top w:val="nil"/>
              <w:left w:val="nil"/>
              <w:bottom w:val="single" w:sz="4" w:space="0" w:color="auto"/>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Fonds pour l’innovation</w:t>
            </w:r>
          </w:p>
        </w:tc>
      </w:tr>
      <w:tr w:rsidR="007119D4">
        <w:trPr>
          <w:trHeight w:val="240"/>
        </w:trPr>
        <w:tc>
          <w:tcPr>
            <w:tcW w:w="1675" w:type="dxa"/>
            <w:vMerge w:val="restart"/>
            <w:tcBorders>
              <w:top w:val="nil"/>
              <w:left w:val="single" w:sz="4" w:space="0" w:color="auto"/>
              <w:bottom w:val="single" w:sz="4" w:space="0" w:color="000000"/>
              <w:right w:val="nil"/>
            </w:tcBorders>
            <w:vAlign w:val="center"/>
            <w:hideMark/>
          </w:tcPr>
          <w:p w:rsidR="007119D4" w:rsidRDefault="00EC0158">
            <w:pPr>
              <w:spacing w:line="276" w:lineRule="auto"/>
              <w:rPr>
                <w:noProof/>
                <w:color w:val="000000"/>
                <w:sz w:val="18"/>
                <w:szCs w:val="18"/>
              </w:rPr>
            </w:pPr>
            <w:r>
              <w:rPr>
                <w:noProof/>
                <w:color w:val="000000"/>
                <w:sz w:val="18"/>
                <w:szCs w:val="18"/>
              </w:rPr>
              <w:t xml:space="preserve">Agence exécutive </w:t>
            </w:r>
            <w:r>
              <w:rPr>
                <w:noProof/>
                <w:color w:val="000000"/>
                <w:sz w:val="18"/>
                <w:szCs w:val="18"/>
              </w:rPr>
              <w:lastRenderedPageBreak/>
              <w:t>européenne pour l’éducation et la culture</w:t>
            </w:r>
          </w:p>
        </w:tc>
        <w:tc>
          <w:tcPr>
            <w:tcW w:w="1075" w:type="dxa"/>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lastRenderedPageBreak/>
              <w:t>07 01 02 75</w:t>
            </w:r>
          </w:p>
        </w:tc>
        <w:tc>
          <w:tcPr>
            <w:tcW w:w="1925"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Erasmus+</w:t>
            </w:r>
          </w:p>
        </w:tc>
        <w:tc>
          <w:tcPr>
            <w:tcW w:w="1066" w:type="dxa"/>
            <w:vMerge w:val="restart"/>
            <w:tcBorders>
              <w:top w:val="nil"/>
              <w:left w:val="single" w:sz="4" w:space="0" w:color="auto"/>
              <w:bottom w:val="single" w:sz="4" w:space="0" w:color="000000"/>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EACEA</w:t>
            </w:r>
          </w:p>
        </w:tc>
        <w:tc>
          <w:tcPr>
            <w:tcW w:w="1094" w:type="dxa"/>
            <w:vMerge w:val="restart"/>
            <w:tcBorders>
              <w:top w:val="nil"/>
              <w:left w:val="single" w:sz="4" w:space="0" w:color="auto"/>
              <w:bottom w:val="single" w:sz="4" w:space="0" w:color="000000"/>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EACEA</w:t>
            </w:r>
          </w:p>
        </w:tc>
        <w:tc>
          <w:tcPr>
            <w:tcW w:w="1166"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07 01 02 65</w:t>
            </w: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Erasmus+</w:t>
            </w: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1075" w:type="dxa"/>
            <w:vMerge w:val="restart"/>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07 01 03 75</w:t>
            </w:r>
          </w:p>
        </w:tc>
        <w:tc>
          <w:tcPr>
            <w:tcW w:w="1925" w:type="dxa"/>
            <w:vMerge w:val="restart"/>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Corps européen de solidarité</w:t>
            </w: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166" w:type="dxa"/>
            <w:vMerge w:val="restart"/>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07 01 03 65</w:t>
            </w: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Corps européen de solidarité</w:t>
            </w: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color w:val="000000"/>
                <w:sz w:val="18"/>
                <w:szCs w:val="18"/>
              </w:rPr>
            </w:pP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Volontaires de l’aide de l’Union européenne</w:t>
            </w: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1075" w:type="dxa"/>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07 01 04 75</w:t>
            </w:r>
          </w:p>
        </w:tc>
        <w:tc>
          <w:tcPr>
            <w:tcW w:w="1925"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Europe créative</w:t>
            </w: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166"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07 01 04 65</w:t>
            </w: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Europe créative</w:t>
            </w: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1075" w:type="dxa"/>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07 01 05 75</w:t>
            </w:r>
          </w:p>
        </w:tc>
        <w:tc>
          <w:tcPr>
            <w:tcW w:w="1925"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Droits et valeurs</w:t>
            </w: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166"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07 01 05 65</w:t>
            </w: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L’Europe pour les citoyens</w:t>
            </w: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1075" w:type="dxa"/>
            <w:vMerge w:val="restart"/>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15 01 01 75</w:t>
            </w:r>
          </w:p>
        </w:tc>
        <w:tc>
          <w:tcPr>
            <w:tcW w:w="1925" w:type="dxa"/>
            <w:vMerge w:val="restart"/>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 xml:space="preserve">Instrument de voisinage, de coopération au développement et de </w:t>
            </w:r>
            <w:r>
              <w:rPr>
                <w:noProof/>
                <w:color w:val="000000"/>
                <w:sz w:val="16"/>
                <w:szCs w:val="16"/>
              </w:rPr>
              <w:t>coopération internationale</w:t>
            </w: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166" w:type="dxa"/>
            <w:vMerge w:val="restart"/>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15 01 01 65</w:t>
            </w: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Instrument de partenariat</w:t>
            </w: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color w:val="000000"/>
                <w:sz w:val="18"/>
                <w:szCs w:val="18"/>
              </w:rPr>
            </w:pP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Instrument de coopération au développement</w:t>
            </w: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color w:val="000000"/>
                <w:sz w:val="18"/>
                <w:szCs w:val="18"/>
              </w:rPr>
            </w:pP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Instrument européen de voisinage</w:t>
            </w:r>
          </w:p>
        </w:tc>
      </w:tr>
      <w:tr w:rsidR="007119D4">
        <w:trPr>
          <w:trHeight w:val="240"/>
        </w:trPr>
        <w:tc>
          <w:tcPr>
            <w:tcW w:w="0" w:type="auto"/>
            <w:vMerge/>
            <w:tcBorders>
              <w:top w:val="nil"/>
              <w:left w:val="single" w:sz="4" w:space="0" w:color="auto"/>
              <w:bottom w:val="single" w:sz="4" w:space="0" w:color="000000"/>
              <w:right w:val="nil"/>
            </w:tcBorders>
            <w:vAlign w:val="center"/>
            <w:hideMark/>
          </w:tcPr>
          <w:p w:rsidR="007119D4" w:rsidRDefault="007119D4">
            <w:pPr>
              <w:spacing w:line="276" w:lineRule="auto"/>
              <w:rPr>
                <w:noProof/>
                <w:color w:val="000000"/>
                <w:sz w:val="18"/>
                <w:szCs w:val="18"/>
              </w:rPr>
            </w:pPr>
          </w:p>
        </w:tc>
        <w:tc>
          <w:tcPr>
            <w:tcW w:w="1075" w:type="dxa"/>
            <w:tcBorders>
              <w:top w:val="nil"/>
              <w:left w:val="single" w:sz="4" w:space="0" w:color="auto"/>
              <w:bottom w:val="single" w:sz="4" w:space="0" w:color="auto"/>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16 01 01 75</w:t>
            </w:r>
          </w:p>
        </w:tc>
        <w:tc>
          <w:tcPr>
            <w:tcW w:w="1925" w:type="dxa"/>
            <w:tcBorders>
              <w:top w:val="nil"/>
              <w:left w:val="nil"/>
              <w:bottom w:val="single" w:sz="4" w:space="0" w:color="auto"/>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Instrument d'aide de préadhésion III</w:t>
            </w: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166" w:type="dxa"/>
            <w:tcBorders>
              <w:top w:val="nil"/>
              <w:left w:val="nil"/>
              <w:bottom w:val="single" w:sz="4" w:space="0" w:color="auto"/>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16 01 01 65</w:t>
            </w: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 xml:space="preserve">Instrument d'aide de préadhésion </w:t>
            </w:r>
            <w:r>
              <w:rPr>
                <w:noProof/>
                <w:color w:val="000000"/>
                <w:sz w:val="16"/>
                <w:szCs w:val="16"/>
              </w:rPr>
              <w:t>II</w:t>
            </w:r>
          </w:p>
        </w:tc>
      </w:tr>
      <w:tr w:rsidR="007119D4">
        <w:trPr>
          <w:trHeight w:val="240"/>
        </w:trPr>
        <w:tc>
          <w:tcPr>
            <w:tcW w:w="1675" w:type="dxa"/>
            <w:vMerge w:val="restart"/>
            <w:tcBorders>
              <w:top w:val="nil"/>
              <w:left w:val="single" w:sz="4" w:space="0" w:color="auto"/>
              <w:bottom w:val="single" w:sz="4" w:space="0" w:color="000000"/>
              <w:right w:val="single" w:sz="4" w:space="0" w:color="auto"/>
            </w:tcBorders>
            <w:vAlign w:val="center"/>
            <w:hideMark/>
          </w:tcPr>
          <w:p w:rsidR="007119D4" w:rsidRDefault="00EC0158">
            <w:pPr>
              <w:spacing w:line="276" w:lineRule="auto"/>
              <w:rPr>
                <w:noProof/>
                <w:color w:val="000000"/>
                <w:sz w:val="18"/>
                <w:szCs w:val="18"/>
              </w:rPr>
            </w:pPr>
            <w:r>
              <w:rPr>
                <w:noProof/>
                <w:color w:val="000000"/>
                <w:sz w:val="18"/>
                <w:szCs w:val="18"/>
              </w:rPr>
              <w:t>Agence exécutive pour le Conseil européen de l’innovation et les PME</w:t>
            </w:r>
          </w:p>
        </w:tc>
        <w:tc>
          <w:tcPr>
            <w:tcW w:w="1075" w:type="dxa"/>
            <w:vMerge w:val="restart"/>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01 01 01 76</w:t>
            </w:r>
          </w:p>
        </w:tc>
        <w:tc>
          <w:tcPr>
            <w:tcW w:w="1925" w:type="dxa"/>
            <w:vMerge w:val="restart"/>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Horizon Europe</w:t>
            </w:r>
          </w:p>
        </w:tc>
        <w:tc>
          <w:tcPr>
            <w:tcW w:w="1066" w:type="dxa"/>
            <w:vMerge w:val="restart"/>
            <w:tcBorders>
              <w:top w:val="nil"/>
              <w:left w:val="single" w:sz="4" w:space="0" w:color="auto"/>
              <w:bottom w:val="single" w:sz="4" w:space="0" w:color="000000"/>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EASME</w:t>
            </w:r>
          </w:p>
        </w:tc>
        <w:tc>
          <w:tcPr>
            <w:tcW w:w="1094"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REA</w:t>
            </w:r>
          </w:p>
        </w:tc>
        <w:tc>
          <w:tcPr>
            <w:tcW w:w="1166" w:type="dxa"/>
            <w:vAlign w:val="center"/>
            <w:hideMark/>
          </w:tcPr>
          <w:p w:rsidR="007119D4" w:rsidRDefault="00EC0158">
            <w:pPr>
              <w:spacing w:line="276" w:lineRule="auto"/>
              <w:jc w:val="center"/>
              <w:rPr>
                <w:noProof/>
                <w:color w:val="000000"/>
                <w:sz w:val="18"/>
                <w:szCs w:val="18"/>
              </w:rPr>
            </w:pPr>
            <w:r>
              <w:rPr>
                <w:noProof/>
                <w:color w:val="000000"/>
                <w:sz w:val="18"/>
                <w:szCs w:val="18"/>
              </w:rPr>
              <w:t>01 01 01 62</w:t>
            </w:r>
          </w:p>
        </w:tc>
        <w:tc>
          <w:tcPr>
            <w:tcW w:w="1809" w:type="dxa"/>
            <w:vMerge w:val="restart"/>
            <w:tcBorders>
              <w:top w:val="single" w:sz="4" w:space="0" w:color="auto"/>
              <w:left w:val="single" w:sz="4" w:space="0" w:color="auto"/>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Horizon 2020</w:t>
            </w:r>
          </w:p>
        </w:tc>
      </w:tr>
      <w:tr w:rsidR="007119D4">
        <w:trPr>
          <w:trHeight w:val="240"/>
        </w:trPr>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094" w:type="dxa"/>
            <w:vMerge w:val="restart"/>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EASME</w:t>
            </w:r>
          </w:p>
        </w:tc>
        <w:tc>
          <w:tcPr>
            <w:tcW w:w="1166" w:type="dxa"/>
            <w:vAlign w:val="center"/>
            <w:hideMark/>
          </w:tcPr>
          <w:p w:rsidR="007119D4" w:rsidRDefault="00EC0158">
            <w:pPr>
              <w:spacing w:line="276" w:lineRule="auto"/>
              <w:jc w:val="center"/>
              <w:rPr>
                <w:noProof/>
                <w:color w:val="000000"/>
                <w:sz w:val="18"/>
                <w:szCs w:val="18"/>
              </w:rPr>
            </w:pPr>
            <w:r>
              <w:rPr>
                <w:noProof/>
                <w:color w:val="000000"/>
                <w:sz w:val="18"/>
                <w:szCs w:val="18"/>
              </w:rPr>
              <w:t>01 01 01 63</w:t>
            </w:r>
          </w:p>
        </w:tc>
        <w:tc>
          <w:tcPr>
            <w:tcW w:w="0" w:type="auto"/>
            <w:vMerge/>
            <w:tcBorders>
              <w:top w:val="single" w:sz="4" w:space="0" w:color="auto"/>
              <w:left w:val="single" w:sz="4" w:space="0" w:color="auto"/>
              <w:bottom w:val="nil"/>
              <w:right w:val="single" w:sz="4" w:space="0" w:color="auto"/>
            </w:tcBorders>
            <w:vAlign w:val="center"/>
            <w:hideMark/>
          </w:tcPr>
          <w:p w:rsidR="007119D4" w:rsidRDefault="007119D4">
            <w:pPr>
              <w:spacing w:line="276" w:lineRule="auto"/>
              <w:rPr>
                <w:noProof/>
                <w:color w:val="000000"/>
                <w:sz w:val="16"/>
                <w:szCs w:val="16"/>
              </w:rPr>
            </w:pPr>
          </w:p>
        </w:tc>
      </w:tr>
      <w:tr w:rsidR="007119D4">
        <w:trPr>
          <w:trHeight w:val="240"/>
        </w:trPr>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075" w:type="dxa"/>
            <w:vMerge w:val="restart"/>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03 01 01 76</w:t>
            </w:r>
          </w:p>
        </w:tc>
        <w:tc>
          <w:tcPr>
            <w:tcW w:w="1925" w:type="dxa"/>
            <w:vMerge w:val="restart"/>
            <w:tcBorders>
              <w:top w:val="nil"/>
              <w:left w:val="single" w:sz="4" w:space="0" w:color="auto"/>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Programme en faveur du marché unique</w:t>
            </w: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color w:val="000000"/>
                <w:sz w:val="18"/>
                <w:szCs w:val="18"/>
              </w:rPr>
            </w:pPr>
          </w:p>
        </w:tc>
        <w:tc>
          <w:tcPr>
            <w:tcW w:w="1166" w:type="dxa"/>
            <w:vAlign w:val="center"/>
            <w:hideMark/>
          </w:tcPr>
          <w:p w:rsidR="007119D4" w:rsidRDefault="00EC0158">
            <w:pPr>
              <w:spacing w:line="276" w:lineRule="auto"/>
              <w:jc w:val="center"/>
              <w:rPr>
                <w:noProof/>
                <w:color w:val="000000"/>
                <w:sz w:val="18"/>
                <w:szCs w:val="18"/>
              </w:rPr>
            </w:pPr>
            <w:r>
              <w:rPr>
                <w:noProof/>
                <w:color w:val="000000"/>
                <w:sz w:val="18"/>
                <w:szCs w:val="18"/>
              </w:rPr>
              <w:t>03 01 01 63</w:t>
            </w: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 xml:space="preserve">Programme de l’UE pour la </w:t>
            </w:r>
            <w:r>
              <w:rPr>
                <w:noProof/>
                <w:color w:val="000000"/>
                <w:sz w:val="16"/>
                <w:szCs w:val="16"/>
              </w:rPr>
              <w:t>compétitivité des entreprises et des PME (COSME)</w:t>
            </w:r>
          </w:p>
        </w:tc>
      </w:tr>
      <w:tr w:rsidR="007119D4">
        <w:trPr>
          <w:trHeight w:val="240"/>
        </w:trPr>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color w:val="000000"/>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094" w:type="dxa"/>
            <w:tcBorders>
              <w:top w:val="nil"/>
              <w:left w:val="nil"/>
              <w:bottom w:val="nil"/>
              <w:right w:val="single" w:sz="4" w:space="0" w:color="auto"/>
            </w:tcBorders>
            <w:vAlign w:val="center"/>
            <w:hideMark/>
          </w:tcPr>
          <w:p w:rsidR="007119D4" w:rsidRDefault="00EC0158">
            <w:pPr>
              <w:spacing w:line="276" w:lineRule="auto"/>
              <w:jc w:val="center"/>
              <w:rPr>
                <w:iCs/>
                <w:noProof/>
                <w:color w:val="000000"/>
                <w:sz w:val="18"/>
                <w:szCs w:val="18"/>
              </w:rPr>
            </w:pPr>
            <w:r>
              <w:rPr>
                <w:iCs/>
                <w:noProof/>
                <w:color w:val="000000"/>
                <w:sz w:val="18"/>
                <w:szCs w:val="18"/>
              </w:rPr>
              <w:t>Chafea</w:t>
            </w:r>
          </w:p>
        </w:tc>
        <w:tc>
          <w:tcPr>
            <w:tcW w:w="1166" w:type="dxa"/>
            <w:vAlign w:val="center"/>
            <w:hideMark/>
          </w:tcPr>
          <w:p w:rsidR="007119D4" w:rsidRDefault="00EC0158">
            <w:pPr>
              <w:spacing w:line="276" w:lineRule="auto"/>
              <w:jc w:val="center"/>
              <w:rPr>
                <w:noProof/>
                <w:color w:val="000000"/>
                <w:sz w:val="18"/>
                <w:szCs w:val="18"/>
              </w:rPr>
            </w:pPr>
            <w:r>
              <w:rPr>
                <w:noProof/>
                <w:color w:val="000000"/>
                <w:sz w:val="18"/>
                <w:szCs w:val="18"/>
              </w:rPr>
              <w:t>03 01 01 66</w:t>
            </w:r>
          </w:p>
        </w:tc>
        <w:tc>
          <w:tcPr>
            <w:tcW w:w="1809" w:type="dxa"/>
            <w:tcBorders>
              <w:top w:val="nil"/>
              <w:left w:val="nil"/>
              <w:bottom w:val="nil"/>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Consommateurs</w:t>
            </w:r>
          </w:p>
        </w:tc>
      </w:tr>
      <w:tr w:rsidR="007119D4">
        <w:trPr>
          <w:trHeight w:val="240"/>
        </w:trPr>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075" w:type="dxa"/>
            <w:tcBorders>
              <w:top w:val="nil"/>
              <w:left w:val="nil"/>
              <w:bottom w:val="single" w:sz="4" w:space="0" w:color="auto"/>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05 01 01 76</w:t>
            </w:r>
          </w:p>
        </w:tc>
        <w:tc>
          <w:tcPr>
            <w:tcW w:w="1925" w:type="dxa"/>
            <w:tcBorders>
              <w:top w:val="nil"/>
              <w:left w:val="nil"/>
              <w:bottom w:val="single" w:sz="4" w:space="0" w:color="auto"/>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Fonds européen de développement régional (investissements interrégionaux en matière d'innovation)</w:t>
            </w: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color w:val="000000"/>
                <w:sz w:val="18"/>
                <w:szCs w:val="18"/>
              </w:rPr>
            </w:pPr>
          </w:p>
        </w:tc>
        <w:tc>
          <w:tcPr>
            <w:tcW w:w="1094" w:type="dxa"/>
            <w:tcBorders>
              <w:top w:val="nil"/>
              <w:left w:val="nil"/>
              <w:bottom w:val="single" w:sz="4" w:space="0" w:color="auto"/>
              <w:right w:val="single" w:sz="4" w:space="0" w:color="auto"/>
            </w:tcBorders>
            <w:vAlign w:val="center"/>
            <w:hideMark/>
          </w:tcPr>
          <w:p w:rsidR="007119D4" w:rsidRDefault="00EC0158">
            <w:pPr>
              <w:spacing w:line="276" w:lineRule="auto"/>
              <w:jc w:val="center"/>
              <w:rPr>
                <w:noProof/>
                <w:color w:val="000000"/>
                <w:sz w:val="18"/>
                <w:szCs w:val="18"/>
              </w:rPr>
            </w:pPr>
            <w:r>
              <w:rPr>
                <w:noProof/>
                <w:color w:val="000000"/>
                <w:sz w:val="18"/>
                <w:szCs w:val="18"/>
              </w:rPr>
              <w:t>-</w:t>
            </w:r>
          </w:p>
        </w:tc>
        <w:tc>
          <w:tcPr>
            <w:tcW w:w="1166" w:type="dxa"/>
            <w:tcBorders>
              <w:top w:val="nil"/>
              <w:left w:val="nil"/>
              <w:bottom w:val="single" w:sz="4" w:space="0" w:color="auto"/>
              <w:right w:val="nil"/>
            </w:tcBorders>
            <w:vAlign w:val="center"/>
            <w:hideMark/>
          </w:tcPr>
          <w:p w:rsidR="007119D4" w:rsidRDefault="00EC0158">
            <w:pPr>
              <w:spacing w:line="276" w:lineRule="auto"/>
              <w:jc w:val="center"/>
              <w:rPr>
                <w:noProof/>
                <w:color w:val="000000"/>
                <w:sz w:val="18"/>
                <w:szCs w:val="18"/>
              </w:rPr>
            </w:pPr>
            <w:r>
              <w:rPr>
                <w:noProof/>
                <w:color w:val="000000"/>
                <w:sz w:val="18"/>
                <w:szCs w:val="18"/>
              </w:rPr>
              <w:t>-</w:t>
            </w:r>
          </w:p>
        </w:tc>
        <w:tc>
          <w:tcPr>
            <w:tcW w:w="1809" w:type="dxa"/>
            <w:tcBorders>
              <w:top w:val="nil"/>
              <w:left w:val="nil"/>
              <w:bottom w:val="single" w:sz="4" w:space="0" w:color="auto"/>
              <w:right w:val="single" w:sz="4" w:space="0" w:color="auto"/>
            </w:tcBorders>
            <w:vAlign w:val="center"/>
            <w:hideMark/>
          </w:tcPr>
          <w:p w:rsidR="007119D4" w:rsidRDefault="00EC0158">
            <w:pPr>
              <w:spacing w:line="276" w:lineRule="auto"/>
              <w:jc w:val="center"/>
              <w:rPr>
                <w:noProof/>
                <w:color w:val="000000"/>
                <w:sz w:val="16"/>
                <w:szCs w:val="16"/>
              </w:rPr>
            </w:pPr>
            <w:r>
              <w:rPr>
                <w:noProof/>
                <w:color w:val="000000"/>
                <w:sz w:val="16"/>
                <w:szCs w:val="16"/>
              </w:rPr>
              <w:t>-</w:t>
            </w:r>
          </w:p>
        </w:tc>
      </w:tr>
    </w:tbl>
    <w:p w:rsidR="007119D4" w:rsidRDefault="00EC0158">
      <w:pPr>
        <w:spacing w:before="120" w:after="120"/>
        <w:jc w:val="both"/>
        <w:rPr>
          <w:noProof/>
        </w:rPr>
      </w:pPr>
      <w:bookmarkStart w:id="124" w:name="_Toc54770327"/>
      <w:r>
        <w:rPr>
          <w:noProof/>
        </w:rPr>
        <w:t xml:space="preserve">Les crédits correspondant à la subvention prévue </w:t>
      </w:r>
      <w:r>
        <w:rPr>
          <w:noProof/>
        </w:rPr>
        <w:t>pour chaque nouvelle agence en 2021 dans le paquet «délégation» seront alloués temporairement aux lignes de subvention «héritées», dans la limite du niveau de crédits figurant dans le budget 2020, lorsque la dotation est inférieure (la différence étant, le</w:t>
      </w:r>
      <w:r>
        <w:rPr>
          <w:noProof/>
        </w:rPr>
        <w:t xml:space="preserve"> cas échéant, affectée à la nouvelle ligne de subvention).</w:t>
      </w:r>
    </w:p>
    <w:p w:rsidR="007119D4" w:rsidRDefault="00EC0158">
      <w:pPr>
        <w:spacing w:before="120" w:after="120"/>
        <w:jc w:val="both"/>
        <w:rPr>
          <w:noProof/>
        </w:rPr>
      </w:pPr>
      <w:r>
        <w:rPr>
          <w:noProof/>
        </w:rPr>
        <w:t>La même approche assurant un «parallélisme» a été appliquée aux tableaux des effectifs: il est proposé de créer six nouveaux tableaux pour les six nouvelles agences exécutives, complétant ceux figu</w:t>
      </w:r>
      <w:r>
        <w:rPr>
          <w:noProof/>
        </w:rPr>
        <w:t>rant déjà dans le PB 2021 pour les agences exécutives «héritées». Aucune réduction n’est appliquée pour 2021 dans les tableaux des effectifs de la Commission.</w:t>
      </w:r>
    </w:p>
    <w:p w:rsidR="007119D4" w:rsidRDefault="00EC0158">
      <w:pPr>
        <w:spacing w:before="120" w:after="120"/>
        <w:jc w:val="both"/>
        <w:rPr>
          <w:noProof/>
        </w:rPr>
      </w:pPr>
      <w:r>
        <w:rPr>
          <w:noProof/>
        </w:rPr>
        <w:t xml:space="preserve">Les lignes de subvention et les tableaux des effectifs «hérités» qui concernent les agences </w:t>
      </w:r>
      <w:r>
        <w:rPr>
          <w:noProof/>
        </w:rPr>
        <w:t>exécutives actuelles seront fusionnés avec les nouveaux, soit dans un budget rectificatif en 2021, soit dans le cadre de la procédure budgétaire 2022.</w:t>
      </w:r>
    </w:p>
    <w:p w:rsidR="007119D4" w:rsidRDefault="00EC0158">
      <w:pPr>
        <w:pStyle w:val="ManualHeading1"/>
        <w:spacing w:before="240"/>
        <w:rPr>
          <w:noProof/>
        </w:rPr>
      </w:pPr>
      <w:bookmarkStart w:id="125" w:name="_Toc55807137"/>
      <w:bookmarkStart w:id="126" w:name="_Toc56419368"/>
      <w:r>
        <w:rPr>
          <w:noProof/>
        </w:rPr>
        <w:t>6.</w:t>
      </w:r>
      <w:r>
        <w:rPr>
          <w:noProof/>
        </w:rPr>
        <w:tab/>
        <w:t>Organismes décentralisés</w:t>
      </w:r>
      <w:bookmarkEnd w:id="124"/>
      <w:bookmarkEnd w:id="125"/>
      <w:bookmarkEnd w:id="126"/>
    </w:p>
    <w:p w:rsidR="007119D4" w:rsidRDefault="00EC0158">
      <w:pPr>
        <w:keepNext/>
        <w:tabs>
          <w:tab w:val="left" w:pos="850"/>
        </w:tabs>
        <w:spacing w:before="360" w:after="120"/>
        <w:ind w:left="357" w:hanging="357"/>
        <w:jc w:val="both"/>
        <w:outlineLvl w:val="1"/>
        <w:rPr>
          <w:rFonts w:eastAsia="Calibri"/>
          <w:b/>
          <w:noProof/>
        </w:rPr>
      </w:pPr>
      <w:bookmarkStart w:id="127" w:name="_Toc55807138"/>
      <w:bookmarkStart w:id="128" w:name="_Toc54770328"/>
      <w:bookmarkStart w:id="129" w:name="_Toc56419369"/>
      <w:r>
        <w:rPr>
          <w:b/>
          <w:noProof/>
        </w:rPr>
        <w:t xml:space="preserve">6.1 </w:t>
      </w:r>
      <w:r>
        <w:rPr>
          <w:noProof/>
        </w:rPr>
        <w:tab/>
      </w:r>
      <w:r>
        <w:rPr>
          <w:b/>
          <w:noProof/>
        </w:rPr>
        <w:t>Agence européenne des médicaments (EMA)</w:t>
      </w:r>
      <w:bookmarkEnd w:id="127"/>
      <w:bookmarkEnd w:id="128"/>
      <w:bookmarkEnd w:id="129"/>
    </w:p>
    <w:p w:rsidR="007119D4" w:rsidRDefault="00EC0158">
      <w:pPr>
        <w:spacing w:before="120" w:after="120"/>
        <w:jc w:val="both"/>
        <w:rPr>
          <w:noProof/>
        </w:rPr>
      </w:pPr>
      <w:r>
        <w:rPr>
          <w:noProof/>
        </w:rPr>
        <w:t>L’industrie pharmaceutique met a</w:t>
      </w:r>
      <w:r>
        <w:rPr>
          <w:noProof/>
        </w:rPr>
        <w:t>u point de très nombreux produits en réaction à la pandémie de COVID-19. L’Agence européenne des médicaments (EMA) devra évaluer et autoriser les médicaments et vaccins en cours de développement dont la mise sur le marché est proposée. Il en résulte un pic</w:t>
      </w:r>
      <w:r>
        <w:rPr>
          <w:noProof/>
        </w:rPr>
        <w:t xml:space="preserve"> temporaire dans les travaux scientifiques de l’EMA ainsi que dans son rôle de coordination. Un renforcement provisoire des effectifs par 40 agents temporaires sur deux ans est donc justifié à partir de 2021. L'incidence financière sera couverte par d’autr</w:t>
      </w:r>
      <w:r>
        <w:rPr>
          <w:noProof/>
        </w:rPr>
        <w:t>es recettes (droits et redevances) et n’aura pas d’incidence sur la contribution de l’Union.</w:t>
      </w:r>
    </w:p>
    <w:p w:rsidR="007119D4" w:rsidRDefault="00EC0158">
      <w:pPr>
        <w:pStyle w:val="Default"/>
        <w:jc w:val="both"/>
        <w:rPr>
          <w:rFonts w:eastAsia="Calibri"/>
          <w:b/>
          <w:noProof/>
        </w:rPr>
      </w:pPr>
      <w:r>
        <w:rPr>
          <w:noProof/>
        </w:rPr>
        <w:t>De plus, après l'adoption du paquet «santé» d’automne le 11 novembre 2020, il est proposé que le rôle de l’EMA soit encore renforcé, et ce de manière structurelle.</w:t>
      </w:r>
      <w:r>
        <w:rPr>
          <w:noProof/>
        </w:rPr>
        <w:t xml:space="preserve"> Cette initiative vise à faire en sorte que les pénuries critiques de médicaments et de dispositifs médicaux en cas d’urgence sanitaire soient évitées dans toute l’Union.  Grâce à ce renfort de personnel, l’EMA sera également en mesure de créer une task-fo</w:t>
      </w:r>
      <w:r>
        <w:rPr>
          <w:noProof/>
        </w:rPr>
        <w:t xml:space="preserve">rce permanente chargée d’émettre des avis sur les médicaments en période de crise et pourra réutiliser les données de santé à des fins réglementaires dans le cadre de l’espace européen des </w:t>
      </w:r>
      <w:r>
        <w:rPr>
          <w:noProof/>
        </w:rPr>
        <w:lastRenderedPageBreak/>
        <w:t>données de santé. Renforcer le rôle de l’EMA nécessitera une augmen</w:t>
      </w:r>
      <w:r>
        <w:rPr>
          <w:noProof/>
        </w:rPr>
        <w:t>tation de la contribution de l’Union de 28 millions d’EUR et l'allocation de ressources humaines supplémentaires à hauteur de 29 unités pour 2021 (21 agents temporaires et 8 agents contractuels).</w:t>
      </w:r>
      <w:bookmarkStart w:id="130" w:name="_Toc54770329"/>
    </w:p>
    <w:p w:rsidR="007119D4" w:rsidRDefault="00EC0158">
      <w:pPr>
        <w:keepNext/>
        <w:tabs>
          <w:tab w:val="left" w:pos="850"/>
        </w:tabs>
        <w:spacing w:before="360" w:after="120"/>
        <w:ind w:left="357" w:hanging="357"/>
        <w:jc w:val="both"/>
        <w:outlineLvl w:val="1"/>
        <w:rPr>
          <w:rFonts w:eastAsia="Calibri"/>
          <w:b/>
          <w:noProof/>
        </w:rPr>
      </w:pPr>
      <w:bookmarkStart w:id="131" w:name="_Toc55807139"/>
      <w:bookmarkStart w:id="132" w:name="_Toc56419370"/>
      <w:r>
        <w:rPr>
          <w:b/>
          <w:noProof/>
        </w:rPr>
        <w:t>6.2</w:t>
      </w:r>
      <w:r>
        <w:rPr>
          <w:noProof/>
        </w:rPr>
        <w:tab/>
      </w:r>
      <w:r>
        <w:rPr>
          <w:noProof/>
        </w:rPr>
        <w:tab/>
      </w:r>
      <w:r>
        <w:rPr>
          <w:b/>
          <w:noProof/>
        </w:rPr>
        <w:t>Centre européen de prévention et de contrôle des maladi</w:t>
      </w:r>
      <w:r>
        <w:rPr>
          <w:b/>
          <w:noProof/>
        </w:rPr>
        <w:t>es (ECDC)</w:t>
      </w:r>
      <w:bookmarkEnd w:id="130"/>
      <w:bookmarkEnd w:id="131"/>
      <w:bookmarkEnd w:id="132"/>
    </w:p>
    <w:p w:rsidR="007119D4" w:rsidRDefault="00EC0158">
      <w:pPr>
        <w:spacing w:before="120" w:after="120"/>
        <w:jc w:val="both"/>
        <w:rPr>
          <w:noProof/>
        </w:rPr>
      </w:pPr>
      <w:r>
        <w:rPr>
          <w:noProof/>
        </w:rPr>
        <w:t>Le Centre européen de prévention et de contrôle des maladies (ECDC) évalue et signale en permanence les menaces actuelles ou émergentes pesant sur la santé humaine du fait des maladies contagieuses, et fournit des recommandations pour une réactio</w:t>
      </w:r>
      <w:r>
        <w:rPr>
          <w:noProof/>
        </w:rPr>
        <w:t>n au niveau de l’Union et au niveau national. La situation pandémique actuelle a montré qu’un ECDC fort est un élément central dans l’Union européenne de la santé. Le paquet «santé» d'automne, précité, contenait également une proposition législative destin</w:t>
      </w:r>
      <w:r>
        <w:rPr>
          <w:noProof/>
        </w:rPr>
        <w:t xml:space="preserve">ée à renforcer le rôle de l’Agence, en lui permettant d’accroître son soutien en faveur des États membres pour la préparation et les interventions rapides en cas de crise sanitaire. L’incidence financière de la proposition nécessite une augmentation de 16 </w:t>
      </w:r>
      <w:r>
        <w:rPr>
          <w:noProof/>
        </w:rPr>
        <w:t xml:space="preserve">millions d’EUR de la contribution de l’Union et un renforcement des ressources humaines pour 2021 (18 agents temporaires et 13 agents contractuels). </w:t>
      </w:r>
    </w:p>
    <w:p w:rsidR="007119D4" w:rsidRDefault="00EC0158">
      <w:pPr>
        <w:keepNext/>
        <w:tabs>
          <w:tab w:val="left" w:pos="850"/>
        </w:tabs>
        <w:spacing w:before="360" w:after="120"/>
        <w:ind w:left="357" w:hanging="357"/>
        <w:jc w:val="both"/>
        <w:outlineLvl w:val="1"/>
        <w:rPr>
          <w:rFonts w:eastAsia="Calibri"/>
          <w:b/>
          <w:noProof/>
        </w:rPr>
      </w:pPr>
      <w:bookmarkStart w:id="133" w:name="_Toc55807140"/>
      <w:bookmarkStart w:id="134" w:name="_Toc54770330"/>
      <w:bookmarkStart w:id="135" w:name="_Toc56419371"/>
      <w:bookmarkStart w:id="136" w:name="_Toc526753788"/>
      <w:r>
        <w:rPr>
          <w:b/>
          <w:noProof/>
        </w:rPr>
        <w:t xml:space="preserve">6.3 </w:t>
      </w:r>
      <w:r>
        <w:rPr>
          <w:noProof/>
        </w:rPr>
        <w:tab/>
      </w:r>
      <w:r>
        <w:rPr>
          <w:b/>
          <w:noProof/>
        </w:rPr>
        <w:t>Agence européenne pour l’environnement (AEE)</w:t>
      </w:r>
      <w:bookmarkEnd w:id="133"/>
      <w:bookmarkEnd w:id="134"/>
      <w:bookmarkEnd w:id="135"/>
    </w:p>
    <w:p w:rsidR="007119D4" w:rsidRDefault="00EC0158">
      <w:pPr>
        <w:spacing w:before="120" w:after="120"/>
        <w:jc w:val="both"/>
        <w:rPr>
          <w:noProof/>
        </w:rPr>
      </w:pPr>
      <w:r>
        <w:rPr>
          <w:noProof/>
        </w:rPr>
        <w:t>Après l’adoption par le Conseil et le Parlement du règle</w:t>
      </w:r>
      <w:r>
        <w:rPr>
          <w:noProof/>
        </w:rPr>
        <w:t>ment sur la taxinomie</w:t>
      </w:r>
      <w:r>
        <w:rPr>
          <w:rStyle w:val="FootnoteReference"/>
          <w:noProof/>
          <w:lang w:val="en-IE"/>
        </w:rPr>
        <w:footnoteReference w:id="26"/>
      </w:r>
      <w:r>
        <w:rPr>
          <w:noProof/>
        </w:rPr>
        <w:t xml:space="preserve"> le 18 juin 2020, il y a lieu d’ajouter un agent temporaire par rapport au tableau des effectifs communiqué dans le PB 2021.</w:t>
      </w:r>
    </w:p>
    <w:p w:rsidR="007119D4" w:rsidRDefault="00EC0158">
      <w:pPr>
        <w:spacing w:before="120" w:after="120"/>
        <w:jc w:val="both"/>
        <w:rPr>
          <w:noProof/>
        </w:rPr>
      </w:pPr>
      <w:r>
        <w:rPr>
          <w:noProof/>
        </w:rPr>
        <w:t>En outre, des tâches supplémentaires ont été confiées à l’Agence au titre du 8</w:t>
      </w:r>
      <w:r>
        <w:rPr>
          <w:noProof/>
          <w:vertAlign w:val="superscript"/>
        </w:rPr>
        <w:t>e</w:t>
      </w:r>
      <w:r>
        <w:rPr>
          <w:noProof/>
        </w:rPr>
        <w:t xml:space="preserve"> programme d’action pour l’env</w:t>
      </w:r>
      <w:r>
        <w:rPr>
          <w:noProof/>
        </w:rPr>
        <w:t>ironnement, nécessitant 9 agents temporaires et 6 agents contractuels ainsi qu’un renforcement de la contribution de l’UE de 3,2 millions d’EUR. Cette augmentation est compensée par une réduction correspondante du budget du programme LIFE.</w:t>
      </w:r>
    </w:p>
    <w:p w:rsidR="007119D4" w:rsidRDefault="00EC0158">
      <w:pPr>
        <w:keepNext/>
        <w:tabs>
          <w:tab w:val="left" w:pos="850"/>
        </w:tabs>
        <w:spacing w:before="360" w:after="120"/>
        <w:ind w:left="357" w:hanging="357"/>
        <w:jc w:val="both"/>
        <w:outlineLvl w:val="1"/>
        <w:rPr>
          <w:rFonts w:eastAsia="Calibri"/>
          <w:b/>
          <w:noProof/>
        </w:rPr>
      </w:pPr>
      <w:bookmarkStart w:id="137" w:name="_Toc55807141"/>
      <w:bookmarkStart w:id="138" w:name="_Toc54770331"/>
      <w:bookmarkStart w:id="139" w:name="_Toc56419372"/>
      <w:r>
        <w:rPr>
          <w:b/>
          <w:noProof/>
        </w:rPr>
        <w:t xml:space="preserve">6.4 </w:t>
      </w:r>
      <w:r>
        <w:rPr>
          <w:noProof/>
        </w:rPr>
        <w:tab/>
      </w:r>
      <w:r>
        <w:rPr>
          <w:b/>
          <w:noProof/>
        </w:rPr>
        <w:t>Agence euro</w:t>
      </w:r>
      <w:r>
        <w:rPr>
          <w:b/>
          <w:noProof/>
        </w:rPr>
        <w:t>péenne des produits chimiques (ECHA)</w:t>
      </w:r>
      <w:bookmarkEnd w:id="137"/>
      <w:bookmarkEnd w:id="138"/>
      <w:bookmarkEnd w:id="139"/>
    </w:p>
    <w:p w:rsidR="007119D4" w:rsidRDefault="00EC0158">
      <w:pPr>
        <w:spacing w:before="120" w:after="120"/>
        <w:jc w:val="both"/>
        <w:rPr>
          <w:noProof/>
        </w:rPr>
      </w:pPr>
      <w:r>
        <w:rPr>
          <w:noProof/>
        </w:rPr>
        <w:t>L'Agence européenne des produits chimiques (ECHA) a connu une forte baisse des recettes tirées des redevances en 2020 pour ses activités dans le domaine de la législation relative aux biocides. Le déficit qui en résulte</w:t>
      </w:r>
      <w:r>
        <w:rPr>
          <w:noProof/>
        </w:rPr>
        <w:t xml:space="preserve"> doit être compensé par un renforcement de la contribution de l’Union de 3,2 millions d'EUR. </w:t>
      </w:r>
    </w:p>
    <w:p w:rsidR="007119D4" w:rsidRDefault="00EC0158">
      <w:pPr>
        <w:spacing w:before="120" w:after="120"/>
        <w:jc w:val="both"/>
        <w:rPr>
          <w:noProof/>
        </w:rPr>
      </w:pPr>
      <w:r>
        <w:rPr>
          <w:noProof/>
        </w:rPr>
        <w:t>Des tâches supplémentaires concernant les produits chimiques dangereux ont également été confiées à l’Agence au titre du 8</w:t>
      </w:r>
      <w:r>
        <w:rPr>
          <w:noProof/>
          <w:vertAlign w:val="superscript"/>
        </w:rPr>
        <w:t>e</w:t>
      </w:r>
      <w:r>
        <w:rPr>
          <w:noProof/>
        </w:rPr>
        <w:t xml:space="preserve"> programme d’action pour l’environnemen</w:t>
      </w:r>
      <w:r>
        <w:rPr>
          <w:noProof/>
        </w:rPr>
        <w:t>t, nécessitant 1 agent temporaire et 1 agent contractuel ainsi qu’un renforcement de la contribution de l’UE de 0,3 million d’EUR. Cette augmentation est compensée par une réduction correspondante du budget du programme LIFE.</w:t>
      </w:r>
    </w:p>
    <w:p w:rsidR="007119D4" w:rsidRDefault="00EC0158">
      <w:pPr>
        <w:keepNext/>
        <w:tabs>
          <w:tab w:val="left" w:pos="850"/>
        </w:tabs>
        <w:spacing w:before="360" w:after="120"/>
        <w:ind w:left="357" w:hanging="357"/>
        <w:jc w:val="both"/>
        <w:outlineLvl w:val="1"/>
        <w:rPr>
          <w:rFonts w:eastAsia="Calibri"/>
          <w:b/>
          <w:noProof/>
        </w:rPr>
      </w:pPr>
      <w:bookmarkStart w:id="140" w:name="_Toc55807142"/>
      <w:bookmarkStart w:id="141" w:name="_Toc54770332"/>
      <w:bookmarkStart w:id="142" w:name="_Toc56419373"/>
      <w:r>
        <w:rPr>
          <w:b/>
          <w:noProof/>
        </w:rPr>
        <w:t xml:space="preserve">6.5 </w:t>
      </w:r>
      <w:r>
        <w:rPr>
          <w:noProof/>
        </w:rPr>
        <w:tab/>
      </w:r>
      <w:r>
        <w:rPr>
          <w:b/>
          <w:noProof/>
        </w:rPr>
        <w:t>Autorité bancaire europée</w:t>
      </w:r>
      <w:r>
        <w:rPr>
          <w:b/>
          <w:noProof/>
        </w:rPr>
        <w:t>nne</w:t>
      </w:r>
      <w:bookmarkEnd w:id="140"/>
      <w:bookmarkEnd w:id="141"/>
      <w:bookmarkEnd w:id="142"/>
    </w:p>
    <w:p w:rsidR="007119D4" w:rsidRDefault="00EC0158">
      <w:pPr>
        <w:jc w:val="both"/>
        <w:rPr>
          <w:noProof/>
        </w:rPr>
      </w:pPr>
      <w:r>
        <w:rPr>
          <w:noProof/>
        </w:rPr>
        <w:t>L’Autorité bancaire européenne (ABE) a ajusté la répartition du remboursement de son excédent pour 2019, en augmentant la part de l’Union. L’augmentation des recettes affectées diminue le besoin de crédits nouveaux en 2021 (-276 639 EUR).</w:t>
      </w:r>
    </w:p>
    <w:p w:rsidR="007119D4" w:rsidRDefault="00EC0158">
      <w:pPr>
        <w:keepNext/>
        <w:tabs>
          <w:tab w:val="left" w:pos="850"/>
        </w:tabs>
        <w:spacing w:before="360" w:after="120"/>
        <w:ind w:left="357" w:hanging="357"/>
        <w:jc w:val="both"/>
        <w:outlineLvl w:val="1"/>
        <w:rPr>
          <w:rFonts w:eastAsia="Calibri"/>
          <w:b/>
          <w:noProof/>
        </w:rPr>
      </w:pPr>
      <w:bookmarkStart w:id="143" w:name="_Toc55807143"/>
      <w:bookmarkStart w:id="144" w:name="_Toc54770333"/>
      <w:bookmarkStart w:id="145" w:name="_Toc56419374"/>
      <w:r>
        <w:rPr>
          <w:b/>
          <w:noProof/>
        </w:rPr>
        <w:t xml:space="preserve">6.6 </w:t>
      </w:r>
      <w:r>
        <w:rPr>
          <w:noProof/>
        </w:rPr>
        <w:tab/>
      </w:r>
      <w:r>
        <w:rPr>
          <w:b/>
          <w:noProof/>
        </w:rPr>
        <w:t>Bureau e</w:t>
      </w:r>
      <w:r>
        <w:rPr>
          <w:b/>
          <w:noProof/>
        </w:rPr>
        <w:t>uropéen d’appui en matière d’asile (EASO)</w:t>
      </w:r>
      <w:bookmarkEnd w:id="143"/>
      <w:bookmarkEnd w:id="144"/>
      <w:bookmarkEnd w:id="145"/>
    </w:p>
    <w:p w:rsidR="007119D4" w:rsidRDefault="00EC0158">
      <w:pPr>
        <w:jc w:val="both"/>
        <w:rPr>
          <w:b/>
          <w:smallCaps/>
          <w:noProof/>
        </w:rPr>
      </w:pPr>
      <w:r>
        <w:rPr>
          <w:noProof/>
        </w:rPr>
        <w:t>En raison du manque structurel d’experts nationaux détachés par les États membres, le Bureau européen d'appui en matière d’asile (EASO) s’est vu contraint d'accomplir certaines missions en ayant recours à des trava</w:t>
      </w:r>
      <w:r>
        <w:rPr>
          <w:noProof/>
        </w:rPr>
        <w:t>illeurs intérimaires. Cependant, comme leurs contrats ne peuvent être prolongés à titre permanent, l’EASO a informé la Commission de son intention de remplacer 58 travailleurs intérimaires par des agents contractuels engagés pour une durée maximale d’un an</w:t>
      </w:r>
      <w:r>
        <w:rPr>
          <w:noProof/>
        </w:rPr>
        <w:t xml:space="preserve">. Ce remplacement proposé de travailleurs intérimaires par des agents contractuels n’aura pas d’incidence sur les crédits prévus pour l’agence dans le PB 2021. L’EASO mettra l'année à profit avec la Commission pour </w:t>
      </w:r>
      <w:r>
        <w:rPr>
          <w:noProof/>
        </w:rPr>
        <w:lastRenderedPageBreak/>
        <w:t>trouver une solution structurelle au manq</w:t>
      </w:r>
      <w:r>
        <w:rPr>
          <w:noProof/>
        </w:rPr>
        <w:t>ue d’experts nationaux détachés dans ses services par les États membres.</w:t>
      </w:r>
      <w:bookmarkStart w:id="146" w:name="_Toc54770334"/>
      <w:bookmarkStart w:id="147" w:name="_Toc526753789"/>
      <w:bookmarkEnd w:id="136"/>
    </w:p>
    <w:p w:rsidR="007119D4" w:rsidRDefault="00EC0158">
      <w:pPr>
        <w:pStyle w:val="ManualHeading1"/>
        <w:spacing w:before="240"/>
        <w:rPr>
          <w:noProof/>
        </w:rPr>
      </w:pPr>
      <w:bookmarkStart w:id="148" w:name="_Toc55807144"/>
      <w:bookmarkStart w:id="149" w:name="_Toc56419375"/>
      <w:r>
        <w:rPr>
          <w:noProof/>
        </w:rPr>
        <w:t>7.</w:t>
      </w:r>
      <w:r>
        <w:rPr>
          <w:noProof/>
        </w:rPr>
        <w:tab/>
        <w:t>Ajustements de la rubrique 7 «Administration publique européenne»</w:t>
      </w:r>
      <w:bookmarkEnd w:id="146"/>
      <w:bookmarkEnd w:id="148"/>
      <w:bookmarkEnd w:id="149"/>
    </w:p>
    <w:p w:rsidR="007119D4" w:rsidRDefault="00EC0158">
      <w:pPr>
        <w:keepNext/>
        <w:tabs>
          <w:tab w:val="left" w:pos="850"/>
        </w:tabs>
        <w:spacing w:before="360" w:after="120"/>
        <w:ind w:left="357" w:hanging="357"/>
        <w:jc w:val="both"/>
        <w:outlineLvl w:val="1"/>
        <w:rPr>
          <w:rFonts w:eastAsia="Calibri"/>
          <w:b/>
          <w:noProof/>
        </w:rPr>
      </w:pPr>
      <w:bookmarkStart w:id="150" w:name="_Toc55807145"/>
      <w:bookmarkStart w:id="151" w:name="_Toc54770335"/>
      <w:bookmarkStart w:id="152" w:name="_Toc56419376"/>
      <w:r>
        <w:rPr>
          <w:b/>
          <w:noProof/>
        </w:rPr>
        <w:t>7.1</w:t>
      </w:r>
      <w:r>
        <w:rPr>
          <w:noProof/>
        </w:rPr>
        <w:tab/>
      </w:r>
      <w:r>
        <w:rPr>
          <w:noProof/>
        </w:rPr>
        <w:tab/>
      </w:r>
      <w:r>
        <w:rPr>
          <w:b/>
          <w:noProof/>
        </w:rPr>
        <w:t>Indexation des rémunérations à compter du 1</w:t>
      </w:r>
      <w:r>
        <w:rPr>
          <w:b/>
          <w:noProof/>
          <w:vertAlign w:val="superscript"/>
        </w:rPr>
        <w:t>er</w:t>
      </w:r>
      <w:r>
        <w:rPr>
          <w:b/>
          <w:noProof/>
        </w:rPr>
        <w:t xml:space="preserve"> juillet 2020</w:t>
      </w:r>
      <w:bookmarkEnd w:id="150"/>
      <w:bookmarkEnd w:id="151"/>
      <w:bookmarkEnd w:id="152"/>
    </w:p>
    <w:p w:rsidR="007119D4" w:rsidRDefault="00EC0158">
      <w:pPr>
        <w:autoSpaceDE w:val="0"/>
        <w:autoSpaceDN w:val="0"/>
        <w:adjustRightInd w:val="0"/>
        <w:spacing w:before="120" w:after="120"/>
        <w:jc w:val="both"/>
        <w:rPr>
          <w:noProof/>
        </w:rPr>
      </w:pPr>
      <w:r>
        <w:rPr>
          <w:noProof/>
        </w:rPr>
        <w:t>Conformément aux articles 64 et 65 du statut</w:t>
      </w:r>
      <w:r>
        <w:rPr>
          <w:rStyle w:val="FootnoteReference"/>
          <w:noProof/>
        </w:rPr>
        <w:footnoteReference w:id="27"/>
      </w:r>
      <w:r>
        <w:rPr>
          <w:noProof/>
        </w:rPr>
        <w:t>, les</w:t>
      </w:r>
      <w:r>
        <w:rPr>
          <w:noProof/>
        </w:rPr>
        <w:t xml:space="preserve"> rémunérations des fonctionnaires et des autres agents de l’Union européenne sont actualisées chaque année, sur la base d’un rapport présenté par la Commission et fondé sur les données statistiques préparées par Eurostat en concertation avec les services n</w:t>
      </w:r>
      <w:r>
        <w:rPr>
          <w:noProof/>
        </w:rPr>
        <w:t>ationaux de statistiques des États membres, qui reflètent la situation dans ces derniers à la date du 1</w:t>
      </w:r>
      <w:r>
        <w:rPr>
          <w:noProof/>
          <w:vertAlign w:val="superscript"/>
        </w:rPr>
        <w:t>er</w:t>
      </w:r>
      <w:r>
        <w:rPr>
          <w:noProof/>
        </w:rPr>
        <w:t> juillet.</w:t>
      </w:r>
    </w:p>
    <w:p w:rsidR="007119D4" w:rsidRDefault="00EC0158">
      <w:pPr>
        <w:autoSpaceDE w:val="0"/>
        <w:autoSpaceDN w:val="0"/>
        <w:adjustRightInd w:val="0"/>
        <w:spacing w:before="120" w:after="120"/>
        <w:jc w:val="both"/>
        <w:rPr>
          <w:noProof/>
        </w:rPr>
      </w:pPr>
      <w:r>
        <w:rPr>
          <w:noProof/>
        </w:rPr>
        <w:t>Le calcul de l’actualisation repose sur le principe du parallélisme entre l’évolution des rémunérations réelles (hors inflation) des fonction</w:t>
      </w:r>
      <w:r>
        <w:rPr>
          <w:noProof/>
        </w:rPr>
        <w:t>naires de l’Union et celle des rémunérations des fonctionnaires nationaux des États membres. Il reflète l’effet combiné de deux variables principales:</w:t>
      </w:r>
    </w:p>
    <w:p w:rsidR="007119D4" w:rsidRDefault="00EC0158">
      <w:pPr>
        <w:pStyle w:val="ListParagraph"/>
        <w:numPr>
          <w:ilvl w:val="0"/>
          <w:numId w:val="46"/>
        </w:numPr>
        <w:autoSpaceDE w:val="0"/>
        <w:autoSpaceDN w:val="0"/>
        <w:adjustRightInd w:val="0"/>
        <w:spacing w:before="120" w:after="120" w:line="240" w:lineRule="auto"/>
        <w:ind w:left="360"/>
        <w:jc w:val="both"/>
        <w:rPr>
          <w:rFonts w:ascii="Times New Roman" w:hAnsi="Times New Roman"/>
          <w:noProof/>
          <w:sz w:val="24"/>
          <w:szCs w:val="24"/>
        </w:rPr>
      </w:pPr>
      <w:r>
        <w:rPr>
          <w:rFonts w:ascii="Times New Roman" w:hAnsi="Times New Roman"/>
          <w:noProof/>
          <w:sz w:val="24"/>
          <w:szCs w:val="24"/>
        </w:rPr>
        <w:t xml:space="preserve">l’indicateur spécifique (IS), qui mesure l’évolution du pouvoir d’achat des rémunérations des </w:t>
      </w:r>
      <w:r>
        <w:rPr>
          <w:rFonts w:ascii="Times New Roman" w:hAnsi="Times New Roman"/>
          <w:noProof/>
          <w:sz w:val="24"/>
          <w:szCs w:val="24"/>
        </w:rPr>
        <w:t>fonctionnaires nationaux des administrations centrales d’un échantillon de 11 États membres représentant plus de 75 % du produit intérieur brut (PIB) de l’Union;</w:t>
      </w:r>
    </w:p>
    <w:p w:rsidR="007119D4" w:rsidRDefault="00EC0158">
      <w:pPr>
        <w:pStyle w:val="ListParagraph"/>
        <w:numPr>
          <w:ilvl w:val="0"/>
          <w:numId w:val="46"/>
        </w:numPr>
        <w:autoSpaceDE w:val="0"/>
        <w:autoSpaceDN w:val="0"/>
        <w:adjustRightInd w:val="0"/>
        <w:spacing w:before="120" w:after="120" w:line="240" w:lineRule="auto"/>
        <w:ind w:left="360"/>
        <w:jc w:val="both"/>
        <w:rPr>
          <w:rFonts w:ascii="Times New Roman" w:hAnsi="Times New Roman"/>
          <w:noProof/>
          <w:sz w:val="24"/>
          <w:szCs w:val="24"/>
        </w:rPr>
      </w:pPr>
      <w:r>
        <w:rPr>
          <w:rFonts w:ascii="Times New Roman" w:hAnsi="Times New Roman"/>
          <w:noProof/>
          <w:sz w:val="24"/>
          <w:szCs w:val="24"/>
        </w:rPr>
        <w:t>l’inflation annuelle à Bruxelles et à Luxembourg calculée en pondérant la hausse nationale des</w:t>
      </w:r>
      <w:r>
        <w:rPr>
          <w:rFonts w:ascii="Times New Roman" w:hAnsi="Times New Roman"/>
          <w:noProof/>
          <w:sz w:val="24"/>
          <w:szCs w:val="24"/>
        </w:rPr>
        <w:t xml:space="preserve"> prix à la consommation mesurée par l’IPCH belge</w:t>
      </w:r>
      <w:r>
        <w:rPr>
          <w:rStyle w:val="FootnoteReference"/>
          <w:rFonts w:eastAsia="Times New Roman"/>
          <w:noProof/>
          <w:sz w:val="24"/>
          <w:szCs w:val="24"/>
          <w:lang w:val="en-GB" w:eastAsia="en-GB"/>
        </w:rPr>
        <w:footnoteReference w:id="28"/>
      </w:r>
      <w:r>
        <w:rPr>
          <w:rFonts w:ascii="Times New Roman" w:hAnsi="Times New Roman"/>
          <w:noProof/>
          <w:sz w:val="24"/>
          <w:szCs w:val="24"/>
        </w:rPr>
        <w:t xml:space="preserve"> et l’IPC luxembourgeois</w:t>
      </w:r>
      <w:r>
        <w:rPr>
          <w:rStyle w:val="FootnoteReference"/>
          <w:rFonts w:eastAsia="Times New Roman"/>
          <w:noProof/>
          <w:sz w:val="24"/>
          <w:szCs w:val="24"/>
          <w:lang w:val="en-GB" w:eastAsia="en-GB"/>
        </w:rPr>
        <w:footnoteReference w:id="29"/>
      </w:r>
      <w:r>
        <w:rPr>
          <w:rFonts w:ascii="Times New Roman" w:hAnsi="Times New Roman"/>
          <w:noProof/>
          <w:sz w:val="24"/>
          <w:szCs w:val="24"/>
        </w:rPr>
        <w:t xml:space="preserve"> en fonction de la répartition du personnel de l’UE en service dans ces États membres.</w:t>
      </w:r>
    </w:p>
    <w:p w:rsidR="007119D4" w:rsidRDefault="00EC0158">
      <w:pPr>
        <w:autoSpaceDE w:val="0"/>
        <w:autoSpaceDN w:val="0"/>
        <w:adjustRightInd w:val="0"/>
        <w:spacing w:before="120" w:after="120"/>
        <w:jc w:val="both"/>
        <w:rPr>
          <w:noProof/>
        </w:rPr>
      </w:pPr>
      <w:r>
        <w:rPr>
          <w:noProof/>
        </w:rPr>
        <w:t>Le taux d’actualisation est obtenu à partir du produit de ces deux éléments.</w:t>
      </w:r>
    </w:p>
    <w:p w:rsidR="007119D4" w:rsidRDefault="00EC0158">
      <w:pPr>
        <w:autoSpaceDE w:val="0"/>
        <w:autoSpaceDN w:val="0"/>
        <w:adjustRightInd w:val="0"/>
        <w:spacing w:before="120" w:after="120"/>
        <w:jc w:val="both"/>
        <w:rPr>
          <w:noProof/>
        </w:rPr>
      </w:pPr>
      <w:r>
        <w:rPr>
          <w:noProof/>
        </w:rPr>
        <w:t>Conformément à l’a</w:t>
      </w:r>
      <w:r>
        <w:rPr>
          <w:noProof/>
        </w:rPr>
        <w:t xml:space="preserve">nnexe XI, article 11 (clause d’exception), du statut, si le PIB réel de l’Union pour l'année en cours est, selon les prévisions de la Commission, en diminution et que l'indicateur spécifique est positif, une partie seulement de l'indicateur spécifique est </w:t>
      </w:r>
      <w:r>
        <w:rPr>
          <w:noProof/>
        </w:rPr>
        <w:t>utilisée pour calculer la valeur de l'actualisation. En cas de baisse du PIB supérieure à 3 %, l’indicateur spécifique sera fixé à 0 % pour l’exercice 2020. Lorsque la valeur de l'indicateur spécifique n'a pas été utilisée pour l'actualisation des rémunéra</w:t>
      </w:r>
      <w:r>
        <w:rPr>
          <w:noProof/>
        </w:rPr>
        <w:t>tions et des pensions en 2020, cette valeur forme la base de calcul d'une future actualisation dès que l'augmentation cumulée du PIB de l'Union devient positive.</w:t>
      </w:r>
    </w:p>
    <w:p w:rsidR="007119D4" w:rsidRDefault="00EC0158">
      <w:pPr>
        <w:autoSpaceDE w:val="0"/>
        <w:autoSpaceDN w:val="0"/>
        <w:adjustRightInd w:val="0"/>
        <w:spacing w:before="120" w:after="120"/>
        <w:jc w:val="both"/>
        <w:rPr>
          <w:noProof/>
        </w:rPr>
      </w:pPr>
      <w:r>
        <w:rPr>
          <w:noProof/>
        </w:rPr>
        <w:t>Selon les dernières prévisions publiées par la Commission, en raison de la crise de la COVID-1</w:t>
      </w:r>
      <w:r>
        <w:rPr>
          <w:noProof/>
        </w:rPr>
        <w:t>9, le PIB réel de l’Union pour l’année civile 2020 devrait diminuer de 8,3 %. Par conséquent, la clause d’exception sera appliquée, l’indicateur spécifique sera de 0 % et l’actualisation des rémunérations au 1</w:t>
      </w:r>
      <w:r>
        <w:rPr>
          <w:noProof/>
          <w:vertAlign w:val="superscript"/>
        </w:rPr>
        <w:t>er</w:t>
      </w:r>
      <w:r>
        <w:rPr>
          <w:noProof/>
        </w:rPr>
        <w:t xml:space="preserve"> juillet 2020 correspondra uniquement à l’évo</w:t>
      </w:r>
      <w:r>
        <w:rPr>
          <w:noProof/>
        </w:rPr>
        <w:t>lution de l’indice commun (IC) sur la période comprise entre juillet 2019 et juillet 2020.</w:t>
      </w:r>
    </w:p>
    <w:p w:rsidR="007119D4" w:rsidRDefault="00EC0158">
      <w:pPr>
        <w:autoSpaceDE w:val="0"/>
        <w:autoSpaceDN w:val="0"/>
        <w:adjustRightInd w:val="0"/>
        <w:spacing w:before="120" w:after="120"/>
        <w:jc w:val="both"/>
        <w:rPr>
          <w:noProof/>
        </w:rPr>
      </w:pPr>
      <w:r>
        <w:rPr>
          <w:noProof/>
        </w:rPr>
        <w:t>Cet IC a été confirmé à 0,7 % par Eurostat dans le rapport relatif à l’actualisation annuelle des rémunérations et des pensions publié le 31 octobre 2020, conforméme</w:t>
      </w:r>
      <w:r>
        <w:rPr>
          <w:noProof/>
        </w:rPr>
        <w:t>nt aux dispositions de l’annexe XI du statut, tandis que les prévisions révisées faisaient état d’un taux d’actualisation des rémunérations à partir du 1</w:t>
      </w:r>
      <w:r>
        <w:rPr>
          <w:noProof/>
          <w:vertAlign w:val="superscript"/>
        </w:rPr>
        <w:t>er</w:t>
      </w:r>
      <w:r>
        <w:rPr>
          <w:noProof/>
        </w:rPr>
        <w:t xml:space="preserve"> juillet 2020 de 0,9 %, utilisé pour le PB 2021 (incidence sur une année complète).</w:t>
      </w:r>
    </w:p>
    <w:p w:rsidR="007119D4" w:rsidRDefault="00EC0158">
      <w:pPr>
        <w:autoSpaceDE w:val="0"/>
        <w:autoSpaceDN w:val="0"/>
        <w:adjustRightInd w:val="0"/>
        <w:spacing w:before="120" w:after="120"/>
        <w:jc w:val="both"/>
        <w:rPr>
          <w:rFonts w:eastAsia="Calibri"/>
          <w:b/>
          <w:noProof/>
        </w:rPr>
      </w:pPr>
      <w:r>
        <w:rPr>
          <w:noProof/>
        </w:rPr>
        <w:t>Les crédits de la</w:t>
      </w:r>
      <w:r>
        <w:rPr>
          <w:noProof/>
        </w:rPr>
        <w:t xml:space="preserve"> rubrique 7 «Administration» du CFP devraient donc être réduits de 22,0 millions d'EUR pour 2021, dont 5,9 millions d'EUR pour la Commission, 4,4 millions d'EUR pour les pensions de toutes les institutions et 4,8 millions d'EUR pour toutes les autres insti</w:t>
      </w:r>
      <w:r>
        <w:rPr>
          <w:noProof/>
        </w:rPr>
        <w:t xml:space="preserve">tutions. La réduction restante de 7 millions d'EUR concerne les écoles européennes, pour lesquelles la demande budgétaire au titre </w:t>
      </w:r>
      <w:r>
        <w:rPr>
          <w:noProof/>
        </w:rPr>
        <w:lastRenderedPageBreak/>
        <w:t>du PB 2021 correspond à une actualisation salariale de 3,1 %, c’est-à-dire le taux prévisionnel utilisé initialement par la C</w:t>
      </w:r>
      <w:r>
        <w:rPr>
          <w:noProof/>
        </w:rPr>
        <w:t>ommission au printemps 2020</w:t>
      </w:r>
      <w:r>
        <w:rPr>
          <w:rStyle w:val="FootnoteReference"/>
          <w:noProof/>
        </w:rPr>
        <w:footnoteReference w:id="30"/>
      </w:r>
      <w:r>
        <w:rPr>
          <w:noProof/>
        </w:rPr>
        <w:t>.</w:t>
      </w:r>
      <w:bookmarkStart w:id="153" w:name="_Toc54770336"/>
    </w:p>
    <w:p w:rsidR="007119D4" w:rsidRDefault="00EC0158">
      <w:pPr>
        <w:keepNext/>
        <w:tabs>
          <w:tab w:val="left" w:pos="850"/>
        </w:tabs>
        <w:spacing w:before="360" w:after="120"/>
        <w:ind w:left="357" w:hanging="357"/>
        <w:jc w:val="both"/>
        <w:outlineLvl w:val="1"/>
        <w:rPr>
          <w:rFonts w:eastAsia="Calibri"/>
          <w:b/>
          <w:noProof/>
        </w:rPr>
      </w:pPr>
      <w:bookmarkStart w:id="154" w:name="_Toc55807146"/>
      <w:bookmarkStart w:id="155" w:name="_Toc56419377"/>
      <w:r>
        <w:rPr>
          <w:b/>
          <w:noProof/>
        </w:rPr>
        <w:t>7.2</w:t>
      </w:r>
      <w:r>
        <w:rPr>
          <w:noProof/>
        </w:rPr>
        <w:tab/>
      </w:r>
      <w:r>
        <w:rPr>
          <w:noProof/>
        </w:rPr>
        <w:tab/>
      </w:r>
      <w:r>
        <w:rPr>
          <w:b/>
          <w:noProof/>
        </w:rPr>
        <w:t>Renforcement du Parlement européen</w:t>
      </w:r>
      <w:bookmarkEnd w:id="153"/>
      <w:bookmarkEnd w:id="154"/>
      <w:bookmarkEnd w:id="155"/>
    </w:p>
    <w:p w:rsidR="007119D4" w:rsidRDefault="00EC0158">
      <w:pPr>
        <w:autoSpaceDE w:val="0"/>
        <w:autoSpaceDN w:val="0"/>
        <w:adjustRightInd w:val="0"/>
        <w:spacing w:before="120" w:after="120"/>
        <w:jc w:val="both"/>
        <w:rPr>
          <w:noProof/>
        </w:rPr>
      </w:pPr>
      <w:r>
        <w:rPr>
          <w:noProof/>
        </w:rPr>
        <w:t>Un renforcement total de 4,6 millions d'EUR a été demandé par le Parlement européen pour:</w:t>
      </w:r>
    </w:p>
    <w:p w:rsidR="007119D4" w:rsidRDefault="00EC0158">
      <w:pPr>
        <w:pStyle w:val="ListParagraph"/>
        <w:numPr>
          <w:ilvl w:val="0"/>
          <w:numId w:val="46"/>
        </w:numPr>
        <w:autoSpaceDE w:val="0"/>
        <w:autoSpaceDN w:val="0"/>
        <w:adjustRightInd w:val="0"/>
        <w:spacing w:before="120" w:after="120" w:line="240" w:lineRule="auto"/>
        <w:ind w:left="360"/>
        <w:jc w:val="both"/>
        <w:rPr>
          <w:rFonts w:ascii="Times New Roman" w:hAnsi="Times New Roman"/>
          <w:noProof/>
          <w:sz w:val="24"/>
          <w:szCs w:val="24"/>
        </w:rPr>
      </w:pPr>
      <w:r>
        <w:rPr>
          <w:rFonts w:ascii="Times New Roman" w:hAnsi="Times New Roman"/>
          <w:noProof/>
          <w:sz w:val="24"/>
          <w:szCs w:val="24"/>
        </w:rPr>
        <w:t>les autres coûts de construction des bâtiments prévus pour 2021, d'un montant de 2,1 millions d'</w:t>
      </w:r>
      <w:r>
        <w:rPr>
          <w:rFonts w:ascii="Times New Roman" w:hAnsi="Times New Roman"/>
          <w:noProof/>
          <w:sz w:val="24"/>
          <w:szCs w:val="24"/>
        </w:rPr>
        <w:t>EUR (travaux, honoraires de consultants, travaux d’aménagement initial et fournitures destinées à rendre les bâtiments opérationnels ainsi que tous les coûts connexes), ainsi que les coûts d’aménagement et les dépenses correspondantes, notamment les honora</w:t>
      </w:r>
      <w:r>
        <w:rPr>
          <w:rFonts w:ascii="Times New Roman" w:hAnsi="Times New Roman"/>
          <w:noProof/>
          <w:sz w:val="24"/>
          <w:szCs w:val="24"/>
        </w:rPr>
        <w:t>ires d’architectes ou d’ingénieurs, tels qu’estimés par le Parlement européen;</w:t>
      </w:r>
    </w:p>
    <w:p w:rsidR="007119D4" w:rsidRDefault="00EC0158">
      <w:pPr>
        <w:pStyle w:val="ListParagraph"/>
        <w:numPr>
          <w:ilvl w:val="0"/>
          <w:numId w:val="46"/>
        </w:numPr>
        <w:autoSpaceDE w:val="0"/>
        <w:autoSpaceDN w:val="0"/>
        <w:adjustRightInd w:val="0"/>
        <w:spacing w:before="120" w:after="120" w:line="240" w:lineRule="auto"/>
        <w:ind w:left="360"/>
        <w:jc w:val="both"/>
        <w:rPr>
          <w:rFonts w:ascii="Times New Roman" w:hAnsi="Times New Roman"/>
          <w:iCs/>
          <w:noProof/>
          <w:sz w:val="24"/>
          <w:szCs w:val="24"/>
        </w:rPr>
      </w:pPr>
      <w:r>
        <w:rPr>
          <w:rFonts w:ascii="Times New Roman" w:hAnsi="Times New Roman"/>
          <w:noProof/>
          <w:sz w:val="24"/>
          <w:szCs w:val="24"/>
        </w:rPr>
        <w:t>l'augmentation de la réserve pour imprévus d'un montant de 2,6 millions d'EUR pour couvrir les dépenses supplémentaires résultant des décisions budgétaires prises au cours de l’</w:t>
      </w:r>
      <w:r>
        <w:rPr>
          <w:rFonts w:ascii="Times New Roman" w:hAnsi="Times New Roman"/>
          <w:noProof/>
          <w:sz w:val="24"/>
          <w:szCs w:val="24"/>
        </w:rPr>
        <w:t>exercice, notamment celles liées à la crise actuelle de la COVID-19.</w:t>
      </w:r>
      <w:bookmarkStart w:id="156" w:name="_Toc55807147"/>
      <w:bookmarkStart w:id="157" w:name="_Toc54770337"/>
    </w:p>
    <w:p w:rsidR="007119D4" w:rsidRDefault="00EC0158">
      <w:pPr>
        <w:spacing w:before="240" w:after="200" w:line="276" w:lineRule="auto"/>
        <w:rPr>
          <w:rFonts w:eastAsia="Calibri"/>
          <w:b/>
          <w:noProof/>
        </w:rPr>
      </w:pPr>
      <w:r>
        <w:rPr>
          <w:b/>
          <w:noProof/>
        </w:rPr>
        <w:t>7.3</w:t>
      </w:r>
      <w:r>
        <w:rPr>
          <w:noProof/>
        </w:rPr>
        <w:tab/>
      </w:r>
      <w:r>
        <w:rPr>
          <w:noProof/>
        </w:rPr>
        <w:tab/>
      </w:r>
      <w:r>
        <w:rPr>
          <w:b/>
          <w:noProof/>
        </w:rPr>
        <w:t>Renforcement du service européen pour l'action extérieure (SEAE)</w:t>
      </w:r>
      <w:bookmarkEnd w:id="156"/>
      <w:bookmarkEnd w:id="157"/>
    </w:p>
    <w:p w:rsidR="007119D4" w:rsidRDefault="00EC0158">
      <w:pPr>
        <w:tabs>
          <w:tab w:val="left" w:pos="851"/>
        </w:tabs>
        <w:spacing w:before="240" w:after="120"/>
        <w:jc w:val="both"/>
        <w:rPr>
          <w:bCs/>
          <w:noProof/>
        </w:rPr>
      </w:pPr>
      <w:r>
        <w:rPr>
          <w:i/>
          <w:noProof/>
        </w:rPr>
        <w:t xml:space="preserve">7.3.1 </w:t>
      </w:r>
      <w:r>
        <w:rPr>
          <w:noProof/>
        </w:rPr>
        <w:tab/>
      </w:r>
      <w:r>
        <w:rPr>
          <w:i/>
          <w:noProof/>
        </w:rPr>
        <w:t>Ressources supplémentaires destinées à la facilité européenne pour la paix</w:t>
      </w:r>
      <w:r>
        <w:rPr>
          <w:noProof/>
        </w:rPr>
        <w:t xml:space="preserve"> </w:t>
      </w:r>
    </w:p>
    <w:p w:rsidR="007119D4" w:rsidRDefault="00EC0158">
      <w:pPr>
        <w:autoSpaceDE w:val="0"/>
        <w:autoSpaceDN w:val="0"/>
        <w:adjustRightInd w:val="0"/>
        <w:spacing w:before="120" w:after="120"/>
        <w:jc w:val="both"/>
        <w:rPr>
          <w:noProof/>
        </w:rPr>
      </w:pPr>
      <w:r>
        <w:rPr>
          <w:noProof/>
        </w:rPr>
        <w:t>La proposition relative à la facil</w:t>
      </w:r>
      <w:r>
        <w:rPr>
          <w:noProof/>
        </w:rPr>
        <w:t>ité européenne pour la paix, un fonds hors budget de 5,7 milliards d'EUR au cours du prochain CFP, attribue la responsabilité de plusieurs fonctions nouvelles au SEAE. Celui-ci devra notamment assurer la préparation, le pilotage et le suivi de certains élé</w:t>
      </w:r>
      <w:r>
        <w:rPr>
          <w:noProof/>
        </w:rPr>
        <w:t>ments des mesures d’aide à financer au titre de ladite facilité, couvrant leurs aspects politiques, opérationnels et financiers dans des notes succinctes, des propositions de mesures d’aide, des arrangements à convenir avec les bénéficiaires et d'autres me</w:t>
      </w:r>
      <w:r>
        <w:rPr>
          <w:noProof/>
        </w:rPr>
        <w:t>sures de suivi ultérieures.</w:t>
      </w:r>
    </w:p>
    <w:p w:rsidR="007119D4" w:rsidRDefault="00EC0158">
      <w:pPr>
        <w:autoSpaceDE w:val="0"/>
        <w:autoSpaceDN w:val="0"/>
        <w:adjustRightInd w:val="0"/>
        <w:spacing w:before="120" w:after="120"/>
        <w:jc w:val="both"/>
        <w:rPr>
          <w:noProof/>
        </w:rPr>
      </w:pPr>
      <w:r>
        <w:rPr>
          <w:noProof/>
        </w:rPr>
        <w:t>Ces mesures pourraient porter notamment sur le soutien financier à un tiers, sur la fourniture d’équipements et d'infrastructures militaires ou de paquets intégrés comprenant l’apport de tels équipements et infrastructures, asso</w:t>
      </w:r>
      <w:r>
        <w:rPr>
          <w:noProof/>
        </w:rPr>
        <w:t>rti d’une formation militaire au moyen d'une mission de formation de l’UE, et sur le suivi de mesures d’atténuation et de contrôle.</w:t>
      </w:r>
    </w:p>
    <w:p w:rsidR="007119D4" w:rsidRDefault="00EC0158">
      <w:pPr>
        <w:autoSpaceDE w:val="0"/>
        <w:autoSpaceDN w:val="0"/>
        <w:adjustRightInd w:val="0"/>
        <w:spacing w:before="120" w:after="120"/>
        <w:jc w:val="both"/>
        <w:rPr>
          <w:noProof/>
        </w:rPr>
      </w:pPr>
      <w:r>
        <w:rPr>
          <w:noProof/>
        </w:rPr>
        <w:t>Les propositions de mesures du SEAE devraient suivre une méthode en matière de risques et de garanties comprenant une analys</w:t>
      </w:r>
      <w:r>
        <w:rPr>
          <w:noProof/>
        </w:rPr>
        <w:t>e de la sensibilité aux conflits et du contexte, des analyses de risque et d'impact, des mesures éventuelles d'atténuation et des arrangements pour le suivi et l’évaluation, nécessaires afin de garantir le respect des principes et de la législation de l’UE</w:t>
      </w:r>
      <w:r>
        <w:rPr>
          <w:noProof/>
        </w:rPr>
        <w:t xml:space="preserve"> et du droit international, notamment les droits de l’homme et le droit humanitaire international.</w:t>
      </w:r>
    </w:p>
    <w:p w:rsidR="007119D4" w:rsidRDefault="00EC0158">
      <w:pPr>
        <w:autoSpaceDE w:val="0"/>
        <w:autoSpaceDN w:val="0"/>
        <w:adjustRightInd w:val="0"/>
        <w:spacing w:before="120" w:after="120"/>
        <w:jc w:val="both"/>
        <w:rPr>
          <w:noProof/>
        </w:rPr>
      </w:pPr>
      <w:r>
        <w:rPr>
          <w:noProof/>
        </w:rPr>
        <w:t>Lorsqu’une mesure d’assistance implique la fourniture d’équipements et/ou d'infrastructures, il conviendra de traduire la note succincte, au cours du process</w:t>
      </w:r>
      <w:r>
        <w:rPr>
          <w:noProof/>
        </w:rPr>
        <w:t>us décisionnel, en listes détaillées et spécifications techniques des équipements et/ou infrastructures, accompagnées d'une estimation des coûts.</w:t>
      </w:r>
    </w:p>
    <w:p w:rsidR="007119D4" w:rsidRDefault="00EC0158">
      <w:pPr>
        <w:autoSpaceDE w:val="0"/>
        <w:autoSpaceDN w:val="0"/>
        <w:adjustRightInd w:val="0"/>
        <w:spacing w:before="120" w:after="120"/>
        <w:jc w:val="both"/>
        <w:rPr>
          <w:noProof/>
        </w:rPr>
      </w:pPr>
      <w:r>
        <w:rPr>
          <w:noProof/>
        </w:rPr>
        <w:t>Le SEAE sera également invité à se concerter avec les administrateurs de la facilité européenne pour la paix s</w:t>
      </w:r>
      <w:r>
        <w:rPr>
          <w:noProof/>
        </w:rPr>
        <w:t>ur les questions financières. Il devrait également conclure tout accord politique et technique nécessaire avec le bénéficiaire (pays partenaire, organisation internationale ou régionale), assurer une coordination avec l’État exportateur (cohérence des exig</w:t>
      </w:r>
      <w:r>
        <w:rPr>
          <w:noProof/>
        </w:rPr>
        <w:t>ences en matière de licences), et procéder, après la livraison, à un suivi de l'inventaire et à des visites sur place ainsi qu'à l’inspection physique des équipements et infrastructures militaires dans un environnement militaire.</w:t>
      </w:r>
    </w:p>
    <w:p w:rsidR="007119D4" w:rsidRDefault="00EC0158">
      <w:pPr>
        <w:autoSpaceDE w:val="0"/>
        <w:autoSpaceDN w:val="0"/>
        <w:adjustRightInd w:val="0"/>
        <w:spacing w:before="120" w:after="120"/>
        <w:jc w:val="both"/>
        <w:rPr>
          <w:noProof/>
        </w:rPr>
      </w:pPr>
      <w:r>
        <w:rPr>
          <w:noProof/>
        </w:rPr>
        <w:t>Le SEAE estime que ses bes</w:t>
      </w:r>
      <w:r>
        <w:rPr>
          <w:noProof/>
        </w:rPr>
        <w:t>oins sont de 16 ETP [1 fonctionnaire AD 13 (chef de division), 1 AD 11, 2 AD 10 et 1 AD 7 + 5 agents contractuels + 6 experts nationaux détachés] afin d'exécuter ces nouvelles tâches qui lui ont été confiées par le législateur, pour un coût initial dans le</w:t>
      </w:r>
      <w:r>
        <w:rPr>
          <w:noProof/>
        </w:rPr>
        <w:t xml:space="preserve"> budget 2021 de 1 362 500 EUR.</w:t>
      </w:r>
    </w:p>
    <w:p w:rsidR="007119D4" w:rsidRDefault="00EC0158">
      <w:pPr>
        <w:tabs>
          <w:tab w:val="left" w:pos="851"/>
        </w:tabs>
        <w:spacing w:before="240" w:after="120"/>
        <w:jc w:val="both"/>
        <w:rPr>
          <w:bCs/>
          <w:noProof/>
        </w:rPr>
      </w:pPr>
      <w:r>
        <w:rPr>
          <w:i/>
          <w:noProof/>
        </w:rPr>
        <w:t xml:space="preserve">7.3.1 </w:t>
      </w:r>
      <w:r>
        <w:rPr>
          <w:noProof/>
        </w:rPr>
        <w:tab/>
      </w:r>
      <w:r>
        <w:rPr>
          <w:i/>
          <w:noProof/>
        </w:rPr>
        <w:t>Ressources supplémentaires pour les services consulaires</w:t>
      </w:r>
    </w:p>
    <w:p w:rsidR="007119D4" w:rsidRDefault="00EC0158">
      <w:pPr>
        <w:autoSpaceDE w:val="0"/>
        <w:autoSpaceDN w:val="0"/>
        <w:adjustRightInd w:val="0"/>
        <w:spacing w:before="120" w:after="120"/>
        <w:jc w:val="both"/>
        <w:rPr>
          <w:noProof/>
        </w:rPr>
      </w:pPr>
      <w:r>
        <w:rPr>
          <w:noProof/>
        </w:rPr>
        <w:lastRenderedPageBreak/>
        <w:t>La pandémie de COVID-19 a déclenché une situation d’urgence consulaire dans le monde en raison de restrictions de transport strictes, ce qui a nécessité le rapatriement d’urgence, entre mars et juin 2020, de plus d’un demi-million de citoyens de l’UE bloqu</w:t>
      </w:r>
      <w:r>
        <w:rPr>
          <w:noProof/>
        </w:rPr>
        <w:t>és dans des pays tiers. Bien que les compétences de l’UE ne consistent qu’à soutenir la coordination de l’assistance consulaire, les États membres (EM), les citoyens et les partenaires se sont tournés vers les institutions de l’UE, en demandant leur partic</w:t>
      </w:r>
      <w:r>
        <w:rPr>
          <w:noProof/>
        </w:rPr>
        <w:t xml:space="preserve">ipation active pour faire face à cette situation d’urgence. </w:t>
      </w:r>
    </w:p>
    <w:p w:rsidR="007119D4" w:rsidRDefault="00EC0158">
      <w:pPr>
        <w:autoSpaceDE w:val="0"/>
        <w:autoSpaceDN w:val="0"/>
        <w:adjustRightInd w:val="0"/>
        <w:spacing w:before="120" w:after="120"/>
        <w:jc w:val="both"/>
        <w:rPr>
          <w:noProof/>
        </w:rPr>
      </w:pPr>
      <w:r>
        <w:rPr>
          <w:noProof/>
        </w:rPr>
        <w:t xml:space="preserve">Grâce au succès manifeste de cette opération massive de rapatriement menée par l’UE, dans un contexte où de nombreux États membres ont réduit peu à peu leur empreinte consulaire, le rôle de l’UE </w:t>
      </w:r>
      <w:r>
        <w:rPr>
          <w:noProof/>
        </w:rPr>
        <w:t>a été ouvertement reconnu et salué par les États membres. Les petits EM se sont presque entièrement appuyés sur la coordination de l’UE, tandis que les grands EM réalisent que le rôle de l’UE leur est aussi de plus en plus nécessaire. Il en a résulté de fa</w:t>
      </w:r>
      <w:r>
        <w:rPr>
          <w:noProof/>
        </w:rPr>
        <w:t>cto le transfert de responsabilités supplémentaires vers les délégations de l’UE en matière consulaire.</w:t>
      </w:r>
    </w:p>
    <w:p w:rsidR="007119D4" w:rsidRDefault="00EC0158">
      <w:pPr>
        <w:autoSpaceDE w:val="0"/>
        <w:autoSpaceDN w:val="0"/>
        <w:adjustRightInd w:val="0"/>
        <w:spacing w:before="120" w:after="120"/>
        <w:jc w:val="both"/>
        <w:rPr>
          <w:noProof/>
        </w:rPr>
      </w:pPr>
      <w:r>
        <w:rPr>
          <w:noProof/>
        </w:rPr>
        <w:t>Pour répondre aux attentes claires des États membres souhaitant que le SEAE intervienne davantage dans la coordination de l’assistance consulaire et ren</w:t>
      </w:r>
      <w:r>
        <w:rPr>
          <w:noProof/>
        </w:rPr>
        <w:t xml:space="preserve">force le rôle et l’image de l’UE dans les pays tiers, le SEAE cherche à renforcer sa division des affaires consulaires. </w:t>
      </w:r>
    </w:p>
    <w:p w:rsidR="007119D4" w:rsidRDefault="00EC0158">
      <w:pPr>
        <w:autoSpaceDE w:val="0"/>
        <w:autoSpaceDN w:val="0"/>
        <w:adjustRightInd w:val="0"/>
        <w:spacing w:before="120" w:after="120"/>
        <w:jc w:val="both"/>
        <w:rPr>
          <w:noProof/>
        </w:rPr>
      </w:pPr>
      <w:r>
        <w:rPr>
          <w:noProof/>
        </w:rPr>
        <w:t>Il pourrait ainsi s’engager rapidement dans un processus visant à tirer les enseignements de l'expérience acquise, en fournissant une a</w:t>
      </w:r>
      <w:r>
        <w:rPr>
          <w:noProof/>
        </w:rPr>
        <w:t>nalyse approfondie de la crise consulaire et en indiquant les détails spécifiques relatifs à chaque phase, les mécanismes utilisés pour faciliter les rapatriements, une vue d’ensemble des meilleures pratiques observées sur le terrain et un aperçu des princ</w:t>
      </w:r>
      <w:r>
        <w:rPr>
          <w:noProof/>
        </w:rPr>
        <w:t xml:space="preserve">ipaux défis et opportunités. </w:t>
      </w:r>
    </w:p>
    <w:p w:rsidR="007119D4" w:rsidRDefault="00EC0158">
      <w:pPr>
        <w:autoSpaceDE w:val="0"/>
        <w:autoSpaceDN w:val="0"/>
        <w:adjustRightInd w:val="0"/>
        <w:spacing w:before="120" w:after="120"/>
        <w:jc w:val="both"/>
        <w:rPr>
          <w:noProof/>
        </w:rPr>
      </w:pPr>
      <w:r>
        <w:rPr>
          <w:noProof/>
        </w:rPr>
        <w:t xml:space="preserve">En outre, cela préparerait le terrain pour la révision du cadre juridique et de l’environnement institutionnel de l’UE concernant les capacités de gestion des crises consulaires. </w:t>
      </w:r>
    </w:p>
    <w:p w:rsidR="007119D4" w:rsidRDefault="00EC0158">
      <w:pPr>
        <w:autoSpaceDE w:val="0"/>
        <w:autoSpaceDN w:val="0"/>
        <w:adjustRightInd w:val="0"/>
        <w:spacing w:before="120" w:after="120"/>
        <w:jc w:val="both"/>
        <w:rPr>
          <w:rFonts w:eastAsia="Calibri"/>
          <w:i/>
          <w:noProof/>
        </w:rPr>
      </w:pPr>
      <w:r>
        <w:rPr>
          <w:noProof/>
        </w:rPr>
        <w:t xml:space="preserve">Le renforcement demandé de 1 fonctionnaire AD </w:t>
      </w:r>
      <w:r>
        <w:rPr>
          <w:noProof/>
        </w:rPr>
        <w:t>11, 1 fonctionnaire AD 7 et 1 agent contractuel nécessite une première augmentation du budget du SEAE de 303 800 EUR.</w:t>
      </w:r>
    </w:p>
    <w:p w:rsidR="007119D4" w:rsidRDefault="00EC0158">
      <w:pPr>
        <w:keepNext/>
        <w:tabs>
          <w:tab w:val="left" w:pos="850"/>
        </w:tabs>
        <w:spacing w:before="360" w:after="120"/>
        <w:ind w:left="357" w:hanging="357"/>
        <w:jc w:val="both"/>
        <w:outlineLvl w:val="1"/>
        <w:rPr>
          <w:rFonts w:eastAsia="Calibri"/>
          <w:b/>
          <w:noProof/>
        </w:rPr>
      </w:pPr>
      <w:bookmarkStart w:id="158" w:name="_Toc55807148"/>
      <w:bookmarkStart w:id="159" w:name="_Toc54770338"/>
      <w:bookmarkStart w:id="160" w:name="_Toc56419378"/>
      <w:r>
        <w:rPr>
          <w:b/>
          <w:noProof/>
        </w:rPr>
        <w:t xml:space="preserve">7.4 </w:t>
      </w:r>
      <w:r>
        <w:rPr>
          <w:noProof/>
        </w:rPr>
        <w:tab/>
      </w:r>
      <w:r>
        <w:rPr>
          <w:b/>
          <w:noProof/>
        </w:rPr>
        <w:t>Transfert d'effectifs des délégations de l’Union de la Commission vers le SEAE</w:t>
      </w:r>
      <w:bookmarkEnd w:id="158"/>
      <w:bookmarkEnd w:id="159"/>
      <w:bookmarkEnd w:id="160"/>
    </w:p>
    <w:p w:rsidR="007119D4" w:rsidRDefault="00EC0158">
      <w:pPr>
        <w:widowControl w:val="0"/>
        <w:spacing w:after="240"/>
        <w:jc w:val="both"/>
        <w:rPr>
          <w:noProof/>
        </w:rPr>
      </w:pPr>
      <w:r>
        <w:rPr>
          <w:noProof/>
        </w:rPr>
        <w:t>Selon l’accord de niveau de service  (Service Level Ag</w:t>
      </w:r>
      <w:r>
        <w:rPr>
          <w:noProof/>
        </w:rPr>
        <w:t>reement, SLA) conclu entre la Commission et le service européen pour l'action extérieure (SEAE) en décembre 2010, la Commission a continué de financer une partie des effectifs dans les sections administratives des délégations de l’Union gérées par le SEAE,</w:t>
      </w:r>
      <w:r>
        <w:rPr>
          <w:noProof/>
        </w:rPr>
        <w:t xml:space="preserve"> en tant que contribution aux tâches administratives communes. Le personnel concerné se compose principalement d’agents locaux (AL), mais aussi d’un nombre limité d’agents contractuels (AC), essentiellement chargés du support informatique (appelés «agents </w:t>
      </w:r>
      <w:r>
        <w:rPr>
          <w:noProof/>
        </w:rPr>
        <w:t xml:space="preserve">informatiques régionaux» ou «RITO»),  </w:t>
      </w:r>
    </w:p>
    <w:p w:rsidR="007119D4" w:rsidRDefault="00EC0158">
      <w:pPr>
        <w:widowControl w:val="0"/>
        <w:spacing w:after="240"/>
        <w:jc w:val="both"/>
        <w:rPr>
          <w:noProof/>
        </w:rPr>
      </w:pPr>
      <w:r>
        <w:rPr>
          <w:noProof/>
        </w:rPr>
        <w:t>Ainsi, le personnel de la Commission travaillant dans les sections administratives des délégations de l’Union est formellement affecté à chaque direction générale impliquée (DEVCO, NEAR et FPI). Cette situation a donn</w:t>
      </w:r>
      <w:r>
        <w:rPr>
          <w:noProof/>
        </w:rPr>
        <w:t>é lieu à une perte d’efficacité, notamment par la duplication de la charge de travail à différents niveaux pour ces services de la Commission (multiplication des actes administratifs) sans apporter de valeur ajoutée, et par l’existence de circuits administ</w:t>
      </w:r>
      <w:r>
        <w:rPr>
          <w:noProof/>
        </w:rPr>
        <w:t xml:space="preserve">ratifs et financiers parallèles. </w:t>
      </w:r>
    </w:p>
    <w:p w:rsidR="007119D4" w:rsidRDefault="00EC0158">
      <w:pPr>
        <w:widowControl w:val="0"/>
        <w:spacing w:after="240"/>
        <w:jc w:val="both"/>
        <w:rPr>
          <w:noProof/>
        </w:rPr>
      </w:pPr>
      <w:r>
        <w:rPr>
          <w:noProof/>
        </w:rPr>
        <w:t xml:space="preserve">La Commission, en accord avec le SEAE, propose de transférer vers ce dernier le personnel de la Commission se trouvant dans les sections administratives des délégations de l’Union, afin de simplifier et d'harmoniser leurs </w:t>
      </w:r>
      <w:r>
        <w:rPr>
          <w:noProof/>
        </w:rPr>
        <w:t>circuits administratifs et financiers et de rendre la gestion du personnel concerné plus efficace.</w:t>
      </w:r>
    </w:p>
    <w:p w:rsidR="007119D4" w:rsidRDefault="00EC0158">
      <w:pPr>
        <w:spacing w:after="200" w:line="276" w:lineRule="auto"/>
        <w:rPr>
          <w:rFonts w:eastAsiaTheme="minorHAnsi"/>
          <w:noProof/>
          <w:color w:val="000000"/>
        </w:rPr>
      </w:pPr>
      <w:r>
        <w:rPr>
          <w:noProof/>
        </w:rPr>
        <w:t xml:space="preserve">La majorité des AC à transférer (18 sur 19) sont des RITO qui exercent des activités informatiques très spécialisées dans les délégations de l’Union sous la </w:t>
      </w:r>
      <w:r>
        <w:rPr>
          <w:noProof/>
        </w:rPr>
        <w:t>responsabilité du SEAE. Ils sont situés dans 12 centres régionaux.  Les regrouper tous sous une responsabilité unique simplifierait la gestion de ce groupe. Les bénéfices attendus sont multiples, avec des simplifications et des gains d’efficience, tant pou</w:t>
      </w:r>
      <w:r>
        <w:rPr>
          <w:noProof/>
        </w:rPr>
        <w:t>r les RITO que pour l’administration, en termes</w:t>
      </w:r>
      <w:r>
        <w:rPr>
          <w:noProof/>
          <w:color w:val="000000"/>
        </w:rPr>
        <w:t xml:space="preserve"> d’organisation des centres régionaux</w:t>
      </w:r>
      <w:r>
        <w:rPr>
          <w:noProof/>
        </w:rPr>
        <w:t xml:space="preserve">, </w:t>
      </w:r>
      <w:r>
        <w:rPr>
          <w:noProof/>
          <w:color w:val="000000"/>
        </w:rPr>
        <w:t>de gestion des contrats, de mobilité, d’évaluation et de promotion ainsi que de gestion des frais de mission</w:t>
      </w:r>
      <w:r>
        <w:rPr>
          <w:noProof/>
        </w:rPr>
        <w:t>.</w:t>
      </w:r>
    </w:p>
    <w:p w:rsidR="007119D4" w:rsidRDefault="00EC0158">
      <w:pPr>
        <w:widowControl w:val="0"/>
        <w:spacing w:after="240"/>
        <w:jc w:val="both"/>
        <w:rPr>
          <w:noProof/>
        </w:rPr>
      </w:pPr>
      <w:r>
        <w:rPr>
          <w:noProof/>
        </w:rPr>
        <w:lastRenderedPageBreak/>
        <w:t>En ce qui concerne les agents locaux, le transfert vers le S</w:t>
      </w:r>
      <w:r>
        <w:rPr>
          <w:noProof/>
        </w:rPr>
        <w:t>EAE garantirait une plus grande cohérence dans l’application de la politique d’emploi correspondante du SEAE. La Commission a délégué au SEAE ses pouvoirs liés à certains domaines de la gestion des agents locaux, mais les décisions concernant des questions</w:t>
      </w:r>
      <w:r>
        <w:rPr>
          <w:noProof/>
        </w:rPr>
        <w:t xml:space="preserve"> spécifiques comme l'autorisation des emplois, l’exercice annuel d’évaluation, les promotions, l'autorisation des activités extérieures et la cessation de fonctions ont été maintenues au sein de la Commission. Grâce à ce transfert, le SEAE gagnerait en aut</w:t>
      </w:r>
      <w:r>
        <w:rPr>
          <w:noProof/>
        </w:rPr>
        <w:t>onomie pour la gestion de ces emplois, notamment pour la publication, la sélection et le recrutement ainsi que pour la suppression ou le déplacement de ces emplois. Les procédures de recours pendant l’évaluation et la promotion du personnel administratif A</w:t>
      </w:r>
      <w:r>
        <w:rPr>
          <w:noProof/>
        </w:rPr>
        <w:t>L s'en trouveraient aussi améliorées.</w:t>
      </w:r>
    </w:p>
    <w:p w:rsidR="007119D4" w:rsidRDefault="00EC0158">
      <w:pPr>
        <w:spacing w:after="240"/>
        <w:jc w:val="both"/>
        <w:rPr>
          <w:noProof/>
        </w:rPr>
      </w:pPr>
      <w:r>
        <w:rPr>
          <w:noProof/>
        </w:rPr>
        <w:t>Le transfert proposé permettrait au SEAE d’acquérir une autonomie de gestion supplémentaire pour un total de 546 équivalents temps plein (ETP), composés de 527 AL et 19 AC, affectés aux sections administratives des dél</w:t>
      </w:r>
      <w:r>
        <w:rPr>
          <w:noProof/>
        </w:rPr>
        <w:t>égations de l’Union.</w:t>
      </w:r>
    </w:p>
    <w:p w:rsidR="007119D4" w:rsidRDefault="00EC0158">
      <w:pPr>
        <w:spacing w:after="240"/>
        <w:jc w:val="both"/>
        <w:rPr>
          <w:noProof/>
        </w:rPr>
      </w:pPr>
      <w:r>
        <w:rPr>
          <w:noProof/>
        </w:rPr>
        <w:t xml:space="preserve">En termes de crédits, il est proposé de transférer chaque année 18,1 millions d'EUR provenant des instruments extérieurs (sous la rubrique 6) IVCDCI et IAP III (respectivement 16,0 millions d'EUR et 2,1 millions d'EUR) vers la section </w:t>
      </w:r>
      <w:r>
        <w:rPr>
          <w:noProof/>
        </w:rPr>
        <w:t>du SEAE (rubrique 7). Pour respecter la neutralité budgétaire globale de ce transfert, la proposition consiste à réduire en conséquence l’enveloppe respective des deux instruments concernés. Ainsi, l'augmentation de la marge d’engagement disponible au titr</w:t>
      </w:r>
      <w:r>
        <w:rPr>
          <w:noProof/>
        </w:rPr>
        <w:t>e de la rubrique 6 sera compensée par une diminution correspondante de la marge d’engagement de la rubrique 7</w:t>
      </w:r>
      <w:r>
        <w:rPr>
          <w:rStyle w:val="FootnoteReference"/>
          <w:noProof/>
          <w:lang w:val="en-IE" w:eastAsia="en-US"/>
        </w:rPr>
        <w:footnoteReference w:id="31"/>
      </w:r>
      <w:r>
        <w:rPr>
          <w:noProof/>
        </w:rPr>
        <w:t>.</w:t>
      </w:r>
    </w:p>
    <w:p w:rsidR="007119D4" w:rsidRDefault="00EC0158">
      <w:pPr>
        <w:keepNext/>
        <w:tabs>
          <w:tab w:val="left" w:pos="850"/>
        </w:tabs>
        <w:spacing w:before="360" w:after="120"/>
        <w:ind w:left="357" w:hanging="357"/>
        <w:jc w:val="both"/>
        <w:outlineLvl w:val="1"/>
        <w:rPr>
          <w:rFonts w:eastAsia="Calibri"/>
          <w:b/>
          <w:noProof/>
        </w:rPr>
      </w:pPr>
      <w:bookmarkStart w:id="161" w:name="_Toc526753791"/>
      <w:bookmarkStart w:id="162" w:name="_Toc55807149"/>
      <w:bookmarkStart w:id="163" w:name="_Toc54770339"/>
      <w:bookmarkStart w:id="164" w:name="_Toc56419379"/>
      <w:r>
        <w:rPr>
          <w:b/>
          <w:noProof/>
        </w:rPr>
        <w:t xml:space="preserve">7.5 </w:t>
      </w:r>
      <w:r>
        <w:rPr>
          <w:noProof/>
        </w:rPr>
        <w:tab/>
      </w:r>
      <w:bookmarkEnd w:id="161"/>
      <w:r>
        <w:rPr>
          <w:b/>
          <w:noProof/>
        </w:rPr>
        <w:t>Transfert de la bibliothèque centrale de la Commission à l’Office des publications</w:t>
      </w:r>
      <w:bookmarkEnd w:id="162"/>
      <w:bookmarkEnd w:id="163"/>
      <w:bookmarkEnd w:id="164"/>
    </w:p>
    <w:p w:rsidR="007119D4" w:rsidRDefault="00EC0158">
      <w:pPr>
        <w:spacing w:before="120" w:after="120"/>
        <w:jc w:val="both"/>
        <w:rPr>
          <w:rFonts w:eastAsia="Calibri"/>
          <w:noProof/>
        </w:rPr>
      </w:pPr>
      <w:r>
        <w:rPr>
          <w:noProof/>
        </w:rPr>
        <w:t>Dans le cadre de l’examen des synergies et des gains d’e</w:t>
      </w:r>
      <w:r>
        <w:rPr>
          <w:noProof/>
        </w:rPr>
        <w:t>fficience, la Commission a décidé de transférer la gestion de sa bibliothèque centrale à l’Office des publications (OP) à compter de janvier 2021, ce qui a un impact combiné sur le niveau des crédits limité à 7 888 EUR pour 2021. Ce transfert comprend égal</w:t>
      </w:r>
      <w:r>
        <w:rPr>
          <w:noProof/>
        </w:rPr>
        <w:t>ement le transfert de personnel et de ressources informatiques.</w:t>
      </w:r>
    </w:p>
    <w:p w:rsidR="007119D4" w:rsidRDefault="00EC0158">
      <w:pPr>
        <w:spacing w:before="120" w:after="120"/>
        <w:jc w:val="both"/>
        <w:rPr>
          <w:rFonts w:eastAsia="Calibri"/>
          <w:noProof/>
        </w:rPr>
      </w:pPr>
      <w:r>
        <w:rPr>
          <w:noProof/>
        </w:rPr>
        <w:t>Le programme de modernisation de la bibliothèque mis en œuvre ces dernières années (avec environ 80 % des achats sous forme électronique) devrait s’accélérer avec le transfert et donner lieu à</w:t>
      </w:r>
      <w:r>
        <w:rPr>
          <w:noProof/>
        </w:rPr>
        <w:t xml:space="preserve"> de nouvelles synergies et complémentarités par rapport aux activités existantes de l’OP dans ce domaine des publications et de la gestion de l’information.</w:t>
      </w:r>
    </w:p>
    <w:p w:rsidR="007119D4" w:rsidRDefault="00EC0158">
      <w:pPr>
        <w:keepNext/>
        <w:tabs>
          <w:tab w:val="left" w:pos="850"/>
        </w:tabs>
        <w:spacing w:before="360" w:after="120"/>
        <w:ind w:left="840" w:hanging="840"/>
        <w:jc w:val="both"/>
        <w:outlineLvl w:val="1"/>
        <w:rPr>
          <w:rFonts w:eastAsia="Calibri"/>
          <w:b/>
          <w:noProof/>
        </w:rPr>
      </w:pPr>
      <w:bookmarkStart w:id="165" w:name="_Toc55807150"/>
      <w:bookmarkStart w:id="166" w:name="_Toc54770340"/>
      <w:bookmarkStart w:id="167" w:name="_Toc56419380"/>
      <w:r>
        <w:rPr>
          <w:b/>
          <w:noProof/>
        </w:rPr>
        <w:t xml:space="preserve">7.6 </w:t>
      </w:r>
      <w:r>
        <w:rPr>
          <w:noProof/>
        </w:rPr>
        <w:tab/>
      </w:r>
      <w:r>
        <w:rPr>
          <w:b/>
          <w:noProof/>
        </w:rPr>
        <w:t>Transfert de 2 emplois du tableau des effectifs du Parlement européen vers celui de la Commiss</w:t>
      </w:r>
      <w:r>
        <w:rPr>
          <w:b/>
          <w:noProof/>
        </w:rPr>
        <w:t>ion</w:t>
      </w:r>
      <w:bookmarkEnd w:id="165"/>
      <w:bookmarkEnd w:id="166"/>
      <w:bookmarkEnd w:id="167"/>
    </w:p>
    <w:p w:rsidR="007119D4" w:rsidRDefault="00EC0158">
      <w:pPr>
        <w:spacing w:before="120" w:after="120"/>
        <w:jc w:val="both"/>
        <w:rPr>
          <w:rFonts w:eastAsia="Calibri"/>
          <w:noProof/>
        </w:rPr>
      </w:pPr>
      <w:r>
        <w:rPr>
          <w:noProof/>
        </w:rPr>
        <w:t>Conformément à l’accord interinstitutionnel sur la CERT-UE (équipe d’intervention en cas d’urgence informatique)</w:t>
      </w:r>
      <w:r>
        <w:rPr>
          <w:rStyle w:val="FootnoteReference"/>
          <w:rFonts w:eastAsia="Calibri"/>
          <w:noProof/>
          <w:lang w:eastAsia="en-US"/>
        </w:rPr>
        <w:footnoteReference w:id="32"/>
      </w:r>
      <w:r>
        <w:rPr>
          <w:noProof/>
        </w:rPr>
        <w:t>, deux emplois inscrits au tableau des effectifs sont transférés du Parlement européen (PE) à la Commission européenne afin de soutenir les</w:t>
      </w:r>
      <w:r>
        <w:rPr>
          <w:noProof/>
        </w:rPr>
        <w:t xml:space="preserve"> activités de la CERT-UE.</w:t>
      </w:r>
    </w:p>
    <w:p w:rsidR="007119D4" w:rsidRDefault="00EC0158">
      <w:pPr>
        <w:spacing w:before="120" w:after="120"/>
        <w:jc w:val="both"/>
        <w:rPr>
          <w:rFonts w:eastAsia="Calibri"/>
          <w:noProof/>
        </w:rPr>
      </w:pPr>
      <w:r>
        <w:rPr>
          <w:noProof/>
        </w:rPr>
        <w:t>Cette opération entraîne le retrait de 2 emplois (AD 5) du tableau des effectifs du PE et leur transfert vers le tableau des effectifs de la Commission, accompagné des crédits correspondants (avec une incidence nette de 39 000 EUR</w:t>
      </w:r>
      <w:r>
        <w:rPr>
          <w:noProof/>
        </w:rPr>
        <w:t>).</w:t>
      </w:r>
    </w:p>
    <w:p w:rsidR="007119D4" w:rsidRDefault="00EC0158">
      <w:pPr>
        <w:keepNext/>
        <w:tabs>
          <w:tab w:val="left" w:pos="850"/>
        </w:tabs>
        <w:spacing w:before="360" w:after="120"/>
        <w:ind w:left="840" w:hanging="840"/>
        <w:jc w:val="both"/>
        <w:outlineLvl w:val="1"/>
        <w:rPr>
          <w:rFonts w:eastAsia="Calibri"/>
          <w:b/>
          <w:noProof/>
        </w:rPr>
      </w:pPr>
      <w:bookmarkStart w:id="168" w:name="_Toc55807151"/>
      <w:bookmarkStart w:id="169" w:name="_Toc54770341"/>
      <w:bookmarkStart w:id="170" w:name="_Toc56419381"/>
      <w:r>
        <w:rPr>
          <w:b/>
          <w:noProof/>
        </w:rPr>
        <w:t>7.7</w:t>
      </w:r>
      <w:r>
        <w:rPr>
          <w:noProof/>
        </w:rPr>
        <w:tab/>
      </w:r>
      <w:r>
        <w:rPr>
          <w:b/>
          <w:noProof/>
        </w:rPr>
        <w:t>Contribution du SEAE à la prestation de services de base par le PMO</w:t>
      </w:r>
      <w:bookmarkEnd w:id="168"/>
      <w:bookmarkEnd w:id="169"/>
      <w:bookmarkEnd w:id="170"/>
    </w:p>
    <w:p w:rsidR="007119D4" w:rsidRDefault="00EC0158">
      <w:pPr>
        <w:tabs>
          <w:tab w:val="left" w:pos="850"/>
        </w:tabs>
        <w:spacing w:before="240" w:after="120"/>
        <w:jc w:val="both"/>
        <w:rPr>
          <w:bCs/>
          <w:noProof/>
        </w:rPr>
      </w:pPr>
      <w:r>
        <w:rPr>
          <w:noProof/>
        </w:rPr>
        <w:t xml:space="preserve">À compter de 2021, les coûts des services de base (y compris le calcul des rémunérations et des pensions, la fixation des droits individuels et des frais de mission, le </w:t>
      </w:r>
      <w:r>
        <w:rPr>
          <w:noProof/>
        </w:rPr>
        <w:t xml:space="preserve">remboursement des dépenses des </w:t>
      </w:r>
      <w:r>
        <w:rPr>
          <w:noProof/>
        </w:rPr>
        <w:lastRenderedPageBreak/>
        <w:t>experts, etc.) ne seront plus perçus par l’Office de gestion et de liquidation des droits individuels (PMO) auprès des autres institutions. Le budget correspondant a été demandé dans la section Commission du budget et la dema</w:t>
      </w:r>
      <w:r>
        <w:rPr>
          <w:noProof/>
        </w:rPr>
        <w:t>nde budgétaire des autres institutions a été réduite en conséquence.</w:t>
      </w:r>
    </w:p>
    <w:p w:rsidR="007119D4" w:rsidRDefault="00EC0158">
      <w:pPr>
        <w:tabs>
          <w:tab w:val="left" w:pos="850"/>
        </w:tabs>
        <w:spacing w:before="240" w:after="120"/>
        <w:jc w:val="both"/>
        <w:rPr>
          <w:bCs/>
          <w:noProof/>
        </w:rPr>
      </w:pPr>
      <w:r>
        <w:rPr>
          <w:noProof/>
        </w:rPr>
        <w:t>Cependant, dans l’attente de la signature d’un nouvel accord de niveau service entre le PMO et le SEAE, ce dernier n’a pas diminué le montant correspondant dans sa demande budgétaire pour</w:t>
      </w:r>
      <w:r>
        <w:rPr>
          <w:noProof/>
        </w:rPr>
        <w:t xml:space="preserve"> 2021. Afin d’éviter une double budgétisation, une réduction de 1,2 million d’EUR est donc intégrée dans la section de la Commission.</w:t>
      </w:r>
    </w:p>
    <w:p w:rsidR="007119D4" w:rsidRDefault="00EC0158">
      <w:pPr>
        <w:keepNext/>
        <w:tabs>
          <w:tab w:val="left" w:pos="850"/>
        </w:tabs>
        <w:spacing w:before="360" w:after="120"/>
        <w:ind w:left="840" w:hanging="840"/>
        <w:jc w:val="both"/>
        <w:outlineLvl w:val="1"/>
        <w:rPr>
          <w:rFonts w:eastAsia="Calibri"/>
          <w:b/>
          <w:noProof/>
        </w:rPr>
      </w:pPr>
      <w:bookmarkStart w:id="171" w:name="_Toc55807152"/>
      <w:bookmarkStart w:id="172" w:name="_Toc56419382"/>
      <w:bookmarkStart w:id="173" w:name="_Toc54770342"/>
      <w:r>
        <w:rPr>
          <w:b/>
          <w:noProof/>
        </w:rPr>
        <w:t>7.8</w:t>
      </w:r>
      <w:r>
        <w:rPr>
          <w:noProof/>
        </w:rPr>
        <w:tab/>
      </w:r>
      <w:r>
        <w:rPr>
          <w:b/>
          <w:noProof/>
        </w:rPr>
        <w:t>Incidence de la pandémie de COVID-19 sur le budget des écoles européennes</w:t>
      </w:r>
      <w:bookmarkEnd w:id="171"/>
      <w:bookmarkEnd w:id="172"/>
    </w:p>
    <w:p w:rsidR="007119D4" w:rsidRDefault="00EC0158">
      <w:pPr>
        <w:spacing w:after="240"/>
        <w:jc w:val="both"/>
        <w:rPr>
          <w:noProof/>
          <w:sz w:val="22"/>
          <w:szCs w:val="22"/>
        </w:rPr>
      </w:pPr>
      <w:r>
        <w:rPr>
          <w:noProof/>
        </w:rPr>
        <w:t>En raison de la pandémie de COVID-19, les éc</w:t>
      </w:r>
      <w:r>
        <w:rPr>
          <w:noProof/>
        </w:rPr>
        <w:t xml:space="preserve">oles européennes se voient dans l'obligation de préparer de nouvelles périodes d’enseignement à distance pour 2021 et d’acheter le matériel adéquat. En outre, il pourrait s’avérer nécessaire d’engager du personnel enseignant supplémentaire, en fonction de </w:t>
      </w:r>
      <w:r>
        <w:rPr>
          <w:noProof/>
        </w:rPr>
        <w:t>l’évolution de la situation concernant certains cours ou professeurs. Les besoins supplémentaires en termes de budget ont été estimés jusqu’à la fin de l’année scolaire 2020/2021, ce qui signifie que les 8 premiers mois de 2021 sont couverts.</w:t>
      </w:r>
    </w:p>
    <w:p w:rsidR="007119D4" w:rsidRDefault="00EC0158">
      <w:pPr>
        <w:spacing w:after="240"/>
        <w:jc w:val="both"/>
        <w:rPr>
          <w:noProof/>
        </w:rPr>
      </w:pPr>
      <w:r>
        <w:rPr>
          <w:noProof/>
        </w:rPr>
        <w:t xml:space="preserve">Dans le même </w:t>
      </w:r>
      <w:r>
        <w:rPr>
          <w:noProof/>
        </w:rPr>
        <w:t xml:space="preserve">contexte, la demande budgétaire du Bureau du secrétaire général des écoles européennes a été revue à la baisse pour tenir compte du fait que les crédits initialement prévus pour l’organisation de réunions et de missions préparées dans l’intérêt du système </w:t>
      </w:r>
      <w:r>
        <w:rPr>
          <w:noProof/>
        </w:rPr>
        <w:t xml:space="preserve">global des écoles européennes ne seront pas nécessaires. </w:t>
      </w:r>
    </w:p>
    <w:p w:rsidR="007119D4" w:rsidRDefault="00EC0158">
      <w:pPr>
        <w:spacing w:after="240"/>
        <w:jc w:val="both"/>
        <w:rPr>
          <w:noProof/>
        </w:rPr>
      </w:pPr>
      <w:r>
        <w:rPr>
          <w:noProof/>
        </w:rPr>
        <w:t>Sur la base des éléments qui précèdent, un montant de 4 898 380 EUR de crédits supplémentaires est demandé pour les écoles européennes.</w:t>
      </w:r>
    </w:p>
    <w:p w:rsidR="007119D4" w:rsidRDefault="00EC0158">
      <w:pPr>
        <w:keepNext/>
        <w:tabs>
          <w:tab w:val="left" w:pos="850"/>
        </w:tabs>
        <w:spacing w:before="360" w:after="120"/>
        <w:ind w:left="840" w:hanging="840"/>
        <w:jc w:val="both"/>
        <w:outlineLvl w:val="1"/>
        <w:rPr>
          <w:rFonts w:eastAsia="Calibri"/>
          <w:b/>
          <w:noProof/>
        </w:rPr>
      </w:pPr>
      <w:bookmarkStart w:id="174" w:name="_Toc55807153"/>
      <w:bookmarkStart w:id="175" w:name="_Toc56419383"/>
      <w:r>
        <w:rPr>
          <w:b/>
          <w:noProof/>
        </w:rPr>
        <w:t xml:space="preserve">7.9 </w:t>
      </w:r>
      <w:r>
        <w:rPr>
          <w:noProof/>
        </w:rPr>
        <w:tab/>
      </w:r>
      <w:r>
        <w:rPr>
          <w:b/>
          <w:noProof/>
        </w:rPr>
        <w:t>Incidence du déménagement du bureau du Médiateur à Bruxel</w:t>
      </w:r>
      <w:r>
        <w:rPr>
          <w:b/>
          <w:noProof/>
        </w:rPr>
        <w:t>les</w:t>
      </w:r>
      <w:bookmarkEnd w:id="173"/>
      <w:bookmarkEnd w:id="174"/>
      <w:bookmarkEnd w:id="175"/>
    </w:p>
    <w:p w:rsidR="007119D4" w:rsidRDefault="00EC0158">
      <w:pPr>
        <w:autoSpaceDE w:val="0"/>
        <w:autoSpaceDN w:val="0"/>
        <w:adjustRightInd w:val="0"/>
        <w:spacing w:before="120" w:after="120"/>
        <w:jc w:val="both"/>
        <w:rPr>
          <w:noProof/>
        </w:rPr>
      </w:pPr>
      <w:r>
        <w:rPr>
          <w:noProof/>
        </w:rPr>
        <w:t>Le Médiateur européen a demandé des crédits supplémentaires pour financer les dépenses liées au déménagement de ses bureaux de Bruxelles. Les informations ayant conduit à cette demande n’étaient pas disponibles lorsque l’état prévisionnel du budget 202</w:t>
      </w:r>
      <w:r>
        <w:rPr>
          <w:noProof/>
        </w:rPr>
        <w:t>1 a été présenté en mars 2020.</w:t>
      </w:r>
    </w:p>
    <w:p w:rsidR="007119D4" w:rsidRDefault="00EC0158">
      <w:pPr>
        <w:autoSpaceDE w:val="0"/>
        <w:autoSpaceDN w:val="0"/>
        <w:adjustRightInd w:val="0"/>
        <w:spacing w:before="120" w:after="120"/>
        <w:jc w:val="both"/>
        <w:rPr>
          <w:noProof/>
        </w:rPr>
      </w:pPr>
      <w:r>
        <w:rPr>
          <w:noProof/>
        </w:rPr>
        <w:t>Selon les informations disponibles depuis début septembre, les besoins accrus pour le budget du Médiateur s’élèvent à 416 000 EUR.</w:t>
      </w:r>
    </w:p>
    <w:p w:rsidR="007119D4" w:rsidRDefault="00EC0158">
      <w:pPr>
        <w:pStyle w:val="ManualHeading1"/>
        <w:spacing w:before="240"/>
        <w:rPr>
          <w:noProof/>
        </w:rPr>
      </w:pPr>
      <w:bookmarkStart w:id="176" w:name="_Toc55807154"/>
      <w:bookmarkStart w:id="177" w:name="_Toc54770343"/>
      <w:bookmarkStart w:id="178" w:name="_Toc56419384"/>
      <w:r>
        <w:rPr>
          <w:noProof/>
        </w:rPr>
        <w:t>8.</w:t>
      </w:r>
      <w:r>
        <w:rPr>
          <w:noProof/>
        </w:rPr>
        <w:tab/>
        <w:t>Autres ajustements</w:t>
      </w:r>
      <w:bookmarkEnd w:id="176"/>
      <w:bookmarkEnd w:id="177"/>
      <w:bookmarkEnd w:id="178"/>
    </w:p>
    <w:p w:rsidR="007119D4" w:rsidRDefault="00EC0158">
      <w:pPr>
        <w:keepNext/>
        <w:tabs>
          <w:tab w:val="left" w:pos="850"/>
        </w:tabs>
        <w:spacing w:before="360" w:after="120"/>
        <w:ind w:left="840" w:hanging="840"/>
        <w:jc w:val="both"/>
        <w:outlineLvl w:val="1"/>
        <w:rPr>
          <w:rFonts w:eastAsia="Calibri"/>
          <w:b/>
          <w:noProof/>
        </w:rPr>
      </w:pPr>
      <w:bookmarkStart w:id="179" w:name="_Toc55807155"/>
      <w:bookmarkStart w:id="180" w:name="_Toc56419385"/>
      <w:bookmarkStart w:id="181" w:name="_Toc54770344"/>
      <w:r>
        <w:rPr>
          <w:b/>
          <w:noProof/>
        </w:rPr>
        <w:t xml:space="preserve">8.1 </w:t>
      </w:r>
      <w:r>
        <w:rPr>
          <w:noProof/>
        </w:rPr>
        <w:tab/>
      </w:r>
      <w:r>
        <w:rPr>
          <w:b/>
          <w:noProof/>
        </w:rPr>
        <w:t>Renforcements ciblés</w:t>
      </w:r>
      <w:bookmarkEnd w:id="179"/>
      <w:bookmarkEnd w:id="180"/>
    </w:p>
    <w:p w:rsidR="007119D4" w:rsidRDefault="00EC0158">
      <w:pPr>
        <w:keepNext/>
        <w:tabs>
          <w:tab w:val="left" w:pos="851"/>
        </w:tabs>
        <w:spacing w:before="240" w:after="120"/>
        <w:ind w:left="850" w:hanging="850"/>
        <w:jc w:val="both"/>
        <w:outlineLvl w:val="1"/>
        <w:rPr>
          <w:rFonts w:eastAsia="Calibri"/>
          <w:i/>
          <w:noProof/>
        </w:rPr>
      </w:pPr>
      <w:bookmarkStart w:id="182" w:name="_Toc55807156"/>
      <w:bookmarkStart w:id="183" w:name="_Toc56419386"/>
      <w:r>
        <w:rPr>
          <w:i/>
          <w:noProof/>
        </w:rPr>
        <w:t xml:space="preserve">8.1.1 </w:t>
      </w:r>
      <w:r>
        <w:rPr>
          <w:noProof/>
        </w:rPr>
        <w:tab/>
      </w:r>
      <w:r>
        <w:rPr>
          <w:i/>
          <w:noProof/>
        </w:rPr>
        <w:t>Soutien à la communauté chypriote turqu</w:t>
      </w:r>
      <w:r>
        <w:rPr>
          <w:i/>
          <w:noProof/>
        </w:rPr>
        <w:t>e</w:t>
      </w:r>
      <w:bookmarkEnd w:id="182"/>
      <w:bookmarkEnd w:id="183"/>
    </w:p>
    <w:p w:rsidR="007119D4" w:rsidRDefault="00EC0158">
      <w:pPr>
        <w:autoSpaceDE w:val="0"/>
        <w:autoSpaceDN w:val="0"/>
        <w:adjustRightInd w:val="0"/>
        <w:spacing w:before="120" w:after="120"/>
        <w:jc w:val="both"/>
        <w:rPr>
          <w:noProof/>
        </w:rPr>
      </w:pPr>
      <w:r>
        <w:rPr>
          <w:noProof/>
        </w:rPr>
        <w:t>L’Union reste attachée au règlement de la question chypriote et à la communauté chypriote turque. Dans le contexte de tensions régionales accrues, une augmentation budgétaire de 6 millions d’EUR en crédits d'engagement est nécessaire par rapport au nivea</w:t>
      </w:r>
      <w:r>
        <w:rPr>
          <w:noProof/>
        </w:rPr>
        <w:t>u proposé dans le PB 2021.</w:t>
      </w:r>
    </w:p>
    <w:p w:rsidR="007119D4" w:rsidRDefault="00EC0158">
      <w:pPr>
        <w:autoSpaceDE w:val="0"/>
        <w:autoSpaceDN w:val="0"/>
        <w:adjustRightInd w:val="0"/>
        <w:spacing w:before="120" w:after="120"/>
        <w:jc w:val="both"/>
        <w:rPr>
          <w:noProof/>
        </w:rPr>
      </w:pPr>
      <w:r>
        <w:rPr>
          <w:noProof/>
        </w:rPr>
        <w:t>L’appui de l’Union est essentiel pour trouver une solution dans le cadre des paramètres bien connus des Nations unies en faveur d'une fédération bicommunautaire et bizonale, d’autant plus après l’élection d’un dirigeant chypriote</w:t>
      </w:r>
      <w:r>
        <w:rPr>
          <w:noProof/>
        </w:rPr>
        <w:t xml:space="preserve"> turc qui, de manière regrettable, soutient un modèle à deux États. C’est pourquoi il est primordial que l’Union maintienne un niveau de financement suffisant en faveur du programme d'aide, afin que se poursuivent les efforts visant à soutenir le développe</w:t>
      </w:r>
      <w:r>
        <w:rPr>
          <w:noProof/>
        </w:rPr>
        <w:t>ment socio-économique de la communauté chypriote turque et à rassembler les deux communautés autour d’initiatives concrètes de coopération.</w:t>
      </w:r>
    </w:p>
    <w:p w:rsidR="007119D4" w:rsidRDefault="00EC0158">
      <w:pPr>
        <w:keepNext/>
        <w:tabs>
          <w:tab w:val="left" w:pos="851"/>
        </w:tabs>
        <w:spacing w:before="240" w:after="120"/>
        <w:ind w:left="850" w:hanging="850"/>
        <w:jc w:val="both"/>
        <w:outlineLvl w:val="1"/>
        <w:rPr>
          <w:rFonts w:eastAsia="Calibri"/>
          <w:i/>
          <w:noProof/>
        </w:rPr>
      </w:pPr>
      <w:bookmarkStart w:id="184" w:name="_Toc55807157"/>
      <w:bookmarkStart w:id="185" w:name="_Toc56419387"/>
      <w:r>
        <w:rPr>
          <w:i/>
          <w:noProof/>
        </w:rPr>
        <w:t xml:space="preserve">8.1.2 </w:t>
      </w:r>
      <w:r>
        <w:rPr>
          <w:noProof/>
        </w:rPr>
        <w:tab/>
      </w:r>
      <w:r>
        <w:rPr>
          <w:i/>
          <w:noProof/>
        </w:rPr>
        <w:t>Dialogue social</w:t>
      </w:r>
      <w:bookmarkEnd w:id="184"/>
      <w:bookmarkEnd w:id="185"/>
    </w:p>
    <w:p w:rsidR="007119D4" w:rsidRDefault="00EC0158">
      <w:pPr>
        <w:autoSpaceDE w:val="0"/>
        <w:autoSpaceDN w:val="0"/>
        <w:adjustRightInd w:val="0"/>
        <w:spacing w:before="120" w:after="120"/>
        <w:jc w:val="both"/>
        <w:rPr>
          <w:noProof/>
        </w:rPr>
      </w:pPr>
      <w:r>
        <w:rPr>
          <w:noProof/>
        </w:rPr>
        <w:t>Les partenaires sociaux jouent un rôle clé dans l’élaboration et la mise en œuvre des mesures</w:t>
      </w:r>
      <w:r>
        <w:rPr>
          <w:noProof/>
        </w:rPr>
        <w:t xml:space="preserve"> qui sont introduites au niveau des États membres pour atténuer les effets de la pandémie de COVID-19 sur les travailleurs et les entreprises. Toutefois, l'impact socio-économique de la pandémie sur les employeurs </w:t>
      </w:r>
      <w:r>
        <w:rPr>
          <w:noProof/>
        </w:rPr>
        <w:lastRenderedPageBreak/>
        <w:t>et les travailleurs a eu des répercussions</w:t>
      </w:r>
      <w:r>
        <w:rPr>
          <w:noProof/>
        </w:rPr>
        <w:t xml:space="preserve"> importantes sur les organisations de partenaires sociaux au niveau national.</w:t>
      </w:r>
    </w:p>
    <w:p w:rsidR="007119D4" w:rsidRDefault="00EC0158">
      <w:pPr>
        <w:autoSpaceDE w:val="0"/>
        <w:autoSpaceDN w:val="0"/>
        <w:adjustRightInd w:val="0"/>
        <w:spacing w:before="120" w:after="120"/>
        <w:jc w:val="both"/>
        <w:rPr>
          <w:noProof/>
        </w:rPr>
      </w:pPr>
      <w:r>
        <w:rPr>
          <w:noProof/>
        </w:rPr>
        <w:t>Il est donc nécessaire de fournir un soutien supplémentaire ciblant les organisations patronales et syndicales sectorielles et interprofessionnelles, européennes et nationales, e</w:t>
      </w:r>
      <w:r>
        <w:rPr>
          <w:noProof/>
        </w:rPr>
        <w:t>t notamment les plus touchées par la crise de la COVID-19 et les plus vulnérables, afin de garantir l’exercice de leurs activités, de faire face aux effets de cette crise sur le plan social et sur celui de l’emploi, et de renforcer la résilience des organi</w:t>
      </w:r>
      <w:r>
        <w:rPr>
          <w:noProof/>
        </w:rPr>
        <w:t>sations de travailleurs et d’employeurs dans le contexte de la COVID-19.</w:t>
      </w:r>
    </w:p>
    <w:p w:rsidR="007119D4" w:rsidRDefault="00EC0158">
      <w:pPr>
        <w:autoSpaceDE w:val="0"/>
        <w:autoSpaceDN w:val="0"/>
        <w:adjustRightInd w:val="0"/>
        <w:spacing w:before="120" w:after="120"/>
        <w:jc w:val="both"/>
        <w:rPr>
          <w:noProof/>
        </w:rPr>
      </w:pPr>
      <w:r>
        <w:rPr>
          <w:noProof/>
        </w:rPr>
        <w:t>Par conséquent, un montant de 5 millions d'EUR en crédits d'engagement (et de 4,4 millions d'EUR en crédits de paiement) est ajouté à la ligne budgétaire 07 20 04 06 «</w:t>
      </w:r>
      <w:r>
        <w:rPr>
          <w:i/>
          <w:noProof/>
        </w:rPr>
        <w:t>Compétences spéc</w:t>
      </w:r>
      <w:r>
        <w:rPr>
          <w:i/>
          <w:noProof/>
        </w:rPr>
        <w:t>ifiques dans le domaine de la politique sociale, y compris dialogue social</w:t>
      </w:r>
      <w:r>
        <w:rPr>
          <w:noProof/>
        </w:rPr>
        <w:t>».</w:t>
      </w:r>
    </w:p>
    <w:p w:rsidR="007119D4" w:rsidRDefault="00EC0158">
      <w:pPr>
        <w:keepNext/>
        <w:tabs>
          <w:tab w:val="left" w:pos="850"/>
        </w:tabs>
        <w:spacing w:before="360" w:after="120"/>
        <w:ind w:left="840" w:hanging="840"/>
        <w:jc w:val="both"/>
        <w:outlineLvl w:val="1"/>
        <w:rPr>
          <w:rFonts w:eastAsia="Calibri"/>
          <w:b/>
          <w:noProof/>
        </w:rPr>
      </w:pPr>
      <w:bookmarkStart w:id="186" w:name="_Toc55807158"/>
      <w:bookmarkStart w:id="187" w:name="_Toc56419388"/>
      <w:r>
        <w:rPr>
          <w:b/>
          <w:noProof/>
        </w:rPr>
        <w:t xml:space="preserve">8.2 </w:t>
      </w:r>
      <w:r>
        <w:rPr>
          <w:noProof/>
        </w:rPr>
        <w:tab/>
      </w:r>
      <w:r>
        <w:rPr>
          <w:b/>
          <w:noProof/>
        </w:rPr>
        <w:t>Adaptation de la nomenclature</w:t>
      </w:r>
      <w:bookmarkEnd w:id="181"/>
      <w:bookmarkEnd w:id="186"/>
      <w:bookmarkEnd w:id="187"/>
    </w:p>
    <w:p w:rsidR="007119D4" w:rsidRDefault="00EC0158">
      <w:pPr>
        <w:autoSpaceDE w:val="0"/>
        <w:autoSpaceDN w:val="0"/>
        <w:adjustRightInd w:val="0"/>
        <w:spacing w:before="120" w:after="120"/>
        <w:jc w:val="both"/>
        <w:rPr>
          <w:noProof/>
        </w:rPr>
      </w:pPr>
      <w:r>
        <w:rPr>
          <w:noProof/>
        </w:rPr>
        <w:t>Outre les modifications de la nomenclature décrites dans les sections précédentes, la LR nº 1/2021 comprend également les adaptations suivantes:</w:t>
      </w:r>
      <w:bookmarkStart w:id="188" w:name="_Toc54770346"/>
    </w:p>
    <w:p w:rsidR="007119D4" w:rsidRDefault="00EC0158">
      <w:pPr>
        <w:autoSpaceDE w:val="0"/>
        <w:autoSpaceDN w:val="0"/>
        <w:adjustRightInd w:val="0"/>
        <w:spacing w:before="120" w:after="120"/>
        <w:jc w:val="both"/>
        <w:rPr>
          <w:rFonts w:eastAsia="Calibri"/>
          <w:i/>
          <w:noProof/>
        </w:rPr>
      </w:pPr>
      <w:bookmarkStart w:id="189" w:name="_Toc55807159"/>
      <w:r>
        <w:rPr>
          <w:i/>
          <w:noProof/>
        </w:rPr>
        <w:t xml:space="preserve">8.2.1 </w:t>
      </w:r>
      <w:r>
        <w:rPr>
          <w:noProof/>
        </w:rPr>
        <w:tab/>
      </w:r>
      <w:r>
        <w:rPr>
          <w:i/>
          <w:noProof/>
        </w:rPr>
        <w:t>Instrument de voisinage, de coopération au développement et de coopération internationale (IVCDCI)</w:t>
      </w:r>
      <w:bookmarkEnd w:id="188"/>
      <w:bookmarkEnd w:id="189"/>
    </w:p>
    <w:p w:rsidR="007119D4" w:rsidRDefault="00EC0158">
      <w:pPr>
        <w:autoSpaceDE w:val="0"/>
        <w:autoSpaceDN w:val="0"/>
        <w:adjustRightInd w:val="0"/>
        <w:spacing w:before="120" w:after="120"/>
        <w:jc w:val="both"/>
        <w:rPr>
          <w:noProof/>
        </w:rPr>
      </w:pPr>
      <w:r>
        <w:rPr>
          <w:noProof/>
        </w:rPr>
        <w:t>Le PB 2021 comprenait un poste budgétaire unique dans le programme géographique pour le voisinage, l’«Afrique subsaharienne», l’«Asie et Pacifique» a</w:t>
      </w:r>
      <w:r>
        <w:rPr>
          <w:noProof/>
        </w:rPr>
        <w:t>insi que les «Amériques et Caraïbes». Un seul poste budgétaire avait également été inclus pour les lignes budgétaires thématiques «défis mondiaux» et «droits de l'homme et démocratie». Il est proposé de scinder encore chacune de ces lignes pour accroître l</w:t>
      </w:r>
      <w:r>
        <w:rPr>
          <w:noProof/>
        </w:rPr>
        <w:t>a visibilité des dépenses allouées à chacune des sous-régions ou composantes concernées.</w:t>
      </w:r>
    </w:p>
    <w:p w:rsidR="007119D4" w:rsidRDefault="00EC0158">
      <w:pPr>
        <w:spacing w:after="200" w:line="276" w:lineRule="auto"/>
        <w:rPr>
          <w:noProof/>
        </w:rPr>
      </w:pPr>
      <w:r>
        <w:rPr>
          <w:noProof/>
        </w:rPr>
        <w:t>Le tableau ci-dessous présente le détail des modifications pour cet instrument par rapport au PB 2021:</w:t>
      </w:r>
    </w:p>
    <w:tbl>
      <w:tblPr>
        <w:tblW w:w="9844" w:type="dxa"/>
        <w:tblInd w:w="113" w:type="dxa"/>
        <w:tblLook w:val="04A0" w:firstRow="1" w:lastRow="0" w:firstColumn="1" w:lastColumn="0" w:noHBand="0" w:noVBand="1"/>
      </w:tblPr>
      <w:tblGrid>
        <w:gridCol w:w="953"/>
        <w:gridCol w:w="1922"/>
        <w:gridCol w:w="1166"/>
        <w:gridCol w:w="2045"/>
        <w:gridCol w:w="1200"/>
        <w:gridCol w:w="2558"/>
      </w:tblGrid>
      <w:tr w:rsidR="007119D4">
        <w:trPr>
          <w:trHeight w:val="260"/>
          <w:tblHeader/>
        </w:trPr>
        <w:tc>
          <w:tcPr>
            <w:tcW w:w="6086" w:type="dxa"/>
            <w:gridSpan w:val="4"/>
            <w:tcBorders>
              <w:top w:val="single" w:sz="4" w:space="0" w:color="auto"/>
              <w:left w:val="single" w:sz="4" w:space="0" w:color="auto"/>
              <w:bottom w:val="single" w:sz="4" w:space="0" w:color="auto"/>
              <w:right w:val="single" w:sz="4" w:space="0" w:color="000000"/>
            </w:tcBorders>
            <w:shd w:val="clear" w:color="auto" w:fill="D9D9D9"/>
            <w:vAlign w:val="center"/>
            <w:hideMark/>
          </w:tcPr>
          <w:p w:rsidR="007119D4" w:rsidRDefault="00EC0158">
            <w:pPr>
              <w:spacing w:line="276" w:lineRule="auto"/>
              <w:jc w:val="center"/>
              <w:rPr>
                <w:b/>
                <w:bCs/>
                <w:noProof/>
                <w:sz w:val="18"/>
                <w:szCs w:val="18"/>
              </w:rPr>
            </w:pPr>
            <w:r>
              <w:rPr>
                <w:b/>
                <w:bCs/>
                <w:noProof/>
                <w:sz w:val="18"/>
                <w:szCs w:val="18"/>
              </w:rPr>
              <w:t>Nomenclature dans le PB 2021</w:t>
            </w:r>
          </w:p>
        </w:tc>
        <w:tc>
          <w:tcPr>
            <w:tcW w:w="3758" w:type="dxa"/>
            <w:gridSpan w:val="2"/>
            <w:tcBorders>
              <w:top w:val="single" w:sz="4" w:space="0" w:color="auto"/>
              <w:left w:val="nil"/>
              <w:bottom w:val="single" w:sz="4" w:space="0" w:color="auto"/>
              <w:right w:val="single" w:sz="4" w:space="0" w:color="000000"/>
            </w:tcBorders>
            <w:shd w:val="clear" w:color="auto" w:fill="D9D9D9"/>
            <w:vAlign w:val="center"/>
            <w:hideMark/>
          </w:tcPr>
          <w:p w:rsidR="007119D4" w:rsidRDefault="00EC0158">
            <w:pPr>
              <w:spacing w:line="276" w:lineRule="auto"/>
              <w:jc w:val="center"/>
              <w:rPr>
                <w:b/>
                <w:bCs/>
                <w:noProof/>
                <w:sz w:val="18"/>
                <w:szCs w:val="18"/>
              </w:rPr>
            </w:pPr>
            <w:r>
              <w:rPr>
                <w:b/>
                <w:bCs/>
                <w:noProof/>
                <w:sz w:val="18"/>
                <w:szCs w:val="18"/>
              </w:rPr>
              <w:t>Nomenclature dans la LR nº 1/2021</w:t>
            </w:r>
          </w:p>
        </w:tc>
      </w:tr>
      <w:tr w:rsidR="007119D4">
        <w:trPr>
          <w:trHeight w:val="302"/>
        </w:trPr>
        <w:tc>
          <w:tcPr>
            <w:tcW w:w="953" w:type="dxa"/>
            <w:vMerge w:val="restart"/>
            <w:tcBorders>
              <w:top w:val="nil"/>
              <w:left w:val="single" w:sz="4" w:space="0" w:color="auto"/>
              <w:bottom w:val="nil"/>
              <w:right w:val="single" w:sz="4" w:space="0" w:color="auto"/>
            </w:tcBorders>
            <w:vAlign w:val="center"/>
            <w:hideMark/>
          </w:tcPr>
          <w:p w:rsidR="007119D4" w:rsidRDefault="00EC0158">
            <w:pPr>
              <w:spacing w:line="276" w:lineRule="auto"/>
              <w:jc w:val="center"/>
              <w:rPr>
                <w:noProof/>
                <w:sz w:val="18"/>
                <w:szCs w:val="18"/>
              </w:rPr>
            </w:pPr>
            <w:r>
              <w:rPr>
                <w:noProof/>
                <w:sz w:val="18"/>
                <w:szCs w:val="18"/>
              </w:rPr>
              <w:t>15 02 01</w:t>
            </w:r>
          </w:p>
        </w:tc>
        <w:tc>
          <w:tcPr>
            <w:tcW w:w="1922" w:type="dxa"/>
            <w:vMerge w:val="restart"/>
            <w:tcBorders>
              <w:top w:val="nil"/>
              <w:left w:val="single" w:sz="4" w:space="0" w:color="auto"/>
              <w:bottom w:val="nil"/>
              <w:right w:val="single" w:sz="4" w:space="0" w:color="auto"/>
            </w:tcBorders>
            <w:vAlign w:val="center"/>
            <w:hideMark/>
          </w:tcPr>
          <w:p w:rsidR="007119D4" w:rsidRDefault="00EC0158">
            <w:pPr>
              <w:spacing w:line="276" w:lineRule="auto"/>
              <w:jc w:val="center"/>
              <w:rPr>
                <w:noProof/>
                <w:sz w:val="18"/>
                <w:szCs w:val="18"/>
              </w:rPr>
            </w:pPr>
            <w:r>
              <w:rPr>
                <w:noProof/>
                <w:sz w:val="18"/>
                <w:szCs w:val="18"/>
              </w:rPr>
              <w:t>Programmes géographiques</w:t>
            </w:r>
          </w:p>
        </w:tc>
        <w:tc>
          <w:tcPr>
            <w:tcW w:w="1166" w:type="dxa"/>
            <w:vMerge w:val="restart"/>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15 02 01 01</w:t>
            </w:r>
          </w:p>
        </w:tc>
        <w:tc>
          <w:tcPr>
            <w:tcW w:w="2045" w:type="dxa"/>
            <w:vMerge w:val="restart"/>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Voisinage européen</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15 02 01 10</w:t>
            </w:r>
          </w:p>
          <w:p w:rsidR="007119D4" w:rsidRDefault="00EC0158">
            <w:pPr>
              <w:spacing w:line="276" w:lineRule="auto"/>
              <w:rPr>
                <w:i/>
                <w:noProof/>
                <w:sz w:val="18"/>
                <w:szCs w:val="18"/>
              </w:rPr>
            </w:pPr>
            <w:r>
              <w:rPr>
                <w:i/>
                <w:noProof/>
                <w:sz w:val="18"/>
                <w:szCs w:val="18"/>
              </w:rPr>
              <w:t>(nouveau)</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Voisinage méridional</w:t>
            </w:r>
          </w:p>
        </w:tc>
      </w:tr>
      <w:tr w:rsidR="007119D4">
        <w:trPr>
          <w:trHeight w:val="362"/>
        </w:trPr>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15 02 01 11</w:t>
            </w:r>
          </w:p>
          <w:p w:rsidR="007119D4" w:rsidRDefault="00EC0158">
            <w:pPr>
              <w:spacing w:line="276" w:lineRule="auto"/>
              <w:rPr>
                <w:i/>
                <w:noProof/>
                <w:sz w:val="18"/>
                <w:szCs w:val="18"/>
              </w:rPr>
            </w:pPr>
            <w:r>
              <w:rPr>
                <w:i/>
                <w:noProof/>
                <w:sz w:val="18"/>
                <w:szCs w:val="18"/>
              </w:rPr>
              <w:t>(nouveau)</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Voisinage oriental</w:t>
            </w:r>
          </w:p>
        </w:tc>
      </w:tr>
      <w:tr w:rsidR="007119D4">
        <w:trPr>
          <w:trHeight w:val="686"/>
        </w:trPr>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15 02 01 12</w:t>
            </w:r>
          </w:p>
          <w:p w:rsidR="007119D4" w:rsidRDefault="00EC0158">
            <w:pPr>
              <w:spacing w:line="276" w:lineRule="auto"/>
              <w:rPr>
                <w:i/>
                <w:noProof/>
                <w:sz w:val="18"/>
                <w:szCs w:val="18"/>
              </w:rPr>
            </w:pPr>
            <w:r>
              <w:rPr>
                <w:i/>
                <w:noProof/>
                <w:sz w:val="18"/>
                <w:szCs w:val="18"/>
              </w:rPr>
              <w:t>(nouveau)</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 xml:space="preserve">Voisinage — Coopération transfrontalière, territoriale et mesures </w:t>
            </w:r>
            <w:r>
              <w:rPr>
                <w:i/>
                <w:noProof/>
                <w:sz w:val="18"/>
                <w:szCs w:val="18"/>
              </w:rPr>
              <w:t>d’accompagnement</w:t>
            </w:r>
          </w:p>
        </w:tc>
      </w:tr>
      <w:tr w:rsidR="007119D4">
        <w:trPr>
          <w:trHeight w:val="182"/>
        </w:trPr>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1166" w:type="dxa"/>
            <w:vMerge w:val="restart"/>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15 02 01 02</w:t>
            </w:r>
          </w:p>
        </w:tc>
        <w:tc>
          <w:tcPr>
            <w:tcW w:w="2045" w:type="dxa"/>
            <w:vMerge w:val="restart"/>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Afrique subsaharienne</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15 02 01 20</w:t>
            </w:r>
          </w:p>
          <w:p w:rsidR="007119D4" w:rsidRDefault="00EC0158">
            <w:pPr>
              <w:spacing w:line="276" w:lineRule="auto"/>
              <w:rPr>
                <w:i/>
                <w:noProof/>
                <w:sz w:val="18"/>
                <w:szCs w:val="18"/>
              </w:rPr>
            </w:pPr>
            <w:r>
              <w:rPr>
                <w:i/>
                <w:noProof/>
                <w:sz w:val="18"/>
                <w:szCs w:val="18"/>
              </w:rPr>
              <w:t>(nouveau)</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Afrique de l’Ouest</w:t>
            </w:r>
          </w:p>
        </w:tc>
      </w:tr>
      <w:tr w:rsidR="007119D4">
        <w:trPr>
          <w:trHeight w:val="206"/>
        </w:trPr>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15 02 01 21</w:t>
            </w:r>
          </w:p>
          <w:p w:rsidR="007119D4" w:rsidRDefault="00EC0158">
            <w:pPr>
              <w:spacing w:line="276" w:lineRule="auto"/>
              <w:rPr>
                <w:i/>
                <w:noProof/>
                <w:sz w:val="18"/>
                <w:szCs w:val="18"/>
              </w:rPr>
            </w:pPr>
            <w:r>
              <w:rPr>
                <w:i/>
                <w:noProof/>
                <w:sz w:val="18"/>
                <w:szCs w:val="18"/>
              </w:rPr>
              <w:t>(nouveau)</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Afrique orientale et centrale</w:t>
            </w:r>
          </w:p>
        </w:tc>
      </w:tr>
      <w:tr w:rsidR="007119D4">
        <w:trPr>
          <w:trHeight w:val="110"/>
        </w:trPr>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15 02 01 22</w:t>
            </w:r>
          </w:p>
          <w:p w:rsidR="007119D4" w:rsidRDefault="00EC0158">
            <w:pPr>
              <w:spacing w:line="276" w:lineRule="auto"/>
              <w:rPr>
                <w:i/>
                <w:noProof/>
                <w:sz w:val="18"/>
                <w:szCs w:val="18"/>
              </w:rPr>
            </w:pPr>
            <w:r>
              <w:rPr>
                <w:i/>
                <w:noProof/>
                <w:sz w:val="18"/>
                <w:szCs w:val="18"/>
              </w:rPr>
              <w:t>(nouveau)</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Afrique australe et océan Indien</w:t>
            </w:r>
          </w:p>
        </w:tc>
      </w:tr>
      <w:tr w:rsidR="007119D4">
        <w:trPr>
          <w:trHeight w:val="48"/>
        </w:trPr>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1166" w:type="dxa"/>
            <w:vMerge w:val="restart"/>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15 02 01 03</w:t>
            </w:r>
          </w:p>
        </w:tc>
        <w:tc>
          <w:tcPr>
            <w:tcW w:w="2045" w:type="dxa"/>
            <w:vMerge w:val="restart"/>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Asie et Pacifique</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15 02 01 30</w:t>
            </w:r>
          </w:p>
          <w:p w:rsidR="007119D4" w:rsidRDefault="00EC0158">
            <w:pPr>
              <w:spacing w:line="276" w:lineRule="auto"/>
              <w:rPr>
                <w:i/>
                <w:noProof/>
                <w:sz w:val="18"/>
                <w:szCs w:val="18"/>
              </w:rPr>
            </w:pPr>
            <w:r>
              <w:rPr>
                <w:i/>
                <w:noProof/>
                <w:sz w:val="18"/>
                <w:szCs w:val="18"/>
              </w:rPr>
              <w:t>(nouveau)</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Moyen-Orient et Asie centrale</w:t>
            </w:r>
          </w:p>
        </w:tc>
      </w:tr>
      <w:tr w:rsidR="007119D4">
        <w:trPr>
          <w:trHeight w:val="62"/>
        </w:trPr>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15 02 01 31</w:t>
            </w:r>
          </w:p>
          <w:p w:rsidR="007119D4" w:rsidRDefault="00EC0158">
            <w:pPr>
              <w:spacing w:line="276" w:lineRule="auto"/>
              <w:rPr>
                <w:i/>
                <w:noProof/>
                <w:sz w:val="18"/>
                <w:szCs w:val="18"/>
              </w:rPr>
            </w:pPr>
            <w:r>
              <w:rPr>
                <w:i/>
                <w:noProof/>
                <w:sz w:val="18"/>
                <w:szCs w:val="18"/>
              </w:rPr>
              <w:t>(nouveau)</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Asie du Sud et de l’Est</w:t>
            </w:r>
          </w:p>
        </w:tc>
      </w:tr>
      <w:tr w:rsidR="007119D4">
        <w:trPr>
          <w:trHeight w:val="86"/>
        </w:trPr>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15 02 01 32</w:t>
            </w:r>
          </w:p>
          <w:p w:rsidR="007119D4" w:rsidRDefault="00EC0158">
            <w:pPr>
              <w:spacing w:line="276" w:lineRule="auto"/>
              <w:rPr>
                <w:i/>
                <w:noProof/>
                <w:sz w:val="18"/>
                <w:szCs w:val="18"/>
              </w:rPr>
            </w:pPr>
            <w:r>
              <w:rPr>
                <w:i/>
                <w:noProof/>
                <w:sz w:val="18"/>
                <w:szCs w:val="18"/>
              </w:rPr>
              <w:t>(nouveau)</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Pacifique</w:t>
            </w:r>
          </w:p>
        </w:tc>
      </w:tr>
      <w:tr w:rsidR="007119D4">
        <w:trPr>
          <w:trHeight w:val="48"/>
        </w:trPr>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1166" w:type="dxa"/>
            <w:vMerge w:val="restart"/>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15 02 01 04</w:t>
            </w:r>
          </w:p>
        </w:tc>
        <w:tc>
          <w:tcPr>
            <w:tcW w:w="2045" w:type="dxa"/>
            <w:vMerge w:val="restart"/>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Amériques et Caraïbes</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15 02 01 40</w:t>
            </w:r>
          </w:p>
          <w:p w:rsidR="007119D4" w:rsidRDefault="00EC0158">
            <w:pPr>
              <w:spacing w:line="276" w:lineRule="auto"/>
              <w:rPr>
                <w:i/>
                <w:noProof/>
                <w:sz w:val="18"/>
                <w:szCs w:val="18"/>
              </w:rPr>
            </w:pPr>
            <w:r>
              <w:rPr>
                <w:i/>
                <w:noProof/>
                <w:sz w:val="18"/>
                <w:szCs w:val="18"/>
              </w:rPr>
              <w:t>(nouveau)</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Amériques</w:t>
            </w:r>
          </w:p>
        </w:tc>
      </w:tr>
      <w:tr w:rsidR="007119D4">
        <w:trPr>
          <w:trHeight w:val="48"/>
        </w:trPr>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15 02 01 41</w:t>
            </w:r>
          </w:p>
          <w:p w:rsidR="007119D4" w:rsidRDefault="00EC0158">
            <w:pPr>
              <w:spacing w:line="276" w:lineRule="auto"/>
              <w:rPr>
                <w:i/>
                <w:noProof/>
                <w:sz w:val="18"/>
                <w:szCs w:val="18"/>
              </w:rPr>
            </w:pPr>
            <w:r>
              <w:rPr>
                <w:i/>
                <w:noProof/>
                <w:sz w:val="18"/>
                <w:szCs w:val="18"/>
              </w:rPr>
              <w:t>(nouveau)</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Caraïbes</w:t>
            </w:r>
          </w:p>
        </w:tc>
      </w:tr>
      <w:tr w:rsidR="007119D4">
        <w:trPr>
          <w:trHeight w:val="278"/>
        </w:trPr>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1166"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15 02 01 05</w:t>
            </w:r>
          </w:p>
        </w:tc>
        <w:tc>
          <w:tcPr>
            <w:tcW w:w="2045"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Erasmus+ — Contribution de l’IVCDCI</w:t>
            </w:r>
          </w:p>
        </w:tc>
        <w:tc>
          <w:tcPr>
            <w:tcW w:w="1200"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15 02 01 50</w:t>
            </w:r>
          </w:p>
        </w:tc>
        <w:tc>
          <w:tcPr>
            <w:tcW w:w="2558"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Erasmus+ — Contribution de l’IVCDCI</w:t>
            </w:r>
          </w:p>
        </w:tc>
      </w:tr>
      <w:tr w:rsidR="007119D4">
        <w:trPr>
          <w:trHeight w:val="338"/>
        </w:trPr>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1166"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15 02 01 08</w:t>
            </w:r>
          </w:p>
        </w:tc>
        <w:tc>
          <w:tcPr>
            <w:tcW w:w="2045"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 xml:space="preserve">Fonds européen de développement — Reliquats de la facilité d’investissement ACP </w:t>
            </w:r>
          </w:p>
        </w:tc>
        <w:tc>
          <w:tcPr>
            <w:tcW w:w="1200"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15 02 01 60</w:t>
            </w:r>
          </w:p>
        </w:tc>
        <w:tc>
          <w:tcPr>
            <w:tcW w:w="2558"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 xml:space="preserve">Fonds européen de développement — Reliquats de la facilité d’investissement ACP </w:t>
            </w:r>
          </w:p>
        </w:tc>
      </w:tr>
      <w:tr w:rsidR="007119D4">
        <w:trPr>
          <w:trHeight w:val="422"/>
        </w:trPr>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1166"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15 02 01 06</w:t>
            </w:r>
          </w:p>
        </w:tc>
        <w:tc>
          <w:tcPr>
            <w:tcW w:w="2045"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 xml:space="preserve">IVCDCI — Provisionnement du fonds commun de provisionnement </w:t>
            </w:r>
          </w:p>
        </w:tc>
        <w:tc>
          <w:tcPr>
            <w:tcW w:w="1200"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15 02 01 70</w:t>
            </w:r>
          </w:p>
        </w:tc>
        <w:tc>
          <w:tcPr>
            <w:tcW w:w="2558"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 xml:space="preserve">IVCDCI — Provisionnement du fonds commun de provisionnement </w:t>
            </w:r>
          </w:p>
        </w:tc>
      </w:tr>
      <w:tr w:rsidR="007119D4">
        <w:trPr>
          <w:trHeight w:val="710"/>
        </w:trPr>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nil"/>
              <w:right w:val="single" w:sz="4" w:space="0" w:color="auto"/>
            </w:tcBorders>
            <w:vAlign w:val="center"/>
            <w:hideMark/>
          </w:tcPr>
          <w:p w:rsidR="007119D4" w:rsidRDefault="007119D4">
            <w:pPr>
              <w:spacing w:line="276" w:lineRule="auto"/>
              <w:rPr>
                <w:noProof/>
                <w:sz w:val="18"/>
                <w:szCs w:val="18"/>
              </w:rPr>
            </w:pPr>
          </w:p>
        </w:tc>
        <w:tc>
          <w:tcPr>
            <w:tcW w:w="1166"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15 02 01 07</w:t>
            </w:r>
          </w:p>
        </w:tc>
        <w:tc>
          <w:tcPr>
            <w:tcW w:w="2045"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 xml:space="preserve"> Instrument de l’Union européenne pour la relance (EURI) — Provisionnement du fonds commun de provisionnement</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supprimé</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w:t>
            </w:r>
          </w:p>
        </w:tc>
      </w:tr>
      <w:tr w:rsidR="007119D4">
        <w:trPr>
          <w:trHeight w:val="230"/>
        </w:trPr>
        <w:tc>
          <w:tcPr>
            <w:tcW w:w="953" w:type="dxa"/>
            <w:vMerge w:val="restart"/>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15 02 02</w:t>
            </w:r>
          </w:p>
        </w:tc>
        <w:tc>
          <w:tcPr>
            <w:tcW w:w="1922" w:type="dxa"/>
            <w:vMerge w:val="restart"/>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Programmes thématiques</w:t>
            </w:r>
          </w:p>
        </w:tc>
        <w:tc>
          <w:tcPr>
            <w:tcW w:w="1166" w:type="dxa"/>
            <w:vMerge w:val="restart"/>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15 02 02 01</w:t>
            </w:r>
          </w:p>
        </w:tc>
        <w:tc>
          <w:tcPr>
            <w:tcW w:w="2045" w:type="dxa"/>
            <w:vMerge w:val="restart"/>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Droits de l’homme et démocratie</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15 02 02 10</w:t>
            </w:r>
          </w:p>
          <w:p w:rsidR="007119D4" w:rsidRDefault="00EC0158">
            <w:pPr>
              <w:spacing w:line="276" w:lineRule="auto"/>
              <w:rPr>
                <w:i/>
                <w:noProof/>
                <w:sz w:val="18"/>
                <w:szCs w:val="18"/>
              </w:rPr>
            </w:pPr>
            <w:r>
              <w:rPr>
                <w:i/>
                <w:noProof/>
                <w:sz w:val="18"/>
                <w:szCs w:val="18"/>
              </w:rPr>
              <w:t>(nouveau)</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 xml:space="preserve">Missions d'observation électorale - </w:t>
            </w:r>
            <w:r>
              <w:rPr>
                <w:i/>
                <w:noProof/>
                <w:sz w:val="18"/>
                <w:szCs w:val="18"/>
              </w:rPr>
              <w:t>droits de l’homme et démocratie</w:t>
            </w:r>
          </w:p>
        </w:tc>
      </w:tr>
      <w:tr w:rsidR="007119D4">
        <w:trPr>
          <w:trHeight w:val="230"/>
        </w:trPr>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nil"/>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nil"/>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15 02 02 11</w:t>
            </w:r>
          </w:p>
          <w:p w:rsidR="007119D4" w:rsidRDefault="00EC0158">
            <w:pPr>
              <w:spacing w:line="276" w:lineRule="auto"/>
              <w:rPr>
                <w:i/>
                <w:noProof/>
                <w:sz w:val="18"/>
                <w:szCs w:val="18"/>
              </w:rPr>
            </w:pPr>
            <w:r>
              <w:rPr>
                <w:i/>
                <w:noProof/>
                <w:sz w:val="18"/>
                <w:szCs w:val="18"/>
              </w:rPr>
              <w:t>(nouveau)</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Droits et libertés fondamentaux - droits de l'homme et démocratie</w:t>
            </w:r>
          </w:p>
        </w:tc>
      </w:tr>
      <w:tr w:rsidR="007119D4">
        <w:trPr>
          <w:trHeight w:val="170"/>
        </w:trPr>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1166"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15 02 02 02</w:t>
            </w:r>
          </w:p>
        </w:tc>
        <w:tc>
          <w:tcPr>
            <w:tcW w:w="2045"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Organisations de la société civile</w:t>
            </w:r>
          </w:p>
        </w:tc>
        <w:tc>
          <w:tcPr>
            <w:tcW w:w="1200"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15 02 02 20</w:t>
            </w:r>
          </w:p>
        </w:tc>
        <w:tc>
          <w:tcPr>
            <w:tcW w:w="2558"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Organisations de la société civile</w:t>
            </w:r>
          </w:p>
        </w:tc>
      </w:tr>
      <w:tr w:rsidR="007119D4">
        <w:trPr>
          <w:trHeight w:val="194"/>
        </w:trPr>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1166"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15 02 02 03</w:t>
            </w:r>
          </w:p>
        </w:tc>
        <w:tc>
          <w:tcPr>
            <w:tcW w:w="2045"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Stabilité et paix</w:t>
            </w:r>
          </w:p>
        </w:tc>
        <w:tc>
          <w:tcPr>
            <w:tcW w:w="1200"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15 02 02 30</w:t>
            </w:r>
          </w:p>
        </w:tc>
        <w:tc>
          <w:tcPr>
            <w:tcW w:w="2558"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Stabilité et paix</w:t>
            </w:r>
          </w:p>
        </w:tc>
      </w:tr>
      <w:tr w:rsidR="007119D4">
        <w:trPr>
          <w:trHeight w:val="86"/>
        </w:trPr>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1166" w:type="dxa"/>
            <w:vMerge w:val="restart"/>
            <w:tcBorders>
              <w:top w:val="nil"/>
              <w:left w:val="single" w:sz="4" w:space="0" w:color="auto"/>
              <w:bottom w:val="single" w:sz="4" w:space="0" w:color="000000"/>
              <w:right w:val="single" w:sz="4" w:space="0" w:color="auto"/>
            </w:tcBorders>
            <w:vAlign w:val="center"/>
            <w:hideMark/>
          </w:tcPr>
          <w:p w:rsidR="007119D4" w:rsidRDefault="00EC0158">
            <w:pPr>
              <w:spacing w:line="276" w:lineRule="auto"/>
              <w:jc w:val="center"/>
              <w:rPr>
                <w:noProof/>
                <w:sz w:val="18"/>
                <w:szCs w:val="18"/>
              </w:rPr>
            </w:pPr>
            <w:r>
              <w:rPr>
                <w:noProof/>
                <w:sz w:val="18"/>
                <w:szCs w:val="18"/>
              </w:rPr>
              <w:t>15 02 02 04</w:t>
            </w:r>
          </w:p>
        </w:tc>
        <w:tc>
          <w:tcPr>
            <w:tcW w:w="2045" w:type="dxa"/>
            <w:vMerge w:val="restart"/>
            <w:tcBorders>
              <w:top w:val="nil"/>
              <w:left w:val="single" w:sz="4" w:space="0" w:color="auto"/>
              <w:bottom w:val="single" w:sz="4" w:space="0" w:color="000000"/>
              <w:right w:val="single" w:sz="4" w:space="0" w:color="auto"/>
            </w:tcBorders>
            <w:vAlign w:val="center"/>
            <w:hideMark/>
          </w:tcPr>
          <w:p w:rsidR="007119D4" w:rsidRDefault="00EC0158">
            <w:pPr>
              <w:spacing w:line="276" w:lineRule="auto"/>
              <w:rPr>
                <w:noProof/>
                <w:sz w:val="18"/>
                <w:szCs w:val="18"/>
              </w:rPr>
            </w:pPr>
            <w:r>
              <w:rPr>
                <w:noProof/>
                <w:sz w:val="18"/>
                <w:szCs w:val="18"/>
              </w:rPr>
              <w:t>Défis mondiaux</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15 02 02 40</w:t>
            </w:r>
          </w:p>
          <w:p w:rsidR="007119D4" w:rsidRDefault="00EC0158">
            <w:pPr>
              <w:spacing w:line="276" w:lineRule="auto"/>
              <w:rPr>
                <w:i/>
                <w:noProof/>
                <w:sz w:val="18"/>
                <w:szCs w:val="18"/>
              </w:rPr>
            </w:pPr>
            <w:r>
              <w:rPr>
                <w:i/>
                <w:noProof/>
                <w:sz w:val="18"/>
                <w:szCs w:val="18"/>
              </w:rPr>
              <w:t>(nouveau)</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Population - Défis mondiaux.</w:t>
            </w:r>
          </w:p>
        </w:tc>
      </w:tr>
      <w:tr w:rsidR="007119D4">
        <w:trPr>
          <w:trHeight w:val="122"/>
        </w:trPr>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sz w:val="18"/>
                <w:szCs w:val="18"/>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15 02 02 41</w:t>
            </w:r>
          </w:p>
          <w:p w:rsidR="007119D4" w:rsidRDefault="00EC0158">
            <w:pPr>
              <w:spacing w:line="276" w:lineRule="auto"/>
              <w:rPr>
                <w:i/>
                <w:noProof/>
                <w:sz w:val="18"/>
                <w:szCs w:val="18"/>
              </w:rPr>
            </w:pPr>
            <w:r>
              <w:rPr>
                <w:i/>
                <w:noProof/>
                <w:sz w:val="18"/>
                <w:szCs w:val="18"/>
              </w:rPr>
              <w:t>(nouveau)</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Planète - Défis mondiaux</w:t>
            </w:r>
          </w:p>
        </w:tc>
      </w:tr>
      <w:tr w:rsidR="007119D4">
        <w:trPr>
          <w:trHeight w:val="48"/>
        </w:trPr>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sz w:val="18"/>
                <w:szCs w:val="18"/>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15 02 02 42</w:t>
            </w:r>
          </w:p>
          <w:p w:rsidR="007119D4" w:rsidRDefault="00EC0158">
            <w:pPr>
              <w:spacing w:line="276" w:lineRule="auto"/>
              <w:rPr>
                <w:i/>
                <w:noProof/>
                <w:sz w:val="18"/>
                <w:szCs w:val="18"/>
              </w:rPr>
            </w:pPr>
            <w:r>
              <w:rPr>
                <w:i/>
                <w:noProof/>
                <w:sz w:val="18"/>
                <w:szCs w:val="18"/>
              </w:rPr>
              <w:t>(nouveau)</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Prospérité — Défis mondiaux</w:t>
            </w:r>
          </w:p>
        </w:tc>
      </w:tr>
      <w:tr w:rsidR="007119D4">
        <w:trPr>
          <w:trHeight w:val="260"/>
        </w:trPr>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7119D4" w:rsidRDefault="007119D4">
            <w:pPr>
              <w:spacing w:line="276" w:lineRule="auto"/>
              <w:rPr>
                <w:noProof/>
                <w:sz w:val="18"/>
                <w:szCs w:val="18"/>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15 02 02 43</w:t>
            </w:r>
          </w:p>
          <w:p w:rsidR="007119D4" w:rsidRDefault="00EC0158">
            <w:pPr>
              <w:spacing w:line="276" w:lineRule="auto"/>
              <w:rPr>
                <w:i/>
                <w:noProof/>
                <w:sz w:val="18"/>
                <w:szCs w:val="18"/>
              </w:rPr>
            </w:pPr>
            <w:r>
              <w:rPr>
                <w:i/>
                <w:noProof/>
                <w:sz w:val="18"/>
                <w:szCs w:val="18"/>
              </w:rPr>
              <w:t>(nouveau)</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Partenariats — Défis mondiaux</w:t>
            </w:r>
          </w:p>
        </w:tc>
      </w:tr>
      <w:tr w:rsidR="007119D4">
        <w:trPr>
          <w:trHeight w:val="48"/>
        </w:trPr>
        <w:tc>
          <w:tcPr>
            <w:tcW w:w="953" w:type="dxa"/>
            <w:vMerge w:val="restart"/>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15 02 03</w:t>
            </w:r>
          </w:p>
        </w:tc>
        <w:tc>
          <w:tcPr>
            <w:tcW w:w="1922" w:type="dxa"/>
            <w:vMerge w:val="restart"/>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Opérations de réaction rapide</w:t>
            </w:r>
          </w:p>
        </w:tc>
        <w:tc>
          <w:tcPr>
            <w:tcW w:w="1166"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15 02 03 01</w:t>
            </w:r>
          </w:p>
        </w:tc>
        <w:tc>
          <w:tcPr>
            <w:tcW w:w="2045"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Réaction aux crises</w:t>
            </w:r>
          </w:p>
        </w:tc>
        <w:tc>
          <w:tcPr>
            <w:tcW w:w="1200"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15 02 03 10</w:t>
            </w:r>
          </w:p>
        </w:tc>
        <w:tc>
          <w:tcPr>
            <w:tcW w:w="2558"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Réaction aux crises</w:t>
            </w:r>
          </w:p>
        </w:tc>
      </w:tr>
      <w:tr w:rsidR="007119D4">
        <w:trPr>
          <w:trHeight w:val="122"/>
        </w:trPr>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1166"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15 02 03 02</w:t>
            </w:r>
          </w:p>
        </w:tc>
        <w:tc>
          <w:tcPr>
            <w:tcW w:w="2045"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Résilience</w:t>
            </w:r>
          </w:p>
        </w:tc>
        <w:tc>
          <w:tcPr>
            <w:tcW w:w="1200"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15 02 03 20</w:t>
            </w:r>
          </w:p>
        </w:tc>
        <w:tc>
          <w:tcPr>
            <w:tcW w:w="2558"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Résilience</w:t>
            </w:r>
          </w:p>
        </w:tc>
      </w:tr>
      <w:tr w:rsidR="007119D4">
        <w:trPr>
          <w:trHeight w:val="48"/>
        </w:trPr>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1166"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15 02 03 03</w:t>
            </w:r>
          </w:p>
        </w:tc>
        <w:tc>
          <w:tcPr>
            <w:tcW w:w="2045"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Besoins de la politique étrangère</w:t>
            </w:r>
          </w:p>
        </w:tc>
        <w:tc>
          <w:tcPr>
            <w:tcW w:w="1200"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15 02 03 30</w:t>
            </w:r>
          </w:p>
        </w:tc>
        <w:tc>
          <w:tcPr>
            <w:tcW w:w="2558"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 xml:space="preserve">Besoins de </w:t>
            </w:r>
            <w:r>
              <w:rPr>
                <w:noProof/>
                <w:sz w:val="18"/>
                <w:szCs w:val="18"/>
              </w:rPr>
              <w:t>la politique étrangère</w:t>
            </w:r>
          </w:p>
        </w:tc>
      </w:tr>
      <w:tr w:rsidR="007119D4">
        <w:trPr>
          <w:trHeight w:val="410"/>
        </w:trPr>
        <w:tc>
          <w:tcPr>
            <w:tcW w:w="953" w:type="dxa"/>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15 02 04</w:t>
            </w:r>
          </w:p>
        </w:tc>
        <w:tc>
          <w:tcPr>
            <w:tcW w:w="1922"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Réserve pour les défis et priorités émergents</w:t>
            </w:r>
          </w:p>
        </w:tc>
        <w:tc>
          <w:tcPr>
            <w:tcW w:w="1166"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15 02 04</w:t>
            </w:r>
          </w:p>
        </w:tc>
        <w:tc>
          <w:tcPr>
            <w:tcW w:w="2045"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Réserve pour les défis et priorités émergents</w:t>
            </w:r>
          </w:p>
        </w:tc>
        <w:tc>
          <w:tcPr>
            <w:tcW w:w="1200"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15 02 04</w:t>
            </w:r>
          </w:p>
        </w:tc>
        <w:tc>
          <w:tcPr>
            <w:tcW w:w="2558"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Réserve pour les défis et priorités émergents</w:t>
            </w:r>
          </w:p>
        </w:tc>
      </w:tr>
    </w:tbl>
    <w:p w:rsidR="007119D4" w:rsidRDefault="00EC0158">
      <w:pPr>
        <w:keepNext/>
        <w:tabs>
          <w:tab w:val="left" w:pos="851"/>
        </w:tabs>
        <w:spacing w:before="240" w:after="120"/>
        <w:ind w:left="850" w:hanging="850"/>
        <w:jc w:val="both"/>
        <w:outlineLvl w:val="1"/>
        <w:rPr>
          <w:rFonts w:eastAsia="Calibri"/>
          <w:i/>
          <w:noProof/>
        </w:rPr>
      </w:pPr>
      <w:bookmarkStart w:id="190" w:name="_Toc55807160"/>
      <w:bookmarkStart w:id="191" w:name="_Toc56419389"/>
      <w:bookmarkStart w:id="192" w:name="_Toc54770347"/>
      <w:r>
        <w:rPr>
          <w:i/>
          <w:noProof/>
        </w:rPr>
        <w:t xml:space="preserve">8.2.2 </w:t>
      </w:r>
      <w:r>
        <w:rPr>
          <w:noProof/>
        </w:rPr>
        <w:tab/>
      </w:r>
      <w:r>
        <w:rPr>
          <w:i/>
          <w:noProof/>
        </w:rPr>
        <w:t>Programme en faveur du marché unique</w:t>
      </w:r>
      <w:bookmarkEnd w:id="190"/>
      <w:bookmarkEnd w:id="191"/>
    </w:p>
    <w:p w:rsidR="007119D4" w:rsidRDefault="00EC0158">
      <w:pPr>
        <w:autoSpaceDE w:val="0"/>
        <w:autoSpaceDN w:val="0"/>
        <w:adjustRightInd w:val="0"/>
        <w:spacing w:before="120" w:after="120"/>
        <w:jc w:val="both"/>
        <w:rPr>
          <w:noProof/>
        </w:rPr>
      </w:pPr>
      <w:r>
        <w:rPr>
          <w:noProof/>
        </w:rPr>
        <w:t xml:space="preserve">Eu égard à l'accord intervenu récemment entre les colégislateurs sur les objectifs du programme en faveur du marché unique, il est proposé de créer un nouveau poste budgétaire spécifique pour la «surveillance du marché» au titre de l’article 03 02 01 </w:t>
      </w:r>
      <w:r>
        <w:rPr>
          <w:i/>
          <w:noProof/>
        </w:rPr>
        <w:t>Renfo</w:t>
      </w:r>
      <w:r>
        <w:rPr>
          <w:i/>
          <w:noProof/>
        </w:rPr>
        <w:t>rcer l’efficacité du marché intérieur</w:t>
      </w:r>
      <w:r>
        <w:rPr>
          <w:noProof/>
        </w:rPr>
        <w:t>.</w:t>
      </w:r>
    </w:p>
    <w:p w:rsidR="007119D4" w:rsidRDefault="00EC0158">
      <w:pPr>
        <w:keepNext/>
        <w:tabs>
          <w:tab w:val="left" w:pos="851"/>
        </w:tabs>
        <w:spacing w:before="240" w:after="120"/>
        <w:ind w:left="850" w:hanging="850"/>
        <w:jc w:val="both"/>
        <w:outlineLvl w:val="1"/>
        <w:rPr>
          <w:rFonts w:eastAsia="Calibri"/>
          <w:i/>
          <w:noProof/>
        </w:rPr>
      </w:pPr>
      <w:bookmarkStart w:id="193" w:name="_Toc55807161"/>
      <w:bookmarkStart w:id="194" w:name="_Toc56419390"/>
      <w:r>
        <w:rPr>
          <w:i/>
          <w:noProof/>
        </w:rPr>
        <w:t xml:space="preserve">8.2.3 </w:t>
      </w:r>
      <w:r>
        <w:rPr>
          <w:noProof/>
        </w:rPr>
        <w:tab/>
      </w:r>
      <w:r>
        <w:rPr>
          <w:i/>
          <w:noProof/>
        </w:rPr>
        <w:t>Politique sociale (y compris dialogue social)</w:t>
      </w:r>
      <w:bookmarkEnd w:id="192"/>
      <w:bookmarkEnd w:id="193"/>
      <w:bookmarkEnd w:id="194"/>
    </w:p>
    <w:p w:rsidR="007119D4" w:rsidRDefault="00EC0158">
      <w:pPr>
        <w:autoSpaceDE w:val="0"/>
        <w:autoSpaceDN w:val="0"/>
        <w:adjustRightInd w:val="0"/>
        <w:spacing w:before="120" w:after="120"/>
        <w:jc w:val="both"/>
        <w:rPr>
          <w:noProof/>
        </w:rPr>
      </w:pPr>
      <w:r>
        <w:rPr>
          <w:noProof/>
        </w:rPr>
        <w:t>Il est proposé de scinder la ligne budgétaire (et les crédits correspondants) couvrant les dépenses liées à la politique sociale (y compris au dialogue social) afin</w:t>
      </w:r>
      <w:r>
        <w:rPr>
          <w:noProof/>
        </w:rPr>
        <w:t xml:space="preserve"> de créer une nouvelle ligne entièrement consacrée à des études, à des enquêtes et à des subventions octroyées à des organismes de recherche.</w:t>
      </w:r>
    </w:p>
    <w:p w:rsidR="007119D4" w:rsidRDefault="00EC0158">
      <w:pPr>
        <w:autoSpaceDE w:val="0"/>
        <w:autoSpaceDN w:val="0"/>
        <w:adjustRightInd w:val="0"/>
        <w:spacing w:before="120" w:after="120"/>
        <w:jc w:val="both"/>
        <w:rPr>
          <w:noProof/>
        </w:rPr>
      </w:pPr>
      <w:r>
        <w:rPr>
          <w:noProof/>
        </w:rPr>
        <w:t>Le tableau ci-dessous présente le détail des modifications par rapport au PB 2021:</w:t>
      </w:r>
    </w:p>
    <w:tbl>
      <w:tblPr>
        <w:tblW w:w="9835" w:type="dxa"/>
        <w:tblInd w:w="113" w:type="dxa"/>
        <w:tblLook w:val="04A0" w:firstRow="1" w:lastRow="0" w:firstColumn="1" w:lastColumn="0" w:noHBand="0" w:noVBand="1"/>
      </w:tblPr>
      <w:tblGrid>
        <w:gridCol w:w="951"/>
        <w:gridCol w:w="1924"/>
        <w:gridCol w:w="1153"/>
        <w:gridCol w:w="2087"/>
        <w:gridCol w:w="1153"/>
        <w:gridCol w:w="2567"/>
      </w:tblGrid>
      <w:tr w:rsidR="007119D4">
        <w:trPr>
          <w:trHeight w:val="245"/>
        </w:trPr>
        <w:tc>
          <w:tcPr>
            <w:tcW w:w="6115" w:type="dxa"/>
            <w:gridSpan w:val="4"/>
            <w:tcBorders>
              <w:top w:val="single" w:sz="4" w:space="0" w:color="auto"/>
              <w:left w:val="single" w:sz="4" w:space="0" w:color="auto"/>
              <w:bottom w:val="single" w:sz="4" w:space="0" w:color="auto"/>
              <w:right w:val="single" w:sz="4" w:space="0" w:color="000000"/>
            </w:tcBorders>
            <w:shd w:val="clear" w:color="auto" w:fill="D9D9D9"/>
            <w:vAlign w:val="center"/>
            <w:hideMark/>
          </w:tcPr>
          <w:p w:rsidR="007119D4" w:rsidRDefault="00EC0158">
            <w:pPr>
              <w:spacing w:line="276" w:lineRule="auto"/>
              <w:jc w:val="center"/>
              <w:rPr>
                <w:b/>
                <w:bCs/>
                <w:noProof/>
                <w:sz w:val="18"/>
                <w:szCs w:val="18"/>
              </w:rPr>
            </w:pPr>
            <w:r>
              <w:rPr>
                <w:b/>
                <w:bCs/>
                <w:noProof/>
                <w:sz w:val="18"/>
                <w:szCs w:val="18"/>
              </w:rPr>
              <w:t>Nomenclature dans le PB 2021</w:t>
            </w:r>
          </w:p>
        </w:tc>
        <w:tc>
          <w:tcPr>
            <w:tcW w:w="3720" w:type="dxa"/>
            <w:gridSpan w:val="2"/>
            <w:tcBorders>
              <w:top w:val="single" w:sz="4" w:space="0" w:color="auto"/>
              <w:left w:val="nil"/>
              <w:bottom w:val="single" w:sz="4" w:space="0" w:color="auto"/>
              <w:right w:val="single" w:sz="4" w:space="0" w:color="000000"/>
            </w:tcBorders>
            <w:shd w:val="clear" w:color="auto" w:fill="D9D9D9"/>
            <w:vAlign w:val="center"/>
            <w:hideMark/>
          </w:tcPr>
          <w:p w:rsidR="007119D4" w:rsidRDefault="00EC0158">
            <w:pPr>
              <w:spacing w:line="276" w:lineRule="auto"/>
              <w:jc w:val="center"/>
              <w:rPr>
                <w:b/>
                <w:bCs/>
                <w:noProof/>
                <w:sz w:val="18"/>
                <w:szCs w:val="18"/>
              </w:rPr>
            </w:pPr>
            <w:r>
              <w:rPr>
                <w:b/>
                <w:bCs/>
                <w:noProof/>
                <w:sz w:val="18"/>
                <w:szCs w:val="18"/>
              </w:rPr>
              <w:t>No</w:t>
            </w:r>
            <w:r>
              <w:rPr>
                <w:b/>
                <w:bCs/>
                <w:noProof/>
                <w:sz w:val="18"/>
                <w:szCs w:val="18"/>
              </w:rPr>
              <w:t>menclature dans la LR nº 1/2021</w:t>
            </w:r>
          </w:p>
        </w:tc>
      </w:tr>
      <w:tr w:rsidR="007119D4">
        <w:trPr>
          <w:trHeight w:val="650"/>
        </w:trPr>
        <w:tc>
          <w:tcPr>
            <w:tcW w:w="951" w:type="dxa"/>
            <w:vMerge w:val="restart"/>
            <w:tcBorders>
              <w:top w:val="nil"/>
              <w:left w:val="single" w:sz="4" w:space="0" w:color="auto"/>
              <w:bottom w:val="single" w:sz="4" w:space="0" w:color="auto"/>
              <w:right w:val="single" w:sz="4" w:space="0" w:color="auto"/>
            </w:tcBorders>
            <w:vAlign w:val="center"/>
            <w:hideMark/>
          </w:tcPr>
          <w:p w:rsidR="007119D4" w:rsidRDefault="00EC0158">
            <w:pPr>
              <w:spacing w:line="276" w:lineRule="auto"/>
              <w:jc w:val="center"/>
              <w:rPr>
                <w:noProof/>
                <w:sz w:val="18"/>
                <w:szCs w:val="18"/>
              </w:rPr>
            </w:pPr>
            <w:r>
              <w:rPr>
                <w:noProof/>
                <w:sz w:val="18"/>
                <w:szCs w:val="18"/>
              </w:rPr>
              <w:t>07 20 04</w:t>
            </w:r>
          </w:p>
        </w:tc>
        <w:tc>
          <w:tcPr>
            <w:tcW w:w="1924" w:type="dxa"/>
            <w:vMerge w:val="restart"/>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Actions financées dans le cadre des prérogatives de la Commission et des compétences spécifiques conférées à la Commission</w:t>
            </w:r>
          </w:p>
        </w:tc>
        <w:tc>
          <w:tcPr>
            <w:tcW w:w="1153" w:type="dxa"/>
            <w:vMerge w:val="restart"/>
            <w:tcBorders>
              <w:top w:val="nil"/>
              <w:left w:val="single" w:sz="4" w:space="0" w:color="auto"/>
              <w:bottom w:val="single" w:sz="4" w:space="0" w:color="auto"/>
              <w:right w:val="single" w:sz="4" w:space="0" w:color="auto"/>
            </w:tcBorders>
            <w:vAlign w:val="center"/>
            <w:hideMark/>
          </w:tcPr>
          <w:p w:rsidR="007119D4" w:rsidRDefault="00EC0158">
            <w:pPr>
              <w:spacing w:line="276" w:lineRule="auto"/>
              <w:jc w:val="center"/>
              <w:rPr>
                <w:noProof/>
                <w:sz w:val="18"/>
                <w:szCs w:val="18"/>
              </w:rPr>
            </w:pPr>
            <w:r>
              <w:rPr>
                <w:noProof/>
                <w:sz w:val="18"/>
                <w:szCs w:val="18"/>
              </w:rPr>
              <w:t>07 20 04 06</w:t>
            </w:r>
          </w:p>
        </w:tc>
        <w:tc>
          <w:tcPr>
            <w:tcW w:w="2087" w:type="dxa"/>
            <w:vMerge w:val="restart"/>
            <w:tcBorders>
              <w:top w:val="nil"/>
              <w:left w:val="single" w:sz="4" w:space="0" w:color="auto"/>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 xml:space="preserve">Compétences spécifiques dans le domaine de la politique sociale, y compris </w:t>
            </w:r>
            <w:r>
              <w:rPr>
                <w:noProof/>
                <w:sz w:val="18"/>
                <w:szCs w:val="18"/>
              </w:rPr>
              <w:t>dialogue social</w:t>
            </w:r>
          </w:p>
        </w:tc>
        <w:tc>
          <w:tcPr>
            <w:tcW w:w="1153"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07 20 04 06</w:t>
            </w:r>
          </w:p>
        </w:tc>
        <w:tc>
          <w:tcPr>
            <w:tcW w:w="2567" w:type="dxa"/>
            <w:tcBorders>
              <w:top w:val="nil"/>
              <w:left w:val="nil"/>
              <w:bottom w:val="single" w:sz="4" w:space="0" w:color="auto"/>
              <w:right w:val="single" w:sz="4" w:space="0" w:color="auto"/>
            </w:tcBorders>
            <w:vAlign w:val="center"/>
            <w:hideMark/>
          </w:tcPr>
          <w:p w:rsidR="007119D4" w:rsidRDefault="00EC0158">
            <w:pPr>
              <w:spacing w:line="276" w:lineRule="auto"/>
              <w:rPr>
                <w:noProof/>
                <w:sz w:val="18"/>
                <w:szCs w:val="18"/>
              </w:rPr>
            </w:pPr>
            <w:r>
              <w:rPr>
                <w:noProof/>
                <w:sz w:val="18"/>
                <w:szCs w:val="18"/>
              </w:rPr>
              <w:t>Compétences spécifiques dans le domaine de la politique sociale, y compris dialogue social</w:t>
            </w:r>
          </w:p>
        </w:tc>
      </w:tr>
      <w:tr w:rsidR="007119D4">
        <w:trPr>
          <w:trHeight w:val="482"/>
        </w:trPr>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7119D4" w:rsidRDefault="007119D4">
            <w:pPr>
              <w:spacing w:line="276" w:lineRule="auto"/>
              <w:rPr>
                <w:noProof/>
                <w:sz w:val="18"/>
                <w:szCs w:val="18"/>
              </w:rPr>
            </w:pPr>
          </w:p>
        </w:tc>
        <w:tc>
          <w:tcPr>
            <w:tcW w:w="1153"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07 20 04 08</w:t>
            </w:r>
          </w:p>
          <w:p w:rsidR="007119D4" w:rsidRDefault="00EC0158">
            <w:pPr>
              <w:spacing w:line="276" w:lineRule="auto"/>
              <w:rPr>
                <w:i/>
                <w:noProof/>
                <w:sz w:val="18"/>
                <w:szCs w:val="18"/>
              </w:rPr>
            </w:pPr>
            <w:r>
              <w:rPr>
                <w:i/>
                <w:noProof/>
                <w:sz w:val="18"/>
                <w:szCs w:val="18"/>
              </w:rPr>
              <w:t>(nouveau)</w:t>
            </w:r>
          </w:p>
        </w:tc>
        <w:tc>
          <w:tcPr>
            <w:tcW w:w="2567" w:type="dxa"/>
            <w:tcBorders>
              <w:top w:val="nil"/>
              <w:left w:val="nil"/>
              <w:bottom w:val="single" w:sz="4" w:space="0" w:color="auto"/>
              <w:right w:val="single" w:sz="4" w:space="0" w:color="auto"/>
            </w:tcBorders>
            <w:shd w:val="clear" w:color="auto" w:fill="F2F2F2" w:themeFill="background1" w:themeFillShade="F2"/>
            <w:vAlign w:val="center"/>
            <w:hideMark/>
          </w:tcPr>
          <w:p w:rsidR="007119D4" w:rsidRDefault="00EC0158">
            <w:pPr>
              <w:spacing w:line="276" w:lineRule="auto"/>
              <w:rPr>
                <w:i/>
                <w:noProof/>
                <w:sz w:val="18"/>
                <w:szCs w:val="18"/>
              </w:rPr>
            </w:pPr>
            <w:r>
              <w:rPr>
                <w:i/>
                <w:noProof/>
                <w:sz w:val="18"/>
                <w:szCs w:val="18"/>
              </w:rPr>
              <w:t xml:space="preserve">Analyses et études sur la situation sociale, la démographie et la famille </w:t>
            </w:r>
          </w:p>
        </w:tc>
      </w:tr>
    </w:tbl>
    <w:p w:rsidR="007119D4" w:rsidRDefault="00EC0158">
      <w:pPr>
        <w:keepNext/>
        <w:tabs>
          <w:tab w:val="left" w:pos="850"/>
        </w:tabs>
        <w:spacing w:before="240" w:after="120"/>
        <w:ind w:left="850" w:hanging="850"/>
        <w:jc w:val="both"/>
        <w:outlineLvl w:val="1"/>
        <w:rPr>
          <w:rFonts w:eastAsia="Calibri"/>
          <w:i/>
          <w:noProof/>
        </w:rPr>
      </w:pPr>
      <w:bookmarkStart w:id="195" w:name="_Toc55807162"/>
      <w:bookmarkStart w:id="196" w:name="_Toc54770348"/>
      <w:bookmarkStart w:id="197" w:name="_Toc56419391"/>
      <w:r>
        <w:rPr>
          <w:i/>
          <w:noProof/>
        </w:rPr>
        <w:lastRenderedPageBreak/>
        <w:t>8.2.4</w:t>
      </w:r>
      <w:r>
        <w:rPr>
          <w:noProof/>
        </w:rPr>
        <w:tab/>
      </w:r>
      <w:r>
        <w:rPr>
          <w:i/>
          <w:noProof/>
        </w:rPr>
        <w:t xml:space="preserve">Extension de l'entreprise </w:t>
      </w:r>
      <w:r>
        <w:rPr>
          <w:i/>
          <w:noProof/>
        </w:rPr>
        <w:t>commune pour le calcul à haute performance européen (EuroHPC)</w:t>
      </w:r>
      <w:bookmarkEnd w:id="195"/>
      <w:bookmarkEnd w:id="196"/>
      <w:bookmarkEnd w:id="197"/>
    </w:p>
    <w:p w:rsidR="007119D4" w:rsidRDefault="00EC0158">
      <w:pPr>
        <w:jc w:val="both"/>
        <w:rPr>
          <w:noProof/>
        </w:rPr>
      </w:pPr>
      <w:r>
        <w:rPr>
          <w:noProof/>
        </w:rPr>
        <w:t>En septembre, la Commission a adopté une proposition de règlement du Conseil établissant l'entreprise commune pour le calcul à haute performance européen</w:t>
      </w:r>
      <w:r>
        <w:rPr>
          <w:rStyle w:val="FootnoteReference"/>
          <w:noProof/>
        </w:rPr>
        <w:footnoteReference w:id="33"/>
      </w:r>
      <w:r>
        <w:rPr>
          <w:noProof/>
        </w:rPr>
        <w:t xml:space="preserve"> dans le cadre du prochain CFP, en s’app</w:t>
      </w:r>
      <w:r>
        <w:rPr>
          <w:noProof/>
        </w:rPr>
        <w:t>uyant sur l’entreprise commune EuroHPC existante créée en octobre 2018.</w:t>
      </w:r>
    </w:p>
    <w:p w:rsidR="007119D4" w:rsidRDefault="00EC0158">
      <w:pPr>
        <w:spacing w:before="120" w:after="120"/>
        <w:jc w:val="both"/>
        <w:rPr>
          <w:noProof/>
        </w:rPr>
      </w:pPr>
      <w:r>
        <w:rPr>
          <w:noProof/>
        </w:rPr>
        <w:t>À la suite de cette décision, les lignes budgétaires correspondantes ont été incluses dans la LR nº 1/2021 pour les contributions provenant d’Horizon Europe, du programme pour une Euro</w:t>
      </w:r>
      <w:r>
        <w:rPr>
          <w:noProof/>
        </w:rPr>
        <w:t>pe numérique et du mécanisme pour l’interconnexion en Europe (MIE).  À ce stade, aucun crédit n’a été alloué à ces nouvelles lignes, car la contribution exacte des trois programmes doit encore être déterminée lors de leur planification stratégique et de le</w:t>
      </w:r>
      <w:r>
        <w:rPr>
          <w:noProof/>
        </w:rPr>
        <w:t>ur programmation.</w:t>
      </w:r>
    </w:p>
    <w:p w:rsidR="007119D4" w:rsidRDefault="00EC0158">
      <w:pPr>
        <w:keepNext/>
        <w:tabs>
          <w:tab w:val="left" w:pos="850"/>
        </w:tabs>
        <w:spacing w:before="240" w:after="120"/>
        <w:ind w:left="850" w:hanging="850"/>
        <w:jc w:val="both"/>
        <w:outlineLvl w:val="1"/>
        <w:rPr>
          <w:rFonts w:eastAsia="Calibri"/>
          <w:i/>
          <w:noProof/>
        </w:rPr>
      </w:pPr>
      <w:bookmarkStart w:id="198" w:name="_Toc55807163"/>
      <w:bookmarkStart w:id="199" w:name="_Toc56419392"/>
      <w:bookmarkStart w:id="200" w:name="_Toc54770349"/>
      <w:bookmarkEnd w:id="147"/>
      <w:r>
        <w:rPr>
          <w:i/>
          <w:noProof/>
        </w:rPr>
        <w:t xml:space="preserve">8.2.5 </w:t>
      </w:r>
      <w:r>
        <w:rPr>
          <w:noProof/>
        </w:rPr>
        <w:tab/>
      </w:r>
      <w:r>
        <w:rPr>
          <w:i/>
          <w:noProof/>
        </w:rPr>
        <w:t>Création de nouvelles lignes budgétaires pour les deux organes consultatifs</w:t>
      </w:r>
      <w:bookmarkEnd w:id="198"/>
      <w:bookmarkEnd w:id="199"/>
    </w:p>
    <w:p w:rsidR="007119D4" w:rsidRDefault="00EC0158">
      <w:pPr>
        <w:autoSpaceDE w:val="0"/>
        <w:autoSpaceDN w:val="0"/>
        <w:adjustRightInd w:val="0"/>
        <w:spacing w:before="120" w:after="120"/>
        <w:jc w:val="both"/>
        <w:rPr>
          <w:noProof/>
        </w:rPr>
      </w:pPr>
      <w:r>
        <w:rPr>
          <w:noProof/>
        </w:rPr>
        <w:t>Au printemps 2020, les deux organes consultatifs, le Comité économique et social européen et le Comité européen des régions, se sont concertés pour fixer u</w:t>
      </w:r>
      <w:r>
        <w:rPr>
          <w:noProof/>
        </w:rPr>
        <w:t>n objectif de réduction des émissions de carbone et le calendrier afférent. Parmi d’autres recommandations concernant la mise en œuvre de cet objectif, les Comités ont demandé la création dans leurs sections respectives d'une nouvelle ligne budgétaire sans</w:t>
      </w:r>
      <w:r>
        <w:rPr>
          <w:noProof/>
        </w:rPr>
        <w:t xml:space="preserve"> crédits pour la compensation des émissions de CO</w:t>
      </w:r>
      <w:r>
        <w:rPr>
          <w:noProof/>
          <w:vertAlign w:val="subscript"/>
        </w:rPr>
        <w:t>2</w:t>
      </w:r>
      <w:r>
        <w:rPr>
          <w:noProof/>
        </w:rPr>
        <w:t>, en tant que mesure préparatoire.</w:t>
      </w:r>
    </w:p>
    <w:p w:rsidR="007119D4" w:rsidRDefault="00EC0158">
      <w:pPr>
        <w:autoSpaceDE w:val="0"/>
        <w:autoSpaceDN w:val="0"/>
        <w:adjustRightInd w:val="0"/>
        <w:spacing w:before="120" w:after="120"/>
        <w:jc w:val="both"/>
        <w:rPr>
          <w:noProof/>
        </w:rPr>
      </w:pPr>
      <w:r>
        <w:rPr>
          <w:noProof/>
        </w:rPr>
        <w:t xml:space="preserve">En raison du calendrier de la décision politique relative à l’introduction d’un système en matière d’émissions de carbone, les nouvelles lignes budgétaires (sans crédits) </w:t>
      </w:r>
      <w:r>
        <w:rPr>
          <w:noProof/>
        </w:rPr>
        <w:t>pour la compensation de CO</w:t>
      </w:r>
      <w:r>
        <w:rPr>
          <w:noProof/>
          <w:vertAlign w:val="subscript"/>
        </w:rPr>
        <w:t>2</w:t>
      </w:r>
      <w:r>
        <w:rPr>
          <w:noProof/>
        </w:rPr>
        <w:t xml:space="preserve"> n’ont pas pu être demandées par les Comités dans le PB 2021.</w:t>
      </w:r>
    </w:p>
    <w:p w:rsidR="007119D4" w:rsidRDefault="00EC0158">
      <w:pPr>
        <w:keepNext/>
        <w:tabs>
          <w:tab w:val="left" w:pos="850"/>
        </w:tabs>
        <w:spacing w:before="240" w:after="120"/>
        <w:ind w:left="850" w:hanging="850"/>
        <w:jc w:val="both"/>
        <w:outlineLvl w:val="1"/>
        <w:rPr>
          <w:rFonts w:eastAsia="Calibri"/>
          <w:i/>
          <w:noProof/>
        </w:rPr>
      </w:pPr>
      <w:bookmarkStart w:id="201" w:name="_Toc55807164"/>
      <w:bookmarkStart w:id="202" w:name="_Toc56419393"/>
      <w:r>
        <w:rPr>
          <w:i/>
          <w:noProof/>
        </w:rPr>
        <w:t xml:space="preserve">8.2.6 </w:t>
      </w:r>
      <w:r>
        <w:rPr>
          <w:noProof/>
        </w:rPr>
        <w:tab/>
      </w:r>
      <w:r>
        <w:rPr>
          <w:i/>
          <w:noProof/>
        </w:rPr>
        <w:t>Suppression de lignes budgétaires dans la section relative au Contrôleur européen de la protection des données</w:t>
      </w:r>
      <w:bookmarkEnd w:id="201"/>
      <w:bookmarkEnd w:id="202"/>
    </w:p>
    <w:p w:rsidR="007119D4" w:rsidRDefault="00EC0158">
      <w:pPr>
        <w:autoSpaceDE w:val="0"/>
        <w:autoSpaceDN w:val="0"/>
        <w:adjustRightInd w:val="0"/>
        <w:spacing w:before="120" w:after="120"/>
        <w:jc w:val="both"/>
        <w:rPr>
          <w:rFonts w:eastAsia="Calibri"/>
          <w:i/>
          <w:noProof/>
        </w:rPr>
      </w:pPr>
      <w:r>
        <w:rPr>
          <w:noProof/>
        </w:rPr>
        <w:t xml:space="preserve">La LR nº 1/2021 prévoit la suppression de trois </w:t>
      </w:r>
      <w:r>
        <w:rPr>
          <w:noProof/>
        </w:rPr>
        <w:t>lignes dans le titre 3 de la section relative au Contrôleur européen de la protection des données.</w:t>
      </w:r>
    </w:p>
    <w:p w:rsidR="007119D4" w:rsidRDefault="00EC0158">
      <w:pPr>
        <w:keepNext/>
        <w:tabs>
          <w:tab w:val="left" w:pos="850"/>
        </w:tabs>
        <w:spacing w:before="360" w:after="120"/>
        <w:ind w:left="840" w:hanging="840"/>
        <w:jc w:val="both"/>
        <w:outlineLvl w:val="1"/>
        <w:rPr>
          <w:rFonts w:eastAsia="Calibri"/>
          <w:b/>
          <w:noProof/>
        </w:rPr>
      </w:pPr>
      <w:bookmarkStart w:id="203" w:name="_Toc55807165"/>
      <w:bookmarkStart w:id="204" w:name="_Toc56419394"/>
      <w:r>
        <w:rPr>
          <w:b/>
          <w:noProof/>
        </w:rPr>
        <w:t xml:space="preserve">8.3 </w:t>
      </w:r>
      <w:r>
        <w:rPr>
          <w:noProof/>
        </w:rPr>
        <w:tab/>
      </w:r>
      <w:r>
        <w:rPr>
          <w:b/>
          <w:noProof/>
        </w:rPr>
        <w:t>Mises à jour techniques</w:t>
      </w:r>
      <w:bookmarkEnd w:id="200"/>
      <w:bookmarkEnd w:id="203"/>
      <w:bookmarkEnd w:id="204"/>
    </w:p>
    <w:p w:rsidR="007119D4" w:rsidRDefault="00EC0158">
      <w:pPr>
        <w:keepNext/>
        <w:tabs>
          <w:tab w:val="left" w:pos="850"/>
        </w:tabs>
        <w:spacing w:before="240" w:after="120"/>
        <w:ind w:left="850" w:hanging="850"/>
        <w:jc w:val="both"/>
        <w:outlineLvl w:val="1"/>
        <w:rPr>
          <w:rFonts w:eastAsia="Calibri"/>
          <w:i/>
          <w:noProof/>
        </w:rPr>
      </w:pPr>
      <w:bookmarkStart w:id="205" w:name="_Toc55807166"/>
      <w:bookmarkStart w:id="206" w:name="_Toc54770350"/>
      <w:bookmarkStart w:id="207" w:name="_Toc56419395"/>
      <w:r>
        <w:rPr>
          <w:i/>
          <w:noProof/>
        </w:rPr>
        <w:t xml:space="preserve">8.3.1 </w:t>
      </w:r>
      <w:r>
        <w:rPr>
          <w:noProof/>
        </w:rPr>
        <w:tab/>
      </w:r>
      <w:r>
        <w:rPr>
          <w:i/>
          <w:noProof/>
        </w:rPr>
        <w:t>Modification des tableaux des effectifs après le recours à l’article 53, paragraphe 1, du règlement financier</w:t>
      </w:r>
      <w:bookmarkEnd w:id="205"/>
      <w:bookmarkEnd w:id="206"/>
      <w:bookmarkEnd w:id="207"/>
    </w:p>
    <w:p w:rsidR="007119D4" w:rsidRDefault="00EC0158">
      <w:pPr>
        <w:autoSpaceDE w:val="0"/>
        <w:autoSpaceDN w:val="0"/>
        <w:adjustRightInd w:val="0"/>
        <w:spacing w:before="120" w:after="120"/>
        <w:jc w:val="both"/>
        <w:rPr>
          <w:noProof/>
        </w:rPr>
      </w:pPr>
      <w:r>
        <w:rPr>
          <w:noProof/>
        </w:rPr>
        <w:t>Au cours de</w:t>
      </w:r>
      <w:r>
        <w:rPr>
          <w:noProof/>
        </w:rPr>
        <w:t xml:space="preserve"> 2020, le Comité européen des régions et le Contrôleur européen de la protection des données (CEPD) ont modifié leurs tableaux des effectifs respectifs conformément à l’article 53, paragraphe 1, du règlement financier.</w:t>
      </w:r>
    </w:p>
    <w:p w:rsidR="007119D4" w:rsidRDefault="00EC0158">
      <w:pPr>
        <w:autoSpaceDE w:val="0"/>
        <w:autoSpaceDN w:val="0"/>
        <w:adjustRightInd w:val="0"/>
        <w:spacing w:before="120" w:after="120"/>
        <w:jc w:val="both"/>
        <w:rPr>
          <w:noProof/>
        </w:rPr>
      </w:pPr>
      <w:r>
        <w:rPr>
          <w:noProof/>
        </w:rPr>
        <w:t>Pour le Comité des régions, cette opé</w:t>
      </w:r>
      <w:r>
        <w:rPr>
          <w:noProof/>
        </w:rPr>
        <w:t>ration entraînait la transformation d’un emploi permanent AD 9 en un emploi temporaire AD 9, ainsi que d’un emploi AST 4 en un emploi AST/SC 5, tandis que pour le CEPD, il s’agissait de transformer, dans le tableau des effectifs du comité européen de la pr</w:t>
      </w:r>
      <w:r>
        <w:rPr>
          <w:noProof/>
        </w:rPr>
        <w:t>otection des données, un emploi AST 1 en un emploi AST/SC 2.</w:t>
      </w:r>
    </w:p>
    <w:p w:rsidR="007119D4" w:rsidRDefault="00EC0158">
      <w:pPr>
        <w:autoSpaceDE w:val="0"/>
        <w:autoSpaceDN w:val="0"/>
        <w:adjustRightInd w:val="0"/>
        <w:spacing w:before="120" w:after="120"/>
        <w:jc w:val="both"/>
        <w:rPr>
          <w:noProof/>
        </w:rPr>
      </w:pPr>
      <w:r>
        <w:rPr>
          <w:noProof/>
        </w:rPr>
        <w:t>Chacune de ces transformations nécessite la modification des tableaux des effectifs correspondants pour 2021. Concernant le Comité des régions, l'opération entraîne aussi une réduction limitée de</w:t>
      </w:r>
      <w:r>
        <w:rPr>
          <w:noProof/>
        </w:rPr>
        <w:t>s crédits (-2 705 EUR).</w:t>
      </w:r>
    </w:p>
    <w:p w:rsidR="007119D4" w:rsidRDefault="00EC0158">
      <w:pPr>
        <w:keepNext/>
        <w:tabs>
          <w:tab w:val="left" w:pos="850"/>
        </w:tabs>
        <w:spacing w:before="240" w:after="120"/>
        <w:ind w:left="850" w:hanging="850"/>
        <w:jc w:val="both"/>
        <w:outlineLvl w:val="1"/>
        <w:rPr>
          <w:rFonts w:eastAsia="Calibri"/>
          <w:i/>
          <w:noProof/>
        </w:rPr>
      </w:pPr>
      <w:bookmarkStart w:id="208" w:name="_Toc55807167"/>
      <w:bookmarkStart w:id="209" w:name="_Toc54770353"/>
      <w:bookmarkStart w:id="210" w:name="_Toc56419396"/>
      <w:r>
        <w:rPr>
          <w:i/>
          <w:noProof/>
        </w:rPr>
        <w:t>8.3.1</w:t>
      </w:r>
      <w:r>
        <w:rPr>
          <w:noProof/>
        </w:rPr>
        <w:tab/>
      </w:r>
      <w:r>
        <w:rPr>
          <w:i/>
          <w:noProof/>
        </w:rPr>
        <w:t>Modification du libellé de certains commentaires budgétaires</w:t>
      </w:r>
      <w:bookmarkEnd w:id="208"/>
      <w:bookmarkEnd w:id="209"/>
      <w:bookmarkEnd w:id="210"/>
    </w:p>
    <w:p w:rsidR="007119D4" w:rsidRDefault="00EC0158">
      <w:pPr>
        <w:autoSpaceDE w:val="0"/>
        <w:autoSpaceDN w:val="0"/>
        <w:adjustRightInd w:val="0"/>
        <w:spacing w:before="120" w:after="120"/>
        <w:jc w:val="both"/>
        <w:rPr>
          <w:rFonts w:eastAsia="Calibri"/>
          <w:i/>
          <w:noProof/>
        </w:rPr>
      </w:pPr>
      <w:r>
        <w:rPr>
          <w:noProof/>
        </w:rPr>
        <w:t xml:space="preserve">Outre les adaptations liées à la contribution de Next Generation EU (voir la section 2.5 ci-dessus), la LR nº 1/2021 contient également des modifications techniques </w:t>
      </w:r>
      <w:r>
        <w:rPr>
          <w:noProof/>
        </w:rPr>
        <w:t>de certains commentaires budgétaires, visibles dans l’annexe budgétaire.</w:t>
      </w:r>
    </w:p>
    <w:p w:rsidR="007119D4" w:rsidRDefault="00EC0158">
      <w:pPr>
        <w:jc w:val="both"/>
        <w:rPr>
          <w:rFonts w:eastAsia="Calibri"/>
          <w:b/>
          <w:noProof/>
        </w:rPr>
      </w:pPr>
      <w:r>
        <w:rPr>
          <w:noProof/>
        </w:rPr>
        <w:br w:type="page"/>
      </w:r>
    </w:p>
    <w:p w:rsidR="007119D4" w:rsidRDefault="00EC0158">
      <w:pPr>
        <w:pStyle w:val="ManualHeading1"/>
        <w:spacing w:before="240"/>
        <w:rPr>
          <w:noProof/>
        </w:rPr>
      </w:pPr>
      <w:bookmarkStart w:id="211" w:name="_Toc55807168"/>
      <w:bookmarkStart w:id="212" w:name="_Toc54770354"/>
      <w:bookmarkStart w:id="213" w:name="_Toc526753799"/>
      <w:bookmarkStart w:id="214" w:name="_Toc56419397"/>
      <w:r>
        <w:rPr>
          <w:noProof/>
        </w:rPr>
        <w:lastRenderedPageBreak/>
        <w:t>9.</w:t>
      </w:r>
      <w:r>
        <w:rPr>
          <w:noProof/>
        </w:rPr>
        <w:tab/>
        <w:t>Tableau récapitulatif par rubrique du CFP</w:t>
      </w:r>
      <w:bookmarkEnd w:id="211"/>
      <w:bookmarkEnd w:id="212"/>
      <w:bookmarkEnd w:id="213"/>
      <w:bookmarkEnd w:id="214"/>
    </w:p>
    <w:tbl>
      <w:tblPr>
        <w:tblW w:w="10502" w:type="dxa"/>
        <w:jc w:val="center"/>
        <w:tblLook w:val="04A0" w:firstRow="1" w:lastRow="0" w:firstColumn="1" w:lastColumn="0" w:noHBand="0" w:noVBand="1"/>
      </w:tblPr>
      <w:tblGrid>
        <w:gridCol w:w="356"/>
        <w:gridCol w:w="2311"/>
        <w:gridCol w:w="1302"/>
        <w:gridCol w:w="1292"/>
        <w:gridCol w:w="1297"/>
        <w:gridCol w:w="1332"/>
        <w:gridCol w:w="1292"/>
        <w:gridCol w:w="1296"/>
        <w:gridCol w:w="24"/>
      </w:tblGrid>
      <w:tr w:rsidR="007119D4">
        <w:trPr>
          <w:trHeight w:val="260"/>
          <w:jc w:val="center"/>
        </w:trPr>
        <w:tc>
          <w:tcPr>
            <w:tcW w:w="10502" w:type="dxa"/>
            <w:gridSpan w:val="9"/>
            <w:tcBorders>
              <w:top w:val="nil"/>
              <w:left w:val="nil"/>
              <w:bottom w:val="single" w:sz="4" w:space="0" w:color="auto"/>
              <w:right w:val="nil"/>
            </w:tcBorders>
            <w:noWrap/>
            <w:vAlign w:val="bottom"/>
            <w:hideMark/>
          </w:tcPr>
          <w:p w:rsidR="007119D4" w:rsidRDefault="00EC0158">
            <w:pPr>
              <w:spacing w:line="276" w:lineRule="auto"/>
              <w:jc w:val="right"/>
              <w:rPr>
                <w:i/>
                <w:iCs/>
                <w:noProof/>
                <w:color w:val="000000"/>
                <w:sz w:val="14"/>
                <w:szCs w:val="14"/>
              </w:rPr>
            </w:pPr>
            <w:r>
              <w:rPr>
                <w:i/>
                <w:iCs/>
                <w:noProof/>
                <w:color w:val="000000"/>
                <w:sz w:val="14"/>
                <w:szCs w:val="14"/>
              </w:rPr>
              <w:t>(en EUR)</w:t>
            </w:r>
          </w:p>
        </w:tc>
      </w:tr>
      <w:tr w:rsidR="007119D4">
        <w:trPr>
          <w:gridAfter w:val="1"/>
          <w:wAfter w:w="24" w:type="dxa"/>
          <w:trHeight w:val="260"/>
          <w:jc w:val="center"/>
        </w:trPr>
        <w:tc>
          <w:tcPr>
            <w:tcW w:w="2667" w:type="dxa"/>
            <w:gridSpan w:val="2"/>
            <w:vMerge w:val="restart"/>
            <w:tcBorders>
              <w:top w:val="single" w:sz="4" w:space="0" w:color="auto"/>
              <w:left w:val="single" w:sz="4" w:space="0" w:color="auto"/>
              <w:bottom w:val="nil"/>
              <w:right w:val="single" w:sz="4" w:space="0" w:color="000000"/>
            </w:tcBorders>
            <w:shd w:val="clear" w:color="auto" w:fill="D9D9D9"/>
            <w:vAlign w:val="center"/>
            <w:hideMark/>
          </w:tcPr>
          <w:p w:rsidR="007119D4" w:rsidRDefault="00EC0158">
            <w:pPr>
              <w:spacing w:line="276" w:lineRule="auto"/>
              <w:jc w:val="center"/>
              <w:rPr>
                <w:b/>
                <w:bCs/>
                <w:noProof/>
                <w:color w:val="000000"/>
                <w:sz w:val="14"/>
                <w:szCs w:val="14"/>
              </w:rPr>
            </w:pPr>
            <w:r>
              <w:rPr>
                <w:b/>
                <w:bCs/>
                <w:noProof/>
                <w:color w:val="000000"/>
                <w:sz w:val="14"/>
                <w:szCs w:val="14"/>
              </w:rPr>
              <w:t>Rubrique</w:t>
            </w:r>
          </w:p>
        </w:tc>
        <w:tc>
          <w:tcPr>
            <w:tcW w:w="2594" w:type="dxa"/>
            <w:gridSpan w:val="2"/>
            <w:vMerge w:val="restart"/>
            <w:tcBorders>
              <w:top w:val="single" w:sz="4" w:space="0" w:color="auto"/>
              <w:left w:val="single" w:sz="4" w:space="0" w:color="auto"/>
              <w:bottom w:val="single" w:sz="4" w:space="0" w:color="000000"/>
              <w:right w:val="single" w:sz="4" w:space="0" w:color="000000"/>
            </w:tcBorders>
            <w:shd w:val="clear" w:color="auto" w:fill="D9D9D9"/>
            <w:vAlign w:val="center"/>
            <w:hideMark/>
          </w:tcPr>
          <w:p w:rsidR="007119D4" w:rsidRDefault="00EC0158">
            <w:pPr>
              <w:spacing w:line="276" w:lineRule="auto"/>
              <w:jc w:val="center"/>
              <w:rPr>
                <w:b/>
                <w:bCs/>
                <w:noProof/>
                <w:color w:val="000000"/>
                <w:sz w:val="14"/>
                <w:szCs w:val="14"/>
              </w:rPr>
            </w:pPr>
            <w:r>
              <w:rPr>
                <w:b/>
                <w:bCs/>
                <w:noProof/>
                <w:color w:val="000000"/>
                <w:sz w:val="14"/>
                <w:szCs w:val="14"/>
              </w:rPr>
              <w:t>Projet de budget 2021</w:t>
            </w:r>
          </w:p>
        </w:tc>
        <w:tc>
          <w:tcPr>
            <w:tcW w:w="2629" w:type="dxa"/>
            <w:gridSpan w:val="2"/>
            <w:vMerge w:val="restart"/>
            <w:tcBorders>
              <w:top w:val="single" w:sz="4" w:space="0" w:color="auto"/>
              <w:left w:val="single" w:sz="4" w:space="0" w:color="auto"/>
              <w:bottom w:val="single" w:sz="4" w:space="0" w:color="000000"/>
              <w:right w:val="single" w:sz="4" w:space="0" w:color="000000"/>
            </w:tcBorders>
            <w:shd w:val="clear" w:color="auto" w:fill="D9D9D9"/>
            <w:vAlign w:val="center"/>
            <w:hideMark/>
          </w:tcPr>
          <w:p w:rsidR="007119D4" w:rsidRDefault="00EC0158">
            <w:pPr>
              <w:spacing w:line="276" w:lineRule="auto"/>
              <w:jc w:val="center"/>
              <w:rPr>
                <w:b/>
                <w:bCs/>
                <w:noProof/>
                <w:color w:val="000000"/>
                <w:sz w:val="14"/>
                <w:szCs w:val="14"/>
              </w:rPr>
            </w:pPr>
            <w:r>
              <w:rPr>
                <w:b/>
                <w:bCs/>
                <w:noProof/>
                <w:color w:val="000000"/>
                <w:sz w:val="14"/>
                <w:szCs w:val="14"/>
              </w:rPr>
              <w:t>Lettre rectificative nº 1/2021</w:t>
            </w:r>
          </w:p>
        </w:tc>
        <w:tc>
          <w:tcPr>
            <w:tcW w:w="2588" w:type="dxa"/>
            <w:gridSpan w:val="2"/>
            <w:tcBorders>
              <w:top w:val="single" w:sz="4" w:space="0" w:color="auto"/>
              <w:left w:val="nil"/>
              <w:bottom w:val="nil"/>
              <w:right w:val="single" w:sz="4" w:space="0" w:color="000000"/>
            </w:tcBorders>
            <w:shd w:val="clear" w:color="auto" w:fill="D9D9D9"/>
            <w:vAlign w:val="center"/>
            <w:hideMark/>
          </w:tcPr>
          <w:p w:rsidR="007119D4" w:rsidRDefault="00EC0158">
            <w:pPr>
              <w:spacing w:line="276" w:lineRule="auto"/>
              <w:jc w:val="center"/>
              <w:rPr>
                <w:b/>
                <w:bCs/>
                <w:noProof/>
                <w:color w:val="000000"/>
                <w:sz w:val="14"/>
                <w:szCs w:val="14"/>
              </w:rPr>
            </w:pPr>
            <w:r>
              <w:rPr>
                <w:b/>
                <w:bCs/>
                <w:noProof/>
                <w:color w:val="000000"/>
                <w:sz w:val="14"/>
                <w:szCs w:val="14"/>
              </w:rPr>
              <w:t>Projet de budget 2021</w:t>
            </w:r>
          </w:p>
        </w:tc>
      </w:tr>
      <w:tr w:rsidR="007119D4">
        <w:trPr>
          <w:gridAfter w:val="1"/>
          <w:wAfter w:w="24" w:type="dxa"/>
          <w:trHeight w:val="260"/>
          <w:jc w:val="center"/>
        </w:trPr>
        <w:tc>
          <w:tcPr>
            <w:tcW w:w="0" w:type="auto"/>
            <w:gridSpan w:val="2"/>
            <w:vMerge/>
            <w:tcBorders>
              <w:top w:val="single" w:sz="4" w:space="0" w:color="auto"/>
              <w:left w:val="single" w:sz="4" w:space="0" w:color="auto"/>
              <w:bottom w:val="nil"/>
              <w:right w:val="single" w:sz="4" w:space="0" w:color="000000"/>
            </w:tcBorders>
            <w:vAlign w:val="center"/>
            <w:hideMark/>
          </w:tcPr>
          <w:p w:rsidR="007119D4" w:rsidRDefault="007119D4">
            <w:pPr>
              <w:spacing w:line="276" w:lineRule="auto"/>
              <w:rPr>
                <w:b/>
                <w:bCs/>
                <w:noProof/>
                <w:color w:val="000000"/>
                <w:sz w:val="14"/>
                <w:szCs w:val="14"/>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7119D4" w:rsidRDefault="007119D4">
            <w:pPr>
              <w:spacing w:line="276" w:lineRule="auto"/>
              <w:rPr>
                <w:b/>
                <w:bCs/>
                <w:noProof/>
                <w:color w:val="000000"/>
                <w:sz w:val="14"/>
                <w:szCs w:val="14"/>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7119D4" w:rsidRDefault="007119D4">
            <w:pPr>
              <w:spacing w:line="276" w:lineRule="auto"/>
              <w:rPr>
                <w:b/>
                <w:bCs/>
                <w:noProof/>
                <w:color w:val="000000"/>
                <w:sz w:val="14"/>
                <w:szCs w:val="14"/>
              </w:rPr>
            </w:pPr>
          </w:p>
        </w:tc>
        <w:tc>
          <w:tcPr>
            <w:tcW w:w="2588" w:type="dxa"/>
            <w:gridSpan w:val="2"/>
            <w:tcBorders>
              <w:top w:val="nil"/>
              <w:left w:val="nil"/>
              <w:bottom w:val="single" w:sz="4" w:space="0" w:color="auto"/>
              <w:right w:val="single" w:sz="4" w:space="0" w:color="000000"/>
            </w:tcBorders>
            <w:shd w:val="clear" w:color="auto" w:fill="D9D9D9"/>
            <w:vAlign w:val="center"/>
            <w:hideMark/>
          </w:tcPr>
          <w:p w:rsidR="007119D4" w:rsidRDefault="00EC0158">
            <w:pPr>
              <w:spacing w:line="276" w:lineRule="auto"/>
              <w:jc w:val="center"/>
              <w:rPr>
                <w:b/>
                <w:bCs/>
                <w:noProof/>
                <w:color w:val="000000"/>
                <w:sz w:val="14"/>
                <w:szCs w:val="14"/>
              </w:rPr>
            </w:pPr>
            <w:r>
              <w:rPr>
                <w:b/>
                <w:bCs/>
                <w:noProof/>
                <w:color w:val="000000"/>
                <w:sz w:val="14"/>
                <w:szCs w:val="14"/>
              </w:rPr>
              <w:t>(y compris LR nº 1/2021)</w:t>
            </w:r>
          </w:p>
        </w:tc>
      </w:tr>
      <w:tr w:rsidR="007119D4">
        <w:trPr>
          <w:gridAfter w:val="1"/>
          <w:wAfter w:w="24" w:type="dxa"/>
          <w:trHeight w:val="260"/>
          <w:jc w:val="center"/>
        </w:trPr>
        <w:tc>
          <w:tcPr>
            <w:tcW w:w="0" w:type="auto"/>
            <w:gridSpan w:val="2"/>
            <w:vMerge/>
            <w:tcBorders>
              <w:top w:val="single" w:sz="4" w:space="0" w:color="auto"/>
              <w:left w:val="single" w:sz="4" w:space="0" w:color="auto"/>
              <w:bottom w:val="nil"/>
              <w:right w:val="single" w:sz="4" w:space="0" w:color="000000"/>
            </w:tcBorders>
            <w:vAlign w:val="center"/>
            <w:hideMark/>
          </w:tcPr>
          <w:p w:rsidR="007119D4" w:rsidRDefault="007119D4">
            <w:pPr>
              <w:spacing w:line="276" w:lineRule="auto"/>
              <w:rPr>
                <w:b/>
                <w:bCs/>
                <w:noProof/>
                <w:color w:val="000000"/>
                <w:sz w:val="14"/>
                <w:szCs w:val="14"/>
              </w:rPr>
            </w:pPr>
          </w:p>
        </w:tc>
        <w:tc>
          <w:tcPr>
            <w:tcW w:w="1302" w:type="dxa"/>
            <w:tcBorders>
              <w:top w:val="nil"/>
              <w:left w:val="nil"/>
              <w:bottom w:val="nil"/>
              <w:right w:val="single" w:sz="4" w:space="0" w:color="auto"/>
            </w:tcBorders>
            <w:shd w:val="clear" w:color="auto" w:fill="D9D9D9"/>
            <w:vAlign w:val="center"/>
            <w:hideMark/>
          </w:tcPr>
          <w:p w:rsidR="007119D4" w:rsidRDefault="00EC0158">
            <w:pPr>
              <w:spacing w:line="276" w:lineRule="auto"/>
              <w:jc w:val="center"/>
              <w:rPr>
                <w:b/>
                <w:bCs/>
                <w:noProof/>
                <w:color w:val="000000"/>
                <w:sz w:val="14"/>
                <w:szCs w:val="14"/>
              </w:rPr>
            </w:pPr>
            <w:r>
              <w:rPr>
                <w:b/>
                <w:bCs/>
                <w:noProof/>
                <w:color w:val="000000"/>
                <w:sz w:val="14"/>
                <w:szCs w:val="14"/>
              </w:rPr>
              <w:t>CE</w:t>
            </w:r>
          </w:p>
        </w:tc>
        <w:tc>
          <w:tcPr>
            <w:tcW w:w="1292"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b/>
                <w:bCs/>
                <w:noProof/>
                <w:color w:val="000000"/>
                <w:sz w:val="14"/>
                <w:szCs w:val="14"/>
              </w:rPr>
            </w:pPr>
            <w:r>
              <w:rPr>
                <w:b/>
                <w:bCs/>
                <w:noProof/>
                <w:color w:val="000000"/>
                <w:sz w:val="14"/>
                <w:szCs w:val="14"/>
              </w:rPr>
              <w:t>CP</w:t>
            </w:r>
          </w:p>
        </w:tc>
        <w:tc>
          <w:tcPr>
            <w:tcW w:w="1297"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b/>
                <w:bCs/>
                <w:noProof/>
                <w:color w:val="000000"/>
                <w:sz w:val="14"/>
                <w:szCs w:val="14"/>
              </w:rPr>
            </w:pPr>
            <w:r>
              <w:rPr>
                <w:b/>
                <w:bCs/>
                <w:noProof/>
                <w:color w:val="000000"/>
                <w:sz w:val="14"/>
                <w:szCs w:val="14"/>
              </w:rPr>
              <w:t>CE</w:t>
            </w:r>
          </w:p>
        </w:tc>
        <w:tc>
          <w:tcPr>
            <w:tcW w:w="1332"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b/>
                <w:bCs/>
                <w:noProof/>
                <w:color w:val="000000"/>
                <w:sz w:val="14"/>
                <w:szCs w:val="14"/>
              </w:rPr>
            </w:pPr>
            <w:r>
              <w:rPr>
                <w:b/>
                <w:bCs/>
                <w:noProof/>
                <w:color w:val="000000"/>
                <w:sz w:val="14"/>
                <w:szCs w:val="14"/>
              </w:rPr>
              <w:t>CP</w:t>
            </w:r>
          </w:p>
        </w:tc>
        <w:tc>
          <w:tcPr>
            <w:tcW w:w="1292"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b/>
                <w:bCs/>
                <w:noProof/>
                <w:color w:val="000000"/>
                <w:sz w:val="14"/>
                <w:szCs w:val="14"/>
              </w:rPr>
            </w:pPr>
            <w:r>
              <w:rPr>
                <w:b/>
                <w:bCs/>
                <w:noProof/>
                <w:color w:val="000000"/>
                <w:sz w:val="14"/>
                <w:szCs w:val="14"/>
              </w:rPr>
              <w:t>CE</w:t>
            </w:r>
          </w:p>
        </w:tc>
        <w:tc>
          <w:tcPr>
            <w:tcW w:w="1296"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center"/>
              <w:rPr>
                <w:b/>
                <w:bCs/>
                <w:noProof/>
                <w:color w:val="000000"/>
                <w:sz w:val="14"/>
                <w:szCs w:val="14"/>
              </w:rPr>
            </w:pPr>
            <w:r>
              <w:rPr>
                <w:b/>
                <w:bCs/>
                <w:noProof/>
                <w:color w:val="000000"/>
                <w:sz w:val="14"/>
                <w:szCs w:val="14"/>
              </w:rPr>
              <w:t>CP</w:t>
            </w:r>
          </w:p>
        </w:tc>
      </w:tr>
      <w:tr w:rsidR="007119D4">
        <w:trPr>
          <w:gridAfter w:val="1"/>
          <w:wAfter w:w="24" w:type="dxa"/>
          <w:trHeight w:val="260"/>
          <w:jc w:val="center"/>
        </w:trPr>
        <w:tc>
          <w:tcPr>
            <w:tcW w:w="356" w:type="dxa"/>
            <w:tcBorders>
              <w:top w:val="single" w:sz="4" w:space="0" w:color="auto"/>
              <w:left w:val="single" w:sz="4" w:space="0" w:color="auto"/>
              <w:bottom w:val="dotted" w:sz="4" w:space="0" w:color="auto"/>
              <w:right w:val="nil"/>
            </w:tcBorders>
            <w:vAlign w:val="center"/>
            <w:hideMark/>
          </w:tcPr>
          <w:p w:rsidR="007119D4" w:rsidRDefault="00EC0158">
            <w:pPr>
              <w:spacing w:line="276" w:lineRule="auto"/>
              <w:rPr>
                <w:b/>
                <w:bCs/>
                <w:noProof/>
                <w:color w:val="000000"/>
                <w:sz w:val="14"/>
                <w:szCs w:val="14"/>
              </w:rPr>
            </w:pPr>
            <w:r>
              <w:rPr>
                <w:b/>
                <w:bCs/>
                <w:noProof/>
                <w:color w:val="000000"/>
                <w:sz w:val="14"/>
                <w:szCs w:val="14"/>
              </w:rPr>
              <w:t>1.</w:t>
            </w:r>
          </w:p>
        </w:tc>
        <w:tc>
          <w:tcPr>
            <w:tcW w:w="2311" w:type="dxa"/>
            <w:tcBorders>
              <w:top w:val="single" w:sz="4" w:space="0" w:color="auto"/>
              <w:left w:val="nil"/>
              <w:bottom w:val="dotted" w:sz="4" w:space="0" w:color="auto"/>
              <w:right w:val="single" w:sz="4" w:space="0" w:color="auto"/>
            </w:tcBorders>
            <w:noWrap/>
            <w:vAlign w:val="center"/>
            <w:hideMark/>
          </w:tcPr>
          <w:p w:rsidR="007119D4" w:rsidRDefault="00EC0158">
            <w:pPr>
              <w:spacing w:line="276" w:lineRule="auto"/>
              <w:rPr>
                <w:b/>
                <w:bCs/>
                <w:noProof/>
                <w:color w:val="000000"/>
                <w:sz w:val="14"/>
                <w:szCs w:val="14"/>
              </w:rPr>
            </w:pPr>
            <w:r>
              <w:rPr>
                <w:b/>
                <w:bCs/>
                <w:noProof/>
                <w:color w:val="000000"/>
                <w:sz w:val="14"/>
                <w:szCs w:val="14"/>
              </w:rPr>
              <w:t>Marché unique, innovation et numérique</w:t>
            </w:r>
          </w:p>
        </w:tc>
        <w:tc>
          <w:tcPr>
            <w:tcW w:w="1302" w:type="dxa"/>
            <w:tcBorders>
              <w:top w:val="single" w:sz="4" w:space="0" w:color="auto"/>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4"/>
                <w:szCs w:val="14"/>
              </w:rPr>
            </w:pPr>
            <w:r>
              <w:rPr>
                <w:b/>
                <w:bCs/>
                <w:noProof/>
                <w:color w:val="000000"/>
                <w:sz w:val="14"/>
                <w:szCs w:val="14"/>
              </w:rPr>
              <w:t>21 359 970 100</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4"/>
                <w:szCs w:val="14"/>
              </w:rPr>
            </w:pPr>
            <w:r>
              <w:rPr>
                <w:b/>
                <w:bCs/>
                <w:noProof/>
                <w:color w:val="000000"/>
                <w:sz w:val="14"/>
                <w:szCs w:val="14"/>
              </w:rPr>
              <w:t>17 573 316 806</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- 665 439 753</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- 404 704 406</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20 694 530 347</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17 168 612 400</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Plafond </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21 805 000 000</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- 886 000 000</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20 919 000 000</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Marge</w:t>
            </w:r>
          </w:p>
        </w:tc>
        <w:tc>
          <w:tcPr>
            <w:tcW w:w="130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445 029 900</w:t>
            </w:r>
          </w:p>
        </w:tc>
        <w:tc>
          <w:tcPr>
            <w:tcW w:w="129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- 220 560 247</w:t>
            </w:r>
          </w:p>
        </w:tc>
        <w:tc>
          <w:tcPr>
            <w:tcW w:w="1332"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224 469 653</w:t>
            </w:r>
          </w:p>
        </w:tc>
        <w:tc>
          <w:tcPr>
            <w:tcW w:w="1296"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356" w:type="dxa"/>
            <w:tcBorders>
              <w:top w:val="single" w:sz="4" w:space="0" w:color="auto"/>
              <w:left w:val="single" w:sz="4" w:space="0" w:color="auto"/>
              <w:bottom w:val="dotted" w:sz="4" w:space="0" w:color="auto"/>
              <w:right w:val="nil"/>
            </w:tcBorders>
            <w:vAlign w:val="center"/>
            <w:hideMark/>
          </w:tcPr>
          <w:p w:rsidR="007119D4" w:rsidRDefault="00EC0158">
            <w:pPr>
              <w:spacing w:line="276" w:lineRule="auto"/>
              <w:rPr>
                <w:b/>
                <w:bCs/>
                <w:noProof/>
                <w:color w:val="000000"/>
                <w:sz w:val="14"/>
                <w:szCs w:val="14"/>
              </w:rPr>
            </w:pPr>
            <w:r>
              <w:rPr>
                <w:b/>
                <w:bCs/>
                <w:noProof/>
                <w:color w:val="000000"/>
                <w:sz w:val="14"/>
                <w:szCs w:val="14"/>
              </w:rPr>
              <w:t>2.</w:t>
            </w:r>
          </w:p>
        </w:tc>
        <w:tc>
          <w:tcPr>
            <w:tcW w:w="2311" w:type="dxa"/>
            <w:tcBorders>
              <w:top w:val="single" w:sz="4" w:space="0" w:color="auto"/>
              <w:left w:val="nil"/>
              <w:bottom w:val="dotted" w:sz="4" w:space="0" w:color="auto"/>
              <w:right w:val="single" w:sz="4" w:space="0" w:color="auto"/>
            </w:tcBorders>
            <w:vAlign w:val="center"/>
            <w:hideMark/>
          </w:tcPr>
          <w:p w:rsidR="007119D4" w:rsidRDefault="00EC0158">
            <w:pPr>
              <w:spacing w:line="276" w:lineRule="auto"/>
              <w:rPr>
                <w:b/>
                <w:bCs/>
                <w:noProof/>
                <w:color w:val="000000"/>
                <w:sz w:val="14"/>
                <w:szCs w:val="14"/>
              </w:rPr>
            </w:pPr>
            <w:r>
              <w:rPr>
                <w:b/>
                <w:bCs/>
                <w:noProof/>
                <w:color w:val="000000"/>
                <w:sz w:val="14"/>
                <w:szCs w:val="14"/>
              </w:rPr>
              <w:t>Cohésion, résilience et valeurs</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4"/>
                <w:szCs w:val="14"/>
              </w:rPr>
            </w:pPr>
            <w:r>
              <w:rPr>
                <w:b/>
                <w:bCs/>
                <w:noProof/>
                <w:color w:val="000000"/>
                <w:sz w:val="14"/>
                <w:szCs w:val="14"/>
              </w:rPr>
              <w:t>51 487 150 161</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4"/>
                <w:szCs w:val="14"/>
              </w:rPr>
            </w:pPr>
            <w:r>
              <w:rPr>
                <w:b/>
                <w:bCs/>
                <w:noProof/>
                <w:color w:val="000000"/>
                <w:sz w:val="14"/>
                <w:szCs w:val="14"/>
              </w:rPr>
              <w:t>62 625 181 841</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1 396 134 087</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3 579 956 198</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52 883 284 248</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66 205 138 039</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Plafond </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51 730 000 000</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1 056 000 000</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52 786 000 000</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dont part relevant de l’instrument de flexibilité</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97 768 248</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97 768 248</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Marge</w:t>
            </w:r>
          </w:p>
        </w:tc>
        <w:tc>
          <w:tcPr>
            <w:tcW w:w="130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242 849 839</w:t>
            </w:r>
          </w:p>
        </w:tc>
        <w:tc>
          <w:tcPr>
            <w:tcW w:w="129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- 242 365 839</w:t>
            </w:r>
          </w:p>
        </w:tc>
        <w:tc>
          <w:tcPr>
            <w:tcW w:w="1332"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484 000</w:t>
            </w:r>
          </w:p>
        </w:tc>
        <w:tc>
          <w:tcPr>
            <w:tcW w:w="1296"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356" w:type="dxa"/>
            <w:tcBorders>
              <w:top w:val="nil"/>
              <w:left w:val="single" w:sz="4" w:space="0" w:color="auto"/>
              <w:bottom w:val="dotted" w:sz="4" w:space="0" w:color="auto"/>
              <w:right w:val="nil"/>
            </w:tcBorders>
            <w:vAlign w:val="center"/>
            <w:hideMark/>
          </w:tcPr>
          <w:p w:rsidR="007119D4" w:rsidRDefault="00EC0158">
            <w:pPr>
              <w:spacing w:line="276" w:lineRule="auto"/>
              <w:rPr>
                <w:noProof/>
                <w:color w:val="000000"/>
                <w:sz w:val="14"/>
                <w:szCs w:val="14"/>
              </w:rPr>
            </w:pPr>
            <w:r>
              <w:rPr>
                <w:noProof/>
                <w:color w:val="000000"/>
                <w:sz w:val="14"/>
                <w:szCs w:val="14"/>
              </w:rPr>
              <w:t>2a</w:t>
            </w:r>
          </w:p>
        </w:tc>
        <w:tc>
          <w:tcPr>
            <w:tcW w:w="2311" w:type="dxa"/>
            <w:tcBorders>
              <w:top w:val="nil"/>
              <w:left w:val="nil"/>
              <w:bottom w:val="dotted" w:sz="4" w:space="0" w:color="auto"/>
              <w:right w:val="single" w:sz="4" w:space="0" w:color="auto"/>
            </w:tcBorders>
            <w:vAlign w:val="center"/>
            <w:hideMark/>
          </w:tcPr>
          <w:p w:rsidR="007119D4" w:rsidRDefault="00EC0158">
            <w:pPr>
              <w:spacing w:line="276" w:lineRule="auto"/>
              <w:rPr>
                <w:noProof/>
                <w:color w:val="000000"/>
                <w:sz w:val="14"/>
                <w:szCs w:val="14"/>
              </w:rPr>
            </w:pPr>
            <w:r>
              <w:rPr>
                <w:noProof/>
                <w:color w:val="000000"/>
                <w:sz w:val="14"/>
                <w:szCs w:val="14"/>
              </w:rPr>
              <w:t>Cohésion économique, sociale et territoriale</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4"/>
                <w:szCs w:val="14"/>
              </w:rPr>
            </w:pPr>
            <w:r>
              <w:rPr>
                <w:noProof/>
                <w:color w:val="000000"/>
                <w:sz w:val="14"/>
                <w:szCs w:val="14"/>
              </w:rPr>
              <w:t>47 149 471 441</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4"/>
                <w:szCs w:val="14"/>
              </w:rPr>
            </w:pPr>
            <w:r>
              <w:rPr>
                <w:noProof/>
                <w:color w:val="000000"/>
                <w:sz w:val="14"/>
                <w:szCs w:val="14"/>
              </w:rPr>
              <w:t>58 687 290 538</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noProof/>
                <w:color w:val="000000"/>
                <w:sz w:val="14"/>
                <w:szCs w:val="14"/>
              </w:rPr>
            </w:pPr>
            <w:r>
              <w:rPr>
                <w:noProof/>
                <w:color w:val="000000"/>
                <w:sz w:val="14"/>
                <w:szCs w:val="14"/>
              </w:rPr>
              <w:t>1 041 044 559</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noProof/>
                <w:color w:val="000000"/>
                <w:sz w:val="14"/>
                <w:szCs w:val="14"/>
              </w:rPr>
            </w:pPr>
            <w:r>
              <w:rPr>
                <w:noProof/>
                <w:color w:val="000000"/>
                <w:sz w:val="14"/>
                <w:szCs w:val="14"/>
              </w:rPr>
              <w:t>3 180 607 007</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noProof/>
                <w:color w:val="000000"/>
                <w:sz w:val="14"/>
                <w:szCs w:val="14"/>
              </w:rPr>
            </w:pPr>
            <w:r>
              <w:rPr>
                <w:noProof/>
                <w:color w:val="000000"/>
                <w:sz w:val="14"/>
                <w:szCs w:val="14"/>
              </w:rPr>
              <w:t>48 190 516 000</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noProof/>
                <w:color w:val="000000"/>
                <w:sz w:val="14"/>
                <w:szCs w:val="14"/>
              </w:rPr>
            </w:pPr>
            <w:r>
              <w:rPr>
                <w:noProof/>
                <w:color w:val="000000"/>
                <w:sz w:val="14"/>
                <w:szCs w:val="14"/>
              </w:rPr>
              <w:t>61 867 897 545</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Plafond</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47 150 000 000</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1 041 000 000</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48 191 000 000</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Marge</w:t>
            </w:r>
          </w:p>
        </w:tc>
        <w:tc>
          <w:tcPr>
            <w:tcW w:w="130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528 559</w:t>
            </w:r>
          </w:p>
        </w:tc>
        <w:tc>
          <w:tcPr>
            <w:tcW w:w="129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44 559</w:t>
            </w:r>
          </w:p>
        </w:tc>
        <w:tc>
          <w:tcPr>
            <w:tcW w:w="1332"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484 000</w:t>
            </w:r>
          </w:p>
        </w:tc>
        <w:tc>
          <w:tcPr>
            <w:tcW w:w="1296"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356" w:type="dxa"/>
            <w:tcBorders>
              <w:top w:val="nil"/>
              <w:left w:val="single" w:sz="4" w:space="0" w:color="auto"/>
              <w:bottom w:val="dotted" w:sz="4" w:space="0" w:color="auto"/>
              <w:right w:val="nil"/>
            </w:tcBorders>
            <w:vAlign w:val="center"/>
            <w:hideMark/>
          </w:tcPr>
          <w:p w:rsidR="007119D4" w:rsidRDefault="00EC0158">
            <w:pPr>
              <w:spacing w:line="276" w:lineRule="auto"/>
              <w:rPr>
                <w:noProof/>
                <w:color w:val="000000"/>
                <w:sz w:val="14"/>
                <w:szCs w:val="14"/>
              </w:rPr>
            </w:pPr>
            <w:r>
              <w:rPr>
                <w:noProof/>
                <w:color w:val="000000"/>
                <w:sz w:val="14"/>
                <w:szCs w:val="14"/>
              </w:rPr>
              <w:t xml:space="preserve">2b </w:t>
            </w:r>
          </w:p>
        </w:tc>
        <w:tc>
          <w:tcPr>
            <w:tcW w:w="2311" w:type="dxa"/>
            <w:tcBorders>
              <w:top w:val="nil"/>
              <w:left w:val="nil"/>
              <w:bottom w:val="dotted" w:sz="4" w:space="0" w:color="auto"/>
              <w:right w:val="single" w:sz="4" w:space="0" w:color="auto"/>
            </w:tcBorders>
            <w:vAlign w:val="center"/>
            <w:hideMark/>
          </w:tcPr>
          <w:p w:rsidR="007119D4" w:rsidRDefault="00EC0158">
            <w:pPr>
              <w:spacing w:line="276" w:lineRule="auto"/>
              <w:rPr>
                <w:noProof/>
                <w:color w:val="000000"/>
                <w:sz w:val="14"/>
                <w:szCs w:val="14"/>
              </w:rPr>
            </w:pPr>
            <w:r>
              <w:rPr>
                <w:noProof/>
                <w:color w:val="000000"/>
                <w:sz w:val="14"/>
                <w:szCs w:val="14"/>
              </w:rPr>
              <w:t>Résilience et valeurs</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4"/>
                <w:szCs w:val="14"/>
              </w:rPr>
            </w:pPr>
            <w:r>
              <w:rPr>
                <w:noProof/>
                <w:color w:val="000000"/>
                <w:sz w:val="14"/>
                <w:szCs w:val="14"/>
              </w:rPr>
              <w:t>4 337 678 720</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4"/>
                <w:szCs w:val="14"/>
              </w:rPr>
            </w:pPr>
            <w:r>
              <w:rPr>
                <w:noProof/>
                <w:color w:val="000000"/>
                <w:sz w:val="14"/>
                <w:szCs w:val="14"/>
              </w:rPr>
              <w:t>3 937 891 303</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noProof/>
                <w:color w:val="000000"/>
                <w:sz w:val="14"/>
                <w:szCs w:val="14"/>
              </w:rPr>
            </w:pPr>
            <w:r>
              <w:rPr>
                <w:noProof/>
                <w:color w:val="000000"/>
                <w:sz w:val="14"/>
                <w:szCs w:val="14"/>
              </w:rPr>
              <w:t xml:space="preserve"> 355 089 528</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noProof/>
                <w:color w:val="000000"/>
                <w:sz w:val="14"/>
                <w:szCs w:val="14"/>
              </w:rPr>
            </w:pPr>
            <w:r>
              <w:rPr>
                <w:noProof/>
                <w:color w:val="000000"/>
                <w:sz w:val="14"/>
                <w:szCs w:val="14"/>
              </w:rPr>
              <w:t xml:space="preserve"> 399 349 191</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noProof/>
                <w:color w:val="000000"/>
                <w:sz w:val="14"/>
                <w:szCs w:val="14"/>
              </w:rPr>
            </w:pPr>
            <w:r>
              <w:rPr>
                <w:noProof/>
                <w:color w:val="000000"/>
                <w:sz w:val="14"/>
                <w:szCs w:val="14"/>
              </w:rPr>
              <w:t>4 692 768 248</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noProof/>
                <w:color w:val="000000"/>
                <w:sz w:val="14"/>
                <w:szCs w:val="14"/>
              </w:rPr>
            </w:pPr>
            <w:r>
              <w:rPr>
                <w:noProof/>
                <w:color w:val="000000"/>
                <w:sz w:val="14"/>
                <w:szCs w:val="14"/>
              </w:rPr>
              <w:t>4 337 240 494</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Plafond</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4 580 000 000</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15 000 000</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4 595 000 000</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dont part relevant de </w:t>
            </w:r>
            <w:r>
              <w:rPr>
                <w:i/>
                <w:iCs/>
                <w:noProof/>
                <w:color w:val="000000"/>
                <w:sz w:val="14"/>
                <w:szCs w:val="14"/>
              </w:rPr>
              <w:t>l’instrument de flexibilité</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97 768 248</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97 768 248</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Marge</w:t>
            </w:r>
          </w:p>
        </w:tc>
        <w:tc>
          <w:tcPr>
            <w:tcW w:w="130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242 321 280</w:t>
            </w:r>
          </w:p>
        </w:tc>
        <w:tc>
          <w:tcPr>
            <w:tcW w:w="129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- 242 321 280</w:t>
            </w:r>
          </w:p>
        </w:tc>
        <w:tc>
          <w:tcPr>
            <w:tcW w:w="1332"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6"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356" w:type="dxa"/>
            <w:tcBorders>
              <w:top w:val="nil"/>
              <w:left w:val="single" w:sz="4" w:space="0" w:color="auto"/>
              <w:bottom w:val="dotted" w:sz="4" w:space="0" w:color="auto"/>
              <w:right w:val="nil"/>
            </w:tcBorders>
            <w:vAlign w:val="center"/>
            <w:hideMark/>
          </w:tcPr>
          <w:p w:rsidR="007119D4" w:rsidRDefault="00EC0158">
            <w:pPr>
              <w:spacing w:line="276" w:lineRule="auto"/>
              <w:rPr>
                <w:b/>
                <w:bCs/>
                <w:noProof/>
                <w:color w:val="000000"/>
                <w:sz w:val="14"/>
                <w:szCs w:val="14"/>
              </w:rPr>
            </w:pPr>
            <w:r>
              <w:rPr>
                <w:b/>
                <w:bCs/>
                <w:noProof/>
                <w:color w:val="000000"/>
                <w:sz w:val="14"/>
                <w:szCs w:val="14"/>
              </w:rPr>
              <w:t>3.</w:t>
            </w:r>
          </w:p>
        </w:tc>
        <w:tc>
          <w:tcPr>
            <w:tcW w:w="2311" w:type="dxa"/>
            <w:tcBorders>
              <w:top w:val="nil"/>
              <w:left w:val="nil"/>
              <w:bottom w:val="dotted" w:sz="4" w:space="0" w:color="auto"/>
              <w:right w:val="single" w:sz="4" w:space="0" w:color="auto"/>
            </w:tcBorders>
            <w:vAlign w:val="center"/>
            <w:hideMark/>
          </w:tcPr>
          <w:p w:rsidR="007119D4" w:rsidRDefault="00EC0158">
            <w:pPr>
              <w:spacing w:line="276" w:lineRule="auto"/>
              <w:rPr>
                <w:b/>
                <w:bCs/>
                <w:noProof/>
                <w:color w:val="000000"/>
                <w:sz w:val="14"/>
                <w:szCs w:val="14"/>
              </w:rPr>
            </w:pPr>
            <w:r>
              <w:rPr>
                <w:b/>
                <w:bCs/>
                <w:noProof/>
                <w:color w:val="000000"/>
                <w:sz w:val="14"/>
                <w:szCs w:val="14"/>
              </w:rPr>
              <w:t>Ressources naturelles et environnement</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4"/>
                <w:szCs w:val="14"/>
              </w:rPr>
            </w:pPr>
            <w:r>
              <w:rPr>
                <w:b/>
                <w:bCs/>
                <w:noProof/>
                <w:color w:val="000000"/>
                <w:sz w:val="14"/>
                <w:szCs w:val="14"/>
              </w:rPr>
              <w:t>58 441 127 005</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4"/>
                <w:szCs w:val="14"/>
              </w:rPr>
            </w:pPr>
            <w:r>
              <w:rPr>
                <w:b/>
                <w:bCs/>
                <w:noProof/>
                <w:color w:val="000000"/>
                <w:sz w:val="14"/>
                <w:szCs w:val="14"/>
              </w:rPr>
              <w:t>56 249 546 448</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 xml:space="preserve"> 81 685 531</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 xml:space="preserve"> 552 385 050</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58 522 812 536</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56 801 931 498</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Plafond</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58 656 000 000</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- 32 000 000</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58 624 000 000</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Marge</w:t>
            </w:r>
          </w:p>
        </w:tc>
        <w:tc>
          <w:tcPr>
            <w:tcW w:w="130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214 872 995</w:t>
            </w:r>
          </w:p>
        </w:tc>
        <w:tc>
          <w:tcPr>
            <w:tcW w:w="129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- 113 685 531</w:t>
            </w:r>
          </w:p>
        </w:tc>
        <w:tc>
          <w:tcPr>
            <w:tcW w:w="1332"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101 187 464</w:t>
            </w:r>
          </w:p>
        </w:tc>
        <w:tc>
          <w:tcPr>
            <w:tcW w:w="1296"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rPr>
                <w:noProof/>
                <w:color w:val="000000"/>
                <w:sz w:val="14"/>
                <w:szCs w:val="14"/>
              </w:rPr>
            </w:pPr>
            <w:r>
              <w:rPr>
                <w:noProof/>
                <w:color w:val="000000"/>
                <w:sz w:val="14"/>
                <w:szCs w:val="14"/>
              </w:rPr>
              <w:t>dont: Fonds européen agricole de garantie (FEAGA) — dépenses relatives au marché et paiements directs</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4"/>
                <w:szCs w:val="14"/>
              </w:rPr>
            </w:pPr>
            <w:r>
              <w:rPr>
                <w:noProof/>
                <w:color w:val="000000"/>
                <w:sz w:val="14"/>
                <w:szCs w:val="14"/>
              </w:rPr>
              <w:t>40 179 072 000</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4"/>
                <w:szCs w:val="14"/>
              </w:rPr>
            </w:pPr>
            <w:r>
              <w:rPr>
                <w:noProof/>
                <w:color w:val="000000"/>
                <w:sz w:val="14"/>
                <w:szCs w:val="14"/>
              </w:rPr>
              <w:t>40 164 860 883</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noProof/>
                <w:color w:val="000000"/>
                <w:sz w:val="14"/>
                <w:szCs w:val="14"/>
              </w:rPr>
            </w:pPr>
            <w:r>
              <w:rPr>
                <w:noProof/>
                <w:color w:val="000000"/>
                <w:sz w:val="14"/>
                <w:szCs w:val="14"/>
              </w:rPr>
              <w:t xml:space="preserve"> 188 882 000</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noProof/>
                <w:color w:val="000000"/>
                <w:sz w:val="14"/>
                <w:szCs w:val="14"/>
              </w:rPr>
            </w:pPr>
            <w:r>
              <w:rPr>
                <w:noProof/>
                <w:color w:val="000000"/>
                <w:sz w:val="14"/>
                <w:szCs w:val="14"/>
              </w:rPr>
              <w:t xml:space="preserve"> 188 882 000</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noProof/>
                <w:color w:val="000000"/>
                <w:sz w:val="14"/>
                <w:szCs w:val="14"/>
              </w:rPr>
            </w:pPr>
            <w:r>
              <w:rPr>
                <w:noProof/>
                <w:color w:val="000000"/>
                <w:sz w:val="14"/>
                <w:szCs w:val="14"/>
              </w:rPr>
              <w:t xml:space="preserve">40 367 954 </w:t>
            </w:r>
            <w:r>
              <w:rPr>
                <w:noProof/>
                <w:color w:val="000000"/>
                <w:sz w:val="14"/>
                <w:szCs w:val="14"/>
              </w:rPr>
              <w:t>000</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noProof/>
                <w:color w:val="000000"/>
                <w:sz w:val="14"/>
                <w:szCs w:val="14"/>
              </w:rPr>
            </w:pPr>
            <w:r>
              <w:rPr>
                <w:noProof/>
                <w:color w:val="000000"/>
                <w:sz w:val="14"/>
                <w:szCs w:val="14"/>
              </w:rPr>
              <w:t>40 353 742 883</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Sous-plafond</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40 932 000 000</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- 7 000 000</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40 925 000 000</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Transferts entre piliers</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- 753 928 000</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196 882 000</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- 557 046 000</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Écart d’arrondis exclu du calcul de la marge</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1 000 000</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- 1 000 000</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Marge du FEAGA</w:t>
            </w:r>
          </w:p>
        </w:tc>
        <w:tc>
          <w:tcPr>
            <w:tcW w:w="130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332"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6"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356" w:type="dxa"/>
            <w:tcBorders>
              <w:top w:val="nil"/>
              <w:left w:val="single" w:sz="4" w:space="0" w:color="auto"/>
              <w:bottom w:val="dotted" w:sz="4" w:space="0" w:color="auto"/>
              <w:right w:val="nil"/>
            </w:tcBorders>
            <w:vAlign w:val="center"/>
            <w:hideMark/>
          </w:tcPr>
          <w:p w:rsidR="007119D4" w:rsidRDefault="00EC0158">
            <w:pPr>
              <w:spacing w:line="276" w:lineRule="auto"/>
              <w:rPr>
                <w:b/>
                <w:bCs/>
                <w:noProof/>
                <w:color w:val="000000"/>
                <w:sz w:val="14"/>
                <w:szCs w:val="14"/>
              </w:rPr>
            </w:pPr>
            <w:r>
              <w:rPr>
                <w:b/>
                <w:bCs/>
                <w:noProof/>
                <w:color w:val="000000"/>
                <w:sz w:val="14"/>
                <w:szCs w:val="14"/>
              </w:rPr>
              <w:t>4.</w:t>
            </w:r>
          </w:p>
        </w:tc>
        <w:tc>
          <w:tcPr>
            <w:tcW w:w="2311" w:type="dxa"/>
            <w:tcBorders>
              <w:top w:val="nil"/>
              <w:left w:val="nil"/>
              <w:bottom w:val="dotted" w:sz="4" w:space="0" w:color="auto"/>
              <w:right w:val="single" w:sz="4" w:space="0" w:color="auto"/>
            </w:tcBorders>
            <w:noWrap/>
            <w:vAlign w:val="center"/>
            <w:hideMark/>
          </w:tcPr>
          <w:p w:rsidR="007119D4" w:rsidRDefault="00EC0158">
            <w:pPr>
              <w:spacing w:line="276" w:lineRule="auto"/>
              <w:rPr>
                <w:b/>
                <w:bCs/>
                <w:noProof/>
                <w:color w:val="000000"/>
                <w:sz w:val="14"/>
                <w:szCs w:val="14"/>
              </w:rPr>
            </w:pPr>
            <w:r>
              <w:rPr>
                <w:b/>
                <w:bCs/>
                <w:noProof/>
                <w:color w:val="000000"/>
                <w:sz w:val="14"/>
                <w:szCs w:val="14"/>
              </w:rPr>
              <w:t>Migration et gestion des frontières</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4"/>
                <w:szCs w:val="14"/>
              </w:rPr>
            </w:pPr>
            <w:r>
              <w:rPr>
                <w:b/>
                <w:bCs/>
                <w:noProof/>
                <w:color w:val="000000"/>
                <w:sz w:val="14"/>
                <w:szCs w:val="14"/>
              </w:rPr>
              <w:t>3 060 813 759</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4"/>
                <w:szCs w:val="14"/>
              </w:rPr>
            </w:pPr>
            <w:r>
              <w:rPr>
                <w:b/>
                <w:bCs/>
                <w:noProof/>
                <w:color w:val="000000"/>
                <w:sz w:val="14"/>
                <w:szCs w:val="14"/>
              </w:rPr>
              <w:t>2 723 483 549</w:t>
            </w:r>
          </w:p>
        </w:tc>
        <w:tc>
          <w:tcPr>
            <w:tcW w:w="1297" w:type="dxa"/>
            <w:tcBorders>
              <w:top w:val="single" w:sz="4" w:space="0" w:color="auto"/>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- 721 484 000</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 xml:space="preserve"> 23 262 429</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2 339 329 759</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2 746 745 978</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Plafond</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3 287 000 000</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- 820 000 000</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2 467 000 000</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Marge</w:t>
            </w:r>
          </w:p>
        </w:tc>
        <w:tc>
          <w:tcPr>
            <w:tcW w:w="130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226 186 241</w:t>
            </w:r>
          </w:p>
        </w:tc>
        <w:tc>
          <w:tcPr>
            <w:tcW w:w="129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- 98 516 000</w:t>
            </w:r>
          </w:p>
        </w:tc>
        <w:tc>
          <w:tcPr>
            <w:tcW w:w="1332"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127 670 241</w:t>
            </w:r>
          </w:p>
        </w:tc>
        <w:tc>
          <w:tcPr>
            <w:tcW w:w="1296"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356" w:type="dxa"/>
            <w:tcBorders>
              <w:top w:val="nil"/>
              <w:left w:val="single" w:sz="4" w:space="0" w:color="auto"/>
              <w:bottom w:val="dotted" w:sz="4" w:space="0" w:color="auto"/>
              <w:right w:val="nil"/>
            </w:tcBorders>
            <w:vAlign w:val="center"/>
            <w:hideMark/>
          </w:tcPr>
          <w:p w:rsidR="007119D4" w:rsidRDefault="00EC0158">
            <w:pPr>
              <w:spacing w:line="276" w:lineRule="auto"/>
              <w:rPr>
                <w:b/>
                <w:bCs/>
                <w:noProof/>
                <w:color w:val="000000"/>
                <w:sz w:val="14"/>
                <w:szCs w:val="14"/>
              </w:rPr>
            </w:pPr>
            <w:r>
              <w:rPr>
                <w:b/>
                <w:bCs/>
                <w:noProof/>
                <w:color w:val="000000"/>
                <w:sz w:val="14"/>
                <w:szCs w:val="14"/>
              </w:rPr>
              <w:t>5.</w:t>
            </w:r>
          </w:p>
        </w:tc>
        <w:tc>
          <w:tcPr>
            <w:tcW w:w="2311" w:type="dxa"/>
            <w:tcBorders>
              <w:top w:val="nil"/>
              <w:left w:val="nil"/>
              <w:bottom w:val="dotted" w:sz="4" w:space="0" w:color="auto"/>
              <w:right w:val="single" w:sz="4" w:space="0" w:color="auto"/>
            </w:tcBorders>
            <w:vAlign w:val="center"/>
            <w:hideMark/>
          </w:tcPr>
          <w:p w:rsidR="007119D4" w:rsidRDefault="00EC0158">
            <w:pPr>
              <w:spacing w:line="276" w:lineRule="auto"/>
              <w:rPr>
                <w:b/>
                <w:bCs/>
                <w:noProof/>
                <w:color w:val="000000"/>
                <w:sz w:val="14"/>
                <w:szCs w:val="14"/>
              </w:rPr>
            </w:pPr>
            <w:r>
              <w:rPr>
                <w:b/>
                <w:bCs/>
                <w:noProof/>
                <w:color w:val="000000"/>
                <w:sz w:val="14"/>
                <w:szCs w:val="14"/>
              </w:rPr>
              <w:t xml:space="preserve">Sécurité et </w:t>
            </w:r>
            <w:r>
              <w:rPr>
                <w:b/>
                <w:bCs/>
                <w:noProof/>
                <w:color w:val="000000"/>
                <w:sz w:val="14"/>
                <w:szCs w:val="14"/>
              </w:rPr>
              <w:t>défense</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4"/>
                <w:szCs w:val="14"/>
              </w:rPr>
            </w:pPr>
            <w:r>
              <w:rPr>
                <w:b/>
                <w:bCs/>
                <w:noProof/>
                <w:color w:val="000000"/>
                <w:sz w:val="14"/>
                <w:szCs w:val="14"/>
              </w:rPr>
              <w:t>2 189 025 780</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4"/>
                <w:szCs w:val="14"/>
              </w:rPr>
            </w:pPr>
            <w:r>
              <w:rPr>
                <w:b/>
                <w:bCs/>
                <w:noProof/>
                <w:color w:val="000000"/>
                <w:sz w:val="14"/>
                <w:szCs w:val="14"/>
              </w:rPr>
              <w:t>1 810 456 628</w:t>
            </w:r>
          </w:p>
        </w:tc>
        <w:tc>
          <w:tcPr>
            <w:tcW w:w="1297" w:type="dxa"/>
            <w:tcBorders>
              <w:top w:val="single" w:sz="4" w:space="0" w:color="auto"/>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- 479 764 339</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-1 139 828 385</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1 709 261 441</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 xml:space="preserve"> 670 628 243</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Plafond</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2 359 000 000</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- 554 000 000</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1 805 000 000</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Marge</w:t>
            </w:r>
          </w:p>
        </w:tc>
        <w:tc>
          <w:tcPr>
            <w:tcW w:w="130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169 974 220</w:t>
            </w:r>
          </w:p>
        </w:tc>
        <w:tc>
          <w:tcPr>
            <w:tcW w:w="129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- 74 235 661</w:t>
            </w:r>
          </w:p>
        </w:tc>
        <w:tc>
          <w:tcPr>
            <w:tcW w:w="1332"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95 738 559</w:t>
            </w:r>
          </w:p>
        </w:tc>
        <w:tc>
          <w:tcPr>
            <w:tcW w:w="1296"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356" w:type="dxa"/>
            <w:tcBorders>
              <w:top w:val="nil"/>
              <w:left w:val="single" w:sz="4" w:space="0" w:color="auto"/>
              <w:bottom w:val="dotted" w:sz="4" w:space="0" w:color="auto"/>
              <w:right w:val="nil"/>
            </w:tcBorders>
            <w:vAlign w:val="center"/>
            <w:hideMark/>
          </w:tcPr>
          <w:p w:rsidR="007119D4" w:rsidRDefault="00EC0158">
            <w:pPr>
              <w:spacing w:line="276" w:lineRule="auto"/>
              <w:rPr>
                <w:b/>
                <w:bCs/>
                <w:noProof/>
                <w:color w:val="000000"/>
                <w:sz w:val="14"/>
                <w:szCs w:val="14"/>
              </w:rPr>
            </w:pPr>
            <w:r>
              <w:rPr>
                <w:b/>
                <w:bCs/>
                <w:noProof/>
                <w:color w:val="000000"/>
                <w:sz w:val="14"/>
                <w:szCs w:val="14"/>
              </w:rPr>
              <w:t>6.</w:t>
            </w:r>
          </w:p>
        </w:tc>
        <w:tc>
          <w:tcPr>
            <w:tcW w:w="2311" w:type="dxa"/>
            <w:tcBorders>
              <w:top w:val="nil"/>
              <w:left w:val="nil"/>
              <w:bottom w:val="dotted" w:sz="4" w:space="0" w:color="auto"/>
              <w:right w:val="single" w:sz="4" w:space="0" w:color="auto"/>
            </w:tcBorders>
            <w:vAlign w:val="center"/>
            <w:hideMark/>
          </w:tcPr>
          <w:p w:rsidR="007119D4" w:rsidRDefault="00EC0158">
            <w:pPr>
              <w:spacing w:line="276" w:lineRule="auto"/>
              <w:rPr>
                <w:b/>
                <w:bCs/>
                <w:noProof/>
                <w:color w:val="000000"/>
                <w:sz w:val="14"/>
                <w:szCs w:val="14"/>
              </w:rPr>
            </w:pPr>
            <w:r>
              <w:rPr>
                <w:b/>
                <w:bCs/>
                <w:noProof/>
                <w:color w:val="000000"/>
                <w:sz w:val="14"/>
                <w:szCs w:val="14"/>
              </w:rPr>
              <w:t>Voisinage et le monde</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4"/>
                <w:szCs w:val="14"/>
              </w:rPr>
            </w:pPr>
            <w:r>
              <w:rPr>
                <w:b/>
                <w:bCs/>
                <w:noProof/>
                <w:color w:val="000000"/>
                <w:sz w:val="14"/>
                <w:szCs w:val="14"/>
              </w:rPr>
              <w:t>16 113 620 000</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4"/>
                <w:szCs w:val="14"/>
              </w:rPr>
            </w:pPr>
            <w:r>
              <w:rPr>
                <w:b/>
                <w:bCs/>
                <w:noProof/>
                <w:color w:val="000000"/>
                <w:sz w:val="14"/>
                <w:szCs w:val="14"/>
              </w:rPr>
              <w:t>10 418 805 355</w:t>
            </w:r>
          </w:p>
        </w:tc>
        <w:tc>
          <w:tcPr>
            <w:tcW w:w="1297" w:type="dxa"/>
            <w:tcBorders>
              <w:top w:val="single" w:sz="4" w:space="0" w:color="auto"/>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- 53 405 718</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 xml:space="preserve"> 360 653 839</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16 060 214 282</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10 779 459 194</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Plafond</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16 179 000 000</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68 000 000</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16 247 000 000</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Marge</w:t>
            </w:r>
          </w:p>
        </w:tc>
        <w:tc>
          <w:tcPr>
            <w:tcW w:w="130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65 380 000</w:t>
            </w:r>
          </w:p>
        </w:tc>
        <w:tc>
          <w:tcPr>
            <w:tcW w:w="129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121 405 718</w:t>
            </w:r>
          </w:p>
        </w:tc>
        <w:tc>
          <w:tcPr>
            <w:tcW w:w="1332"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186 785 718</w:t>
            </w:r>
          </w:p>
        </w:tc>
        <w:tc>
          <w:tcPr>
            <w:tcW w:w="1296"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356" w:type="dxa"/>
            <w:tcBorders>
              <w:top w:val="nil"/>
              <w:left w:val="single" w:sz="4" w:space="0" w:color="auto"/>
              <w:bottom w:val="dotted" w:sz="4" w:space="0" w:color="auto"/>
              <w:right w:val="nil"/>
            </w:tcBorders>
            <w:vAlign w:val="center"/>
            <w:hideMark/>
          </w:tcPr>
          <w:p w:rsidR="007119D4" w:rsidRDefault="00EC0158">
            <w:pPr>
              <w:spacing w:line="276" w:lineRule="auto"/>
              <w:rPr>
                <w:b/>
                <w:bCs/>
                <w:noProof/>
                <w:color w:val="000000"/>
                <w:sz w:val="14"/>
                <w:szCs w:val="14"/>
              </w:rPr>
            </w:pPr>
            <w:r>
              <w:rPr>
                <w:b/>
                <w:bCs/>
                <w:noProof/>
                <w:color w:val="000000"/>
                <w:sz w:val="14"/>
                <w:szCs w:val="14"/>
              </w:rPr>
              <w:t>7.</w:t>
            </w:r>
          </w:p>
        </w:tc>
        <w:tc>
          <w:tcPr>
            <w:tcW w:w="2311" w:type="dxa"/>
            <w:tcBorders>
              <w:top w:val="nil"/>
              <w:left w:val="nil"/>
              <w:bottom w:val="dotted" w:sz="4" w:space="0" w:color="auto"/>
              <w:right w:val="single" w:sz="4" w:space="0" w:color="auto"/>
            </w:tcBorders>
            <w:vAlign w:val="center"/>
            <w:hideMark/>
          </w:tcPr>
          <w:p w:rsidR="007119D4" w:rsidRDefault="00EC0158">
            <w:pPr>
              <w:spacing w:line="276" w:lineRule="auto"/>
              <w:rPr>
                <w:b/>
                <w:bCs/>
                <w:noProof/>
                <w:color w:val="000000"/>
                <w:sz w:val="14"/>
                <w:szCs w:val="14"/>
              </w:rPr>
            </w:pPr>
            <w:r>
              <w:rPr>
                <w:b/>
                <w:bCs/>
                <w:noProof/>
                <w:color w:val="000000"/>
                <w:sz w:val="14"/>
                <w:szCs w:val="14"/>
              </w:rPr>
              <w:t>Administration publique européenne</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4"/>
                <w:szCs w:val="14"/>
              </w:rPr>
            </w:pPr>
            <w:r>
              <w:rPr>
                <w:b/>
                <w:bCs/>
                <w:noProof/>
                <w:color w:val="000000"/>
                <w:sz w:val="14"/>
                <w:szCs w:val="14"/>
              </w:rPr>
              <w:t>10 451 225 171</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4"/>
                <w:szCs w:val="14"/>
              </w:rPr>
            </w:pPr>
            <w:r>
              <w:rPr>
                <w:b/>
                <w:bCs/>
                <w:noProof/>
                <w:color w:val="000000"/>
                <w:sz w:val="14"/>
                <w:szCs w:val="14"/>
              </w:rPr>
              <w:t>10 452 500 260</w:t>
            </w:r>
          </w:p>
        </w:tc>
        <w:tc>
          <w:tcPr>
            <w:tcW w:w="1297" w:type="dxa"/>
            <w:tcBorders>
              <w:top w:val="single" w:sz="4" w:space="0" w:color="auto"/>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 xml:space="preserve"> 5 912 740</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 xml:space="preserve"> 5 912 740</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10 457 137 911</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10 458 413 000</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Plafond</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10 875 000 000</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- 240 000 000</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10 635 000 000</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Marge</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423 774 829</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- 245 912 740</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177 862 089</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rPr>
                <w:noProof/>
                <w:color w:val="000000"/>
                <w:sz w:val="14"/>
                <w:szCs w:val="14"/>
              </w:rPr>
            </w:pPr>
            <w:r>
              <w:rPr>
                <w:noProof/>
                <w:color w:val="000000"/>
                <w:sz w:val="14"/>
                <w:szCs w:val="14"/>
              </w:rPr>
              <w:t>dont: dépenses administratives des institutions</w:t>
            </w:r>
          </w:p>
        </w:tc>
        <w:tc>
          <w:tcPr>
            <w:tcW w:w="1302" w:type="dxa"/>
            <w:tcBorders>
              <w:top w:val="single" w:sz="4" w:space="0" w:color="auto"/>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4"/>
                <w:szCs w:val="14"/>
              </w:rPr>
            </w:pPr>
            <w:r>
              <w:rPr>
                <w:noProof/>
                <w:color w:val="000000"/>
                <w:sz w:val="14"/>
                <w:szCs w:val="14"/>
              </w:rPr>
              <w:t>8 032 227 818</w:t>
            </w:r>
          </w:p>
        </w:tc>
        <w:tc>
          <w:tcPr>
            <w:tcW w:w="1292" w:type="dxa"/>
            <w:tcBorders>
              <w:top w:val="single" w:sz="4" w:space="0" w:color="auto"/>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noProof/>
                <w:color w:val="000000"/>
                <w:sz w:val="14"/>
                <w:szCs w:val="14"/>
              </w:rPr>
            </w:pPr>
            <w:r>
              <w:rPr>
                <w:noProof/>
                <w:color w:val="000000"/>
                <w:sz w:val="14"/>
                <w:szCs w:val="14"/>
              </w:rPr>
              <w:t>8 033 502 907</w:t>
            </w:r>
          </w:p>
        </w:tc>
        <w:tc>
          <w:tcPr>
            <w:tcW w:w="1297" w:type="dxa"/>
            <w:tcBorders>
              <w:top w:val="single" w:sz="4" w:space="0" w:color="auto"/>
              <w:left w:val="nil"/>
              <w:bottom w:val="dotted" w:sz="4" w:space="0" w:color="auto"/>
              <w:right w:val="single" w:sz="4" w:space="0" w:color="auto"/>
            </w:tcBorders>
            <w:vAlign w:val="center"/>
            <w:hideMark/>
          </w:tcPr>
          <w:p w:rsidR="007119D4" w:rsidRDefault="00EC0158">
            <w:pPr>
              <w:spacing w:line="276" w:lineRule="auto"/>
              <w:jc w:val="right"/>
              <w:rPr>
                <w:noProof/>
                <w:color w:val="000000"/>
                <w:sz w:val="14"/>
                <w:szCs w:val="14"/>
              </w:rPr>
            </w:pPr>
            <w:r>
              <w:rPr>
                <w:noProof/>
                <w:color w:val="000000"/>
                <w:sz w:val="14"/>
                <w:szCs w:val="14"/>
              </w:rPr>
              <w:t xml:space="preserve"> 12 421 811</w:t>
            </w:r>
          </w:p>
        </w:tc>
        <w:tc>
          <w:tcPr>
            <w:tcW w:w="1332" w:type="dxa"/>
            <w:tcBorders>
              <w:top w:val="single" w:sz="4" w:space="0" w:color="auto"/>
              <w:left w:val="nil"/>
              <w:bottom w:val="dotted" w:sz="4" w:space="0" w:color="auto"/>
              <w:right w:val="single" w:sz="4" w:space="0" w:color="auto"/>
            </w:tcBorders>
            <w:vAlign w:val="center"/>
            <w:hideMark/>
          </w:tcPr>
          <w:p w:rsidR="007119D4" w:rsidRDefault="00EC0158">
            <w:pPr>
              <w:spacing w:line="276" w:lineRule="auto"/>
              <w:jc w:val="right"/>
              <w:rPr>
                <w:noProof/>
                <w:color w:val="000000"/>
                <w:sz w:val="14"/>
                <w:szCs w:val="14"/>
              </w:rPr>
            </w:pPr>
            <w:r>
              <w:rPr>
                <w:noProof/>
                <w:color w:val="000000"/>
                <w:sz w:val="14"/>
                <w:szCs w:val="14"/>
              </w:rPr>
              <w:t xml:space="preserve"> 12 421 811</w:t>
            </w:r>
          </w:p>
        </w:tc>
        <w:tc>
          <w:tcPr>
            <w:tcW w:w="1292" w:type="dxa"/>
            <w:tcBorders>
              <w:top w:val="single" w:sz="4" w:space="0" w:color="auto"/>
              <w:left w:val="nil"/>
              <w:bottom w:val="dotted" w:sz="4" w:space="0" w:color="auto"/>
              <w:right w:val="single" w:sz="4" w:space="0" w:color="auto"/>
            </w:tcBorders>
            <w:vAlign w:val="center"/>
            <w:hideMark/>
          </w:tcPr>
          <w:p w:rsidR="007119D4" w:rsidRDefault="00EC0158">
            <w:pPr>
              <w:spacing w:line="276" w:lineRule="auto"/>
              <w:jc w:val="right"/>
              <w:rPr>
                <w:noProof/>
                <w:color w:val="000000"/>
                <w:sz w:val="14"/>
                <w:szCs w:val="14"/>
              </w:rPr>
            </w:pPr>
            <w:r>
              <w:rPr>
                <w:noProof/>
                <w:color w:val="000000"/>
                <w:sz w:val="14"/>
                <w:szCs w:val="14"/>
              </w:rPr>
              <w:t>8 044 649 629</w:t>
            </w:r>
          </w:p>
        </w:tc>
        <w:tc>
          <w:tcPr>
            <w:tcW w:w="1296" w:type="dxa"/>
            <w:tcBorders>
              <w:top w:val="single" w:sz="4" w:space="0" w:color="auto"/>
              <w:left w:val="nil"/>
              <w:bottom w:val="dotted" w:sz="4" w:space="0" w:color="auto"/>
              <w:right w:val="single" w:sz="4" w:space="0" w:color="auto"/>
            </w:tcBorders>
            <w:vAlign w:val="center"/>
            <w:hideMark/>
          </w:tcPr>
          <w:p w:rsidR="007119D4" w:rsidRDefault="00EC0158">
            <w:pPr>
              <w:spacing w:line="276" w:lineRule="auto"/>
              <w:jc w:val="right"/>
              <w:rPr>
                <w:noProof/>
                <w:color w:val="000000"/>
                <w:sz w:val="14"/>
                <w:szCs w:val="14"/>
              </w:rPr>
            </w:pPr>
            <w:r>
              <w:rPr>
                <w:noProof/>
                <w:color w:val="000000"/>
                <w:sz w:val="14"/>
                <w:szCs w:val="14"/>
              </w:rPr>
              <w:t>8 045 924 718</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Sous-plafond</w:t>
            </w:r>
          </w:p>
        </w:tc>
        <w:tc>
          <w:tcPr>
            <w:tcW w:w="130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8 467 000 000</w:t>
            </w:r>
          </w:p>
        </w:tc>
        <w:tc>
          <w:tcPr>
            <w:tcW w:w="1292" w:type="dxa"/>
            <w:tcBorders>
              <w:top w:val="nil"/>
              <w:left w:val="nil"/>
              <w:bottom w:val="dotted"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- 250 000 000</w:t>
            </w:r>
          </w:p>
        </w:tc>
        <w:tc>
          <w:tcPr>
            <w:tcW w:w="133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8 217 000 000</w:t>
            </w:r>
          </w:p>
        </w:tc>
        <w:tc>
          <w:tcPr>
            <w:tcW w:w="1296"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Marge</w:t>
            </w:r>
          </w:p>
        </w:tc>
        <w:tc>
          <w:tcPr>
            <w:tcW w:w="130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434 772 182</w:t>
            </w:r>
          </w:p>
        </w:tc>
        <w:tc>
          <w:tcPr>
            <w:tcW w:w="129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7" w:type="dxa"/>
            <w:tcBorders>
              <w:top w:val="nil"/>
              <w:left w:val="nil"/>
              <w:bottom w:val="dotted"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- 262 421 811</w:t>
            </w:r>
          </w:p>
        </w:tc>
        <w:tc>
          <w:tcPr>
            <w:tcW w:w="1332"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c>
          <w:tcPr>
            <w:tcW w:w="129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172 350 371</w:t>
            </w:r>
          </w:p>
        </w:tc>
        <w:tc>
          <w:tcPr>
            <w:tcW w:w="1296" w:type="dxa"/>
            <w:tcBorders>
              <w:top w:val="nil"/>
              <w:left w:val="nil"/>
              <w:bottom w:val="single" w:sz="4" w:space="0" w:color="auto"/>
              <w:right w:val="single" w:sz="4" w:space="0" w:color="auto"/>
            </w:tcBorders>
            <w:vAlign w:val="center"/>
            <w:hideMark/>
          </w:tcPr>
          <w:p w:rsidR="007119D4" w:rsidRDefault="00EC0158">
            <w:pPr>
              <w:spacing w:line="276" w:lineRule="auto"/>
              <w:jc w:val="right"/>
              <w:rPr>
                <w:i/>
                <w:iCs/>
                <w:noProof/>
                <w:color w:val="000000"/>
                <w:sz w:val="14"/>
                <w:szCs w:val="14"/>
              </w:rPr>
            </w:pPr>
            <w:r>
              <w:rPr>
                <w:i/>
                <w:iCs/>
                <w:noProof/>
                <w:color w:val="000000"/>
                <w:sz w:val="14"/>
                <w:szCs w:val="14"/>
              </w:rPr>
              <w:t xml:space="preserve"> </w:t>
            </w:r>
          </w:p>
        </w:tc>
      </w:tr>
      <w:tr w:rsidR="007119D4">
        <w:trPr>
          <w:gridAfter w:val="1"/>
          <w:wAfter w:w="24" w:type="dxa"/>
          <w:trHeight w:val="260"/>
          <w:jc w:val="center"/>
        </w:trPr>
        <w:tc>
          <w:tcPr>
            <w:tcW w:w="2667" w:type="dxa"/>
            <w:gridSpan w:val="2"/>
            <w:tcBorders>
              <w:top w:val="single" w:sz="4" w:space="0" w:color="auto"/>
              <w:left w:val="single" w:sz="4" w:space="0" w:color="auto"/>
              <w:bottom w:val="dotted" w:sz="4" w:space="0" w:color="auto"/>
              <w:right w:val="single" w:sz="4" w:space="0" w:color="000000"/>
            </w:tcBorders>
            <w:shd w:val="clear" w:color="auto" w:fill="D9D9D9"/>
            <w:vAlign w:val="center"/>
            <w:hideMark/>
          </w:tcPr>
          <w:p w:rsidR="007119D4" w:rsidRDefault="00EC0158">
            <w:pPr>
              <w:spacing w:line="276" w:lineRule="auto"/>
              <w:jc w:val="right"/>
              <w:rPr>
                <w:b/>
                <w:bCs/>
                <w:noProof/>
                <w:color w:val="000000"/>
                <w:sz w:val="14"/>
                <w:szCs w:val="14"/>
              </w:rPr>
            </w:pPr>
            <w:r>
              <w:rPr>
                <w:b/>
                <w:bCs/>
                <w:noProof/>
                <w:color w:val="000000"/>
                <w:sz w:val="14"/>
                <w:szCs w:val="14"/>
              </w:rPr>
              <w:t>Total</w:t>
            </w:r>
          </w:p>
        </w:tc>
        <w:tc>
          <w:tcPr>
            <w:tcW w:w="1302" w:type="dxa"/>
            <w:tcBorders>
              <w:top w:val="nil"/>
              <w:left w:val="nil"/>
              <w:bottom w:val="dotted" w:sz="4" w:space="0" w:color="auto"/>
              <w:right w:val="single" w:sz="4" w:space="0" w:color="auto"/>
            </w:tcBorders>
            <w:shd w:val="clear" w:color="auto" w:fill="D9D9D9"/>
            <w:vAlign w:val="center"/>
            <w:hideMark/>
          </w:tcPr>
          <w:p w:rsidR="007119D4" w:rsidRDefault="00EC0158">
            <w:pPr>
              <w:spacing w:line="276" w:lineRule="auto"/>
              <w:jc w:val="right"/>
              <w:rPr>
                <w:b/>
                <w:bCs/>
                <w:noProof/>
                <w:color w:val="000000"/>
                <w:sz w:val="14"/>
                <w:szCs w:val="14"/>
              </w:rPr>
            </w:pPr>
            <w:r>
              <w:rPr>
                <w:b/>
                <w:bCs/>
                <w:noProof/>
                <w:color w:val="000000"/>
                <w:sz w:val="14"/>
                <w:szCs w:val="14"/>
              </w:rPr>
              <w:t>163 102 931 976</w:t>
            </w:r>
          </w:p>
        </w:tc>
        <w:tc>
          <w:tcPr>
            <w:tcW w:w="1292" w:type="dxa"/>
            <w:tcBorders>
              <w:top w:val="nil"/>
              <w:left w:val="nil"/>
              <w:bottom w:val="dotted" w:sz="4" w:space="0" w:color="auto"/>
              <w:right w:val="single" w:sz="4" w:space="0" w:color="auto"/>
            </w:tcBorders>
            <w:shd w:val="clear" w:color="auto" w:fill="D9D9D9"/>
            <w:vAlign w:val="center"/>
            <w:hideMark/>
          </w:tcPr>
          <w:p w:rsidR="007119D4" w:rsidRDefault="00EC0158">
            <w:pPr>
              <w:spacing w:line="276" w:lineRule="auto"/>
              <w:jc w:val="right"/>
              <w:rPr>
                <w:b/>
                <w:bCs/>
                <w:noProof/>
                <w:color w:val="000000"/>
                <w:sz w:val="14"/>
                <w:szCs w:val="14"/>
              </w:rPr>
            </w:pPr>
            <w:r>
              <w:rPr>
                <w:b/>
                <w:bCs/>
                <w:noProof/>
                <w:color w:val="000000"/>
                <w:sz w:val="14"/>
                <w:szCs w:val="14"/>
              </w:rPr>
              <w:t>161 853 290 887</w:t>
            </w:r>
          </w:p>
        </w:tc>
        <w:tc>
          <w:tcPr>
            <w:tcW w:w="1297" w:type="dxa"/>
            <w:tcBorders>
              <w:top w:val="single" w:sz="4" w:space="0" w:color="auto"/>
              <w:left w:val="nil"/>
              <w:bottom w:val="dotted" w:sz="4" w:space="0" w:color="auto"/>
              <w:right w:val="single" w:sz="4" w:space="0" w:color="auto"/>
            </w:tcBorders>
            <w:shd w:val="clear" w:color="auto" w:fill="D9D9D9"/>
            <w:vAlign w:val="center"/>
            <w:hideMark/>
          </w:tcPr>
          <w:p w:rsidR="007119D4" w:rsidRDefault="00EC0158">
            <w:pPr>
              <w:spacing w:line="276" w:lineRule="auto"/>
              <w:jc w:val="right"/>
              <w:rPr>
                <w:b/>
                <w:bCs/>
                <w:noProof/>
                <w:color w:val="000000"/>
                <w:sz w:val="14"/>
                <w:szCs w:val="14"/>
              </w:rPr>
            </w:pPr>
            <w:r>
              <w:rPr>
                <w:b/>
                <w:bCs/>
                <w:noProof/>
                <w:color w:val="000000"/>
                <w:sz w:val="14"/>
                <w:szCs w:val="14"/>
              </w:rPr>
              <w:t>- 436 361 452</w:t>
            </w:r>
          </w:p>
        </w:tc>
        <w:tc>
          <w:tcPr>
            <w:tcW w:w="1332" w:type="dxa"/>
            <w:tcBorders>
              <w:top w:val="nil"/>
              <w:left w:val="nil"/>
              <w:bottom w:val="dotted" w:sz="4" w:space="0" w:color="auto"/>
              <w:right w:val="single" w:sz="4" w:space="0" w:color="auto"/>
            </w:tcBorders>
            <w:shd w:val="clear" w:color="auto" w:fill="D9D9D9"/>
            <w:vAlign w:val="center"/>
            <w:hideMark/>
          </w:tcPr>
          <w:p w:rsidR="007119D4" w:rsidRDefault="00EC0158">
            <w:pPr>
              <w:spacing w:line="276" w:lineRule="auto"/>
              <w:jc w:val="right"/>
              <w:rPr>
                <w:b/>
                <w:bCs/>
                <w:noProof/>
                <w:color w:val="000000"/>
                <w:sz w:val="14"/>
                <w:szCs w:val="14"/>
              </w:rPr>
            </w:pPr>
            <w:r>
              <w:rPr>
                <w:b/>
                <w:bCs/>
                <w:noProof/>
                <w:color w:val="000000"/>
                <w:sz w:val="14"/>
                <w:szCs w:val="14"/>
              </w:rPr>
              <w:t>2 977 637 465</w:t>
            </w:r>
          </w:p>
        </w:tc>
        <w:tc>
          <w:tcPr>
            <w:tcW w:w="1292" w:type="dxa"/>
            <w:tcBorders>
              <w:top w:val="nil"/>
              <w:left w:val="nil"/>
              <w:bottom w:val="dotted" w:sz="4" w:space="0" w:color="auto"/>
              <w:right w:val="single" w:sz="4" w:space="0" w:color="auto"/>
            </w:tcBorders>
            <w:shd w:val="clear" w:color="auto" w:fill="D9D9D9"/>
            <w:vAlign w:val="center"/>
            <w:hideMark/>
          </w:tcPr>
          <w:p w:rsidR="007119D4" w:rsidRDefault="00EC0158">
            <w:pPr>
              <w:spacing w:line="276" w:lineRule="auto"/>
              <w:jc w:val="right"/>
              <w:rPr>
                <w:b/>
                <w:bCs/>
                <w:noProof/>
                <w:color w:val="000000"/>
                <w:sz w:val="14"/>
                <w:szCs w:val="14"/>
              </w:rPr>
            </w:pPr>
            <w:r>
              <w:rPr>
                <w:b/>
                <w:bCs/>
                <w:noProof/>
                <w:color w:val="000000"/>
                <w:sz w:val="14"/>
                <w:szCs w:val="14"/>
              </w:rPr>
              <w:t>162 666 570 524</w:t>
            </w:r>
          </w:p>
        </w:tc>
        <w:tc>
          <w:tcPr>
            <w:tcW w:w="1296" w:type="dxa"/>
            <w:tcBorders>
              <w:top w:val="nil"/>
              <w:left w:val="nil"/>
              <w:bottom w:val="dotted" w:sz="4" w:space="0" w:color="auto"/>
              <w:right w:val="single" w:sz="4" w:space="0" w:color="auto"/>
            </w:tcBorders>
            <w:shd w:val="clear" w:color="auto" w:fill="D9D9D9"/>
            <w:vAlign w:val="center"/>
            <w:hideMark/>
          </w:tcPr>
          <w:p w:rsidR="007119D4" w:rsidRDefault="00EC0158">
            <w:pPr>
              <w:spacing w:line="276" w:lineRule="auto"/>
              <w:jc w:val="right"/>
              <w:rPr>
                <w:b/>
                <w:bCs/>
                <w:noProof/>
                <w:color w:val="000000"/>
                <w:sz w:val="14"/>
                <w:szCs w:val="14"/>
              </w:rPr>
            </w:pPr>
            <w:r>
              <w:rPr>
                <w:b/>
                <w:bCs/>
                <w:noProof/>
                <w:color w:val="000000"/>
                <w:sz w:val="14"/>
                <w:szCs w:val="14"/>
              </w:rPr>
              <w:t>164 830 928 352</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D9D9D9"/>
            <w:vAlign w:val="center"/>
            <w:hideMark/>
          </w:tcPr>
          <w:p w:rsidR="007119D4" w:rsidRDefault="00EC0158">
            <w:pPr>
              <w:spacing w:line="276" w:lineRule="auto"/>
              <w:jc w:val="right"/>
              <w:rPr>
                <w:b/>
                <w:bCs/>
                <w:i/>
                <w:iCs/>
                <w:noProof/>
                <w:color w:val="000000"/>
                <w:sz w:val="14"/>
                <w:szCs w:val="14"/>
              </w:rPr>
            </w:pPr>
            <w:r>
              <w:rPr>
                <w:b/>
                <w:bCs/>
                <w:i/>
                <w:iCs/>
                <w:noProof/>
                <w:color w:val="000000"/>
                <w:sz w:val="14"/>
                <w:szCs w:val="14"/>
              </w:rPr>
              <w:t>Plafond</w:t>
            </w:r>
          </w:p>
        </w:tc>
        <w:tc>
          <w:tcPr>
            <w:tcW w:w="1302" w:type="dxa"/>
            <w:tcBorders>
              <w:top w:val="nil"/>
              <w:left w:val="nil"/>
              <w:bottom w:val="dotted" w:sz="4" w:space="0" w:color="auto"/>
              <w:right w:val="single" w:sz="4" w:space="0" w:color="auto"/>
            </w:tcBorders>
            <w:shd w:val="clear" w:color="auto" w:fill="D9D9D9"/>
            <w:vAlign w:val="center"/>
            <w:hideMark/>
          </w:tcPr>
          <w:p w:rsidR="007119D4" w:rsidRDefault="00EC0158">
            <w:pPr>
              <w:spacing w:line="276" w:lineRule="auto"/>
              <w:jc w:val="right"/>
              <w:rPr>
                <w:b/>
                <w:bCs/>
                <w:i/>
                <w:iCs/>
                <w:noProof/>
                <w:color w:val="000000"/>
                <w:sz w:val="14"/>
                <w:szCs w:val="14"/>
              </w:rPr>
            </w:pPr>
            <w:r>
              <w:rPr>
                <w:b/>
                <w:bCs/>
                <w:i/>
                <w:iCs/>
                <w:noProof/>
                <w:color w:val="000000"/>
                <w:sz w:val="14"/>
                <w:szCs w:val="14"/>
              </w:rPr>
              <w:t>164 891 000 000</w:t>
            </w:r>
          </w:p>
        </w:tc>
        <w:tc>
          <w:tcPr>
            <w:tcW w:w="1292" w:type="dxa"/>
            <w:tcBorders>
              <w:top w:val="nil"/>
              <w:left w:val="nil"/>
              <w:bottom w:val="dotted" w:sz="4" w:space="0" w:color="auto"/>
              <w:right w:val="single" w:sz="4" w:space="0" w:color="auto"/>
            </w:tcBorders>
            <w:shd w:val="clear" w:color="auto" w:fill="D9D9D9"/>
            <w:vAlign w:val="center"/>
            <w:hideMark/>
          </w:tcPr>
          <w:p w:rsidR="007119D4" w:rsidRDefault="00EC0158">
            <w:pPr>
              <w:spacing w:line="276" w:lineRule="auto"/>
              <w:jc w:val="right"/>
              <w:rPr>
                <w:b/>
                <w:bCs/>
                <w:i/>
                <w:iCs/>
                <w:noProof/>
                <w:color w:val="000000"/>
                <w:sz w:val="14"/>
                <w:szCs w:val="14"/>
              </w:rPr>
            </w:pPr>
            <w:r>
              <w:rPr>
                <w:b/>
                <w:bCs/>
                <w:i/>
                <w:iCs/>
                <w:noProof/>
                <w:color w:val="000000"/>
                <w:sz w:val="14"/>
                <w:szCs w:val="14"/>
              </w:rPr>
              <w:t>165 599 000 000</w:t>
            </w:r>
          </w:p>
        </w:tc>
        <w:tc>
          <w:tcPr>
            <w:tcW w:w="1297" w:type="dxa"/>
            <w:tcBorders>
              <w:top w:val="nil"/>
              <w:left w:val="nil"/>
              <w:bottom w:val="dotted" w:sz="4" w:space="0" w:color="auto"/>
              <w:right w:val="single" w:sz="4" w:space="0" w:color="auto"/>
            </w:tcBorders>
            <w:shd w:val="clear" w:color="auto" w:fill="D9D9D9"/>
            <w:vAlign w:val="center"/>
            <w:hideMark/>
          </w:tcPr>
          <w:p w:rsidR="007119D4" w:rsidRDefault="00EC0158">
            <w:pPr>
              <w:spacing w:line="276" w:lineRule="auto"/>
              <w:jc w:val="right"/>
              <w:rPr>
                <w:b/>
                <w:bCs/>
                <w:i/>
                <w:iCs/>
                <w:noProof/>
                <w:color w:val="000000"/>
                <w:sz w:val="14"/>
                <w:szCs w:val="14"/>
              </w:rPr>
            </w:pPr>
            <w:r>
              <w:rPr>
                <w:b/>
                <w:bCs/>
                <w:i/>
                <w:iCs/>
                <w:noProof/>
                <w:color w:val="000000"/>
                <w:sz w:val="14"/>
                <w:szCs w:val="14"/>
              </w:rPr>
              <w:t>-1 408 000 000</w:t>
            </w:r>
          </w:p>
        </w:tc>
        <w:tc>
          <w:tcPr>
            <w:tcW w:w="1332" w:type="dxa"/>
            <w:tcBorders>
              <w:top w:val="nil"/>
              <w:left w:val="nil"/>
              <w:bottom w:val="dotted" w:sz="4" w:space="0" w:color="auto"/>
              <w:right w:val="single" w:sz="4" w:space="0" w:color="auto"/>
            </w:tcBorders>
            <w:shd w:val="clear" w:color="auto" w:fill="D9D9D9"/>
            <w:vAlign w:val="center"/>
            <w:hideMark/>
          </w:tcPr>
          <w:p w:rsidR="007119D4" w:rsidRDefault="00EC0158">
            <w:pPr>
              <w:spacing w:line="276" w:lineRule="auto"/>
              <w:jc w:val="right"/>
              <w:rPr>
                <w:b/>
                <w:bCs/>
                <w:i/>
                <w:iCs/>
                <w:noProof/>
                <w:color w:val="000000"/>
                <w:sz w:val="14"/>
                <w:szCs w:val="14"/>
              </w:rPr>
            </w:pPr>
            <w:r>
              <w:rPr>
                <w:b/>
                <w:bCs/>
                <w:i/>
                <w:iCs/>
                <w:noProof/>
                <w:color w:val="000000"/>
                <w:sz w:val="14"/>
                <w:szCs w:val="14"/>
              </w:rPr>
              <w:t xml:space="preserve"> 541 000 000</w:t>
            </w:r>
          </w:p>
        </w:tc>
        <w:tc>
          <w:tcPr>
            <w:tcW w:w="1292" w:type="dxa"/>
            <w:tcBorders>
              <w:top w:val="nil"/>
              <w:left w:val="nil"/>
              <w:bottom w:val="dotted" w:sz="4" w:space="0" w:color="auto"/>
              <w:right w:val="single" w:sz="4" w:space="0" w:color="auto"/>
            </w:tcBorders>
            <w:shd w:val="clear" w:color="auto" w:fill="D9D9D9"/>
            <w:vAlign w:val="center"/>
            <w:hideMark/>
          </w:tcPr>
          <w:p w:rsidR="007119D4" w:rsidRDefault="00EC0158">
            <w:pPr>
              <w:spacing w:line="276" w:lineRule="auto"/>
              <w:jc w:val="right"/>
              <w:rPr>
                <w:b/>
                <w:bCs/>
                <w:i/>
                <w:iCs/>
                <w:noProof/>
                <w:color w:val="000000"/>
                <w:sz w:val="14"/>
                <w:szCs w:val="14"/>
              </w:rPr>
            </w:pPr>
            <w:r>
              <w:rPr>
                <w:b/>
                <w:bCs/>
                <w:i/>
                <w:iCs/>
                <w:noProof/>
                <w:color w:val="000000"/>
                <w:sz w:val="14"/>
                <w:szCs w:val="14"/>
              </w:rPr>
              <w:t>163 483 000 000</w:t>
            </w:r>
          </w:p>
        </w:tc>
        <w:tc>
          <w:tcPr>
            <w:tcW w:w="1296" w:type="dxa"/>
            <w:tcBorders>
              <w:top w:val="nil"/>
              <w:left w:val="nil"/>
              <w:bottom w:val="dotted" w:sz="4" w:space="0" w:color="auto"/>
              <w:right w:val="single" w:sz="4" w:space="0" w:color="auto"/>
            </w:tcBorders>
            <w:shd w:val="clear" w:color="auto" w:fill="D9D9D9"/>
            <w:vAlign w:val="center"/>
            <w:hideMark/>
          </w:tcPr>
          <w:p w:rsidR="007119D4" w:rsidRDefault="00EC0158">
            <w:pPr>
              <w:spacing w:line="276" w:lineRule="auto"/>
              <w:jc w:val="right"/>
              <w:rPr>
                <w:b/>
                <w:bCs/>
                <w:i/>
                <w:iCs/>
                <w:noProof/>
                <w:color w:val="000000"/>
                <w:sz w:val="14"/>
                <w:szCs w:val="14"/>
              </w:rPr>
            </w:pPr>
            <w:r>
              <w:rPr>
                <w:b/>
                <w:bCs/>
                <w:i/>
                <w:iCs/>
                <w:noProof/>
                <w:color w:val="000000"/>
                <w:sz w:val="14"/>
                <w:szCs w:val="14"/>
              </w:rPr>
              <w:t>166 140 000 000</w:t>
            </w:r>
          </w:p>
        </w:tc>
      </w:tr>
      <w:tr w:rsidR="007119D4">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D9D9D9"/>
            <w:vAlign w:val="center"/>
            <w:hideMark/>
          </w:tcPr>
          <w:p w:rsidR="007119D4" w:rsidRDefault="00EC0158">
            <w:pPr>
              <w:spacing w:line="276" w:lineRule="auto"/>
              <w:jc w:val="right"/>
              <w:rPr>
                <w:b/>
                <w:bCs/>
                <w:i/>
                <w:iCs/>
                <w:noProof/>
                <w:color w:val="000000"/>
                <w:sz w:val="14"/>
                <w:szCs w:val="14"/>
              </w:rPr>
            </w:pPr>
            <w:r>
              <w:rPr>
                <w:b/>
                <w:bCs/>
                <w:i/>
                <w:iCs/>
                <w:noProof/>
                <w:color w:val="000000"/>
                <w:sz w:val="14"/>
                <w:szCs w:val="14"/>
              </w:rPr>
              <w:t>dont part relevant de l’instrument de flexibilité</w:t>
            </w:r>
          </w:p>
        </w:tc>
        <w:tc>
          <w:tcPr>
            <w:tcW w:w="1302" w:type="dxa"/>
            <w:tcBorders>
              <w:top w:val="nil"/>
              <w:left w:val="nil"/>
              <w:bottom w:val="dotted" w:sz="4" w:space="0" w:color="auto"/>
              <w:right w:val="single" w:sz="4" w:space="0" w:color="auto"/>
            </w:tcBorders>
            <w:shd w:val="clear" w:color="auto" w:fill="D9D9D9"/>
            <w:vAlign w:val="center"/>
            <w:hideMark/>
          </w:tcPr>
          <w:p w:rsidR="007119D4" w:rsidRDefault="00EC0158">
            <w:pPr>
              <w:spacing w:line="276" w:lineRule="auto"/>
              <w:jc w:val="right"/>
              <w:rPr>
                <w:b/>
                <w:bCs/>
                <w:i/>
                <w:iCs/>
                <w:noProof/>
                <w:color w:val="000000"/>
                <w:sz w:val="14"/>
                <w:szCs w:val="14"/>
              </w:rPr>
            </w:pPr>
            <w:r>
              <w:rPr>
                <w:b/>
                <w:bCs/>
                <w:i/>
                <w:iCs/>
                <w:noProof/>
                <w:color w:val="000000"/>
                <w:sz w:val="14"/>
                <w:szCs w:val="14"/>
              </w:rPr>
              <w:t xml:space="preserve"> </w:t>
            </w:r>
          </w:p>
        </w:tc>
        <w:tc>
          <w:tcPr>
            <w:tcW w:w="1292" w:type="dxa"/>
            <w:tcBorders>
              <w:top w:val="nil"/>
              <w:left w:val="nil"/>
              <w:bottom w:val="dotted" w:sz="4" w:space="0" w:color="auto"/>
              <w:right w:val="single" w:sz="4" w:space="0" w:color="auto"/>
            </w:tcBorders>
            <w:shd w:val="clear" w:color="auto" w:fill="D9D9D9"/>
            <w:vAlign w:val="center"/>
            <w:hideMark/>
          </w:tcPr>
          <w:p w:rsidR="007119D4" w:rsidRDefault="00EC0158">
            <w:pPr>
              <w:spacing w:line="276" w:lineRule="auto"/>
              <w:jc w:val="right"/>
              <w:rPr>
                <w:b/>
                <w:bCs/>
                <w:i/>
                <w:iCs/>
                <w:noProof/>
                <w:color w:val="000000"/>
                <w:sz w:val="14"/>
                <w:szCs w:val="14"/>
              </w:rPr>
            </w:pPr>
            <w:r>
              <w:rPr>
                <w:b/>
                <w:bCs/>
                <w:i/>
                <w:iCs/>
                <w:noProof/>
                <w:color w:val="000000"/>
                <w:sz w:val="14"/>
                <w:szCs w:val="14"/>
              </w:rPr>
              <w:t xml:space="preserve"> 582 907 835</w:t>
            </w:r>
          </w:p>
        </w:tc>
        <w:tc>
          <w:tcPr>
            <w:tcW w:w="1297" w:type="dxa"/>
            <w:tcBorders>
              <w:top w:val="nil"/>
              <w:left w:val="nil"/>
              <w:bottom w:val="dotted" w:sz="4" w:space="0" w:color="auto"/>
              <w:right w:val="single" w:sz="4" w:space="0" w:color="auto"/>
            </w:tcBorders>
            <w:shd w:val="clear" w:color="auto" w:fill="D9D9D9"/>
            <w:vAlign w:val="center"/>
            <w:hideMark/>
          </w:tcPr>
          <w:p w:rsidR="007119D4" w:rsidRDefault="00EC0158">
            <w:pPr>
              <w:spacing w:line="276" w:lineRule="auto"/>
              <w:jc w:val="right"/>
              <w:rPr>
                <w:b/>
                <w:bCs/>
                <w:i/>
                <w:iCs/>
                <w:noProof/>
                <w:color w:val="000000"/>
                <w:sz w:val="14"/>
                <w:szCs w:val="14"/>
              </w:rPr>
            </w:pPr>
            <w:r>
              <w:rPr>
                <w:b/>
                <w:bCs/>
                <w:i/>
                <w:iCs/>
                <w:noProof/>
                <w:color w:val="000000"/>
                <w:sz w:val="14"/>
                <w:szCs w:val="14"/>
              </w:rPr>
              <w:t xml:space="preserve"> </w:t>
            </w:r>
          </w:p>
        </w:tc>
        <w:tc>
          <w:tcPr>
            <w:tcW w:w="1332" w:type="dxa"/>
            <w:tcBorders>
              <w:top w:val="nil"/>
              <w:left w:val="nil"/>
              <w:bottom w:val="dotted" w:sz="4" w:space="0" w:color="auto"/>
              <w:right w:val="single" w:sz="4" w:space="0" w:color="auto"/>
            </w:tcBorders>
            <w:shd w:val="clear" w:color="auto" w:fill="D9D9D9"/>
            <w:vAlign w:val="center"/>
            <w:hideMark/>
          </w:tcPr>
          <w:p w:rsidR="007119D4" w:rsidRDefault="00EC0158">
            <w:pPr>
              <w:spacing w:line="276" w:lineRule="auto"/>
              <w:jc w:val="right"/>
              <w:rPr>
                <w:b/>
                <w:bCs/>
                <w:i/>
                <w:iCs/>
                <w:noProof/>
                <w:color w:val="000000"/>
                <w:sz w:val="14"/>
                <w:szCs w:val="14"/>
              </w:rPr>
            </w:pPr>
            <w:r>
              <w:rPr>
                <w:b/>
                <w:bCs/>
                <w:i/>
                <w:iCs/>
                <w:noProof/>
                <w:color w:val="000000"/>
                <w:sz w:val="14"/>
                <w:szCs w:val="14"/>
              </w:rPr>
              <w:t xml:space="preserve"> </w:t>
            </w:r>
          </w:p>
        </w:tc>
        <w:tc>
          <w:tcPr>
            <w:tcW w:w="1292" w:type="dxa"/>
            <w:tcBorders>
              <w:top w:val="nil"/>
              <w:left w:val="nil"/>
              <w:bottom w:val="dotted" w:sz="4" w:space="0" w:color="auto"/>
              <w:right w:val="single" w:sz="4" w:space="0" w:color="auto"/>
            </w:tcBorders>
            <w:shd w:val="clear" w:color="auto" w:fill="D9D9D9"/>
            <w:vAlign w:val="center"/>
            <w:hideMark/>
          </w:tcPr>
          <w:p w:rsidR="007119D4" w:rsidRDefault="00EC0158">
            <w:pPr>
              <w:spacing w:line="276" w:lineRule="auto"/>
              <w:jc w:val="right"/>
              <w:rPr>
                <w:b/>
                <w:bCs/>
                <w:i/>
                <w:iCs/>
                <w:noProof/>
                <w:color w:val="000000"/>
                <w:sz w:val="14"/>
                <w:szCs w:val="14"/>
              </w:rPr>
            </w:pPr>
            <w:r>
              <w:rPr>
                <w:b/>
                <w:bCs/>
                <w:i/>
                <w:iCs/>
                <w:noProof/>
                <w:color w:val="000000"/>
                <w:sz w:val="14"/>
                <w:szCs w:val="14"/>
              </w:rPr>
              <w:t xml:space="preserve"> 97 768 248</w:t>
            </w:r>
          </w:p>
        </w:tc>
        <w:tc>
          <w:tcPr>
            <w:tcW w:w="1296" w:type="dxa"/>
            <w:tcBorders>
              <w:top w:val="nil"/>
              <w:left w:val="nil"/>
              <w:bottom w:val="dotted" w:sz="4" w:space="0" w:color="auto"/>
              <w:right w:val="single" w:sz="4" w:space="0" w:color="auto"/>
            </w:tcBorders>
            <w:shd w:val="clear" w:color="auto" w:fill="D9D9D9"/>
            <w:vAlign w:val="center"/>
            <w:hideMark/>
          </w:tcPr>
          <w:p w:rsidR="007119D4" w:rsidRDefault="00EC0158">
            <w:pPr>
              <w:spacing w:line="276" w:lineRule="auto"/>
              <w:jc w:val="right"/>
              <w:rPr>
                <w:b/>
                <w:bCs/>
                <w:i/>
                <w:iCs/>
                <w:noProof/>
                <w:color w:val="000000"/>
                <w:sz w:val="14"/>
                <w:szCs w:val="14"/>
              </w:rPr>
            </w:pPr>
            <w:r>
              <w:rPr>
                <w:b/>
                <w:bCs/>
                <w:i/>
                <w:iCs/>
                <w:noProof/>
                <w:color w:val="000000"/>
                <w:sz w:val="14"/>
                <w:szCs w:val="14"/>
              </w:rPr>
              <w:t xml:space="preserve"> 641 077 815</w:t>
            </w:r>
          </w:p>
        </w:tc>
      </w:tr>
      <w:tr w:rsidR="007119D4">
        <w:trPr>
          <w:gridAfter w:val="1"/>
          <w:wAfter w:w="24" w:type="dxa"/>
          <w:trHeight w:val="260"/>
          <w:jc w:val="center"/>
        </w:trPr>
        <w:tc>
          <w:tcPr>
            <w:tcW w:w="2667" w:type="dxa"/>
            <w:gridSpan w:val="2"/>
            <w:tcBorders>
              <w:top w:val="dotted" w:sz="4" w:space="0" w:color="auto"/>
              <w:left w:val="single" w:sz="4" w:space="0" w:color="auto"/>
              <w:bottom w:val="nil"/>
              <w:right w:val="single" w:sz="4" w:space="0" w:color="000000"/>
            </w:tcBorders>
            <w:shd w:val="clear" w:color="auto" w:fill="D9D9D9"/>
            <w:vAlign w:val="center"/>
            <w:hideMark/>
          </w:tcPr>
          <w:p w:rsidR="007119D4" w:rsidRDefault="00EC0158">
            <w:pPr>
              <w:spacing w:line="276" w:lineRule="auto"/>
              <w:jc w:val="right"/>
              <w:rPr>
                <w:b/>
                <w:bCs/>
                <w:i/>
                <w:iCs/>
                <w:noProof/>
                <w:color w:val="000000"/>
                <w:sz w:val="14"/>
                <w:szCs w:val="14"/>
              </w:rPr>
            </w:pPr>
            <w:r>
              <w:rPr>
                <w:b/>
                <w:bCs/>
                <w:i/>
                <w:iCs/>
                <w:noProof/>
                <w:color w:val="000000"/>
                <w:sz w:val="14"/>
                <w:szCs w:val="14"/>
              </w:rPr>
              <w:t>Marge</w:t>
            </w:r>
          </w:p>
        </w:tc>
        <w:tc>
          <w:tcPr>
            <w:tcW w:w="1302"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right"/>
              <w:rPr>
                <w:b/>
                <w:bCs/>
                <w:i/>
                <w:iCs/>
                <w:noProof/>
                <w:color w:val="000000"/>
                <w:sz w:val="14"/>
                <w:szCs w:val="14"/>
              </w:rPr>
            </w:pPr>
            <w:r>
              <w:rPr>
                <w:b/>
                <w:bCs/>
                <w:i/>
                <w:iCs/>
                <w:noProof/>
                <w:color w:val="000000"/>
                <w:sz w:val="14"/>
                <w:szCs w:val="14"/>
              </w:rPr>
              <w:t>1 788 068 024</w:t>
            </w:r>
          </w:p>
        </w:tc>
        <w:tc>
          <w:tcPr>
            <w:tcW w:w="1292"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right"/>
              <w:rPr>
                <w:b/>
                <w:bCs/>
                <w:i/>
                <w:iCs/>
                <w:noProof/>
                <w:color w:val="000000"/>
                <w:sz w:val="14"/>
                <w:szCs w:val="14"/>
              </w:rPr>
            </w:pPr>
            <w:r>
              <w:rPr>
                <w:b/>
                <w:bCs/>
                <w:i/>
                <w:iCs/>
                <w:noProof/>
                <w:color w:val="000000"/>
                <w:sz w:val="14"/>
                <w:szCs w:val="14"/>
              </w:rPr>
              <w:t>4 328 616 948</w:t>
            </w:r>
          </w:p>
        </w:tc>
        <w:tc>
          <w:tcPr>
            <w:tcW w:w="1297"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right"/>
              <w:rPr>
                <w:b/>
                <w:bCs/>
                <w:i/>
                <w:iCs/>
                <w:noProof/>
                <w:color w:val="000000"/>
                <w:sz w:val="14"/>
                <w:szCs w:val="14"/>
              </w:rPr>
            </w:pPr>
            <w:r>
              <w:rPr>
                <w:b/>
                <w:bCs/>
                <w:i/>
                <w:iCs/>
                <w:noProof/>
                <w:color w:val="000000"/>
                <w:sz w:val="14"/>
                <w:szCs w:val="14"/>
              </w:rPr>
              <w:t>-873 870 300</w:t>
            </w:r>
          </w:p>
        </w:tc>
        <w:tc>
          <w:tcPr>
            <w:tcW w:w="1332"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right"/>
              <w:rPr>
                <w:b/>
                <w:bCs/>
                <w:i/>
                <w:iCs/>
                <w:noProof/>
                <w:color w:val="000000"/>
                <w:sz w:val="14"/>
                <w:szCs w:val="14"/>
              </w:rPr>
            </w:pPr>
            <w:r>
              <w:rPr>
                <w:b/>
                <w:bCs/>
                <w:i/>
                <w:iCs/>
                <w:noProof/>
                <w:color w:val="000000"/>
                <w:sz w:val="14"/>
                <w:szCs w:val="14"/>
              </w:rPr>
              <w:t>-2 378 467 485</w:t>
            </w:r>
          </w:p>
        </w:tc>
        <w:tc>
          <w:tcPr>
            <w:tcW w:w="1292"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right"/>
              <w:rPr>
                <w:b/>
                <w:bCs/>
                <w:i/>
                <w:iCs/>
                <w:noProof/>
                <w:color w:val="000000"/>
                <w:sz w:val="14"/>
                <w:szCs w:val="14"/>
              </w:rPr>
            </w:pPr>
            <w:r>
              <w:rPr>
                <w:b/>
                <w:bCs/>
                <w:i/>
                <w:iCs/>
                <w:noProof/>
                <w:color w:val="000000"/>
                <w:sz w:val="14"/>
                <w:szCs w:val="14"/>
              </w:rPr>
              <w:t xml:space="preserve"> 914 197 724</w:t>
            </w:r>
          </w:p>
        </w:tc>
        <w:tc>
          <w:tcPr>
            <w:tcW w:w="1296"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right"/>
              <w:rPr>
                <w:b/>
                <w:bCs/>
                <w:i/>
                <w:iCs/>
                <w:noProof/>
                <w:color w:val="000000"/>
                <w:sz w:val="14"/>
                <w:szCs w:val="14"/>
              </w:rPr>
            </w:pPr>
            <w:r>
              <w:rPr>
                <w:b/>
                <w:bCs/>
                <w:i/>
                <w:iCs/>
                <w:noProof/>
                <w:color w:val="000000"/>
                <w:sz w:val="14"/>
                <w:szCs w:val="14"/>
              </w:rPr>
              <w:t>1 950 149 463</w:t>
            </w:r>
          </w:p>
        </w:tc>
      </w:tr>
      <w:tr w:rsidR="007119D4">
        <w:trPr>
          <w:gridAfter w:val="1"/>
          <w:wAfter w:w="24" w:type="dxa"/>
          <w:trHeight w:val="260"/>
          <w:jc w:val="center"/>
        </w:trPr>
        <w:tc>
          <w:tcPr>
            <w:tcW w:w="356" w:type="dxa"/>
            <w:tcBorders>
              <w:top w:val="single" w:sz="4" w:space="0" w:color="auto"/>
              <w:left w:val="single" w:sz="4" w:space="0" w:color="auto"/>
              <w:bottom w:val="single" w:sz="4" w:space="0" w:color="auto"/>
              <w:right w:val="nil"/>
            </w:tcBorders>
            <w:vAlign w:val="center"/>
            <w:hideMark/>
          </w:tcPr>
          <w:p w:rsidR="007119D4" w:rsidRDefault="00EC0158">
            <w:pPr>
              <w:spacing w:line="276" w:lineRule="auto"/>
              <w:rPr>
                <w:b/>
                <w:bCs/>
                <w:noProof/>
                <w:color w:val="000000"/>
                <w:sz w:val="14"/>
                <w:szCs w:val="14"/>
              </w:rPr>
            </w:pPr>
            <w:r>
              <w:rPr>
                <w:b/>
                <w:bCs/>
                <w:noProof/>
                <w:color w:val="000000"/>
                <w:sz w:val="14"/>
                <w:szCs w:val="14"/>
              </w:rPr>
              <w:t xml:space="preserve"> </w:t>
            </w:r>
          </w:p>
        </w:tc>
        <w:tc>
          <w:tcPr>
            <w:tcW w:w="2311" w:type="dxa"/>
            <w:tcBorders>
              <w:top w:val="single" w:sz="4" w:space="0" w:color="auto"/>
              <w:left w:val="nil"/>
              <w:bottom w:val="single" w:sz="4" w:space="0" w:color="auto"/>
              <w:right w:val="single" w:sz="4" w:space="0" w:color="auto"/>
            </w:tcBorders>
            <w:shd w:val="clear" w:color="auto" w:fill="FFFFFF"/>
            <w:vAlign w:val="center"/>
            <w:hideMark/>
          </w:tcPr>
          <w:p w:rsidR="007119D4" w:rsidRDefault="00EC0158">
            <w:pPr>
              <w:spacing w:line="276" w:lineRule="auto"/>
              <w:rPr>
                <w:b/>
                <w:bCs/>
                <w:noProof/>
                <w:color w:val="000000"/>
                <w:sz w:val="14"/>
                <w:szCs w:val="14"/>
              </w:rPr>
            </w:pPr>
            <w:r>
              <w:rPr>
                <w:b/>
                <w:bCs/>
                <w:noProof/>
                <w:color w:val="000000"/>
                <w:sz w:val="14"/>
                <w:szCs w:val="14"/>
              </w:rPr>
              <w:t>Autres instruments spéciaux</w:t>
            </w:r>
          </w:p>
        </w:tc>
        <w:tc>
          <w:tcPr>
            <w:tcW w:w="130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4"/>
                <w:szCs w:val="14"/>
              </w:rPr>
            </w:pPr>
            <w:r>
              <w:rPr>
                <w:b/>
                <w:bCs/>
                <w:noProof/>
                <w:color w:val="000000"/>
                <w:sz w:val="14"/>
                <w:szCs w:val="14"/>
              </w:rPr>
              <w:t>3 643 250 000</w:t>
            </w:r>
          </w:p>
        </w:tc>
        <w:tc>
          <w:tcPr>
            <w:tcW w:w="1292" w:type="dxa"/>
            <w:tcBorders>
              <w:top w:val="nil"/>
              <w:left w:val="nil"/>
              <w:bottom w:val="single" w:sz="4" w:space="0" w:color="auto"/>
              <w:right w:val="single" w:sz="4" w:space="0" w:color="auto"/>
            </w:tcBorders>
            <w:shd w:val="clear" w:color="auto" w:fill="FFFFFF"/>
            <w:vAlign w:val="center"/>
            <w:hideMark/>
          </w:tcPr>
          <w:p w:rsidR="007119D4" w:rsidRDefault="00EC0158">
            <w:pPr>
              <w:spacing w:line="276" w:lineRule="auto"/>
              <w:jc w:val="right"/>
              <w:rPr>
                <w:b/>
                <w:bCs/>
                <w:noProof/>
                <w:color w:val="000000"/>
                <w:sz w:val="14"/>
                <w:szCs w:val="14"/>
              </w:rPr>
            </w:pPr>
            <w:r>
              <w:rPr>
                <w:b/>
                <w:bCs/>
                <w:noProof/>
                <w:color w:val="000000"/>
                <w:sz w:val="14"/>
                <w:szCs w:val="14"/>
              </w:rPr>
              <w:t>1 661 812 000</w:t>
            </w:r>
          </w:p>
        </w:tc>
        <w:tc>
          <w:tcPr>
            <w:tcW w:w="1297" w:type="dxa"/>
            <w:tcBorders>
              <w:top w:val="nil"/>
              <w:left w:val="nil"/>
              <w:bottom w:val="single"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-2 172 415 000</w:t>
            </w:r>
          </w:p>
        </w:tc>
        <w:tc>
          <w:tcPr>
            <w:tcW w:w="1332" w:type="dxa"/>
            <w:tcBorders>
              <w:top w:val="nil"/>
              <w:left w:val="nil"/>
              <w:bottom w:val="single"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- 368 362 000</w:t>
            </w:r>
          </w:p>
        </w:tc>
        <w:tc>
          <w:tcPr>
            <w:tcW w:w="1292" w:type="dxa"/>
            <w:tcBorders>
              <w:top w:val="nil"/>
              <w:left w:val="nil"/>
              <w:bottom w:val="single"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1 470 835 000</w:t>
            </w:r>
          </w:p>
        </w:tc>
        <w:tc>
          <w:tcPr>
            <w:tcW w:w="1296" w:type="dxa"/>
            <w:tcBorders>
              <w:top w:val="nil"/>
              <w:left w:val="nil"/>
              <w:bottom w:val="single" w:sz="4" w:space="0" w:color="auto"/>
              <w:right w:val="single" w:sz="4" w:space="0" w:color="auto"/>
            </w:tcBorders>
            <w:vAlign w:val="center"/>
            <w:hideMark/>
          </w:tcPr>
          <w:p w:rsidR="007119D4" w:rsidRDefault="00EC0158">
            <w:pPr>
              <w:spacing w:line="276" w:lineRule="auto"/>
              <w:jc w:val="right"/>
              <w:rPr>
                <w:b/>
                <w:bCs/>
                <w:noProof/>
                <w:color w:val="000000"/>
                <w:sz w:val="14"/>
                <w:szCs w:val="14"/>
              </w:rPr>
            </w:pPr>
            <w:r>
              <w:rPr>
                <w:b/>
                <w:bCs/>
                <w:noProof/>
                <w:color w:val="000000"/>
                <w:sz w:val="14"/>
                <w:szCs w:val="14"/>
              </w:rPr>
              <w:t>1 293 450 000</w:t>
            </w:r>
          </w:p>
        </w:tc>
      </w:tr>
      <w:tr w:rsidR="007119D4">
        <w:trPr>
          <w:gridAfter w:val="1"/>
          <w:wAfter w:w="24" w:type="dxa"/>
          <w:trHeight w:val="260"/>
          <w:jc w:val="center"/>
        </w:trPr>
        <w:tc>
          <w:tcPr>
            <w:tcW w:w="2667" w:type="dxa"/>
            <w:gridSpan w:val="2"/>
            <w:tcBorders>
              <w:top w:val="nil"/>
              <w:left w:val="single" w:sz="4" w:space="0" w:color="auto"/>
              <w:bottom w:val="single" w:sz="4" w:space="0" w:color="auto"/>
              <w:right w:val="single" w:sz="4" w:space="0" w:color="000000"/>
            </w:tcBorders>
            <w:shd w:val="clear" w:color="auto" w:fill="D9D9D9"/>
            <w:vAlign w:val="center"/>
            <w:hideMark/>
          </w:tcPr>
          <w:p w:rsidR="007119D4" w:rsidRDefault="00EC0158">
            <w:pPr>
              <w:spacing w:line="276" w:lineRule="auto"/>
              <w:jc w:val="right"/>
              <w:rPr>
                <w:b/>
                <w:bCs/>
                <w:noProof/>
                <w:color w:val="000000"/>
                <w:sz w:val="14"/>
                <w:szCs w:val="14"/>
              </w:rPr>
            </w:pPr>
            <w:r>
              <w:rPr>
                <w:b/>
                <w:bCs/>
                <w:noProof/>
                <w:color w:val="000000"/>
                <w:sz w:val="14"/>
                <w:szCs w:val="14"/>
              </w:rPr>
              <w:t>Total général</w:t>
            </w:r>
          </w:p>
        </w:tc>
        <w:tc>
          <w:tcPr>
            <w:tcW w:w="1302"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right"/>
              <w:rPr>
                <w:b/>
                <w:bCs/>
                <w:noProof/>
                <w:color w:val="000000"/>
                <w:sz w:val="14"/>
                <w:szCs w:val="14"/>
              </w:rPr>
            </w:pPr>
            <w:r>
              <w:rPr>
                <w:b/>
                <w:bCs/>
                <w:noProof/>
                <w:color w:val="000000"/>
                <w:sz w:val="14"/>
                <w:szCs w:val="14"/>
              </w:rPr>
              <w:t>166 746 181 976</w:t>
            </w:r>
          </w:p>
        </w:tc>
        <w:tc>
          <w:tcPr>
            <w:tcW w:w="1292"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right"/>
              <w:rPr>
                <w:b/>
                <w:bCs/>
                <w:noProof/>
                <w:color w:val="000000"/>
                <w:sz w:val="14"/>
                <w:szCs w:val="14"/>
              </w:rPr>
            </w:pPr>
            <w:r>
              <w:rPr>
                <w:b/>
                <w:bCs/>
                <w:noProof/>
                <w:color w:val="000000"/>
                <w:sz w:val="14"/>
                <w:szCs w:val="14"/>
              </w:rPr>
              <w:t>163 515 102 887</w:t>
            </w:r>
          </w:p>
        </w:tc>
        <w:tc>
          <w:tcPr>
            <w:tcW w:w="1297"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right"/>
              <w:rPr>
                <w:b/>
                <w:bCs/>
                <w:noProof/>
                <w:color w:val="000000"/>
                <w:sz w:val="14"/>
                <w:szCs w:val="14"/>
              </w:rPr>
            </w:pPr>
            <w:r>
              <w:rPr>
                <w:b/>
                <w:bCs/>
                <w:noProof/>
                <w:color w:val="000000"/>
                <w:sz w:val="14"/>
                <w:szCs w:val="14"/>
              </w:rPr>
              <w:t>-2 608 776 452</w:t>
            </w:r>
          </w:p>
        </w:tc>
        <w:tc>
          <w:tcPr>
            <w:tcW w:w="1332"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right"/>
              <w:rPr>
                <w:b/>
                <w:bCs/>
                <w:noProof/>
                <w:color w:val="000000"/>
                <w:sz w:val="14"/>
                <w:szCs w:val="14"/>
              </w:rPr>
            </w:pPr>
            <w:r>
              <w:rPr>
                <w:b/>
                <w:bCs/>
                <w:noProof/>
                <w:color w:val="000000"/>
                <w:sz w:val="14"/>
                <w:szCs w:val="14"/>
              </w:rPr>
              <w:t>2 609 275 465</w:t>
            </w:r>
          </w:p>
        </w:tc>
        <w:tc>
          <w:tcPr>
            <w:tcW w:w="1292"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right"/>
              <w:rPr>
                <w:b/>
                <w:bCs/>
                <w:noProof/>
                <w:color w:val="000000"/>
                <w:sz w:val="14"/>
                <w:szCs w:val="14"/>
              </w:rPr>
            </w:pPr>
            <w:r>
              <w:rPr>
                <w:b/>
                <w:bCs/>
                <w:noProof/>
                <w:color w:val="000000"/>
                <w:sz w:val="14"/>
                <w:szCs w:val="14"/>
              </w:rPr>
              <w:t>164 137 405 524</w:t>
            </w:r>
          </w:p>
        </w:tc>
        <w:tc>
          <w:tcPr>
            <w:tcW w:w="1296" w:type="dxa"/>
            <w:tcBorders>
              <w:top w:val="nil"/>
              <w:left w:val="nil"/>
              <w:bottom w:val="single" w:sz="4" w:space="0" w:color="auto"/>
              <w:right w:val="single" w:sz="4" w:space="0" w:color="auto"/>
            </w:tcBorders>
            <w:shd w:val="clear" w:color="auto" w:fill="D9D9D9"/>
            <w:vAlign w:val="center"/>
            <w:hideMark/>
          </w:tcPr>
          <w:p w:rsidR="007119D4" w:rsidRDefault="00EC0158">
            <w:pPr>
              <w:spacing w:line="276" w:lineRule="auto"/>
              <w:jc w:val="right"/>
              <w:rPr>
                <w:b/>
                <w:bCs/>
                <w:noProof/>
                <w:color w:val="000000"/>
                <w:sz w:val="14"/>
                <w:szCs w:val="14"/>
              </w:rPr>
            </w:pPr>
            <w:r>
              <w:rPr>
                <w:b/>
                <w:bCs/>
                <w:noProof/>
                <w:color w:val="000000"/>
                <w:sz w:val="14"/>
                <w:szCs w:val="14"/>
              </w:rPr>
              <w:t>166 124 378 352</w:t>
            </w:r>
          </w:p>
        </w:tc>
      </w:tr>
    </w:tbl>
    <w:p w:rsidR="007119D4" w:rsidRDefault="007119D4">
      <w:pPr>
        <w:rPr>
          <w:noProof/>
        </w:rPr>
      </w:pPr>
    </w:p>
    <w:p w:rsidR="007119D4" w:rsidRDefault="007119D4">
      <w:pPr>
        <w:rPr>
          <w:noProof/>
        </w:rPr>
      </w:pPr>
    </w:p>
    <w:p w:rsidR="007119D4" w:rsidRDefault="007119D4">
      <w:pPr>
        <w:rPr>
          <w:dstrike/>
          <w:noProof/>
        </w:rPr>
      </w:pPr>
    </w:p>
    <w:p w:rsidR="007119D4" w:rsidRDefault="007119D4">
      <w:pPr>
        <w:rPr>
          <w:dstrike/>
          <w:noProof/>
        </w:rPr>
      </w:pPr>
    </w:p>
    <w:sectPr w:rsidR="007119D4">
      <w:headerReference w:type="even" r:id="rId29"/>
      <w:headerReference w:type="default" r:id="rId30"/>
      <w:footerReference w:type="even" r:id="rId31"/>
      <w:footerReference w:type="default" r:id="rId32"/>
      <w:headerReference w:type="first" r:id="rId33"/>
      <w:footerReference w:type="first" r:id="rId34"/>
      <w:pgSz w:w="11907" w:h="16839"/>
      <w:pgMar w:top="720" w:right="1021" w:bottom="600" w:left="1021" w:header="280"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9D4" w:rsidRDefault="00EC0158">
      <w:r>
        <w:separator/>
      </w:r>
    </w:p>
  </w:endnote>
  <w:endnote w:type="continuationSeparator" w:id="0">
    <w:p w:rsidR="007119D4" w:rsidRDefault="00EC0158">
      <w:r>
        <w:continuationSeparator/>
      </w:r>
    </w:p>
  </w:endnote>
  <w:endnote w:type="continuationNotice" w:id="1">
    <w:p w:rsidR="007119D4" w:rsidRDefault="00711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KOJOD P+ Adv T T 5843c 571">
    <w:altName w:val="Adv TT 584 3c"/>
    <w:panose1 w:val="00000000000000000000"/>
    <w:charset w:val="00"/>
    <w:family w:val="roman"/>
    <w:notTrueType/>
    <w:pitch w:val="default"/>
    <w:sig w:usb0="00000003" w:usb1="00000000" w:usb2="00000000" w:usb3="00000000" w:csb0="00000001" w:csb1="00000000"/>
  </w:font>
  <w:font w:name="1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58" w:rsidRPr="00EC0158" w:rsidRDefault="00EC0158" w:rsidP="00EC015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D4" w:rsidRDefault="007119D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D4" w:rsidRDefault="00EC0158">
    <w:pPr>
      <w:pStyle w:val="Footer"/>
      <w:tabs>
        <w:tab w:val="clear" w:pos="4535"/>
        <w:tab w:val="center" w:pos="5040"/>
      </w:tabs>
      <w:spacing w:before="0"/>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30</w:t>
    </w:r>
    <w:r>
      <w:fldChar w:fldCharType="end"/>
    </w: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D4" w:rsidRDefault="00711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58" w:rsidRPr="00EC0158" w:rsidRDefault="00EC0158" w:rsidP="00EC0158">
    <w:pPr>
      <w:pStyle w:val="FooterCoverPage"/>
      <w:rPr>
        <w:rFonts w:ascii="Arial" w:hAnsi="Arial" w:cs="Arial"/>
        <w:b/>
        <w:sz w:val="48"/>
      </w:rPr>
    </w:pPr>
    <w:r w:rsidRPr="00EC0158">
      <w:rPr>
        <w:rFonts w:ascii="Arial" w:hAnsi="Arial" w:cs="Arial"/>
        <w:b/>
        <w:sz w:val="48"/>
      </w:rPr>
      <w:t>FR</w:t>
    </w:r>
    <w:r w:rsidRPr="00EC0158">
      <w:rPr>
        <w:rFonts w:ascii="Arial" w:hAnsi="Arial" w:cs="Arial"/>
        <w:b/>
        <w:sz w:val="48"/>
      </w:rPr>
      <w:tab/>
    </w:r>
    <w:r w:rsidRPr="00EC0158">
      <w:rPr>
        <w:rFonts w:ascii="Arial" w:hAnsi="Arial" w:cs="Arial"/>
        <w:b/>
        <w:sz w:val="48"/>
      </w:rPr>
      <w:tab/>
    </w:r>
    <w:r w:rsidRPr="00EC0158">
      <w:tab/>
    </w:r>
    <w:r w:rsidRPr="00EC0158">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58" w:rsidRPr="00EC0158" w:rsidRDefault="00EC0158" w:rsidP="00EC015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D4" w:rsidRDefault="007119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D4" w:rsidRDefault="00EC0158">
    <w:pPr>
      <w:pStyle w:val="Footer"/>
      <w:spacing w:before="0"/>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w:t>
    </w:r>
    <w:r>
      <w:fldChar w:fldCharType="end"/>
    </w:r>
    <w:r>
      <w:tab/>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D4" w:rsidRDefault="007119D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D4" w:rsidRDefault="007119D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D4" w:rsidRDefault="00EC0158">
    <w:pPr>
      <w:pStyle w:val="Footer"/>
      <w:spacing w:before="0"/>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D4" w:rsidRDefault="00711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9D4" w:rsidRDefault="00EC0158">
      <w:r>
        <w:separator/>
      </w:r>
    </w:p>
  </w:footnote>
  <w:footnote w:type="continuationSeparator" w:id="0">
    <w:p w:rsidR="007119D4" w:rsidRDefault="00EC0158">
      <w:r>
        <w:continuationSeparator/>
      </w:r>
    </w:p>
  </w:footnote>
  <w:footnote w:type="continuationNotice" w:id="1">
    <w:p w:rsidR="007119D4" w:rsidRDefault="007119D4"/>
  </w:footnote>
  <w:footnote w:id="2">
    <w:p w:rsidR="007119D4" w:rsidRDefault="00EC0158">
      <w:pPr>
        <w:pStyle w:val="FootnoteText"/>
      </w:pPr>
      <w:r>
        <w:rPr>
          <w:rStyle w:val="FootnoteReference"/>
        </w:rPr>
        <w:footnoteRef/>
      </w:r>
      <w:r>
        <w:tab/>
        <w:t>JO L 193 du 30.7.2018, p. 1.</w:t>
      </w:r>
    </w:p>
  </w:footnote>
  <w:footnote w:id="3">
    <w:p w:rsidR="007119D4" w:rsidRDefault="00EC0158">
      <w:pPr>
        <w:pStyle w:val="FootnoteText"/>
      </w:pPr>
      <w:r>
        <w:rPr>
          <w:rStyle w:val="FootnoteReference"/>
        </w:rPr>
        <w:footnoteRef/>
      </w:r>
      <w:r>
        <w:tab/>
        <w:t>COM(2020) 300 final du 27.7.2020.</w:t>
      </w:r>
    </w:p>
  </w:footnote>
  <w:footnote w:id="4">
    <w:p w:rsidR="007119D4" w:rsidRDefault="00EC0158">
      <w:pPr>
        <w:pStyle w:val="FootnoteText"/>
      </w:pPr>
      <w:r>
        <w:rPr>
          <w:rStyle w:val="FootnoteReference"/>
        </w:rPr>
        <w:footnoteRef/>
      </w:r>
      <w:r>
        <w:tab/>
        <w:t>EUCO 10/20 du 21.7.2020.</w:t>
      </w:r>
    </w:p>
  </w:footnote>
  <w:footnote w:id="5">
    <w:p w:rsidR="007119D4" w:rsidRDefault="00EC0158">
      <w:pPr>
        <w:pStyle w:val="FootnoteText"/>
      </w:pPr>
      <w:r>
        <w:rPr>
          <w:rStyle w:val="FootnoteReference"/>
        </w:rPr>
        <w:footnoteRef/>
      </w:r>
      <w:r>
        <w:tab/>
        <w:t>Règlement (CE) nº 58/2003 du Conseil du 19 décembre 2002 portant statut des agences exécutives chargées de certaines tâches</w:t>
      </w:r>
      <w:r>
        <w:t xml:space="preserve"> relatives à la gestion de programmes communautaires (JO L 11 du 16.1.2003, p. 1).</w:t>
      </w:r>
    </w:p>
  </w:footnote>
  <w:footnote w:id="6">
    <w:p w:rsidR="007119D4" w:rsidRDefault="00EC0158">
      <w:pPr>
        <w:pStyle w:val="FootnoteText"/>
      </w:pPr>
      <w:r>
        <w:rPr>
          <w:rStyle w:val="FootnoteReference"/>
        </w:rPr>
        <w:footnoteRef/>
      </w:r>
      <w:r>
        <w:tab/>
        <w:t>Le niveau nécessaire des crédits pour les lignes d’appui administratif a été réévalué spécifiquement pour chaque programme et n’a donc pas été systématiquement inclus dans</w:t>
      </w:r>
      <w:r>
        <w:t xml:space="preserve"> les ajustements proportionnels.</w:t>
      </w:r>
    </w:p>
  </w:footnote>
  <w:footnote w:id="7">
    <w:p w:rsidR="007119D4" w:rsidRDefault="00EC0158">
      <w:pPr>
        <w:pStyle w:val="FootnoteText"/>
      </w:pPr>
      <w:r>
        <w:rPr>
          <w:rStyle w:val="FootnoteReference"/>
        </w:rPr>
        <w:footnoteRef/>
      </w:r>
      <w:r>
        <w:t xml:space="preserve"> </w:t>
      </w:r>
      <w:r>
        <w:tab/>
        <w:t>Règlement (UE) 2020/872 du Parlement européen et du Conseil du 24 juin 2020 modifiant le règlement (UE) nº 1305/2013 en ce qui concerne une mesure spécifique destinée à fournir un soutien temporaire exceptionnel au titre</w:t>
      </w:r>
      <w:r>
        <w:t xml:space="preserve"> du Fonds européen agricole pour le développement rural (Feader) en réaction à la propagation de la COVID</w:t>
      </w:r>
      <w:r>
        <w:noBreakHyphen/>
        <w:t>19.</w:t>
      </w:r>
    </w:p>
  </w:footnote>
  <w:footnote w:id="8">
    <w:p w:rsidR="007119D4" w:rsidRDefault="00EC0158">
      <w:pPr>
        <w:pStyle w:val="FootnoteText"/>
      </w:pPr>
      <w:r>
        <w:rPr>
          <w:rStyle w:val="FootnoteReference"/>
        </w:rPr>
        <w:footnoteRef/>
      </w:r>
      <w:r>
        <w:tab/>
      </w:r>
      <w:r>
        <w:rPr>
          <w:color w:val="000000"/>
        </w:rPr>
        <w:t>Les réductions des crédits d’engagement sont compensées dans le cadre des programmes IAP et IVCDCI (pilier géographique)</w:t>
      </w:r>
      <w:r>
        <w:t>.</w:t>
      </w:r>
    </w:p>
  </w:footnote>
  <w:footnote w:id="9">
    <w:p w:rsidR="007119D4" w:rsidRDefault="00EC0158">
      <w:pPr>
        <w:pStyle w:val="FootnoteText"/>
      </w:pPr>
      <w:r>
        <w:rPr>
          <w:rStyle w:val="FootnoteReference"/>
        </w:rPr>
        <w:footnoteRef/>
      </w:r>
      <w:r>
        <w:t xml:space="preserve"> </w:t>
      </w:r>
      <w:r>
        <w:tab/>
        <w:t xml:space="preserve">L’augmentation des </w:t>
      </w:r>
      <w:r>
        <w:t>crédits d’engagement est compensée par une diminution correspondante du provisionnement au titre du FEDD+ en 2021, qui sera compensée par une augmentation du provisionnement au titre du FEDD+ en 2022-2027.</w:t>
      </w:r>
    </w:p>
  </w:footnote>
  <w:footnote w:id="10">
    <w:p w:rsidR="007119D4" w:rsidRDefault="00EC0158">
      <w:pPr>
        <w:pStyle w:val="FootnoteText"/>
      </w:pPr>
      <w:r>
        <w:rPr>
          <w:rStyle w:val="FootnoteReference"/>
        </w:rPr>
        <w:footnoteRef/>
      </w:r>
      <w:r>
        <w:tab/>
        <w:t>COM(2020) 423 final du 3.6.2020.</w:t>
      </w:r>
    </w:p>
  </w:footnote>
  <w:footnote w:id="11">
    <w:p w:rsidR="007119D4" w:rsidRDefault="00EC0158">
      <w:pPr>
        <w:pStyle w:val="FootnoteText"/>
      </w:pPr>
      <w:r>
        <w:rPr>
          <w:rStyle w:val="FootnoteReference"/>
        </w:rPr>
        <w:footnoteRef/>
      </w:r>
      <w:r>
        <w:t xml:space="preserve"> </w:t>
      </w:r>
      <w:r>
        <w:tab/>
        <w:t>Une ligne bu</w:t>
      </w:r>
      <w:r>
        <w:t>dgétaire relevant du titre 30 «Réserves» et une ligne budgétaire relevant du titre 17 «Dépenses s’inscrivant en dehors des plafonds annuels fixés dans le cadre financier pluriannuel», selon le modèle déjà appliqué pour le FEM.</w:t>
      </w:r>
    </w:p>
  </w:footnote>
  <w:footnote w:id="12">
    <w:p w:rsidR="007119D4" w:rsidRDefault="00EC0158">
      <w:pPr>
        <w:pStyle w:val="FootnoteText"/>
        <w:rPr>
          <w:sz w:val="18"/>
          <w:szCs w:val="18"/>
        </w:rPr>
      </w:pPr>
      <w:r>
        <w:rPr>
          <w:vertAlign w:val="superscript"/>
          <w:lang w:val="pl-PL"/>
        </w:rPr>
        <w:footnoteRef/>
      </w:r>
      <w:r>
        <w:rPr>
          <w:sz w:val="18"/>
          <w:szCs w:val="18"/>
        </w:rPr>
        <w:t xml:space="preserve"> </w:t>
      </w:r>
      <w:r>
        <w:rPr>
          <w:sz w:val="18"/>
          <w:szCs w:val="18"/>
        </w:rPr>
        <w:tab/>
      </w:r>
      <w:r>
        <w:t xml:space="preserve">COM(2020) 456 final du </w:t>
      </w:r>
      <w:r>
        <w:t>27.5.2020.</w:t>
      </w:r>
    </w:p>
  </w:footnote>
  <w:footnote w:id="13">
    <w:p w:rsidR="007119D4" w:rsidRDefault="00EC0158">
      <w:pPr>
        <w:pStyle w:val="FootnoteText"/>
        <w:rPr>
          <w:sz w:val="18"/>
          <w:szCs w:val="18"/>
          <w:highlight w:val="yellow"/>
        </w:rPr>
      </w:pPr>
      <w:r>
        <w:rPr>
          <w:rStyle w:val="FootnoteReference"/>
        </w:rPr>
        <w:footnoteRef/>
      </w:r>
      <w:r>
        <w:tab/>
        <w:t>COM(2020) 446 final du 28.5.2020.</w:t>
      </w:r>
    </w:p>
  </w:footnote>
  <w:footnote w:id="14">
    <w:p w:rsidR="007119D4" w:rsidRDefault="00EC0158">
      <w:pPr>
        <w:pStyle w:val="FootnoteText"/>
        <w:rPr>
          <w:sz w:val="18"/>
          <w:szCs w:val="18"/>
        </w:rPr>
      </w:pPr>
      <w:r>
        <w:rPr>
          <w:rStyle w:val="FootnoteReference"/>
        </w:rPr>
        <w:footnoteRef/>
      </w:r>
      <w:r>
        <w:rPr>
          <w:rStyle w:val="FootnoteReference"/>
        </w:rPr>
        <w:t xml:space="preserve"> </w:t>
      </w:r>
      <w:r>
        <w:rPr>
          <w:sz w:val="18"/>
          <w:szCs w:val="18"/>
        </w:rPr>
        <w:tab/>
      </w:r>
      <w:r>
        <w:t>COM(2020) 451 final du 28.5.2020.</w:t>
      </w:r>
    </w:p>
  </w:footnote>
  <w:footnote w:id="15">
    <w:p w:rsidR="007119D4" w:rsidRDefault="00EC0158">
      <w:pPr>
        <w:pStyle w:val="FootnoteText"/>
      </w:pPr>
      <w:r>
        <w:rPr>
          <w:rStyle w:val="FootnoteReference"/>
        </w:rPr>
        <w:footnoteRef/>
      </w:r>
      <w:r>
        <w:tab/>
        <w:t>Adopté par le Parlement européen le 17 septembre 2020, mais en attente de publication au Journal officiel (présenté en tant que projet de budget rectificatif nº 8/2020 pa</w:t>
      </w:r>
      <w:r>
        <w:t>r la Commission le 28 août 2020).</w:t>
      </w:r>
    </w:p>
  </w:footnote>
  <w:footnote w:id="16">
    <w:p w:rsidR="007119D4" w:rsidRDefault="00EC0158">
      <w:pPr>
        <w:pStyle w:val="FootnoteText"/>
      </w:pPr>
      <w:r>
        <w:rPr>
          <w:rStyle w:val="FootnoteReference"/>
        </w:rPr>
        <w:footnoteRef/>
      </w:r>
      <w:r>
        <w:tab/>
        <w:t>Adopté par le Parlement européen le 17 avril 2020 (JO L 126 du 21.4.2020).</w:t>
      </w:r>
    </w:p>
  </w:footnote>
  <w:footnote w:id="17">
    <w:p w:rsidR="007119D4" w:rsidRDefault="00EC0158">
      <w:pPr>
        <w:pStyle w:val="FootnoteText"/>
      </w:pPr>
      <w:r>
        <w:rPr>
          <w:rStyle w:val="FootnoteReference"/>
        </w:rPr>
        <w:footnoteRef/>
      </w:r>
      <w:r>
        <w:tab/>
        <w:t>COM(2018) 614 final du 7.9.2018.</w:t>
      </w:r>
    </w:p>
  </w:footnote>
  <w:footnote w:id="18">
    <w:p w:rsidR="007119D4" w:rsidRDefault="00EC0158">
      <w:pPr>
        <w:pStyle w:val="FootnoteText"/>
      </w:pPr>
      <w:r>
        <w:rPr>
          <w:rStyle w:val="FootnoteReference"/>
        </w:rPr>
        <w:footnoteRef/>
      </w:r>
      <w:r>
        <w:tab/>
        <w:t>JOIN(2020) 11 final du 8.4.2020.</w:t>
      </w:r>
    </w:p>
  </w:footnote>
  <w:footnote w:id="19">
    <w:p w:rsidR="007119D4" w:rsidRDefault="00EC0158">
      <w:pPr>
        <w:pStyle w:val="FootnoteText"/>
      </w:pPr>
      <w:r>
        <w:rPr>
          <w:rStyle w:val="FootnoteReference"/>
        </w:rPr>
        <w:footnoteRef/>
      </w:r>
      <w:r>
        <w:tab/>
      </w:r>
      <w:r>
        <w:t>Conformément à l’article 7 des statuts du FEI, ce montant correspondra à 20 % de la valeur nominale à verser lors de la souscription (en plus du paiement de la prime d’émission à l’achat). Les 80 % restants représentent pour l’Union un passif éventuel plaf</w:t>
      </w:r>
      <w:r>
        <w:t xml:space="preserve">onné, lié à la possibilité qu'un paiement supplémentaire puisse être exigé pour le capital souscrit mais non libéré. </w:t>
      </w:r>
    </w:p>
  </w:footnote>
  <w:footnote w:id="20">
    <w:p w:rsidR="007119D4" w:rsidRDefault="00EC0158">
      <w:pPr>
        <w:pStyle w:val="FootnoteText"/>
      </w:pPr>
      <w:r>
        <w:rPr>
          <w:rStyle w:val="FootnoteReference"/>
        </w:rPr>
        <w:footnoteRef/>
      </w:r>
      <w:r>
        <w:tab/>
        <w:t>Le solde net du FEAGA s’élève exactement à 40 367,954 millions d’EUR. Les transferts supplémentaires ont été notifiés par les États memb</w:t>
      </w:r>
      <w:r>
        <w:t>res concernés conformément à l'article 7, paragraphe 2, à l'article 11, paragraphe 6, et à l'article 14, paragraphes 1 et 2, du règlement (UE) nº 1307/2013, pour un montant de 1 157,704 millions d’EUR du FEAGA vers le Feader et de 600,658 millions d’EUR du</w:t>
      </w:r>
      <w:r>
        <w:t xml:space="preserve"> Feader vers le FEAGA. Le transfert net du FEAGA vers le Feader qui en résulte, soit 557,046 millions d’EUR, est déduit du sous-plafond 2021 du FEAGA de 40 925 millions d’EUR au titre du nouveau CFP 2021-2027 et ajouté aux enveloppes nationales corresponda</w:t>
      </w:r>
      <w:r>
        <w:t>ntes pour le Feader en 2021. Dans l’ensemble, ces transferts entre les deux piliers de la PAC sont neutres sur le plan budgétaire en ce qui concerne le plafond de la rubrique 3.</w:t>
      </w:r>
    </w:p>
  </w:footnote>
  <w:footnote w:id="21">
    <w:p w:rsidR="007119D4" w:rsidRDefault="00EC0158">
      <w:pPr>
        <w:pStyle w:val="FootnoteText"/>
      </w:pPr>
      <w:r>
        <w:rPr>
          <w:rStyle w:val="FootnoteReference"/>
        </w:rPr>
        <w:footnoteRef/>
      </w:r>
      <w:r>
        <w:tab/>
        <w:t>Ces besoins s’élèvent à 40 368,0 millions d’EUR de crédits nouveaux, auxquel</w:t>
      </w:r>
      <w:r>
        <w:t>s s’ajoutent 619,0 millions d’EUR de recettes affectées.</w:t>
      </w:r>
    </w:p>
  </w:footnote>
  <w:footnote w:id="22">
    <w:p w:rsidR="007119D4" w:rsidRDefault="00EC0158">
      <w:pPr>
        <w:pStyle w:val="FootnoteText"/>
      </w:pPr>
      <w:r>
        <w:rPr>
          <w:rStyle w:val="FootnoteReference"/>
        </w:rPr>
        <w:footnoteRef/>
      </w:r>
      <w:r>
        <w:tab/>
        <w:t>Cette estimation repose sur les déclarations des dépenses réelles reçues des États membres pour la période comprise entre le 1</w:t>
      </w:r>
      <w:r>
        <w:rPr>
          <w:vertAlign w:val="superscript"/>
        </w:rPr>
        <w:t>er</w:t>
      </w:r>
      <w:r>
        <w:t> septembre 2020 et le 15 octobre 2020. De légères corrections doivent</w:t>
      </w:r>
      <w:r>
        <w:t xml:space="preserve"> encore être effectuées jusqu’à la fin de l’année en relation avec ces déclarations et les dépenses en gestion directe.</w:t>
      </w:r>
    </w:p>
  </w:footnote>
  <w:footnote w:id="23">
    <w:p w:rsidR="007119D4" w:rsidRDefault="00EC0158">
      <w:pPr>
        <w:pStyle w:val="FootnoteText"/>
      </w:pPr>
      <w:r>
        <w:rPr>
          <w:rStyle w:val="FootnoteReference"/>
        </w:rPr>
        <w:footnoteRef/>
      </w:r>
      <w:r>
        <w:tab/>
        <w:t xml:space="preserve">Le taux d’ajustement pour les paiements directs relatifs au mécanisme de discipline financière pour l’année civile 2020 est fixé dans </w:t>
      </w:r>
      <w:r>
        <w:t>le règlement d’exécution (UE) 2020/862 de la Commission du 19 juin 2020 à 2,140411 % sur la base du PB 2021. La Commission actualisera ce taux en conséquence en tenant compte des modifications proposées dans la présente LR, ce qui aboutira à un taux légère</w:t>
      </w:r>
      <w:r>
        <w:t>ment supérieur de 2,906192 %.</w:t>
      </w:r>
    </w:p>
  </w:footnote>
  <w:footnote w:id="24">
    <w:p w:rsidR="007119D4" w:rsidRDefault="00EC0158">
      <w:pPr>
        <w:pStyle w:val="FootnoteText"/>
      </w:pPr>
      <w:r>
        <w:rPr>
          <w:rStyle w:val="FootnoteReference"/>
        </w:rPr>
        <w:footnoteRef/>
      </w:r>
      <w:r>
        <w:tab/>
        <w:t>Règlement (CE) nº 58/2003 du Conseil du 19 décembre 2002 portant statut des agences exécutives chargées de certaines tâches relatives à la gestion de programmes communautaires (JO L 11 du 16.1.2003, p. 1).</w:t>
      </w:r>
    </w:p>
  </w:footnote>
  <w:footnote w:id="25">
    <w:p w:rsidR="007119D4" w:rsidRDefault="00EC0158">
      <w:pPr>
        <w:pStyle w:val="FootnoteText"/>
      </w:pPr>
      <w:r>
        <w:rPr>
          <w:rStyle w:val="FootnoteReference"/>
        </w:rPr>
        <w:footnoteRef/>
      </w:r>
      <w:r>
        <w:tab/>
        <w:t>Ce tableau ne co</w:t>
      </w:r>
      <w:r>
        <w:t>mprend pas les crédits/effectifs concernant le pilier III du JRC, le Fonds pour l’innovation et le Fonds pour les énergies renouvelables. Il intègre les effectifs et les crédits liés à la mise en œuvre du programme de recherche pour le charbon et l’acier.</w:t>
      </w:r>
    </w:p>
  </w:footnote>
  <w:footnote w:id="26">
    <w:p w:rsidR="007119D4" w:rsidRDefault="00EC0158">
      <w:pPr>
        <w:pStyle w:val="FootnoteText"/>
      </w:pPr>
      <w:r>
        <w:rPr>
          <w:rStyle w:val="FootnoteReference"/>
        </w:rPr>
        <w:footnoteRef/>
      </w:r>
      <w:r>
        <w:tab/>
        <w:t>Règlement (UE) 2020/852 du Parlement européen et du Conseil du 18 juin 2020 sur l’établissement d’un cadre visant à favoriser les investissements durables et modifiant le règlement (UE) 2019/2088.</w:t>
      </w:r>
    </w:p>
  </w:footnote>
  <w:footnote w:id="27">
    <w:p w:rsidR="007119D4" w:rsidRDefault="00EC0158">
      <w:pPr>
        <w:pStyle w:val="FootnoteText"/>
      </w:pPr>
      <w:r>
        <w:rPr>
          <w:rStyle w:val="FootnoteReference"/>
        </w:rPr>
        <w:footnoteRef/>
      </w:r>
      <w:r>
        <w:tab/>
        <w:t xml:space="preserve">Règlement nº 31 (CEE), 11 (CEEA), fixant le statut des </w:t>
      </w:r>
      <w:r>
        <w:t>fonctionnaires et le régime applicable aux autres agents de la Communauté économique européenne et de la Communauté européenne de l’énergie atomique (JO P 45 du 14.6.1962, p. 1385).</w:t>
      </w:r>
    </w:p>
  </w:footnote>
  <w:footnote w:id="28">
    <w:p w:rsidR="007119D4" w:rsidRDefault="00EC0158">
      <w:pPr>
        <w:pStyle w:val="FootnoteText"/>
      </w:pPr>
      <w:r>
        <w:rPr>
          <w:rStyle w:val="FootnoteReference"/>
        </w:rPr>
        <w:footnoteRef/>
      </w:r>
      <w:r>
        <w:tab/>
        <w:t>Indice des prix à la consommation harmonisé.</w:t>
      </w:r>
    </w:p>
  </w:footnote>
  <w:footnote w:id="29">
    <w:p w:rsidR="007119D4" w:rsidRDefault="00EC0158">
      <w:pPr>
        <w:pStyle w:val="FootnoteText"/>
      </w:pPr>
      <w:r>
        <w:rPr>
          <w:rStyle w:val="FootnoteReference"/>
        </w:rPr>
        <w:footnoteRef/>
      </w:r>
      <w:r>
        <w:tab/>
        <w:t>Indice des prix à la cons</w:t>
      </w:r>
      <w:r>
        <w:t>ommation.</w:t>
      </w:r>
    </w:p>
  </w:footnote>
  <w:footnote w:id="30">
    <w:p w:rsidR="007119D4" w:rsidRDefault="00EC0158">
      <w:pPr>
        <w:pStyle w:val="FootnoteText"/>
      </w:pPr>
      <w:r>
        <w:rPr>
          <w:rStyle w:val="FootnoteReference"/>
        </w:rPr>
        <w:footnoteRef/>
      </w:r>
      <w:r>
        <w:tab/>
        <w:t xml:space="preserve">Ce taux était fondé sur les prévisions de l’automne 2019 et a été utilisé dans les premiers travaux préparatoires internes pour l’état prévisionnel de la Commission Il a été actualisé au printemps 2020 aux fins du PB 2021 final pour toutes les </w:t>
      </w:r>
      <w:r>
        <w:t>institutions, hormis les écoles européennes.</w:t>
      </w:r>
    </w:p>
  </w:footnote>
  <w:footnote w:id="31">
    <w:p w:rsidR="007119D4" w:rsidRDefault="00EC0158">
      <w:pPr>
        <w:tabs>
          <w:tab w:val="left" w:pos="720"/>
        </w:tabs>
        <w:ind w:left="720" w:hanging="720"/>
        <w:jc w:val="both"/>
      </w:pPr>
      <w:r>
        <w:rPr>
          <w:rStyle w:val="FootnoteReference"/>
        </w:rPr>
        <w:footnoteRef/>
      </w:r>
      <w:r>
        <w:rPr>
          <w:sz w:val="20"/>
          <w:szCs w:val="20"/>
        </w:rPr>
        <w:t xml:space="preserve"> </w:t>
      </w:r>
      <w:r>
        <w:tab/>
      </w:r>
      <w:r>
        <w:rPr>
          <w:sz w:val="20"/>
          <w:szCs w:val="20"/>
        </w:rPr>
        <w:t>Le transfert inclut également les coûts communs (liés aux bâtiments et aux coûts connexes des infrastructures) de 177 AL, dont les rémunérations et les coûts communs étaient pris en charge auparavant par le F</w:t>
      </w:r>
      <w:r>
        <w:rPr>
          <w:sz w:val="20"/>
          <w:szCs w:val="20"/>
        </w:rPr>
        <w:t>onds européen de développement (FED). À compter de 2021, le FED fera partie de l’IVCDCI, et un montant annuel de 5,6 millions d'EUR sera donc également transféré vers le SEAE pour couvrir les coûts communs de ce personnel. Ce transfert annuel n’aura toutef</w:t>
      </w:r>
      <w:r>
        <w:rPr>
          <w:sz w:val="20"/>
          <w:szCs w:val="20"/>
        </w:rPr>
        <w:t>ois pas d'incidence sur le niveau des «nouveaux» crédits dans l’IVCDCI, car ces derniers auraient été couverts par les recettes restantes du FED affectées au budget de l’Union.</w:t>
      </w:r>
    </w:p>
  </w:footnote>
  <w:footnote w:id="32">
    <w:p w:rsidR="007119D4" w:rsidRDefault="00EC0158">
      <w:pPr>
        <w:pStyle w:val="FootnoteText"/>
      </w:pPr>
      <w:r>
        <w:rPr>
          <w:rStyle w:val="FootnoteReference"/>
        </w:rPr>
        <w:footnoteRef/>
      </w:r>
      <w:r>
        <w:tab/>
        <w:t>JO C 12 du 13.1.2018, p. 1, annexe II.</w:t>
      </w:r>
    </w:p>
  </w:footnote>
  <w:footnote w:id="33">
    <w:p w:rsidR="007119D4" w:rsidRDefault="00EC0158">
      <w:pPr>
        <w:pStyle w:val="FootnoteText"/>
      </w:pPr>
      <w:r>
        <w:rPr>
          <w:rStyle w:val="FootnoteReference"/>
        </w:rPr>
        <w:footnoteRef/>
      </w:r>
      <w:r>
        <w:tab/>
        <w:t>COM(2020) 569 final du 18.9.2020.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58" w:rsidRPr="00EC0158" w:rsidRDefault="00EC0158" w:rsidP="00EC015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D4" w:rsidRDefault="007119D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D4" w:rsidRDefault="007119D4">
    <w:pPr>
      <w:pStyle w:val="Heade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D4" w:rsidRDefault="00711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58" w:rsidRPr="00EC0158" w:rsidRDefault="00EC0158" w:rsidP="00EC015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58" w:rsidRPr="00EC0158" w:rsidRDefault="00EC0158" w:rsidP="00EC015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D4" w:rsidRDefault="007119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D4" w:rsidRDefault="007119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D4" w:rsidRDefault="007119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D4" w:rsidRDefault="007119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D4" w:rsidRDefault="007119D4">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D4" w:rsidRDefault="00711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0F2A9A2"/>
    <w:lvl w:ilvl="0">
      <w:start w:val="1"/>
      <w:numFmt w:val="bullet"/>
      <w:pStyle w:val="ListBullet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D769E46"/>
    <w:lvl w:ilvl="0">
      <w:start w:val="1"/>
      <w:numFmt w:val="bullet"/>
      <w:pStyle w:val="ListNumber5"/>
      <w:lvlText w:val=""/>
      <w:lvlJc w:val="left"/>
      <w:pPr>
        <w:tabs>
          <w:tab w:val="num" w:pos="360"/>
        </w:tabs>
        <w:ind w:left="360" w:hanging="360"/>
      </w:pPr>
      <w:rPr>
        <w:rFonts w:ascii="Symbol" w:hAnsi="Symbol" w:hint="default"/>
      </w:rPr>
    </w:lvl>
  </w:abstractNum>
  <w:abstractNum w:abstractNumId="2" w15:restartNumberingAfterBreak="0">
    <w:nsid w:val="01CA57DC"/>
    <w:multiLevelType w:val="hybridMultilevel"/>
    <w:tmpl w:val="B042469C"/>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319D6"/>
    <w:multiLevelType w:val="hybridMultilevel"/>
    <w:tmpl w:val="96060D4C"/>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1085"/>
    <w:multiLevelType w:val="hybridMultilevel"/>
    <w:tmpl w:val="0846A4DA"/>
    <w:lvl w:ilvl="0" w:tplc="8A36BA8C">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FA63AA"/>
    <w:multiLevelType w:val="multilevel"/>
    <w:tmpl w:val="D1402846"/>
    <w:lvl w:ilvl="0">
      <w:start w:val="2"/>
      <w:numFmt w:val="decimal"/>
      <w:lvlText w:val="%1"/>
      <w:lvlJc w:val="left"/>
      <w:pPr>
        <w:ind w:left="432" w:hanging="432"/>
      </w:pPr>
      <w:rPr>
        <w:rFonts w:cs="Times New Roman" w:hint="default"/>
      </w:rPr>
    </w:lvl>
    <w:lvl w:ilvl="1">
      <w:start w:val="3"/>
      <w:numFmt w:val="decimal"/>
      <w:pStyle w:val="Style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7" w15:restartNumberingAfterBreak="0">
    <w:nsid w:val="1BC50770"/>
    <w:multiLevelType w:val="hybridMultilevel"/>
    <w:tmpl w:val="1A92C2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965A5"/>
    <w:multiLevelType w:val="hybridMultilevel"/>
    <w:tmpl w:val="2B909A32"/>
    <w:lvl w:ilvl="0" w:tplc="02EC6D92">
      <w:start w:val="1"/>
      <w:numFmt w:val="decimal"/>
      <w:pStyle w:val="Styl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CC1F1F"/>
    <w:multiLevelType w:val="hybridMultilevel"/>
    <w:tmpl w:val="19CCF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2F911729"/>
    <w:multiLevelType w:val="multilevel"/>
    <w:tmpl w:val="EA30B10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C13EA4"/>
    <w:multiLevelType w:val="hybridMultilevel"/>
    <w:tmpl w:val="9E047E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4" w15:restartNumberingAfterBreak="0">
    <w:nsid w:val="37D64D9A"/>
    <w:multiLevelType w:val="hybridMultilevel"/>
    <w:tmpl w:val="5A2C9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730C4"/>
    <w:multiLevelType w:val="singleLevel"/>
    <w:tmpl w:val="0809000F"/>
    <w:lvl w:ilvl="0">
      <w:start w:val="1"/>
      <w:numFmt w:val="decimal"/>
      <w:pStyle w:val="ManualHeading2"/>
      <w:lvlText w:val="%1."/>
      <w:lvlJc w:val="left"/>
      <w:pPr>
        <w:ind w:left="720" w:hanging="360"/>
      </w:pPr>
    </w:lvl>
  </w:abstractNum>
  <w:abstractNum w:abstractNumId="16" w15:restartNumberingAfterBreak="0">
    <w:nsid w:val="444B45B2"/>
    <w:multiLevelType w:val="hybridMultilevel"/>
    <w:tmpl w:val="82BC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50426"/>
    <w:multiLevelType w:val="hybridMultilevel"/>
    <w:tmpl w:val="A1AA699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43E64"/>
    <w:multiLevelType w:val="hybridMultilevel"/>
    <w:tmpl w:val="B2063506"/>
    <w:lvl w:ilvl="0" w:tplc="0809000F">
      <w:start w:val="1"/>
      <w:numFmt w:val="decimal"/>
      <w:lvlText w:val="%1."/>
      <w:lvlJc w:val="left"/>
      <w:pPr>
        <w:ind w:left="360" w:hanging="360"/>
      </w:pPr>
      <w:rPr>
        <w:rFonts w:cs="Times New Roman"/>
      </w:rPr>
    </w:lvl>
    <w:lvl w:ilvl="1" w:tplc="08090001">
      <w:start w:val="1"/>
      <w:numFmt w:val="bullet"/>
      <w:lvlText w:val=""/>
      <w:lvlJc w:val="left"/>
      <w:pPr>
        <w:ind w:left="1080" w:hanging="360"/>
      </w:pPr>
      <w:rPr>
        <w:rFonts w:ascii="Symbol" w:hAnsi="Symbol" w:hint="default"/>
      </w:rPr>
    </w:lvl>
    <w:lvl w:ilvl="2" w:tplc="EC16C19A">
      <w:numFmt w:val="bullet"/>
      <w:lvlText w:val="•"/>
      <w:lvlJc w:val="left"/>
      <w:pPr>
        <w:ind w:left="2340" w:hanging="720"/>
      </w:pPr>
      <w:rPr>
        <w:rFonts w:ascii="Times New Roman" w:eastAsia="Times New Roman" w:hAnsi="Times New Roman" w:cs="Times New Roman" w:hint="default"/>
      </w:rPr>
    </w:lvl>
    <w:lvl w:ilvl="3" w:tplc="AC466752">
      <w:start w:val="19"/>
      <w:numFmt w:val="bullet"/>
      <w:lvlText w:val="-"/>
      <w:lvlJc w:val="left"/>
      <w:pPr>
        <w:ind w:left="2520" w:hanging="360"/>
      </w:pPr>
      <w:rPr>
        <w:rFonts w:ascii="Times New Roman" w:eastAsia="Times New Roman" w:hAnsi="Times New Roman" w:cs="Times New Roman"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514B7CB1"/>
    <w:multiLevelType w:val="hybridMultilevel"/>
    <w:tmpl w:val="0712B7FA"/>
    <w:lvl w:ilvl="0" w:tplc="001ED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C7C56"/>
    <w:multiLevelType w:val="hybridMultilevel"/>
    <w:tmpl w:val="64B869A6"/>
    <w:lvl w:ilvl="0" w:tplc="8A36BA8C">
      <w:numFmt w:val="bullet"/>
      <w:lvlText w:val=""/>
      <w:lvlJc w:val="left"/>
      <w:pPr>
        <w:ind w:left="360" w:hanging="360"/>
      </w:pPr>
      <w:rPr>
        <w:rFonts w:ascii="Symbol" w:eastAsia="Times New Roman" w:hAnsi="Symbol"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567D37AB"/>
    <w:multiLevelType w:val="hybridMultilevel"/>
    <w:tmpl w:val="AF54D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282356"/>
    <w:multiLevelType w:val="hybridMultilevel"/>
    <w:tmpl w:val="9F4E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5A2513"/>
    <w:multiLevelType w:val="hybridMultilevel"/>
    <w:tmpl w:val="3C1C7B8A"/>
    <w:lvl w:ilvl="0" w:tplc="48D688C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FC72DE3"/>
    <w:multiLevelType w:val="hybridMultilevel"/>
    <w:tmpl w:val="28801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A07CBB"/>
    <w:multiLevelType w:val="hybridMultilevel"/>
    <w:tmpl w:val="D0281760"/>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4872AB78">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9" w15:restartNumberingAfterBreak="0">
    <w:nsid w:val="6DD8544D"/>
    <w:multiLevelType w:val="hybridMultilevel"/>
    <w:tmpl w:val="8952B6A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0" w15:restartNumberingAfterBreak="0">
    <w:nsid w:val="7A5E3354"/>
    <w:multiLevelType w:val="hybridMultilevel"/>
    <w:tmpl w:val="C02002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A694F3E"/>
    <w:multiLevelType w:val="hybridMultilevel"/>
    <w:tmpl w:val="66C627DA"/>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5D20EB"/>
    <w:multiLevelType w:val="hybridMultilevel"/>
    <w:tmpl w:val="1F8EF210"/>
    <w:lvl w:ilvl="0" w:tplc="001ED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28"/>
  </w:num>
  <w:num w:numId="5">
    <w:abstractNumId w:val="15"/>
  </w:num>
  <w:num w:numId="6">
    <w:abstractNumId w:val="10"/>
  </w:num>
  <w:num w:numId="7">
    <w:abstractNumId w:val="24"/>
  </w:num>
  <w:num w:numId="8">
    <w:abstractNumId w:val="6"/>
  </w:num>
  <w:num w:numId="9">
    <w:abstractNumId w:val="27"/>
  </w:num>
  <w:num w:numId="10">
    <w:abstractNumId w:val="20"/>
  </w:num>
  <w:num w:numId="11">
    <w:abstractNumId w:val="18"/>
  </w:num>
  <w:num w:numId="12">
    <w:abstractNumId w:val="8"/>
  </w:num>
  <w:num w:numId="13">
    <w:abstractNumId w:val="5"/>
  </w:num>
  <w:num w:numId="14">
    <w:abstractNumId w:val="2"/>
  </w:num>
  <w:num w:numId="15">
    <w:abstractNumId w:val="26"/>
  </w:num>
  <w:num w:numId="16">
    <w:abstractNumId w:val="31"/>
  </w:num>
  <w:num w:numId="17">
    <w:abstractNumId w:val="11"/>
  </w:num>
  <w:num w:numId="18">
    <w:abstractNumId w:val="12"/>
  </w:num>
  <w:num w:numId="19">
    <w:abstractNumId w:val="22"/>
  </w:num>
  <w:num w:numId="20">
    <w:abstractNumId w:val="7"/>
  </w:num>
  <w:num w:numId="21">
    <w:abstractNumId w:val="29"/>
  </w:num>
  <w:num w:numId="22">
    <w:abstractNumId w:val="19"/>
  </w:num>
  <w:num w:numId="23">
    <w:abstractNumId w:val="32"/>
  </w:num>
  <w:num w:numId="24">
    <w:abstractNumId w:val="23"/>
  </w:num>
  <w:num w:numId="25">
    <w:abstractNumId w:val="14"/>
  </w:num>
  <w:num w:numId="26">
    <w:abstractNumId w:val="17"/>
  </w:num>
  <w:num w:numId="27">
    <w:abstractNumId w:val="30"/>
  </w:num>
  <w:num w:numId="28">
    <w:abstractNumId w:val="3"/>
  </w:num>
  <w:num w:numId="29">
    <w:abstractNumId w:val="16"/>
  </w:num>
  <w:num w:numId="30">
    <w:abstractNumId w:val="4"/>
  </w:num>
  <w:num w:numId="31">
    <w:abstractNumId w:val="21"/>
  </w:num>
  <w:num w:numId="32">
    <w:abstractNumId w:val="25"/>
  </w:num>
  <w:num w:numId="33">
    <w:abstractNumId w:val="9"/>
  </w:num>
  <w:num w:numId="34">
    <w:abstractNumId w:val="14"/>
  </w:num>
  <w:num w:numId="35">
    <w:abstractNumId w:val="28"/>
  </w:num>
  <w:num w:numId="36">
    <w:abstractNumId w:val="2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0"/>
  </w:num>
  <w:num w:numId="39">
    <w:abstractNumId w:val="1"/>
  </w:num>
  <w:num w:numId="40">
    <w:abstractNumId w:val="13"/>
  </w:num>
  <w:num w:numId="41">
    <w:abstractNumId w:val="15"/>
    <w:lvlOverride w:ilvl="0">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hideSpellingErrors/>
  <w:hideGrammaticalErrors/>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615E6E9-11A2-486E-9F97-6F1DD9D40200"/>
    <w:docVar w:name="LW_COVERPAGE_TYPE" w:val="1"/>
    <w:docVar w:name="LW_CROSSREFERENCE" w:val="&lt;UNUSED&gt;"/>
    <w:docVar w:name="LW_DocType" w:val="NORMAL"/>
    <w:docVar w:name="LW_EMISSION" w:val="13.11.2020"/>
    <w:docVar w:name="LW_EMISSION_ISODATE" w:val="2020-11-13"/>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BUD"/>
    <w:docVar w:name="LW_REF.II.NEW.CP_NUMBER" w:val="330"/>
    <w:docVar w:name="LW_REF.II.NEW.CP_YEAR" w:val="2020"/>
    <w:docVar w:name="LW_REF.INST.NEW" w:val="COM"/>
    <w:docVar w:name="LW_REF.INST.NEW_ADOPTED" w:val="final"/>
    <w:docVar w:name="LW_REF.INST.NEW_TEXT" w:val="(2020) 7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justements résultant du récent accord politique intervenu entre le Parlement européen et le Conseil concernant le cadre financier pluriannuel 2021-2027_x000d__x000b_Actualisation de l'estimation des besoins pour les dépenses agricoles_x000d__x000b_Autres ajustements et actualisations techniques&lt;FMT:Font=Microsoft Sans Serif&gt;_x000d__x000d__x000d__x000d__x000d__x000d__x000d__x000d__x000d__x000d__x000d__x000d__x000d__x000d__x000d__x000d__x000d_&lt;/FMT&gt;_x000d__x000b_&lt;FMT:Font=Microsoft Sans Serif&gt;_x000d__x000d__x000d__x000d__x000d__x000d__x000d__x000d__x000d__x000d__x000d__x000d__x000d__x000d__x000d__x000d__x000d_&lt;/FMT&gt;_x000d__x000b_"/>
    <w:docVar w:name="LW_TYPE.DOC.CP" w:val="LETTRE RECTIFICATIVE Nº 1 AU PROJET DE BUDGET GÉNÉRAL POUR L\u8217?EXERCICE 2021"/>
  </w:docVars>
  <w:rsids>
    <w:rsidRoot w:val="007119D4"/>
    <w:rsid w:val="007119D4"/>
    <w:rsid w:val="00EC0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9"/>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9"/>
    <w:rPr>
      <w:rFonts w:ascii="Arial" w:eastAsia="Times New Roman" w:hAnsi="Arial" w:cs="Arial"/>
      <w:b/>
      <w:bCs/>
      <w:i/>
      <w:sz w:val="26"/>
      <w:szCs w:val="26"/>
      <w:lang w:eastAsia="en-GB"/>
    </w:rPr>
  </w:style>
  <w:style w:type="character" w:customStyle="1" w:styleId="Heading4Char">
    <w:name w:val="Heading 4 Char"/>
    <w:basedOn w:val="DefaultParagraphFont"/>
    <w:link w:val="Heading4"/>
    <w:uiPriority w:val="99"/>
    <w:rPr>
      <w:rFonts w:ascii="Times New Roman" w:eastAsia="Times New Roman" w:hAnsi="Times New Roman" w:cs="Times New Roman"/>
      <w:b/>
      <w:bCs/>
      <w:sz w:val="24"/>
      <w:szCs w:val="28"/>
      <w:lang w:eastAsia="de-DE"/>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Char Char Char Char Char Char,Char Char Char"/>
    <w:basedOn w:val="Normal"/>
    <w:link w:val="FootnoteTextChar"/>
    <w:qFormat/>
    <w:pPr>
      <w:ind w:left="720" w:hanging="720"/>
      <w:jc w:val="both"/>
    </w:pPr>
    <w:rPr>
      <w:sz w:val="20"/>
      <w:szCs w:val="20"/>
      <w:lang w:eastAsia="de-D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
    <w:basedOn w:val="DefaultParagraphFont"/>
    <w:link w:val="FootnoteText"/>
    <w:rPr>
      <w:rFonts w:ascii="Times New Roman" w:eastAsia="Times New Roman" w:hAnsi="Times New Roman" w:cs="Times New Roman"/>
      <w:sz w:val="20"/>
      <w:szCs w:val="20"/>
      <w:lang w:val="fr-FR"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basedOn w:val="DefaultParagraphFont"/>
    <w:uiPriority w:val="99"/>
    <w:qFormat/>
    <w:rPr>
      <w:rFonts w:cs="Times New Roman"/>
      <w:vertAlign w:val="superscript"/>
    </w:rPr>
  </w:style>
  <w:style w:type="paragraph" w:customStyle="1" w:styleId="Text1">
    <w:name w:val="Text 1"/>
    <w:basedOn w:val="Normal"/>
    <w:uiPriority w:val="99"/>
    <w:pPr>
      <w:spacing w:before="120" w:after="120"/>
      <w:ind w:left="850"/>
      <w:jc w:val="both"/>
    </w:pPr>
    <w:rPr>
      <w:lang w:eastAsia="de-DE"/>
    </w:rPr>
  </w:style>
  <w:style w:type="paragraph" w:customStyle="1" w:styleId="Tiret0">
    <w:name w:val="Tiret 0"/>
    <w:basedOn w:val="Normal"/>
    <w:uiPriority w:val="99"/>
    <w:pPr>
      <w:numPr>
        <w:numId w:val="3"/>
      </w:numPr>
      <w:spacing w:before="120" w:after="120"/>
      <w:jc w:val="both"/>
    </w:pPr>
    <w:rPr>
      <w:lang w:eastAsia="de-DE"/>
    </w:rPr>
  </w:style>
  <w:style w:type="paragraph" w:customStyle="1" w:styleId="ManualHeading1">
    <w:name w:val="Manual Heading 1"/>
    <w:basedOn w:val="Normal"/>
    <w:next w:val="Text1"/>
    <w:uiPriority w:val="99"/>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uiPriority w:val="99"/>
    <w:pPr>
      <w:keepNext/>
      <w:numPr>
        <w:numId w:val="5"/>
      </w:numPr>
      <w:spacing w:before="360" w:after="120"/>
      <w:jc w:val="both"/>
      <w:outlineLvl w:val="1"/>
    </w:pPr>
    <w:rPr>
      <w:b/>
      <w:noProof/>
      <w:lang w:eastAsia="en-US"/>
    </w:rPr>
  </w:style>
  <w:style w:type="paragraph" w:customStyle="1" w:styleId="ListDash">
    <w:name w:val="List Dash"/>
    <w:basedOn w:val="Normal"/>
    <w:link w:val="ListDashChar"/>
    <w:uiPriority w:val="99"/>
    <w:pPr>
      <w:spacing w:before="120" w:after="120"/>
      <w:jc w:val="both"/>
    </w:pPr>
    <w:rPr>
      <w:szCs w:val="20"/>
      <w:lang w:eastAsia="de-DE"/>
    </w:rPr>
  </w:style>
  <w:style w:type="paragraph" w:styleId="TOCHeading">
    <w:name w:val="TOC Heading"/>
    <w:basedOn w:val="Normal"/>
    <w:next w:val="Normal"/>
    <w:uiPriority w:val="99"/>
    <w:qFormat/>
    <w:pPr>
      <w:spacing w:before="120" w:after="240"/>
      <w:jc w:val="center"/>
    </w:pPr>
    <w:rPr>
      <w:b/>
      <w:sz w:val="28"/>
      <w:lang w:eastAsia="de-DE"/>
    </w:rPr>
  </w:style>
  <w:style w:type="paragraph" w:customStyle="1" w:styleId="Prliminairetitre">
    <w:name w:val="Préliminaire titre"/>
    <w:basedOn w:val="Normal"/>
    <w:next w:val="Normal"/>
    <w:uiPriority w:val="99"/>
    <w:pPr>
      <w:spacing w:before="360" w:after="360"/>
      <w:jc w:val="center"/>
    </w:pPr>
    <w:rPr>
      <w:b/>
      <w:lang w:eastAsia="de-DE"/>
    </w:rPr>
  </w:style>
  <w:style w:type="paragraph" w:customStyle="1" w:styleId="Prliminairetype">
    <w:name w:val="Préliminaire type"/>
    <w:basedOn w:val="Normal"/>
    <w:next w:val="Normal"/>
    <w:uiPriority w:val="99"/>
    <w:pPr>
      <w:spacing w:before="360"/>
      <w:jc w:val="center"/>
    </w:pPr>
    <w:rPr>
      <w:b/>
      <w:lang w:eastAsia="de-DE"/>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spacing w:before="20" w:after="20"/>
      <w:ind w:left="709" w:hanging="469"/>
    </w:pPr>
    <w:rPr>
      <w:smallCaps/>
      <w:sz w:val="20"/>
      <w:szCs w:val="20"/>
    </w:rPr>
  </w:style>
  <w:style w:type="paragraph" w:styleId="TOC3">
    <w:name w:val="toc 3"/>
    <w:basedOn w:val="Normal"/>
    <w:next w:val="Normal"/>
    <w:autoRedefine/>
    <w:uiPriority w:val="39"/>
    <w:pPr>
      <w:tabs>
        <w:tab w:val="left" w:pos="1200"/>
        <w:tab w:val="right" w:leader="dot" w:pos="9061"/>
      </w:tabs>
      <w:ind w:left="1276" w:hanging="796"/>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4"/>
      </w:numPr>
      <w:spacing w:before="120" w:after="120"/>
      <w:jc w:val="both"/>
    </w:pPr>
    <w:rPr>
      <w:lang w:eastAsia="de-DE"/>
    </w:rPr>
  </w:style>
  <w:style w:type="paragraph" w:customStyle="1" w:styleId="ListDash2">
    <w:name w:val="List Dash 2"/>
    <w:basedOn w:val="Normal"/>
    <w:uiPriority w:val="99"/>
    <w:pPr>
      <w:tabs>
        <w:tab w:val="num" w:pos="1134"/>
      </w:tabs>
      <w:spacing w:before="120" w:after="120"/>
      <w:ind w:left="1134" w:hanging="283"/>
      <w:jc w:val="both"/>
    </w:pPr>
    <w:rPr>
      <w:lang w:eastAsia="de-DE"/>
    </w:rPr>
  </w:style>
  <w:style w:type="paragraph" w:customStyle="1" w:styleId="ListBullet1">
    <w:name w:val="List Bullet 1"/>
    <w:basedOn w:val="Text1"/>
    <w:uiPriority w:val="99"/>
    <w:pPr>
      <w:tabs>
        <w:tab w:val="num" w:pos="765"/>
      </w:tabs>
      <w:spacing w:before="0" w:after="240"/>
      <w:ind w:left="765" w:hanging="283"/>
    </w:pPr>
    <w:rPr>
      <w:szCs w:val="20"/>
      <w:lang w:eastAsia="en-US"/>
    </w:rPr>
  </w:style>
  <w:style w:type="paragraph" w:styleId="ListBullet2">
    <w:name w:val="List Bullet 2"/>
    <w:basedOn w:val="Normal"/>
    <w:uiPriority w:val="99"/>
    <w:pPr>
      <w:numPr>
        <w:numId w:val="6"/>
      </w:numPr>
      <w:spacing w:after="240"/>
      <w:jc w:val="both"/>
    </w:pPr>
    <w:rPr>
      <w:szCs w:val="20"/>
      <w:lang w:eastAsia="en-US"/>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lang w:eastAsia="en-US"/>
    </w:rPr>
  </w:style>
  <w:style w:type="paragraph" w:customStyle="1" w:styleId="Titreobjet">
    <w:name w:val="Titre objet"/>
    <w:basedOn w:val="Normal"/>
    <w:next w:val="Normal"/>
    <w:uiPriority w:val="99"/>
    <w:pPr>
      <w:spacing w:before="360" w:after="360"/>
      <w:jc w:val="center"/>
    </w:pPr>
    <w:rPr>
      <w:rFonts w:eastAsiaTheme="minorHAnsi"/>
      <w:b/>
      <w:szCs w:val="22"/>
      <w:lang w:eastAsia="en-US"/>
    </w:rPr>
  </w:style>
  <w:style w:type="character" w:styleId="Emphasis">
    <w:name w:val="Emphasis"/>
    <w:basedOn w:val="DefaultParagraphFont"/>
    <w:uiPriority w:val="20"/>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uiPriority w:val="99"/>
    <w:pPr>
      <w:numPr>
        <w:numId w:val="7"/>
      </w:numPr>
      <w:spacing w:before="120" w:after="120"/>
      <w:jc w:val="both"/>
    </w:pPr>
    <w:rPr>
      <w:lang w:eastAsia="de-DE"/>
    </w:rPr>
  </w:style>
  <w:style w:type="paragraph" w:customStyle="1" w:styleId="ListNumberLevel2">
    <w:name w:val="List Number (Level 2)"/>
    <w:basedOn w:val="Normal"/>
    <w:uiPriority w:val="99"/>
    <w:pPr>
      <w:numPr>
        <w:ilvl w:val="1"/>
        <w:numId w:val="7"/>
      </w:numPr>
      <w:spacing w:before="120" w:after="120"/>
      <w:jc w:val="both"/>
    </w:pPr>
    <w:rPr>
      <w:lang w:eastAsia="de-DE"/>
    </w:rPr>
  </w:style>
  <w:style w:type="paragraph" w:customStyle="1" w:styleId="ListNumberLevel3">
    <w:name w:val="List Number (Level 3)"/>
    <w:basedOn w:val="Normal"/>
    <w:uiPriority w:val="99"/>
    <w:pPr>
      <w:numPr>
        <w:ilvl w:val="2"/>
        <w:numId w:val="7"/>
      </w:numPr>
      <w:spacing w:before="120" w:after="120"/>
      <w:jc w:val="both"/>
    </w:pPr>
    <w:rPr>
      <w:lang w:eastAsia="de-DE"/>
    </w:rPr>
  </w:style>
  <w:style w:type="paragraph" w:customStyle="1" w:styleId="ListNumberLevel4">
    <w:name w:val="List Number (Level 4)"/>
    <w:basedOn w:val="Normal"/>
    <w:uiPriority w:val="99"/>
    <w:pPr>
      <w:numPr>
        <w:ilvl w:val="3"/>
        <w:numId w:val="7"/>
      </w:numPr>
      <w:spacing w:before="120" w:after="120"/>
      <w:jc w:val="both"/>
    </w:pPr>
    <w:rPr>
      <w:lang w:eastAsia="de-DE"/>
    </w:rPr>
  </w:style>
  <w:style w:type="character" w:customStyle="1" w:styleId="ListDashChar">
    <w:name w:val="List Dash Char"/>
    <w:link w:val="ListDash"/>
    <w:uiPriority w:val="99"/>
    <w:locked/>
    <w:rPr>
      <w:rFonts w:ascii="Times New Roman" w:eastAsia="Times New Roman" w:hAnsi="Times New Roman" w:cs="Times New Roman"/>
      <w:sz w:val="24"/>
      <w:szCs w:val="20"/>
      <w:lang w:val="fr-FR" w:eastAsia="de-DE"/>
    </w:rPr>
  </w:style>
  <w:style w:type="paragraph" w:customStyle="1" w:styleId="StyleManualHeading2Italic">
    <w:name w:val="Style Manual Heading 2 + Italic"/>
    <w:basedOn w:val="ManualHeading2"/>
    <w:autoRedefine/>
    <w:uiPriority w:val="99"/>
    <w:pPr>
      <w:numPr>
        <w:numId w:val="0"/>
      </w:numPr>
      <w:spacing w:before="160" w:after="160"/>
    </w:pPr>
    <w:rPr>
      <w:bCs/>
      <w:i/>
      <w:iCs/>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Statut">
    <w:name w:val="Statut"/>
    <w:basedOn w:val="Normal"/>
    <w:next w:val="Typedudocument"/>
    <w:uiPriority w:val="99"/>
    <w:pPr>
      <w:spacing w:before="360"/>
      <w:jc w:val="center"/>
    </w:pPr>
    <w:rPr>
      <w:szCs w:val="22"/>
      <w:lang w:eastAsia="en-US"/>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8"/>
      </w:numPr>
      <w:spacing w:before="120" w:after="120"/>
      <w:jc w:val="both"/>
    </w:pPr>
    <w:rPr>
      <w:szCs w:val="22"/>
    </w:rPr>
  </w:style>
  <w:style w:type="paragraph" w:customStyle="1" w:styleId="Point1number">
    <w:name w:val="Point 1 (number)"/>
    <w:basedOn w:val="Normal"/>
    <w:uiPriority w:val="99"/>
    <w:pPr>
      <w:numPr>
        <w:ilvl w:val="2"/>
        <w:numId w:val="8"/>
      </w:numPr>
      <w:spacing w:before="120" w:after="120"/>
      <w:jc w:val="both"/>
    </w:pPr>
    <w:rPr>
      <w:szCs w:val="22"/>
    </w:rPr>
  </w:style>
  <w:style w:type="paragraph" w:customStyle="1" w:styleId="Point2number">
    <w:name w:val="Point 2 (number)"/>
    <w:basedOn w:val="Normal"/>
    <w:uiPriority w:val="99"/>
    <w:pPr>
      <w:numPr>
        <w:ilvl w:val="4"/>
        <w:numId w:val="8"/>
      </w:numPr>
      <w:spacing w:before="120" w:after="120"/>
      <w:jc w:val="both"/>
    </w:pPr>
    <w:rPr>
      <w:szCs w:val="22"/>
    </w:rPr>
  </w:style>
  <w:style w:type="paragraph" w:customStyle="1" w:styleId="Point3number">
    <w:name w:val="Point 3 (number)"/>
    <w:basedOn w:val="Normal"/>
    <w:uiPriority w:val="99"/>
    <w:pPr>
      <w:numPr>
        <w:ilvl w:val="6"/>
        <w:numId w:val="8"/>
      </w:numPr>
      <w:spacing w:before="120" w:after="120"/>
      <w:jc w:val="both"/>
    </w:pPr>
    <w:rPr>
      <w:szCs w:val="22"/>
    </w:rPr>
  </w:style>
  <w:style w:type="paragraph" w:customStyle="1" w:styleId="Point0letter">
    <w:name w:val="Point 0 (letter)"/>
    <w:basedOn w:val="Normal"/>
    <w:uiPriority w:val="99"/>
    <w:pPr>
      <w:numPr>
        <w:ilvl w:val="1"/>
        <w:numId w:val="8"/>
      </w:numPr>
      <w:spacing w:before="120" w:after="120"/>
      <w:jc w:val="both"/>
    </w:pPr>
    <w:rPr>
      <w:szCs w:val="22"/>
    </w:rPr>
  </w:style>
  <w:style w:type="paragraph" w:customStyle="1" w:styleId="Point1letter">
    <w:name w:val="Point 1 (letter)"/>
    <w:basedOn w:val="Normal"/>
    <w:uiPriority w:val="99"/>
    <w:pPr>
      <w:numPr>
        <w:ilvl w:val="3"/>
        <w:numId w:val="8"/>
      </w:numPr>
      <w:spacing w:before="120" w:after="120"/>
      <w:jc w:val="both"/>
    </w:pPr>
    <w:rPr>
      <w:szCs w:val="22"/>
    </w:rPr>
  </w:style>
  <w:style w:type="paragraph" w:customStyle="1" w:styleId="Point2letter">
    <w:name w:val="Point 2 (letter)"/>
    <w:basedOn w:val="Normal"/>
    <w:uiPriority w:val="99"/>
    <w:pPr>
      <w:numPr>
        <w:ilvl w:val="5"/>
        <w:numId w:val="8"/>
      </w:numPr>
      <w:spacing w:before="120" w:after="120"/>
      <w:jc w:val="both"/>
    </w:pPr>
    <w:rPr>
      <w:szCs w:val="22"/>
    </w:rPr>
  </w:style>
  <w:style w:type="paragraph" w:customStyle="1" w:styleId="Point3letter">
    <w:name w:val="Point 3 (letter)"/>
    <w:basedOn w:val="Normal"/>
    <w:uiPriority w:val="99"/>
    <w:pPr>
      <w:numPr>
        <w:ilvl w:val="7"/>
        <w:numId w:val="8"/>
      </w:numPr>
      <w:spacing w:before="120" w:after="120"/>
      <w:jc w:val="both"/>
    </w:pPr>
    <w:rPr>
      <w:szCs w:val="22"/>
    </w:rPr>
  </w:style>
  <w:style w:type="paragraph" w:customStyle="1" w:styleId="Point4letter">
    <w:name w:val="Point 4 (letter)"/>
    <w:basedOn w:val="Normal"/>
    <w:uiPriority w:val="99"/>
    <w:pPr>
      <w:numPr>
        <w:ilvl w:val="8"/>
        <w:numId w:val="8"/>
      </w:numPr>
      <w:spacing w:before="120" w:after="120"/>
      <w:jc w:val="both"/>
    </w:pPr>
    <w:rPr>
      <w:szCs w:val="22"/>
    </w:rPr>
  </w:style>
  <w:style w:type="paragraph" w:customStyle="1" w:styleId="Tiret2">
    <w:name w:val="Tiret 2"/>
    <w:basedOn w:val="Normal"/>
    <w:uiPriority w:val="99"/>
    <w:pPr>
      <w:numPr>
        <w:numId w:val="9"/>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pPr>
      <w:spacing w:after="200" w:line="276" w:lineRule="auto"/>
      <w:ind w:left="720"/>
      <w:contextualSpacing/>
    </w:pPr>
    <w:rPr>
      <w:rFonts w:ascii="Calibri" w:eastAsia="MS Mincho" w:hAnsi="Calibri"/>
      <w:sz w:val="22"/>
      <w:szCs w:val="20"/>
      <w:lang w:eastAsia="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locked/>
    <w:rPr>
      <w:rFonts w:ascii="Calibri" w:eastAsia="MS Mincho" w:hAnsi="Calibri" w:cs="Times New Roman"/>
      <w:szCs w:val="20"/>
      <w:lang w:val="fr-FR" w:eastAsia="de-DE"/>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lang w:eastAsia="de-DE"/>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fr-FR" w:eastAsia="de-DE"/>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uiPriority w:val="9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lang w:eastAsia="en-US"/>
    </w:rPr>
  </w:style>
  <w:style w:type="paragraph" w:customStyle="1" w:styleId="Style1">
    <w:name w:val="Style1"/>
    <w:basedOn w:val="ManualHeading1"/>
    <w:autoRedefine/>
    <w:uiPriority w:val="99"/>
    <w:qFormat/>
    <w:pPr>
      <w:ind w:left="720" w:hanging="360"/>
    </w:pPr>
    <w:rPr>
      <w:noProof/>
    </w:rPr>
  </w:style>
  <w:style w:type="paragraph" w:customStyle="1" w:styleId="Style2">
    <w:name w:val="Style2"/>
    <w:basedOn w:val="ManualHeading2"/>
    <w:autoRedefine/>
    <w:uiPriority w:val="99"/>
    <w:qFormat/>
    <w:pPr>
      <w:numPr>
        <w:ilvl w:val="1"/>
        <w:numId w:val="13"/>
      </w:numPr>
    </w:pPr>
  </w:style>
  <w:style w:type="paragraph" w:customStyle="1" w:styleId="Style3">
    <w:name w:val="Style3"/>
    <w:basedOn w:val="ManualHeading1"/>
    <w:autoRedefine/>
    <w:uiPriority w:val="99"/>
    <w:qFormat/>
    <w:pPr>
      <w:numPr>
        <w:numId w:val="12"/>
      </w:numPr>
    </w:pPr>
    <w:rPr>
      <w:noProof/>
    </w:rPr>
  </w:style>
  <w:style w:type="paragraph" w:customStyle="1" w:styleId="CM1">
    <w:name w:val="CM1"/>
    <w:basedOn w:val="Default"/>
    <w:next w:val="Default"/>
    <w:uiPriority w:val="99"/>
    <w:rPr>
      <w:rFonts w:ascii="KOJOD P+ Adv T T 5843c 571" w:hAnsi="KOJOD P+ Adv T T 5843c 571"/>
      <w:color w:val="auto"/>
      <w:lang w:eastAsia="de-DE"/>
    </w:rPr>
  </w:style>
  <w:style w:type="paragraph" w:customStyle="1" w:styleId="CM3">
    <w:name w:val="CM3"/>
    <w:basedOn w:val="Default"/>
    <w:next w:val="Default"/>
    <w:uiPriority w:val="99"/>
    <w:rPr>
      <w:rFonts w:ascii="KOJOD P+ Adv T T 5843c 571" w:hAnsi="KOJOD P+ Adv T T 5843c 571"/>
      <w:color w:val="auto"/>
      <w:lang w:eastAsia="de-DE"/>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Pagedecouverture">
    <w:name w:val="Titre objet (Page de couverture)"/>
    <w:basedOn w:val="Titreobjet"/>
    <w:next w:val="Normal"/>
    <w:uiPriority w:val="99"/>
  </w:style>
  <w:style w:type="paragraph" w:customStyle="1" w:styleId="Declassification">
    <w:name w:val="Declassification"/>
    <w:basedOn w:val="Normal"/>
    <w:next w:val="Normal"/>
    <w:uiPriority w:val="99"/>
    <w:pPr>
      <w:jc w:val="both"/>
    </w:pPr>
    <w:rPr>
      <w:rFonts w:eastAsiaTheme="minorHAnsi"/>
      <w:szCs w:val="22"/>
      <w:lang w:eastAsia="en-US"/>
    </w:rPr>
  </w:style>
  <w:style w:type="paragraph" w:customStyle="1" w:styleId="HeaderLandscape">
    <w:name w:val="HeaderLandscape"/>
    <w:basedOn w:val="Normal"/>
    <w:uiPriority w:val="99"/>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uiPriority w:val="99"/>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uiPriority w:val="99"/>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uiPriority w:val="99"/>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st">
    <w:name w:val="st"/>
    <w:basedOn w:val="DefaultParagraphFont"/>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4"/>
      <w:lang w:eastAsia="en-GB"/>
    </w:rPr>
  </w:style>
  <w:style w:type="character" w:customStyle="1" w:styleId="acopre">
    <w:name w:val="acopre"/>
    <w:basedOn w:val="DefaultParagraphFont"/>
  </w:style>
  <w:style w:type="paragraph" w:customStyle="1" w:styleId="msonormal0">
    <w:name w:val="msonormal"/>
    <w:basedOn w:val="Normal"/>
    <w:uiPriority w:val="99"/>
    <w:pPr>
      <w:spacing w:before="100" w:beforeAutospacing="1" w:after="100" w:afterAutospacing="1"/>
    </w:p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1 Char Char1,Footnote Text Char Char Char1 Char Char1"/>
    <w:basedOn w:val="DefaultParagraphFont"/>
    <w:semiHidden/>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0731">
      <w:bodyDiv w:val="1"/>
      <w:marLeft w:val="0"/>
      <w:marRight w:val="0"/>
      <w:marTop w:val="0"/>
      <w:marBottom w:val="0"/>
      <w:divBdr>
        <w:top w:val="none" w:sz="0" w:space="0" w:color="auto"/>
        <w:left w:val="none" w:sz="0" w:space="0" w:color="auto"/>
        <w:bottom w:val="none" w:sz="0" w:space="0" w:color="auto"/>
        <w:right w:val="none" w:sz="0" w:space="0" w:color="auto"/>
      </w:divBdr>
    </w:div>
    <w:div w:id="100801549">
      <w:bodyDiv w:val="1"/>
      <w:marLeft w:val="0"/>
      <w:marRight w:val="0"/>
      <w:marTop w:val="0"/>
      <w:marBottom w:val="0"/>
      <w:divBdr>
        <w:top w:val="none" w:sz="0" w:space="0" w:color="auto"/>
        <w:left w:val="none" w:sz="0" w:space="0" w:color="auto"/>
        <w:bottom w:val="none" w:sz="0" w:space="0" w:color="auto"/>
        <w:right w:val="none" w:sz="0" w:space="0" w:color="auto"/>
      </w:divBdr>
    </w:div>
    <w:div w:id="118183194">
      <w:bodyDiv w:val="1"/>
      <w:marLeft w:val="0"/>
      <w:marRight w:val="0"/>
      <w:marTop w:val="0"/>
      <w:marBottom w:val="0"/>
      <w:divBdr>
        <w:top w:val="none" w:sz="0" w:space="0" w:color="auto"/>
        <w:left w:val="none" w:sz="0" w:space="0" w:color="auto"/>
        <w:bottom w:val="none" w:sz="0" w:space="0" w:color="auto"/>
        <w:right w:val="none" w:sz="0" w:space="0" w:color="auto"/>
      </w:divBdr>
    </w:div>
    <w:div w:id="144780543">
      <w:bodyDiv w:val="1"/>
      <w:marLeft w:val="0"/>
      <w:marRight w:val="0"/>
      <w:marTop w:val="0"/>
      <w:marBottom w:val="0"/>
      <w:divBdr>
        <w:top w:val="none" w:sz="0" w:space="0" w:color="auto"/>
        <w:left w:val="none" w:sz="0" w:space="0" w:color="auto"/>
        <w:bottom w:val="none" w:sz="0" w:space="0" w:color="auto"/>
        <w:right w:val="none" w:sz="0" w:space="0" w:color="auto"/>
      </w:divBdr>
    </w:div>
    <w:div w:id="146629716">
      <w:bodyDiv w:val="1"/>
      <w:marLeft w:val="0"/>
      <w:marRight w:val="0"/>
      <w:marTop w:val="0"/>
      <w:marBottom w:val="0"/>
      <w:divBdr>
        <w:top w:val="none" w:sz="0" w:space="0" w:color="auto"/>
        <w:left w:val="none" w:sz="0" w:space="0" w:color="auto"/>
        <w:bottom w:val="none" w:sz="0" w:space="0" w:color="auto"/>
        <w:right w:val="none" w:sz="0" w:space="0" w:color="auto"/>
      </w:divBdr>
    </w:div>
    <w:div w:id="161823401">
      <w:bodyDiv w:val="1"/>
      <w:marLeft w:val="0"/>
      <w:marRight w:val="0"/>
      <w:marTop w:val="0"/>
      <w:marBottom w:val="0"/>
      <w:divBdr>
        <w:top w:val="none" w:sz="0" w:space="0" w:color="auto"/>
        <w:left w:val="none" w:sz="0" w:space="0" w:color="auto"/>
        <w:bottom w:val="none" w:sz="0" w:space="0" w:color="auto"/>
        <w:right w:val="none" w:sz="0" w:space="0" w:color="auto"/>
      </w:divBdr>
    </w:div>
    <w:div w:id="170419442">
      <w:bodyDiv w:val="1"/>
      <w:marLeft w:val="0"/>
      <w:marRight w:val="0"/>
      <w:marTop w:val="0"/>
      <w:marBottom w:val="0"/>
      <w:divBdr>
        <w:top w:val="none" w:sz="0" w:space="0" w:color="auto"/>
        <w:left w:val="none" w:sz="0" w:space="0" w:color="auto"/>
        <w:bottom w:val="none" w:sz="0" w:space="0" w:color="auto"/>
        <w:right w:val="none" w:sz="0" w:space="0" w:color="auto"/>
      </w:divBdr>
    </w:div>
    <w:div w:id="172570039">
      <w:bodyDiv w:val="1"/>
      <w:marLeft w:val="0"/>
      <w:marRight w:val="0"/>
      <w:marTop w:val="0"/>
      <w:marBottom w:val="0"/>
      <w:divBdr>
        <w:top w:val="none" w:sz="0" w:space="0" w:color="auto"/>
        <w:left w:val="none" w:sz="0" w:space="0" w:color="auto"/>
        <w:bottom w:val="none" w:sz="0" w:space="0" w:color="auto"/>
        <w:right w:val="none" w:sz="0" w:space="0" w:color="auto"/>
      </w:divBdr>
    </w:div>
    <w:div w:id="230769782">
      <w:bodyDiv w:val="1"/>
      <w:marLeft w:val="0"/>
      <w:marRight w:val="0"/>
      <w:marTop w:val="0"/>
      <w:marBottom w:val="0"/>
      <w:divBdr>
        <w:top w:val="none" w:sz="0" w:space="0" w:color="auto"/>
        <w:left w:val="none" w:sz="0" w:space="0" w:color="auto"/>
        <w:bottom w:val="none" w:sz="0" w:space="0" w:color="auto"/>
        <w:right w:val="none" w:sz="0" w:space="0" w:color="auto"/>
      </w:divBdr>
    </w:div>
    <w:div w:id="251937083">
      <w:bodyDiv w:val="1"/>
      <w:marLeft w:val="0"/>
      <w:marRight w:val="0"/>
      <w:marTop w:val="0"/>
      <w:marBottom w:val="0"/>
      <w:divBdr>
        <w:top w:val="none" w:sz="0" w:space="0" w:color="auto"/>
        <w:left w:val="none" w:sz="0" w:space="0" w:color="auto"/>
        <w:bottom w:val="none" w:sz="0" w:space="0" w:color="auto"/>
        <w:right w:val="none" w:sz="0" w:space="0" w:color="auto"/>
      </w:divBdr>
    </w:div>
    <w:div w:id="258220463">
      <w:bodyDiv w:val="1"/>
      <w:marLeft w:val="0"/>
      <w:marRight w:val="0"/>
      <w:marTop w:val="0"/>
      <w:marBottom w:val="0"/>
      <w:divBdr>
        <w:top w:val="none" w:sz="0" w:space="0" w:color="auto"/>
        <w:left w:val="none" w:sz="0" w:space="0" w:color="auto"/>
        <w:bottom w:val="none" w:sz="0" w:space="0" w:color="auto"/>
        <w:right w:val="none" w:sz="0" w:space="0" w:color="auto"/>
      </w:divBdr>
    </w:div>
    <w:div w:id="263734906">
      <w:bodyDiv w:val="1"/>
      <w:marLeft w:val="0"/>
      <w:marRight w:val="0"/>
      <w:marTop w:val="0"/>
      <w:marBottom w:val="0"/>
      <w:divBdr>
        <w:top w:val="none" w:sz="0" w:space="0" w:color="auto"/>
        <w:left w:val="none" w:sz="0" w:space="0" w:color="auto"/>
        <w:bottom w:val="none" w:sz="0" w:space="0" w:color="auto"/>
        <w:right w:val="none" w:sz="0" w:space="0" w:color="auto"/>
      </w:divBdr>
    </w:div>
    <w:div w:id="302198510">
      <w:bodyDiv w:val="1"/>
      <w:marLeft w:val="0"/>
      <w:marRight w:val="0"/>
      <w:marTop w:val="0"/>
      <w:marBottom w:val="0"/>
      <w:divBdr>
        <w:top w:val="none" w:sz="0" w:space="0" w:color="auto"/>
        <w:left w:val="none" w:sz="0" w:space="0" w:color="auto"/>
        <w:bottom w:val="none" w:sz="0" w:space="0" w:color="auto"/>
        <w:right w:val="none" w:sz="0" w:space="0" w:color="auto"/>
      </w:divBdr>
    </w:div>
    <w:div w:id="352000930">
      <w:bodyDiv w:val="1"/>
      <w:marLeft w:val="0"/>
      <w:marRight w:val="0"/>
      <w:marTop w:val="0"/>
      <w:marBottom w:val="0"/>
      <w:divBdr>
        <w:top w:val="none" w:sz="0" w:space="0" w:color="auto"/>
        <w:left w:val="none" w:sz="0" w:space="0" w:color="auto"/>
        <w:bottom w:val="none" w:sz="0" w:space="0" w:color="auto"/>
        <w:right w:val="none" w:sz="0" w:space="0" w:color="auto"/>
      </w:divBdr>
    </w:div>
    <w:div w:id="354353186">
      <w:bodyDiv w:val="1"/>
      <w:marLeft w:val="0"/>
      <w:marRight w:val="0"/>
      <w:marTop w:val="0"/>
      <w:marBottom w:val="0"/>
      <w:divBdr>
        <w:top w:val="none" w:sz="0" w:space="0" w:color="auto"/>
        <w:left w:val="none" w:sz="0" w:space="0" w:color="auto"/>
        <w:bottom w:val="none" w:sz="0" w:space="0" w:color="auto"/>
        <w:right w:val="none" w:sz="0" w:space="0" w:color="auto"/>
      </w:divBdr>
    </w:div>
    <w:div w:id="361790386">
      <w:bodyDiv w:val="1"/>
      <w:marLeft w:val="0"/>
      <w:marRight w:val="0"/>
      <w:marTop w:val="0"/>
      <w:marBottom w:val="0"/>
      <w:divBdr>
        <w:top w:val="none" w:sz="0" w:space="0" w:color="auto"/>
        <w:left w:val="none" w:sz="0" w:space="0" w:color="auto"/>
        <w:bottom w:val="none" w:sz="0" w:space="0" w:color="auto"/>
        <w:right w:val="none" w:sz="0" w:space="0" w:color="auto"/>
      </w:divBdr>
    </w:div>
    <w:div w:id="367877917">
      <w:bodyDiv w:val="1"/>
      <w:marLeft w:val="0"/>
      <w:marRight w:val="0"/>
      <w:marTop w:val="0"/>
      <w:marBottom w:val="0"/>
      <w:divBdr>
        <w:top w:val="none" w:sz="0" w:space="0" w:color="auto"/>
        <w:left w:val="none" w:sz="0" w:space="0" w:color="auto"/>
        <w:bottom w:val="none" w:sz="0" w:space="0" w:color="auto"/>
        <w:right w:val="none" w:sz="0" w:space="0" w:color="auto"/>
      </w:divBdr>
    </w:div>
    <w:div w:id="380905164">
      <w:bodyDiv w:val="1"/>
      <w:marLeft w:val="0"/>
      <w:marRight w:val="0"/>
      <w:marTop w:val="0"/>
      <w:marBottom w:val="0"/>
      <w:divBdr>
        <w:top w:val="none" w:sz="0" w:space="0" w:color="auto"/>
        <w:left w:val="none" w:sz="0" w:space="0" w:color="auto"/>
        <w:bottom w:val="none" w:sz="0" w:space="0" w:color="auto"/>
        <w:right w:val="none" w:sz="0" w:space="0" w:color="auto"/>
      </w:divBdr>
    </w:div>
    <w:div w:id="381052452">
      <w:bodyDiv w:val="1"/>
      <w:marLeft w:val="0"/>
      <w:marRight w:val="0"/>
      <w:marTop w:val="0"/>
      <w:marBottom w:val="0"/>
      <w:divBdr>
        <w:top w:val="none" w:sz="0" w:space="0" w:color="auto"/>
        <w:left w:val="none" w:sz="0" w:space="0" w:color="auto"/>
        <w:bottom w:val="none" w:sz="0" w:space="0" w:color="auto"/>
        <w:right w:val="none" w:sz="0" w:space="0" w:color="auto"/>
      </w:divBdr>
    </w:div>
    <w:div w:id="427698571">
      <w:bodyDiv w:val="1"/>
      <w:marLeft w:val="0"/>
      <w:marRight w:val="0"/>
      <w:marTop w:val="0"/>
      <w:marBottom w:val="0"/>
      <w:divBdr>
        <w:top w:val="none" w:sz="0" w:space="0" w:color="auto"/>
        <w:left w:val="none" w:sz="0" w:space="0" w:color="auto"/>
        <w:bottom w:val="none" w:sz="0" w:space="0" w:color="auto"/>
        <w:right w:val="none" w:sz="0" w:space="0" w:color="auto"/>
      </w:divBdr>
    </w:div>
    <w:div w:id="449472512">
      <w:bodyDiv w:val="1"/>
      <w:marLeft w:val="0"/>
      <w:marRight w:val="0"/>
      <w:marTop w:val="0"/>
      <w:marBottom w:val="0"/>
      <w:divBdr>
        <w:top w:val="none" w:sz="0" w:space="0" w:color="auto"/>
        <w:left w:val="none" w:sz="0" w:space="0" w:color="auto"/>
        <w:bottom w:val="none" w:sz="0" w:space="0" w:color="auto"/>
        <w:right w:val="none" w:sz="0" w:space="0" w:color="auto"/>
      </w:divBdr>
    </w:div>
    <w:div w:id="642539164">
      <w:bodyDiv w:val="1"/>
      <w:marLeft w:val="0"/>
      <w:marRight w:val="0"/>
      <w:marTop w:val="0"/>
      <w:marBottom w:val="0"/>
      <w:divBdr>
        <w:top w:val="none" w:sz="0" w:space="0" w:color="auto"/>
        <w:left w:val="none" w:sz="0" w:space="0" w:color="auto"/>
        <w:bottom w:val="none" w:sz="0" w:space="0" w:color="auto"/>
        <w:right w:val="none" w:sz="0" w:space="0" w:color="auto"/>
      </w:divBdr>
    </w:div>
    <w:div w:id="676158493">
      <w:bodyDiv w:val="1"/>
      <w:marLeft w:val="0"/>
      <w:marRight w:val="0"/>
      <w:marTop w:val="0"/>
      <w:marBottom w:val="0"/>
      <w:divBdr>
        <w:top w:val="none" w:sz="0" w:space="0" w:color="auto"/>
        <w:left w:val="none" w:sz="0" w:space="0" w:color="auto"/>
        <w:bottom w:val="none" w:sz="0" w:space="0" w:color="auto"/>
        <w:right w:val="none" w:sz="0" w:space="0" w:color="auto"/>
      </w:divBdr>
    </w:div>
    <w:div w:id="697702338">
      <w:bodyDiv w:val="1"/>
      <w:marLeft w:val="0"/>
      <w:marRight w:val="0"/>
      <w:marTop w:val="0"/>
      <w:marBottom w:val="0"/>
      <w:divBdr>
        <w:top w:val="none" w:sz="0" w:space="0" w:color="auto"/>
        <w:left w:val="none" w:sz="0" w:space="0" w:color="auto"/>
        <w:bottom w:val="none" w:sz="0" w:space="0" w:color="auto"/>
        <w:right w:val="none" w:sz="0" w:space="0" w:color="auto"/>
      </w:divBdr>
    </w:div>
    <w:div w:id="700017239">
      <w:bodyDiv w:val="1"/>
      <w:marLeft w:val="0"/>
      <w:marRight w:val="0"/>
      <w:marTop w:val="0"/>
      <w:marBottom w:val="0"/>
      <w:divBdr>
        <w:top w:val="none" w:sz="0" w:space="0" w:color="auto"/>
        <w:left w:val="none" w:sz="0" w:space="0" w:color="auto"/>
        <w:bottom w:val="none" w:sz="0" w:space="0" w:color="auto"/>
        <w:right w:val="none" w:sz="0" w:space="0" w:color="auto"/>
      </w:divBdr>
    </w:div>
    <w:div w:id="705300457">
      <w:bodyDiv w:val="1"/>
      <w:marLeft w:val="0"/>
      <w:marRight w:val="0"/>
      <w:marTop w:val="0"/>
      <w:marBottom w:val="0"/>
      <w:divBdr>
        <w:top w:val="none" w:sz="0" w:space="0" w:color="auto"/>
        <w:left w:val="none" w:sz="0" w:space="0" w:color="auto"/>
        <w:bottom w:val="none" w:sz="0" w:space="0" w:color="auto"/>
        <w:right w:val="none" w:sz="0" w:space="0" w:color="auto"/>
      </w:divBdr>
    </w:div>
    <w:div w:id="707684414">
      <w:bodyDiv w:val="1"/>
      <w:marLeft w:val="0"/>
      <w:marRight w:val="0"/>
      <w:marTop w:val="0"/>
      <w:marBottom w:val="0"/>
      <w:divBdr>
        <w:top w:val="none" w:sz="0" w:space="0" w:color="auto"/>
        <w:left w:val="none" w:sz="0" w:space="0" w:color="auto"/>
        <w:bottom w:val="none" w:sz="0" w:space="0" w:color="auto"/>
        <w:right w:val="none" w:sz="0" w:space="0" w:color="auto"/>
      </w:divBdr>
    </w:div>
    <w:div w:id="783036941">
      <w:bodyDiv w:val="1"/>
      <w:marLeft w:val="0"/>
      <w:marRight w:val="0"/>
      <w:marTop w:val="0"/>
      <w:marBottom w:val="0"/>
      <w:divBdr>
        <w:top w:val="none" w:sz="0" w:space="0" w:color="auto"/>
        <w:left w:val="none" w:sz="0" w:space="0" w:color="auto"/>
        <w:bottom w:val="none" w:sz="0" w:space="0" w:color="auto"/>
        <w:right w:val="none" w:sz="0" w:space="0" w:color="auto"/>
      </w:divBdr>
    </w:div>
    <w:div w:id="797182144">
      <w:bodyDiv w:val="1"/>
      <w:marLeft w:val="0"/>
      <w:marRight w:val="0"/>
      <w:marTop w:val="0"/>
      <w:marBottom w:val="0"/>
      <w:divBdr>
        <w:top w:val="none" w:sz="0" w:space="0" w:color="auto"/>
        <w:left w:val="none" w:sz="0" w:space="0" w:color="auto"/>
        <w:bottom w:val="none" w:sz="0" w:space="0" w:color="auto"/>
        <w:right w:val="none" w:sz="0" w:space="0" w:color="auto"/>
      </w:divBdr>
    </w:div>
    <w:div w:id="803549771">
      <w:bodyDiv w:val="1"/>
      <w:marLeft w:val="0"/>
      <w:marRight w:val="0"/>
      <w:marTop w:val="0"/>
      <w:marBottom w:val="0"/>
      <w:divBdr>
        <w:top w:val="none" w:sz="0" w:space="0" w:color="auto"/>
        <w:left w:val="none" w:sz="0" w:space="0" w:color="auto"/>
        <w:bottom w:val="none" w:sz="0" w:space="0" w:color="auto"/>
        <w:right w:val="none" w:sz="0" w:space="0" w:color="auto"/>
      </w:divBdr>
    </w:div>
    <w:div w:id="883835045">
      <w:bodyDiv w:val="1"/>
      <w:marLeft w:val="0"/>
      <w:marRight w:val="0"/>
      <w:marTop w:val="0"/>
      <w:marBottom w:val="0"/>
      <w:divBdr>
        <w:top w:val="none" w:sz="0" w:space="0" w:color="auto"/>
        <w:left w:val="none" w:sz="0" w:space="0" w:color="auto"/>
        <w:bottom w:val="none" w:sz="0" w:space="0" w:color="auto"/>
        <w:right w:val="none" w:sz="0" w:space="0" w:color="auto"/>
      </w:divBdr>
    </w:div>
    <w:div w:id="895968351">
      <w:bodyDiv w:val="1"/>
      <w:marLeft w:val="0"/>
      <w:marRight w:val="0"/>
      <w:marTop w:val="0"/>
      <w:marBottom w:val="0"/>
      <w:divBdr>
        <w:top w:val="none" w:sz="0" w:space="0" w:color="auto"/>
        <w:left w:val="none" w:sz="0" w:space="0" w:color="auto"/>
        <w:bottom w:val="none" w:sz="0" w:space="0" w:color="auto"/>
        <w:right w:val="none" w:sz="0" w:space="0" w:color="auto"/>
      </w:divBdr>
    </w:div>
    <w:div w:id="962880849">
      <w:bodyDiv w:val="1"/>
      <w:marLeft w:val="0"/>
      <w:marRight w:val="0"/>
      <w:marTop w:val="0"/>
      <w:marBottom w:val="0"/>
      <w:divBdr>
        <w:top w:val="none" w:sz="0" w:space="0" w:color="auto"/>
        <w:left w:val="none" w:sz="0" w:space="0" w:color="auto"/>
        <w:bottom w:val="none" w:sz="0" w:space="0" w:color="auto"/>
        <w:right w:val="none" w:sz="0" w:space="0" w:color="auto"/>
      </w:divBdr>
    </w:div>
    <w:div w:id="988560726">
      <w:bodyDiv w:val="1"/>
      <w:marLeft w:val="0"/>
      <w:marRight w:val="0"/>
      <w:marTop w:val="0"/>
      <w:marBottom w:val="0"/>
      <w:divBdr>
        <w:top w:val="none" w:sz="0" w:space="0" w:color="auto"/>
        <w:left w:val="none" w:sz="0" w:space="0" w:color="auto"/>
        <w:bottom w:val="none" w:sz="0" w:space="0" w:color="auto"/>
        <w:right w:val="none" w:sz="0" w:space="0" w:color="auto"/>
      </w:divBdr>
    </w:div>
    <w:div w:id="1047218506">
      <w:bodyDiv w:val="1"/>
      <w:marLeft w:val="0"/>
      <w:marRight w:val="0"/>
      <w:marTop w:val="0"/>
      <w:marBottom w:val="0"/>
      <w:divBdr>
        <w:top w:val="none" w:sz="0" w:space="0" w:color="auto"/>
        <w:left w:val="none" w:sz="0" w:space="0" w:color="auto"/>
        <w:bottom w:val="none" w:sz="0" w:space="0" w:color="auto"/>
        <w:right w:val="none" w:sz="0" w:space="0" w:color="auto"/>
      </w:divBdr>
    </w:div>
    <w:div w:id="1166870647">
      <w:bodyDiv w:val="1"/>
      <w:marLeft w:val="0"/>
      <w:marRight w:val="0"/>
      <w:marTop w:val="0"/>
      <w:marBottom w:val="0"/>
      <w:divBdr>
        <w:top w:val="none" w:sz="0" w:space="0" w:color="auto"/>
        <w:left w:val="none" w:sz="0" w:space="0" w:color="auto"/>
        <w:bottom w:val="none" w:sz="0" w:space="0" w:color="auto"/>
        <w:right w:val="none" w:sz="0" w:space="0" w:color="auto"/>
      </w:divBdr>
      <w:divsChild>
        <w:div w:id="1197425566">
          <w:marLeft w:val="0"/>
          <w:marRight w:val="0"/>
          <w:marTop w:val="0"/>
          <w:marBottom w:val="0"/>
          <w:divBdr>
            <w:top w:val="none" w:sz="0" w:space="0" w:color="auto"/>
            <w:left w:val="none" w:sz="0" w:space="0" w:color="auto"/>
            <w:bottom w:val="none" w:sz="0" w:space="0" w:color="auto"/>
            <w:right w:val="none" w:sz="0" w:space="0" w:color="auto"/>
          </w:divBdr>
          <w:divsChild>
            <w:div w:id="319162477">
              <w:marLeft w:val="0"/>
              <w:marRight w:val="0"/>
              <w:marTop w:val="0"/>
              <w:marBottom w:val="0"/>
              <w:divBdr>
                <w:top w:val="none" w:sz="0" w:space="0" w:color="auto"/>
                <w:left w:val="none" w:sz="0" w:space="0" w:color="auto"/>
                <w:bottom w:val="none" w:sz="0" w:space="0" w:color="auto"/>
                <w:right w:val="none" w:sz="0" w:space="0" w:color="auto"/>
              </w:divBdr>
              <w:divsChild>
                <w:div w:id="4780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02622">
      <w:bodyDiv w:val="1"/>
      <w:marLeft w:val="0"/>
      <w:marRight w:val="0"/>
      <w:marTop w:val="0"/>
      <w:marBottom w:val="0"/>
      <w:divBdr>
        <w:top w:val="none" w:sz="0" w:space="0" w:color="auto"/>
        <w:left w:val="none" w:sz="0" w:space="0" w:color="auto"/>
        <w:bottom w:val="none" w:sz="0" w:space="0" w:color="auto"/>
        <w:right w:val="none" w:sz="0" w:space="0" w:color="auto"/>
      </w:divBdr>
      <w:divsChild>
        <w:div w:id="1517381040">
          <w:marLeft w:val="0"/>
          <w:marRight w:val="0"/>
          <w:marTop w:val="0"/>
          <w:marBottom w:val="0"/>
          <w:divBdr>
            <w:top w:val="none" w:sz="0" w:space="0" w:color="auto"/>
            <w:left w:val="none" w:sz="0" w:space="0" w:color="auto"/>
            <w:bottom w:val="none" w:sz="0" w:space="0" w:color="auto"/>
            <w:right w:val="none" w:sz="0" w:space="0" w:color="auto"/>
          </w:divBdr>
          <w:divsChild>
            <w:div w:id="17802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81074">
      <w:bodyDiv w:val="1"/>
      <w:marLeft w:val="0"/>
      <w:marRight w:val="0"/>
      <w:marTop w:val="0"/>
      <w:marBottom w:val="0"/>
      <w:divBdr>
        <w:top w:val="none" w:sz="0" w:space="0" w:color="auto"/>
        <w:left w:val="none" w:sz="0" w:space="0" w:color="auto"/>
        <w:bottom w:val="none" w:sz="0" w:space="0" w:color="auto"/>
        <w:right w:val="none" w:sz="0" w:space="0" w:color="auto"/>
      </w:divBdr>
    </w:div>
    <w:div w:id="1191987678">
      <w:bodyDiv w:val="1"/>
      <w:marLeft w:val="0"/>
      <w:marRight w:val="0"/>
      <w:marTop w:val="0"/>
      <w:marBottom w:val="0"/>
      <w:divBdr>
        <w:top w:val="none" w:sz="0" w:space="0" w:color="auto"/>
        <w:left w:val="none" w:sz="0" w:space="0" w:color="auto"/>
        <w:bottom w:val="none" w:sz="0" w:space="0" w:color="auto"/>
        <w:right w:val="none" w:sz="0" w:space="0" w:color="auto"/>
      </w:divBdr>
    </w:div>
    <w:div w:id="1215234627">
      <w:bodyDiv w:val="1"/>
      <w:marLeft w:val="0"/>
      <w:marRight w:val="0"/>
      <w:marTop w:val="0"/>
      <w:marBottom w:val="0"/>
      <w:divBdr>
        <w:top w:val="none" w:sz="0" w:space="0" w:color="auto"/>
        <w:left w:val="none" w:sz="0" w:space="0" w:color="auto"/>
        <w:bottom w:val="none" w:sz="0" w:space="0" w:color="auto"/>
        <w:right w:val="none" w:sz="0" w:space="0" w:color="auto"/>
      </w:divBdr>
    </w:div>
    <w:div w:id="1215895553">
      <w:bodyDiv w:val="1"/>
      <w:marLeft w:val="0"/>
      <w:marRight w:val="0"/>
      <w:marTop w:val="0"/>
      <w:marBottom w:val="0"/>
      <w:divBdr>
        <w:top w:val="none" w:sz="0" w:space="0" w:color="auto"/>
        <w:left w:val="none" w:sz="0" w:space="0" w:color="auto"/>
        <w:bottom w:val="none" w:sz="0" w:space="0" w:color="auto"/>
        <w:right w:val="none" w:sz="0" w:space="0" w:color="auto"/>
      </w:divBdr>
    </w:div>
    <w:div w:id="1229656472">
      <w:bodyDiv w:val="1"/>
      <w:marLeft w:val="0"/>
      <w:marRight w:val="0"/>
      <w:marTop w:val="0"/>
      <w:marBottom w:val="0"/>
      <w:divBdr>
        <w:top w:val="none" w:sz="0" w:space="0" w:color="auto"/>
        <w:left w:val="none" w:sz="0" w:space="0" w:color="auto"/>
        <w:bottom w:val="none" w:sz="0" w:space="0" w:color="auto"/>
        <w:right w:val="none" w:sz="0" w:space="0" w:color="auto"/>
      </w:divBdr>
    </w:div>
    <w:div w:id="1278565576">
      <w:bodyDiv w:val="1"/>
      <w:marLeft w:val="0"/>
      <w:marRight w:val="0"/>
      <w:marTop w:val="0"/>
      <w:marBottom w:val="0"/>
      <w:divBdr>
        <w:top w:val="none" w:sz="0" w:space="0" w:color="auto"/>
        <w:left w:val="none" w:sz="0" w:space="0" w:color="auto"/>
        <w:bottom w:val="none" w:sz="0" w:space="0" w:color="auto"/>
        <w:right w:val="none" w:sz="0" w:space="0" w:color="auto"/>
      </w:divBdr>
    </w:div>
    <w:div w:id="1289629196">
      <w:bodyDiv w:val="1"/>
      <w:marLeft w:val="0"/>
      <w:marRight w:val="0"/>
      <w:marTop w:val="0"/>
      <w:marBottom w:val="0"/>
      <w:divBdr>
        <w:top w:val="none" w:sz="0" w:space="0" w:color="auto"/>
        <w:left w:val="none" w:sz="0" w:space="0" w:color="auto"/>
        <w:bottom w:val="none" w:sz="0" w:space="0" w:color="auto"/>
        <w:right w:val="none" w:sz="0" w:space="0" w:color="auto"/>
      </w:divBdr>
    </w:div>
    <w:div w:id="1296181019">
      <w:bodyDiv w:val="1"/>
      <w:marLeft w:val="0"/>
      <w:marRight w:val="0"/>
      <w:marTop w:val="0"/>
      <w:marBottom w:val="0"/>
      <w:divBdr>
        <w:top w:val="none" w:sz="0" w:space="0" w:color="auto"/>
        <w:left w:val="none" w:sz="0" w:space="0" w:color="auto"/>
        <w:bottom w:val="none" w:sz="0" w:space="0" w:color="auto"/>
        <w:right w:val="none" w:sz="0" w:space="0" w:color="auto"/>
      </w:divBdr>
    </w:div>
    <w:div w:id="1297561529">
      <w:bodyDiv w:val="1"/>
      <w:marLeft w:val="0"/>
      <w:marRight w:val="0"/>
      <w:marTop w:val="0"/>
      <w:marBottom w:val="0"/>
      <w:divBdr>
        <w:top w:val="none" w:sz="0" w:space="0" w:color="auto"/>
        <w:left w:val="none" w:sz="0" w:space="0" w:color="auto"/>
        <w:bottom w:val="none" w:sz="0" w:space="0" w:color="auto"/>
        <w:right w:val="none" w:sz="0" w:space="0" w:color="auto"/>
      </w:divBdr>
    </w:div>
    <w:div w:id="1306819201">
      <w:bodyDiv w:val="1"/>
      <w:marLeft w:val="0"/>
      <w:marRight w:val="0"/>
      <w:marTop w:val="0"/>
      <w:marBottom w:val="0"/>
      <w:divBdr>
        <w:top w:val="none" w:sz="0" w:space="0" w:color="auto"/>
        <w:left w:val="none" w:sz="0" w:space="0" w:color="auto"/>
        <w:bottom w:val="none" w:sz="0" w:space="0" w:color="auto"/>
        <w:right w:val="none" w:sz="0" w:space="0" w:color="auto"/>
      </w:divBdr>
    </w:div>
    <w:div w:id="1331983426">
      <w:bodyDiv w:val="1"/>
      <w:marLeft w:val="0"/>
      <w:marRight w:val="0"/>
      <w:marTop w:val="0"/>
      <w:marBottom w:val="0"/>
      <w:divBdr>
        <w:top w:val="none" w:sz="0" w:space="0" w:color="auto"/>
        <w:left w:val="none" w:sz="0" w:space="0" w:color="auto"/>
        <w:bottom w:val="none" w:sz="0" w:space="0" w:color="auto"/>
        <w:right w:val="none" w:sz="0" w:space="0" w:color="auto"/>
      </w:divBdr>
    </w:div>
    <w:div w:id="1424834332">
      <w:bodyDiv w:val="1"/>
      <w:marLeft w:val="0"/>
      <w:marRight w:val="0"/>
      <w:marTop w:val="0"/>
      <w:marBottom w:val="0"/>
      <w:divBdr>
        <w:top w:val="none" w:sz="0" w:space="0" w:color="auto"/>
        <w:left w:val="none" w:sz="0" w:space="0" w:color="auto"/>
        <w:bottom w:val="none" w:sz="0" w:space="0" w:color="auto"/>
        <w:right w:val="none" w:sz="0" w:space="0" w:color="auto"/>
      </w:divBdr>
    </w:div>
    <w:div w:id="1431271280">
      <w:bodyDiv w:val="1"/>
      <w:marLeft w:val="0"/>
      <w:marRight w:val="0"/>
      <w:marTop w:val="0"/>
      <w:marBottom w:val="0"/>
      <w:divBdr>
        <w:top w:val="none" w:sz="0" w:space="0" w:color="auto"/>
        <w:left w:val="none" w:sz="0" w:space="0" w:color="auto"/>
        <w:bottom w:val="none" w:sz="0" w:space="0" w:color="auto"/>
        <w:right w:val="none" w:sz="0" w:space="0" w:color="auto"/>
      </w:divBdr>
    </w:div>
    <w:div w:id="1445613035">
      <w:bodyDiv w:val="1"/>
      <w:marLeft w:val="0"/>
      <w:marRight w:val="0"/>
      <w:marTop w:val="0"/>
      <w:marBottom w:val="0"/>
      <w:divBdr>
        <w:top w:val="none" w:sz="0" w:space="0" w:color="auto"/>
        <w:left w:val="none" w:sz="0" w:space="0" w:color="auto"/>
        <w:bottom w:val="none" w:sz="0" w:space="0" w:color="auto"/>
        <w:right w:val="none" w:sz="0" w:space="0" w:color="auto"/>
      </w:divBdr>
    </w:div>
    <w:div w:id="1465656486">
      <w:bodyDiv w:val="1"/>
      <w:marLeft w:val="0"/>
      <w:marRight w:val="0"/>
      <w:marTop w:val="0"/>
      <w:marBottom w:val="0"/>
      <w:divBdr>
        <w:top w:val="none" w:sz="0" w:space="0" w:color="auto"/>
        <w:left w:val="none" w:sz="0" w:space="0" w:color="auto"/>
        <w:bottom w:val="none" w:sz="0" w:space="0" w:color="auto"/>
        <w:right w:val="none" w:sz="0" w:space="0" w:color="auto"/>
      </w:divBdr>
    </w:div>
    <w:div w:id="1475760442">
      <w:bodyDiv w:val="1"/>
      <w:marLeft w:val="0"/>
      <w:marRight w:val="0"/>
      <w:marTop w:val="0"/>
      <w:marBottom w:val="0"/>
      <w:divBdr>
        <w:top w:val="none" w:sz="0" w:space="0" w:color="auto"/>
        <w:left w:val="none" w:sz="0" w:space="0" w:color="auto"/>
        <w:bottom w:val="none" w:sz="0" w:space="0" w:color="auto"/>
        <w:right w:val="none" w:sz="0" w:space="0" w:color="auto"/>
      </w:divBdr>
    </w:div>
    <w:div w:id="1482384682">
      <w:bodyDiv w:val="1"/>
      <w:marLeft w:val="0"/>
      <w:marRight w:val="0"/>
      <w:marTop w:val="0"/>
      <w:marBottom w:val="0"/>
      <w:divBdr>
        <w:top w:val="none" w:sz="0" w:space="0" w:color="auto"/>
        <w:left w:val="none" w:sz="0" w:space="0" w:color="auto"/>
        <w:bottom w:val="none" w:sz="0" w:space="0" w:color="auto"/>
        <w:right w:val="none" w:sz="0" w:space="0" w:color="auto"/>
      </w:divBdr>
    </w:div>
    <w:div w:id="1485122562">
      <w:bodyDiv w:val="1"/>
      <w:marLeft w:val="0"/>
      <w:marRight w:val="0"/>
      <w:marTop w:val="0"/>
      <w:marBottom w:val="0"/>
      <w:divBdr>
        <w:top w:val="none" w:sz="0" w:space="0" w:color="auto"/>
        <w:left w:val="none" w:sz="0" w:space="0" w:color="auto"/>
        <w:bottom w:val="none" w:sz="0" w:space="0" w:color="auto"/>
        <w:right w:val="none" w:sz="0" w:space="0" w:color="auto"/>
      </w:divBdr>
    </w:div>
    <w:div w:id="1498837865">
      <w:bodyDiv w:val="1"/>
      <w:marLeft w:val="0"/>
      <w:marRight w:val="0"/>
      <w:marTop w:val="0"/>
      <w:marBottom w:val="0"/>
      <w:divBdr>
        <w:top w:val="none" w:sz="0" w:space="0" w:color="auto"/>
        <w:left w:val="none" w:sz="0" w:space="0" w:color="auto"/>
        <w:bottom w:val="none" w:sz="0" w:space="0" w:color="auto"/>
        <w:right w:val="none" w:sz="0" w:space="0" w:color="auto"/>
      </w:divBdr>
    </w:div>
    <w:div w:id="1498888538">
      <w:bodyDiv w:val="1"/>
      <w:marLeft w:val="0"/>
      <w:marRight w:val="0"/>
      <w:marTop w:val="0"/>
      <w:marBottom w:val="0"/>
      <w:divBdr>
        <w:top w:val="none" w:sz="0" w:space="0" w:color="auto"/>
        <w:left w:val="none" w:sz="0" w:space="0" w:color="auto"/>
        <w:bottom w:val="none" w:sz="0" w:space="0" w:color="auto"/>
        <w:right w:val="none" w:sz="0" w:space="0" w:color="auto"/>
      </w:divBdr>
    </w:div>
    <w:div w:id="1545487842">
      <w:bodyDiv w:val="1"/>
      <w:marLeft w:val="0"/>
      <w:marRight w:val="0"/>
      <w:marTop w:val="0"/>
      <w:marBottom w:val="0"/>
      <w:divBdr>
        <w:top w:val="none" w:sz="0" w:space="0" w:color="auto"/>
        <w:left w:val="none" w:sz="0" w:space="0" w:color="auto"/>
        <w:bottom w:val="none" w:sz="0" w:space="0" w:color="auto"/>
        <w:right w:val="none" w:sz="0" w:space="0" w:color="auto"/>
      </w:divBdr>
    </w:div>
    <w:div w:id="1550799911">
      <w:bodyDiv w:val="1"/>
      <w:marLeft w:val="0"/>
      <w:marRight w:val="0"/>
      <w:marTop w:val="0"/>
      <w:marBottom w:val="0"/>
      <w:divBdr>
        <w:top w:val="none" w:sz="0" w:space="0" w:color="auto"/>
        <w:left w:val="none" w:sz="0" w:space="0" w:color="auto"/>
        <w:bottom w:val="none" w:sz="0" w:space="0" w:color="auto"/>
        <w:right w:val="none" w:sz="0" w:space="0" w:color="auto"/>
      </w:divBdr>
    </w:div>
    <w:div w:id="1561596928">
      <w:bodyDiv w:val="1"/>
      <w:marLeft w:val="0"/>
      <w:marRight w:val="0"/>
      <w:marTop w:val="0"/>
      <w:marBottom w:val="0"/>
      <w:divBdr>
        <w:top w:val="none" w:sz="0" w:space="0" w:color="auto"/>
        <w:left w:val="none" w:sz="0" w:space="0" w:color="auto"/>
        <w:bottom w:val="none" w:sz="0" w:space="0" w:color="auto"/>
        <w:right w:val="none" w:sz="0" w:space="0" w:color="auto"/>
      </w:divBdr>
    </w:div>
    <w:div w:id="1601059119">
      <w:bodyDiv w:val="1"/>
      <w:marLeft w:val="0"/>
      <w:marRight w:val="0"/>
      <w:marTop w:val="0"/>
      <w:marBottom w:val="0"/>
      <w:divBdr>
        <w:top w:val="none" w:sz="0" w:space="0" w:color="auto"/>
        <w:left w:val="none" w:sz="0" w:space="0" w:color="auto"/>
        <w:bottom w:val="none" w:sz="0" w:space="0" w:color="auto"/>
        <w:right w:val="none" w:sz="0" w:space="0" w:color="auto"/>
      </w:divBdr>
    </w:div>
    <w:div w:id="1629896554">
      <w:bodyDiv w:val="1"/>
      <w:marLeft w:val="0"/>
      <w:marRight w:val="0"/>
      <w:marTop w:val="0"/>
      <w:marBottom w:val="0"/>
      <w:divBdr>
        <w:top w:val="none" w:sz="0" w:space="0" w:color="auto"/>
        <w:left w:val="none" w:sz="0" w:space="0" w:color="auto"/>
        <w:bottom w:val="none" w:sz="0" w:space="0" w:color="auto"/>
        <w:right w:val="none" w:sz="0" w:space="0" w:color="auto"/>
      </w:divBdr>
    </w:div>
    <w:div w:id="1687826205">
      <w:bodyDiv w:val="1"/>
      <w:marLeft w:val="0"/>
      <w:marRight w:val="0"/>
      <w:marTop w:val="0"/>
      <w:marBottom w:val="0"/>
      <w:divBdr>
        <w:top w:val="none" w:sz="0" w:space="0" w:color="auto"/>
        <w:left w:val="none" w:sz="0" w:space="0" w:color="auto"/>
        <w:bottom w:val="none" w:sz="0" w:space="0" w:color="auto"/>
        <w:right w:val="none" w:sz="0" w:space="0" w:color="auto"/>
      </w:divBdr>
    </w:div>
    <w:div w:id="1693649028">
      <w:bodyDiv w:val="1"/>
      <w:marLeft w:val="0"/>
      <w:marRight w:val="0"/>
      <w:marTop w:val="0"/>
      <w:marBottom w:val="0"/>
      <w:divBdr>
        <w:top w:val="none" w:sz="0" w:space="0" w:color="auto"/>
        <w:left w:val="none" w:sz="0" w:space="0" w:color="auto"/>
        <w:bottom w:val="none" w:sz="0" w:space="0" w:color="auto"/>
        <w:right w:val="none" w:sz="0" w:space="0" w:color="auto"/>
      </w:divBdr>
    </w:div>
    <w:div w:id="1715537719">
      <w:bodyDiv w:val="1"/>
      <w:marLeft w:val="0"/>
      <w:marRight w:val="0"/>
      <w:marTop w:val="0"/>
      <w:marBottom w:val="0"/>
      <w:divBdr>
        <w:top w:val="none" w:sz="0" w:space="0" w:color="auto"/>
        <w:left w:val="none" w:sz="0" w:space="0" w:color="auto"/>
        <w:bottom w:val="none" w:sz="0" w:space="0" w:color="auto"/>
        <w:right w:val="none" w:sz="0" w:space="0" w:color="auto"/>
      </w:divBdr>
    </w:div>
    <w:div w:id="1725833797">
      <w:bodyDiv w:val="1"/>
      <w:marLeft w:val="0"/>
      <w:marRight w:val="0"/>
      <w:marTop w:val="0"/>
      <w:marBottom w:val="0"/>
      <w:divBdr>
        <w:top w:val="none" w:sz="0" w:space="0" w:color="auto"/>
        <w:left w:val="none" w:sz="0" w:space="0" w:color="auto"/>
        <w:bottom w:val="none" w:sz="0" w:space="0" w:color="auto"/>
        <w:right w:val="none" w:sz="0" w:space="0" w:color="auto"/>
      </w:divBdr>
    </w:div>
    <w:div w:id="1810438150">
      <w:bodyDiv w:val="1"/>
      <w:marLeft w:val="0"/>
      <w:marRight w:val="0"/>
      <w:marTop w:val="0"/>
      <w:marBottom w:val="0"/>
      <w:divBdr>
        <w:top w:val="none" w:sz="0" w:space="0" w:color="auto"/>
        <w:left w:val="none" w:sz="0" w:space="0" w:color="auto"/>
        <w:bottom w:val="none" w:sz="0" w:space="0" w:color="auto"/>
        <w:right w:val="none" w:sz="0" w:space="0" w:color="auto"/>
      </w:divBdr>
    </w:div>
    <w:div w:id="1816413424">
      <w:bodyDiv w:val="1"/>
      <w:marLeft w:val="0"/>
      <w:marRight w:val="0"/>
      <w:marTop w:val="0"/>
      <w:marBottom w:val="0"/>
      <w:divBdr>
        <w:top w:val="none" w:sz="0" w:space="0" w:color="auto"/>
        <w:left w:val="none" w:sz="0" w:space="0" w:color="auto"/>
        <w:bottom w:val="none" w:sz="0" w:space="0" w:color="auto"/>
        <w:right w:val="none" w:sz="0" w:space="0" w:color="auto"/>
      </w:divBdr>
    </w:div>
    <w:div w:id="1897084572">
      <w:bodyDiv w:val="1"/>
      <w:marLeft w:val="0"/>
      <w:marRight w:val="0"/>
      <w:marTop w:val="0"/>
      <w:marBottom w:val="0"/>
      <w:divBdr>
        <w:top w:val="none" w:sz="0" w:space="0" w:color="auto"/>
        <w:left w:val="none" w:sz="0" w:space="0" w:color="auto"/>
        <w:bottom w:val="none" w:sz="0" w:space="0" w:color="auto"/>
        <w:right w:val="none" w:sz="0" w:space="0" w:color="auto"/>
      </w:divBdr>
    </w:div>
    <w:div w:id="1923637665">
      <w:bodyDiv w:val="1"/>
      <w:marLeft w:val="0"/>
      <w:marRight w:val="0"/>
      <w:marTop w:val="0"/>
      <w:marBottom w:val="0"/>
      <w:divBdr>
        <w:top w:val="none" w:sz="0" w:space="0" w:color="auto"/>
        <w:left w:val="none" w:sz="0" w:space="0" w:color="auto"/>
        <w:bottom w:val="none" w:sz="0" w:space="0" w:color="auto"/>
        <w:right w:val="none" w:sz="0" w:space="0" w:color="auto"/>
      </w:divBdr>
    </w:div>
    <w:div w:id="1961449543">
      <w:bodyDiv w:val="1"/>
      <w:marLeft w:val="0"/>
      <w:marRight w:val="0"/>
      <w:marTop w:val="0"/>
      <w:marBottom w:val="0"/>
      <w:divBdr>
        <w:top w:val="none" w:sz="0" w:space="0" w:color="auto"/>
        <w:left w:val="none" w:sz="0" w:space="0" w:color="auto"/>
        <w:bottom w:val="none" w:sz="0" w:space="0" w:color="auto"/>
        <w:right w:val="none" w:sz="0" w:space="0" w:color="auto"/>
      </w:divBdr>
    </w:div>
    <w:div w:id="1972981541">
      <w:bodyDiv w:val="1"/>
      <w:marLeft w:val="0"/>
      <w:marRight w:val="0"/>
      <w:marTop w:val="0"/>
      <w:marBottom w:val="0"/>
      <w:divBdr>
        <w:top w:val="none" w:sz="0" w:space="0" w:color="auto"/>
        <w:left w:val="none" w:sz="0" w:space="0" w:color="auto"/>
        <w:bottom w:val="none" w:sz="0" w:space="0" w:color="auto"/>
        <w:right w:val="none" w:sz="0" w:space="0" w:color="auto"/>
      </w:divBdr>
    </w:div>
    <w:div w:id="1978298225">
      <w:bodyDiv w:val="1"/>
      <w:marLeft w:val="0"/>
      <w:marRight w:val="0"/>
      <w:marTop w:val="0"/>
      <w:marBottom w:val="0"/>
      <w:divBdr>
        <w:top w:val="none" w:sz="0" w:space="0" w:color="auto"/>
        <w:left w:val="none" w:sz="0" w:space="0" w:color="auto"/>
        <w:bottom w:val="none" w:sz="0" w:space="0" w:color="auto"/>
        <w:right w:val="none" w:sz="0" w:space="0" w:color="auto"/>
      </w:divBdr>
    </w:div>
    <w:div w:id="1981686913">
      <w:bodyDiv w:val="1"/>
      <w:marLeft w:val="0"/>
      <w:marRight w:val="0"/>
      <w:marTop w:val="0"/>
      <w:marBottom w:val="0"/>
      <w:divBdr>
        <w:top w:val="none" w:sz="0" w:space="0" w:color="auto"/>
        <w:left w:val="none" w:sz="0" w:space="0" w:color="auto"/>
        <w:bottom w:val="none" w:sz="0" w:space="0" w:color="auto"/>
        <w:right w:val="none" w:sz="0" w:space="0" w:color="auto"/>
      </w:divBdr>
    </w:div>
    <w:div w:id="1981837707">
      <w:bodyDiv w:val="1"/>
      <w:marLeft w:val="0"/>
      <w:marRight w:val="0"/>
      <w:marTop w:val="0"/>
      <w:marBottom w:val="0"/>
      <w:divBdr>
        <w:top w:val="none" w:sz="0" w:space="0" w:color="auto"/>
        <w:left w:val="none" w:sz="0" w:space="0" w:color="auto"/>
        <w:bottom w:val="none" w:sz="0" w:space="0" w:color="auto"/>
        <w:right w:val="none" w:sz="0" w:space="0" w:color="auto"/>
      </w:divBdr>
    </w:div>
    <w:div w:id="2090762236">
      <w:bodyDiv w:val="1"/>
      <w:marLeft w:val="0"/>
      <w:marRight w:val="0"/>
      <w:marTop w:val="0"/>
      <w:marBottom w:val="0"/>
      <w:divBdr>
        <w:top w:val="none" w:sz="0" w:space="0" w:color="auto"/>
        <w:left w:val="none" w:sz="0" w:space="0" w:color="auto"/>
        <w:bottom w:val="none" w:sz="0" w:space="0" w:color="auto"/>
        <w:right w:val="none" w:sz="0" w:space="0" w:color="auto"/>
      </w:divBdr>
    </w:div>
    <w:div w:id="2100325624">
      <w:bodyDiv w:val="1"/>
      <w:marLeft w:val="0"/>
      <w:marRight w:val="0"/>
      <w:marTop w:val="0"/>
      <w:marBottom w:val="0"/>
      <w:divBdr>
        <w:top w:val="none" w:sz="0" w:space="0" w:color="auto"/>
        <w:left w:val="none" w:sz="0" w:space="0" w:color="auto"/>
        <w:bottom w:val="none" w:sz="0" w:space="0" w:color="auto"/>
        <w:right w:val="none" w:sz="0" w:space="0" w:color="auto"/>
      </w:divBdr>
    </w:div>
    <w:div w:id="2117208286">
      <w:bodyDiv w:val="1"/>
      <w:marLeft w:val="0"/>
      <w:marRight w:val="0"/>
      <w:marTop w:val="0"/>
      <w:marBottom w:val="0"/>
      <w:divBdr>
        <w:top w:val="none" w:sz="0" w:space="0" w:color="auto"/>
        <w:left w:val="none" w:sz="0" w:space="0" w:color="auto"/>
        <w:bottom w:val="none" w:sz="0" w:space="0" w:color="auto"/>
        <w:right w:val="none" w:sz="0" w:space="0" w:color="auto"/>
      </w:divBdr>
    </w:div>
    <w:div w:id="211747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http://eur-lex.europa.eu/budget/www/index-fr.htm" TargetMode="External"/><Relationship Id="rId23" Type="http://schemas.openxmlformats.org/officeDocument/2006/relationships/header" Target="header8.xml"/><Relationship Id="rId28" Type="http://schemas.openxmlformats.org/officeDocument/2006/relationships/hyperlink" Target="file:///C:\Users\SZYMAMA\AppData\Local\Microsoft\Windows\INetCache\Content.MSO\ADC3D516.xlsx"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A9DBF-A4EB-4B5E-A022-18661F24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14714</Words>
  <Characters>77988</Characters>
  <Application>Microsoft Office Word</Application>
  <DocSecurity>0</DocSecurity>
  <Lines>2599</Lines>
  <Paragraphs>1545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2020-11-16T09:39:00Z</dcterms:created>
  <dcterms:modified xsi:type="dcterms:W3CDTF">2020-11-16T13:20:00Z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CP-035</vt:lpwstr>
  </property>
</Properties>
</file>