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57" w:rsidRDefault="00E45FF1" w:rsidP="00E45FF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1DCE197-2957-47E5-B260-FED49AF10057" style="width:450.6pt;height:402.6pt">
            <v:imagedata r:id="rId8" o:title=""/>
          </v:shape>
        </w:pict>
      </w:r>
    </w:p>
    <w:bookmarkEnd w:id="0"/>
    <w:p w:rsidR="00763157" w:rsidRDefault="00763157">
      <w:pPr>
        <w:rPr>
          <w:noProof/>
        </w:rPr>
        <w:sectPr w:rsidR="00763157" w:rsidSect="00E45FF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763157" w:rsidRDefault="00E45FF1">
      <w:pPr>
        <w:rPr>
          <w:noProof/>
        </w:rPr>
      </w:pPr>
      <w:bookmarkStart w:id="1" w:name="_GoBack"/>
      <w:bookmarkEnd w:id="1"/>
      <w:r>
        <w:rPr>
          <w:noProof/>
        </w:rPr>
        <w:lastRenderedPageBreak/>
        <w:t>Като взе предвид:</w:t>
      </w:r>
    </w:p>
    <w:p w:rsidR="00763157" w:rsidRDefault="00E45FF1">
      <w:pPr>
        <w:pStyle w:val="Tiret0"/>
        <w:tabs>
          <w:tab w:val="clear" w:pos="850"/>
          <w:tab w:val="num" w:pos="1004"/>
        </w:tabs>
        <w:rPr>
          <w:noProof/>
        </w:rPr>
      </w:pPr>
      <w:r>
        <w:rPr>
          <w:noProof/>
        </w:rPr>
        <w:t xml:space="preserve">Договора за функционирането на Европейския съюз, и по-специално член 314 от него, във връзка с Договора за създаване на </w:t>
      </w:r>
      <w:r>
        <w:rPr>
          <w:noProof/>
        </w:rPr>
        <w:t>Европейската общност за атомна енергия, и по-специално член 106а от него,</w:t>
      </w:r>
    </w:p>
    <w:p w:rsidR="00763157" w:rsidRDefault="00E45FF1">
      <w:pPr>
        <w:pStyle w:val="Tiret0"/>
        <w:tabs>
          <w:tab w:val="clear" w:pos="850"/>
          <w:tab w:val="num" w:pos="927"/>
        </w:tabs>
        <w:rPr>
          <w:rFonts w:cs="Arial"/>
          <w:noProof/>
          <w:szCs w:val="18"/>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2"/>
      </w:r>
      <w:r>
        <w:rPr>
          <w:noProof/>
        </w:rPr>
        <w:t xml:space="preserve">, и по-специално член 42 от </w:t>
      </w:r>
      <w:r>
        <w:rPr>
          <w:noProof/>
        </w:rPr>
        <w:t>него,</w:t>
      </w:r>
    </w:p>
    <w:p w:rsidR="00763157" w:rsidRDefault="00E45FF1">
      <w:pPr>
        <w:pStyle w:val="Tiret0"/>
        <w:tabs>
          <w:tab w:val="clear" w:pos="850"/>
          <w:tab w:val="num" w:pos="927"/>
        </w:tabs>
        <w:rPr>
          <w:noProof/>
        </w:rPr>
      </w:pPr>
      <w:r>
        <w:rPr>
          <w:noProof/>
        </w:rPr>
        <w:t>проекта на общ бюджет на Европейския съюз за 2021 финансова година, приет от Комисията на 27 юли 2020 г.</w:t>
      </w:r>
      <w:r>
        <w:rPr>
          <w:rStyle w:val="FootnoteReference"/>
          <w:noProof/>
        </w:rPr>
        <w:footnoteReference w:id="3"/>
      </w:r>
      <w:r>
        <w:rPr>
          <w:noProof/>
        </w:rPr>
        <w:t>,</w:t>
      </w:r>
    </w:p>
    <w:p w:rsidR="00763157" w:rsidRDefault="00E45FF1">
      <w:pPr>
        <w:spacing w:after="600"/>
        <w:jc w:val="both"/>
        <w:rPr>
          <w:noProof/>
        </w:rPr>
      </w:pPr>
      <w:r>
        <w:rPr>
          <w:noProof/>
        </w:rPr>
        <w:t xml:space="preserve">С настоящото Европейската комисия представя на Европейския парламент и на Съвета писмо за внасяне на корекции № 1 към проекта на общ бюджет на </w:t>
      </w:r>
      <w:r>
        <w:rPr>
          <w:noProof/>
        </w:rPr>
        <w:t>Европейския съюз за 2021 финансова година поради причините, изложени в обяснителния меморандум.</w:t>
      </w:r>
    </w:p>
    <w:p w:rsidR="00763157" w:rsidRDefault="00E45FF1">
      <w:pPr>
        <w:spacing w:after="240"/>
        <w:jc w:val="both"/>
        <w:rPr>
          <w:b/>
          <w:noProof/>
          <w:u w:val="single"/>
        </w:rPr>
      </w:pPr>
      <w:r>
        <w:rPr>
          <w:b/>
          <w:noProof/>
          <w:u w:val="single"/>
        </w:rPr>
        <w:t>ПРОМЕНИ В ПРИХОДНАТА И РАЗХОДНАТА ЧАСТ НА БЮДЖЕТА ПО РАЗДЕЛИ</w:t>
      </w:r>
    </w:p>
    <w:p w:rsidR="00763157" w:rsidRDefault="00E45FF1">
      <w:pPr>
        <w:jc w:val="both"/>
        <w:rPr>
          <w:noProof/>
        </w:rPr>
      </w:pPr>
      <w:r>
        <w:rPr>
          <w:noProof/>
        </w:rPr>
        <w:t>Промените в общата разходна и приходна част, както и в приходната и разходната част на бюджета по р</w:t>
      </w:r>
      <w:r>
        <w:rPr>
          <w:noProof/>
        </w:rPr>
        <w:t>аздели са достъпни в EUR-Lex (</w:t>
      </w:r>
      <w:hyperlink r:id="rId15" w:history="1">
        <w:r>
          <w:rPr>
            <w:rStyle w:val="Hyperlink"/>
            <w:noProof/>
            <w:color w:val="auto"/>
          </w:rPr>
          <w:t>https://eur-lex.europa.eu/budget/www/index-bg.htm</w:t>
        </w:r>
      </w:hyperlink>
      <w:r>
        <w:rPr>
          <w:noProof/>
        </w:rPr>
        <w:t>). За информация като бюджетно приложение се прилага версия на английски език на промените в тези части.</w:t>
      </w:r>
    </w:p>
    <w:p w:rsidR="00763157" w:rsidRDefault="00763157">
      <w:pPr>
        <w:rPr>
          <w:noProof/>
        </w:rPr>
        <w:sectPr w:rsidR="00763157">
          <w:headerReference w:type="even" r:id="rId16"/>
          <w:headerReference w:type="default" r:id="rId17"/>
          <w:footerReference w:type="even" r:id="rId18"/>
          <w:footerReference w:type="default" r:id="rId19"/>
          <w:headerReference w:type="first" r:id="rId20"/>
          <w:footerReference w:type="first" r:id="rId21"/>
          <w:pgSz w:w="11907" w:h="16839"/>
          <w:pgMar w:top="1418" w:right="1418" w:bottom="1418" w:left="1418" w:header="709" w:footer="709" w:gutter="0"/>
          <w:cols w:space="720"/>
          <w:docGrid w:linePitch="360"/>
        </w:sectPr>
      </w:pPr>
    </w:p>
    <w:p w:rsidR="00763157" w:rsidRDefault="00E45FF1">
      <w:pPr>
        <w:pStyle w:val="TOCHeading"/>
        <w:spacing w:before="0" w:after="0"/>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СЪДЪРЖАНИЕ</w:t>
      </w:r>
    </w:p>
    <w:p w:rsidR="00763157" w:rsidRDefault="00E45FF1">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r>
        <w:rPr>
          <w:rFonts w:ascii="10" w:hAnsi="10"/>
          <w:noProof/>
          <w:sz w:val="18"/>
          <w:szCs w:val="18"/>
        </w:rPr>
        <w:fldChar w:fldCharType="begin"/>
      </w:r>
      <w:r>
        <w:rPr>
          <w:rFonts w:ascii="10" w:hAnsi="10"/>
          <w:noProof/>
          <w:sz w:val="18"/>
          <w:szCs w:val="18"/>
        </w:rPr>
        <w:instrText xml:space="preserve"> TOC \o "1-3" \h \z \u </w:instrText>
      </w:r>
      <w:r>
        <w:rPr>
          <w:rFonts w:ascii="10" w:hAnsi="10"/>
          <w:noProof/>
          <w:sz w:val="18"/>
          <w:szCs w:val="18"/>
        </w:rPr>
        <w:fldChar w:fldCharType="separate"/>
      </w:r>
      <w:hyperlink w:anchor="_Toc56247293" w:history="1">
        <w:r>
          <w:rPr>
            <w:rStyle w:val="Hyperlink"/>
            <w:noProof/>
          </w:rPr>
          <w:t>1.</w:t>
        </w:r>
        <w:r>
          <w:rPr>
            <w:rFonts w:asciiTheme="minorHAnsi" w:eastAsiaTheme="minorEastAsia" w:hAnsiTheme="minorHAnsi" w:cstheme="minorBidi"/>
            <w:b w:val="0"/>
            <w:bCs w:val="0"/>
            <w:caps w:val="0"/>
            <w:noProof/>
            <w:sz w:val="22"/>
            <w:szCs w:val="22"/>
            <w:lang w:val="en-US" w:eastAsia="en-US"/>
          </w:rPr>
          <w:tab/>
        </w:r>
        <w:r>
          <w:rPr>
            <w:rStyle w:val="Hyperlink"/>
            <w:noProof/>
          </w:rPr>
          <w:t>Въведение</w:t>
        </w:r>
        <w:r>
          <w:rPr>
            <w:noProof/>
            <w:webHidden/>
          </w:rPr>
          <w:tab/>
        </w:r>
        <w:r>
          <w:rPr>
            <w:noProof/>
            <w:webHidden/>
          </w:rPr>
          <w:fldChar w:fldCharType="begin"/>
        </w:r>
        <w:r>
          <w:rPr>
            <w:noProof/>
            <w:webHidden/>
          </w:rPr>
          <w:instrText xml:space="preserve"> PAGEREF _Toc56247293 \h </w:instrText>
        </w:r>
        <w:r>
          <w:rPr>
            <w:noProof/>
            <w:webHidden/>
          </w:rPr>
        </w:r>
        <w:r>
          <w:rPr>
            <w:noProof/>
            <w:webHidden/>
          </w:rPr>
          <w:fldChar w:fldCharType="separate"/>
        </w:r>
        <w:r>
          <w:rPr>
            <w:noProof/>
            <w:webHidden/>
          </w:rPr>
          <w:t>4</w:t>
        </w:r>
        <w:r>
          <w:rPr>
            <w:noProof/>
            <w:webHidden/>
          </w:rPr>
          <w:fldChar w:fldCharType="end"/>
        </w:r>
      </w:hyperlink>
    </w:p>
    <w:p w:rsidR="00763157" w:rsidRDefault="00E45FF1">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247294" w:history="1">
        <w:r>
          <w:rPr>
            <w:rStyle w:val="Hyperlink"/>
            <w:noProof/>
          </w:rPr>
          <w:t>2.</w:t>
        </w:r>
        <w:r>
          <w:rPr>
            <w:rFonts w:asciiTheme="minorHAnsi" w:eastAsiaTheme="minorEastAsia" w:hAnsiTheme="minorHAnsi" w:cstheme="minorBidi"/>
            <w:b w:val="0"/>
            <w:bCs w:val="0"/>
            <w:caps w:val="0"/>
            <w:noProof/>
            <w:sz w:val="22"/>
            <w:szCs w:val="22"/>
            <w:lang w:val="en-US" w:eastAsia="en-US"/>
          </w:rPr>
          <w:tab/>
        </w:r>
        <w:r>
          <w:rPr>
            <w:rStyle w:val="Hyperlink"/>
            <w:noProof/>
          </w:rPr>
          <w:t>Отражение на споразумението за следващата МФР върху проектобюджета за 2021 г.</w:t>
        </w:r>
        <w:r>
          <w:rPr>
            <w:noProof/>
            <w:webHidden/>
          </w:rPr>
          <w:tab/>
        </w:r>
        <w:r>
          <w:rPr>
            <w:noProof/>
            <w:webHidden/>
          </w:rPr>
          <w:fldChar w:fldCharType="begin"/>
        </w:r>
        <w:r>
          <w:rPr>
            <w:noProof/>
            <w:webHidden/>
          </w:rPr>
          <w:instrText xml:space="preserve"> PAGEREF _Toc56247294 \h </w:instrText>
        </w:r>
        <w:r>
          <w:rPr>
            <w:noProof/>
            <w:webHidden/>
          </w:rPr>
        </w:r>
        <w:r>
          <w:rPr>
            <w:noProof/>
            <w:webHidden/>
          </w:rPr>
          <w:fldChar w:fldCharType="separate"/>
        </w:r>
        <w:r>
          <w:rPr>
            <w:noProof/>
            <w:webHidden/>
          </w:rPr>
          <w:t>5</w:t>
        </w:r>
        <w:r>
          <w:rPr>
            <w:noProof/>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295" w:history="1">
        <w:r>
          <w:rPr>
            <w:rStyle w:val="Hyperlink"/>
          </w:rPr>
          <w:t xml:space="preserve">2.1 </w:t>
        </w:r>
        <w:r>
          <w:rPr>
            <w:rFonts w:asciiTheme="minorHAnsi" w:eastAsiaTheme="minorEastAsia" w:hAnsiTheme="minorHAnsi" w:cstheme="minorBidi"/>
            <w:sz w:val="22"/>
            <w:szCs w:val="22"/>
            <w:lang w:val="en-US" w:eastAsia="en-US"/>
          </w:rPr>
          <w:tab/>
        </w:r>
        <w:r>
          <w:rPr>
            <w:rStyle w:val="Hyperlink"/>
          </w:rPr>
          <w:t>Корекции вследствие на споразумението на Европейския съвет от юли 2020 г.</w:t>
        </w:r>
        <w:r>
          <w:rPr>
            <w:webHidden/>
          </w:rPr>
          <w:tab/>
        </w:r>
        <w:r>
          <w:rPr>
            <w:webHidden/>
          </w:rPr>
          <w:fldChar w:fldCharType="begin"/>
        </w:r>
        <w:r>
          <w:rPr>
            <w:webHidden/>
          </w:rPr>
          <w:instrText xml:space="preserve"> PAGEREF _Toc56247295 \h </w:instrText>
        </w:r>
        <w:r>
          <w:rPr>
            <w:webHidden/>
          </w:rPr>
        </w:r>
        <w:r>
          <w:rPr>
            <w:webHidden/>
          </w:rPr>
          <w:fldChar w:fldCharType="separate"/>
        </w:r>
        <w:r>
          <w:rPr>
            <w:webHidden/>
          </w:rPr>
          <w:t>5</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296" w:history="1">
        <w:r>
          <w:rPr>
            <w:rStyle w:val="Hyperlink"/>
            <w:rFonts w:ascii="Times New Roman" w:hAnsi="Times New Roman"/>
            <w:b w:val="0"/>
            <w:i/>
          </w:rPr>
          <w:t xml:space="preserve">2.1.1 </w:t>
        </w:r>
        <w:r>
          <w:rPr>
            <w:rFonts w:ascii="Times New Roman" w:eastAsiaTheme="minorEastAsia" w:hAnsi="Times New Roman" w:cstheme="minorBidi"/>
            <w:b w:val="0"/>
            <w:sz w:val="22"/>
            <w:szCs w:val="22"/>
            <w:lang w:val="en-US" w:eastAsia="en-US"/>
          </w:rPr>
          <w:tab/>
        </w:r>
        <w:r>
          <w:rPr>
            <w:rStyle w:val="Hyperlink"/>
            <w:rFonts w:ascii="Times New Roman" w:hAnsi="Times New Roman"/>
            <w:b w:val="0"/>
            <w:i/>
          </w:rPr>
          <w:t>Финансови пакети на разходните програми</w:t>
        </w:r>
        <w:r>
          <w:rPr>
            <w:webHidden/>
          </w:rPr>
          <w:tab/>
        </w:r>
        <w:r>
          <w:rPr>
            <w:webHidden/>
          </w:rPr>
          <w:fldChar w:fldCharType="begin"/>
        </w:r>
        <w:r>
          <w:rPr>
            <w:webHidden/>
          </w:rPr>
          <w:instrText xml:space="preserve"> PAGEREF _Toc56247296 \h </w:instrText>
        </w:r>
        <w:r>
          <w:rPr>
            <w:webHidden/>
          </w:rPr>
        </w:r>
        <w:r>
          <w:rPr>
            <w:webHidden/>
          </w:rPr>
          <w:fldChar w:fldCharType="separate"/>
        </w:r>
        <w:r>
          <w:rPr>
            <w:webHidden/>
          </w:rPr>
          <w:t>5</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297" w:history="1">
        <w:r>
          <w:rPr>
            <w:rStyle w:val="Hyperlink"/>
            <w:rFonts w:ascii="Times New Roman" w:hAnsi="Times New Roman"/>
            <w:b w:val="0"/>
            <w:i/>
          </w:rPr>
          <w:t xml:space="preserve">2.1.1 </w:t>
        </w:r>
        <w:r>
          <w:rPr>
            <w:rFonts w:ascii="Times New Roman" w:eastAsiaTheme="minorEastAsia" w:hAnsi="Times New Roman" w:cstheme="minorBidi"/>
            <w:b w:val="0"/>
            <w:sz w:val="22"/>
            <w:szCs w:val="22"/>
            <w:lang w:val="en-US" w:eastAsia="en-US"/>
          </w:rPr>
          <w:tab/>
        </w:r>
        <w:r>
          <w:rPr>
            <w:rStyle w:val="Hyperlink"/>
            <w:rFonts w:ascii="Times New Roman" w:hAnsi="Times New Roman"/>
            <w:b w:val="0"/>
            <w:i/>
          </w:rPr>
          <w:t>Финансови пакети на тематичните специални инструменти</w:t>
        </w:r>
        <w:r>
          <w:rPr>
            <w:webHidden/>
          </w:rPr>
          <w:tab/>
        </w:r>
        <w:r>
          <w:rPr>
            <w:webHidden/>
          </w:rPr>
          <w:fldChar w:fldCharType="begin"/>
        </w:r>
        <w:r>
          <w:rPr>
            <w:webHidden/>
          </w:rPr>
          <w:instrText xml:space="preserve"> PAGEREF _Toc56247297 \h </w:instrText>
        </w:r>
        <w:r>
          <w:rPr>
            <w:webHidden/>
          </w:rPr>
        </w:r>
        <w:r>
          <w:rPr>
            <w:webHidden/>
          </w:rPr>
          <w:fldChar w:fldCharType="separate"/>
        </w:r>
        <w:r>
          <w:rPr>
            <w:webHidden/>
          </w:rPr>
          <w:t>7</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298" w:history="1">
        <w:r>
          <w:rPr>
            <w:rStyle w:val="Hyperlink"/>
          </w:rPr>
          <w:t xml:space="preserve">2.2 </w:t>
        </w:r>
        <w:r>
          <w:rPr>
            <w:rFonts w:asciiTheme="minorHAnsi" w:eastAsiaTheme="minorEastAsia" w:hAnsiTheme="minorHAnsi" w:cstheme="minorBidi"/>
            <w:sz w:val="22"/>
            <w:szCs w:val="22"/>
            <w:lang w:val="en-US" w:eastAsia="en-US"/>
          </w:rPr>
          <w:tab/>
        </w:r>
        <w:r>
          <w:rPr>
            <w:rStyle w:val="Hyperlink"/>
          </w:rPr>
          <w:t>Корекции вследствие на политическото споразумение от 10 ноември 2020 г.</w:t>
        </w:r>
        <w:r>
          <w:rPr>
            <w:webHidden/>
          </w:rPr>
          <w:tab/>
        </w:r>
        <w:r>
          <w:rPr>
            <w:webHidden/>
          </w:rPr>
          <w:fldChar w:fldCharType="begin"/>
        </w:r>
        <w:r>
          <w:rPr>
            <w:webHidden/>
          </w:rPr>
          <w:instrText xml:space="preserve"> PAGEREF _Toc56247298 \h </w:instrText>
        </w:r>
        <w:r>
          <w:rPr>
            <w:webHidden/>
          </w:rPr>
        </w:r>
        <w:r>
          <w:rPr>
            <w:webHidden/>
          </w:rPr>
          <w:fldChar w:fldCharType="separate"/>
        </w:r>
        <w:r>
          <w:rPr>
            <w:webHidden/>
          </w:rPr>
          <w:t>8</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299" w:history="1">
        <w:r>
          <w:rPr>
            <w:rStyle w:val="Hyperlink"/>
          </w:rPr>
          <w:t xml:space="preserve">2.3 </w:t>
        </w:r>
        <w:r>
          <w:rPr>
            <w:rFonts w:asciiTheme="minorHAnsi" w:eastAsiaTheme="minorEastAsia" w:hAnsiTheme="minorHAnsi" w:cstheme="minorBidi"/>
            <w:sz w:val="22"/>
            <w:szCs w:val="22"/>
            <w:lang w:val="en-US" w:eastAsia="en-US"/>
          </w:rPr>
          <w:tab/>
        </w:r>
        <w:r>
          <w:rPr>
            <w:rStyle w:val="Hyperlink"/>
          </w:rPr>
          <w:t>Актуализирани нужди от бюджетни кредити за плащания</w:t>
        </w:r>
        <w:r>
          <w:rPr>
            <w:webHidden/>
          </w:rPr>
          <w:tab/>
        </w:r>
        <w:r>
          <w:rPr>
            <w:webHidden/>
          </w:rPr>
          <w:fldChar w:fldCharType="begin"/>
        </w:r>
        <w:r>
          <w:rPr>
            <w:webHidden/>
          </w:rPr>
          <w:instrText xml:space="preserve"> PAGEREF _Toc56247299 \h </w:instrText>
        </w:r>
        <w:r>
          <w:rPr>
            <w:webHidden/>
          </w:rPr>
        </w:r>
        <w:r>
          <w:rPr>
            <w:webHidden/>
          </w:rPr>
          <w:fldChar w:fldCharType="separate"/>
        </w:r>
        <w:r>
          <w:rPr>
            <w:webHidden/>
          </w:rPr>
          <w:t>8</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00" w:history="1">
        <w:r>
          <w:rPr>
            <w:rStyle w:val="Hyperlink"/>
            <w:rFonts w:ascii="Times New Roman" w:hAnsi="Times New Roman"/>
            <w:b w:val="0"/>
            <w:i/>
          </w:rPr>
          <w:t>2.3.1</w:t>
        </w:r>
        <w:r>
          <w:rPr>
            <w:rFonts w:ascii="Times New Roman" w:eastAsiaTheme="minorEastAsia" w:hAnsi="Times New Roman" w:cstheme="minorBidi"/>
            <w:b w:val="0"/>
            <w:sz w:val="22"/>
            <w:szCs w:val="22"/>
            <w:lang w:val="en-US" w:eastAsia="en-US"/>
          </w:rPr>
          <w:tab/>
        </w:r>
        <w:r>
          <w:rPr>
            <w:rStyle w:val="Hyperlink"/>
            <w:rFonts w:ascii="Times New Roman" w:hAnsi="Times New Roman"/>
            <w:b w:val="0"/>
            <w:i/>
          </w:rPr>
          <w:t xml:space="preserve">Неприемане на „преходното </w:t>
        </w:r>
        <w:r>
          <w:rPr>
            <w:rStyle w:val="Hyperlink"/>
            <w:rFonts w:ascii="Times New Roman" w:hAnsi="Times New Roman"/>
            <w:b w:val="0"/>
            <w:i/>
          </w:rPr>
          <w:t>решение“ през 2020 г.</w:t>
        </w:r>
        <w:r>
          <w:rPr>
            <w:webHidden/>
          </w:rPr>
          <w:tab/>
        </w:r>
        <w:r>
          <w:rPr>
            <w:webHidden/>
          </w:rPr>
          <w:fldChar w:fldCharType="begin"/>
        </w:r>
        <w:r>
          <w:rPr>
            <w:webHidden/>
          </w:rPr>
          <w:instrText xml:space="preserve"> PAGEREF _Toc56247300 \h </w:instrText>
        </w:r>
        <w:r>
          <w:rPr>
            <w:webHidden/>
          </w:rPr>
        </w:r>
        <w:r>
          <w:rPr>
            <w:webHidden/>
          </w:rPr>
          <w:fldChar w:fldCharType="separate"/>
        </w:r>
        <w:r>
          <w:rPr>
            <w:webHidden/>
          </w:rPr>
          <w:t>8</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01" w:history="1">
        <w:r>
          <w:rPr>
            <w:rStyle w:val="Hyperlink"/>
            <w:rFonts w:ascii="Times New Roman" w:hAnsi="Times New Roman"/>
            <w:b w:val="0"/>
            <w:i/>
          </w:rPr>
          <w:t>2.3.2</w:t>
        </w:r>
        <w:r>
          <w:rPr>
            <w:rFonts w:ascii="Times New Roman" w:eastAsiaTheme="minorEastAsia" w:hAnsi="Times New Roman" w:cstheme="minorBidi"/>
            <w:b w:val="0"/>
            <w:sz w:val="22"/>
            <w:szCs w:val="22"/>
            <w:lang w:val="en-US" w:eastAsia="en-US"/>
          </w:rPr>
          <w:tab/>
        </w:r>
        <w:r>
          <w:rPr>
            <w:rStyle w:val="Hyperlink"/>
            <w:rFonts w:ascii="Times New Roman" w:hAnsi="Times New Roman"/>
            <w:b w:val="0"/>
            <w:i/>
          </w:rPr>
          <w:t>Отражение, свързано с коригиращ бюджет № 6/2020 (стратегия за ваксините)</w:t>
        </w:r>
        <w:r>
          <w:rPr>
            <w:webHidden/>
          </w:rPr>
          <w:tab/>
        </w:r>
        <w:r>
          <w:rPr>
            <w:webHidden/>
          </w:rPr>
          <w:fldChar w:fldCharType="begin"/>
        </w:r>
        <w:r>
          <w:rPr>
            <w:webHidden/>
          </w:rPr>
          <w:instrText xml:space="preserve"> PAGEREF _Toc56247301 \h </w:instrText>
        </w:r>
        <w:r>
          <w:rPr>
            <w:webHidden/>
          </w:rPr>
        </w:r>
        <w:r>
          <w:rPr>
            <w:webHidden/>
          </w:rPr>
          <w:fldChar w:fldCharType="separate"/>
        </w:r>
        <w:r>
          <w:rPr>
            <w:webHidden/>
          </w:rPr>
          <w:t>9</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02" w:history="1">
        <w:r>
          <w:rPr>
            <w:rStyle w:val="Hyperlink"/>
            <w:rFonts w:ascii="Times New Roman" w:hAnsi="Times New Roman"/>
            <w:b w:val="0"/>
            <w:i/>
          </w:rPr>
          <w:t>2.3.3</w:t>
        </w:r>
        <w:r>
          <w:rPr>
            <w:rFonts w:ascii="Times New Roman" w:eastAsiaTheme="minorEastAsia" w:hAnsi="Times New Roman" w:cstheme="minorBidi"/>
            <w:b w:val="0"/>
            <w:sz w:val="22"/>
            <w:szCs w:val="22"/>
            <w:lang w:val="en-US" w:eastAsia="en-US"/>
          </w:rPr>
          <w:tab/>
        </w:r>
        <w:r>
          <w:rPr>
            <w:rStyle w:val="Hyperlink"/>
            <w:rFonts w:ascii="Times New Roman" w:hAnsi="Times New Roman"/>
            <w:b w:val="0"/>
            <w:i/>
          </w:rPr>
          <w:t>Промени в ставките на предварителното финансиране за европейските структурни и инвестиционни фондове (ЕСИФ) за периода 2014—2020 г.</w:t>
        </w:r>
        <w:r>
          <w:rPr>
            <w:webHidden/>
          </w:rPr>
          <w:tab/>
        </w:r>
        <w:r>
          <w:rPr>
            <w:webHidden/>
          </w:rPr>
          <w:fldChar w:fldCharType="begin"/>
        </w:r>
        <w:r>
          <w:rPr>
            <w:webHidden/>
          </w:rPr>
          <w:instrText xml:space="preserve"> PAGEREF _Toc56247302 \h </w:instrText>
        </w:r>
        <w:r>
          <w:rPr>
            <w:webHidden/>
          </w:rPr>
        </w:r>
        <w:r>
          <w:rPr>
            <w:webHidden/>
          </w:rPr>
          <w:fldChar w:fldCharType="separate"/>
        </w:r>
        <w:r>
          <w:rPr>
            <w:webHidden/>
          </w:rPr>
          <w:t>9</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03" w:history="1">
        <w:r>
          <w:rPr>
            <w:rStyle w:val="Hyperlink"/>
            <w:rFonts w:ascii="Times New Roman" w:hAnsi="Times New Roman"/>
            <w:b w:val="0"/>
            <w:i/>
          </w:rPr>
          <w:t>2.3.4</w:t>
        </w:r>
        <w:r>
          <w:rPr>
            <w:rFonts w:ascii="Times New Roman" w:eastAsiaTheme="minorEastAsia" w:hAnsi="Times New Roman" w:cstheme="minorBidi"/>
            <w:b w:val="0"/>
            <w:sz w:val="22"/>
            <w:szCs w:val="22"/>
            <w:lang w:val="en-US" w:eastAsia="en-US"/>
          </w:rPr>
          <w:tab/>
        </w:r>
        <w:r>
          <w:rPr>
            <w:rStyle w:val="Hyperlink"/>
            <w:rFonts w:ascii="Times New Roman" w:hAnsi="Times New Roman"/>
            <w:b w:val="0"/>
            <w:i/>
          </w:rPr>
          <w:t>Друго преразглеждане на плащанията</w:t>
        </w:r>
        <w:r>
          <w:rPr>
            <w:webHidden/>
          </w:rPr>
          <w:tab/>
        </w:r>
        <w:r>
          <w:rPr>
            <w:webHidden/>
          </w:rPr>
          <w:fldChar w:fldCharType="begin"/>
        </w:r>
        <w:r>
          <w:rPr>
            <w:webHidden/>
          </w:rPr>
          <w:instrText xml:space="preserve"> PAGEREF _Toc56247303 \h </w:instrText>
        </w:r>
        <w:r>
          <w:rPr>
            <w:webHidden/>
          </w:rPr>
        </w:r>
        <w:r>
          <w:rPr>
            <w:webHidden/>
          </w:rPr>
          <w:fldChar w:fldCharType="separate"/>
        </w:r>
        <w:r>
          <w:rPr>
            <w:webHidden/>
          </w:rPr>
          <w:t>10</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04" w:history="1">
        <w:r>
          <w:rPr>
            <w:rStyle w:val="Hyperlink"/>
          </w:rPr>
          <w:t xml:space="preserve">2.4 </w:t>
        </w:r>
        <w:r>
          <w:rPr>
            <w:rFonts w:asciiTheme="minorHAnsi" w:eastAsiaTheme="minorEastAsia" w:hAnsiTheme="minorHAnsi" w:cstheme="minorBidi"/>
            <w:sz w:val="22"/>
            <w:szCs w:val="22"/>
            <w:lang w:val="en-US" w:eastAsia="en-US"/>
          </w:rPr>
          <w:tab/>
        </w:r>
        <w:r>
          <w:rPr>
            <w:rStyle w:val="Hyperlink"/>
          </w:rPr>
          <w:t>Коригиран обхват на функциите н</w:t>
        </w:r>
        <w:r>
          <w:rPr>
            <w:rStyle w:val="Hyperlink"/>
          </w:rPr>
          <w:t>а МФР и отражение върху структурата на номенклатурата</w:t>
        </w:r>
        <w:r>
          <w:rPr>
            <w:webHidden/>
          </w:rPr>
          <w:tab/>
        </w:r>
        <w:r>
          <w:rPr>
            <w:webHidden/>
          </w:rPr>
          <w:fldChar w:fldCharType="begin"/>
        </w:r>
        <w:r>
          <w:rPr>
            <w:webHidden/>
          </w:rPr>
          <w:instrText xml:space="preserve"> PAGEREF _Toc56247304 \h </w:instrText>
        </w:r>
        <w:r>
          <w:rPr>
            <w:webHidden/>
          </w:rPr>
        </w:r>
        <w:r>
          <w:rPr>
            <w:webHidden/>
          </w:rPr>
          <w:fldChar w:fldCharType="separate"/>
        </w:r>
        <w:r>
          <w:rPr>
            <w:webHidden/>
          </w:rPr>
          <w:t>12</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05" w:history="1">
        <w:r>
          <w:rPr>
            <w:rStyle w:val="Hyperlink"/>
          </w:rPr>
          <w:t xml:space="preserve">2.5 </w:t>
        </w:r>
        <w:r>
          <w:rPr>
            <w:rFonts w:asciiTheme="minorHAnsi" w:eastAsiaTheme="minorEastAsia" w:hAnsiTheme="minorHAnsi" w:cstheme="minorBidi"/>
            <w:sz w:val="22"/>
            <w:szCs w:val="22"/>
            <w:lang w:val="en-US" w:eastAsia="en-US"/>
          </w:rPr>
          <w:tab/>
        </w:r>
        <w:r>
          <w:rPr>
            <w:rStyle w:val="Hyperlink"/>
          </w:rPr>
          <w:t xml:space="preserve">Коригирано разпределение на Next Generation EU между безвъзмездни </w:t>
        </w:r>
        <w:r>
          <w:rPr>
            <w:rStyle w:val="Hyperlink"/>
          </w:rPr>
          <w:t>средства и заеми</w:t>
        </w:r>
        <w:r>
          <w:rPr>
            <w:webHidden/>
          </w:rPr>
          <w:tab/>
        </w:r>
        <w:r>
          <w:rPr>
            <w:webHidden/>
          </w:rPr>
          <w:fldChar w:fldCharType="begin"/>
        </w:r>
        <w:r>
          <w:rPr>
            <w:webHidden/>
          </w:rPr>
          <w:instrText xml:space="preserve"> PAGEREF _Toc56247305 \h </w:instrText>
        </w:r>
        <w:r>
          <w:rPr>
            <w:webHidden/>
          </w:rPr>
        </w:r>
        <w:r>
          <w:rPr>
            <w:webHidden/>
          </w:rPr>
          <w:fldChar w:fldCharType="separate"/>
        </w:r>
        <w:r>
          <w:rPr>
            <w:webHidden/>
          </w:rPr>
          <w:t>12</w:t>
        </w:r>
        <w:r>
          <w:rPr>
            <w:webHidden/>
          </w:rPr>
          <w:fldChar w:fldCharType="end"/>
        </w:r>
      </w:hyperlink>
    </w:p>
    <w:p w:rsidR="00763157" w:rsidRDefault="00E45FF1">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247306" w:history="1">
        <w:r>
          <w:rPr>
            <w:rStyle w:val="Hyperlink"/>
            <w:noProof/>
          </w:rPr>
          <w:t>3.</w:t>
        </w:r>
        <w:r>
          <w:rPr>
            <w:rFonts w:asciiTheme="minorHAnsi" w:eastAsiaTheme="minorEastAsia" w:hAnsiTheme="minorHAnsi" w:cstheme="minorBidi"/>
            <w:b w:val="0"/>
            <w:bCs w:val="0"/>
            <w:caps w:val="0"/>
            <w:noProof/>
            <w:sz w:val="22"/>
            <w:szCs w:val="22"/>
            <w:lang w:val="en-US" w:eastAsia="en-US"/>
          </w:rPr>
          <w:tab/>
        </w:r>
        <w:r>
          <w:rPr>
            <w:rStyle w:val="Hyperlink"/>
            <w:noProof/>
          </w:rPr>
          <w:t>Участие на Съюза в увеличаването на капитала на Европейския инвестиционен фонд (ЕИФ)</w:t>
        </w:r>
        <w:r>
          <w:rPr>
            <w:noProof/>
            <w:webHidden/>
          </w:rPr>
          <w:tab/>
        </w:r>
        <w:r>
          <w:rPr>
            <w:noProof/>
            <w:webHidden/>
          </w:rPr>
          <w:fldChar w:fldCharType="begin"/>
        </w:r>
        <w:r>
          <w:rPr>
            <w:noProof/>
            <w:webHidden/>
          </w:rPr>
          <w:instrText xml:space="preserve"> PAGEREF _Toc56247306 \h</w:instrText>
        </w:r>
        <w:r>
          <w:rPr>
            <w:noProof/>
            <w:webHidden/>
          </w:rPr>
          <w:instrText xml:space="preserve"> </w:instrText>
        </w:r>
        <w:r>
          <w:rPr>
            <w:noProof/>
            <w:webHidden/>
          </w:rPr>
        </w:r>
        <w:r>
          <w:rPr>
            <w:noProof/>
            <w:webHidden/>
          </w:rPr>
          <w:fldChar w:fldCharType="separate"/>
        </w:r>
        <w:r>
          <w:rPr>
            <w:noProof/>
            <w:webHidden/>
          </w:rPr>
          <w:t>13</w:t>
        </w:r>
        <w:r>
          <w:rPr>
            <w:noProof/>
            <w:webHidden/>
          </w:rPr>
          <w:fldChar w:fldCharType="end"/>
        </w:r>
      </w:hyperlink>
    </w:p>
    <w:p w:rsidR="00763157" w:rsidRDefault="00E45FF1">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247307" w:history="1">
        <w:r>
          <w:rPr>
            <w:rStyle w:val="Hyperlink"/>
            <w:noProof/>
          </w:rPr>
          <w:t>4.</w:t>
        </w:r>
        <w:r>
          <w:rPr>
            <w:rFonts w:asciiTheme="minorHAnsi" w:eastAsiaTheme="minorEastAsia" w:hAnsiTheme="minorHAnsi" w:cstheme="minorBidi"/>
            <w:b w:val="0"/>
            <w:bCs w:val="0"/>
            <w:caps w:val="0"/>
            <w:noProof/>
            <w:sz w:val="22"/>
            <w:szCs w:val="22"/>
            <w:lang w:val="en-US" w:eastAsia="en-US"/>
          </w:rPr>
          <w:tab/>
        </w:r>
        <w:r>
          <w:rPr>
            <w:rStyle w:val="Hyperlink"/>
            <w:noProof/>
          </w:rPr>
          <w:t>Европейски фонд за гарантиране на земеделието (ЕФГЗ)</w:t>
        </w:r>
        <w:r>
          <w:rPr>
            <w:noProof/>
            <w:webHidden/>
          </w:rPr>
          <w:tab/>
        </w:r>
        <w:r>
          <w:rPr>
            <w:noProof/>
            <w:webHidden/>
          </w:rPr>
          <w:fldChar w:fldCharType="begin"/>
        </w:r>
        <w:r>
          <w:rPr>
            <w:noProof/>
            <w:webHidden/>
          </w:rPr>
          <w:instrText xml:space="preserve"> PAGEREF _Toc56247307 \h </w:instrText>
        </w:r>
        <w:r>
          <w:rPr>
            <w:noProof/>
            <w:webHidden/>
          </w:rPr>
        </w:r>
        <w:r>
          <w:rPr>
            <w:noProof/>
            <w:webHidden/>
          </w:rPr>
          <w:fldChar w:fldCharType="separate"/>
        </w:r>
        <w:r>
          <w:rPr>
            <w:noProof/>
            <w:webHidden/>
          </w:rPr>
          <w:t>14</w:t>
        </w:r>
        <w:r>
          <w:rPr>
            <w:noProof/>
            <w:webHidden/>
          </w:rPr>
          <w:fldChar w:fldCharType="end"/>
        </w:r>
      </w:hyperlink>
    </w:p>
    <w:p w:rsidR="00763157" w:rsidRDefault="00E45FF1">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247308" w:history="1">
        <w:r>
          <w:rPr>
            <w:rStyle w:val="Hyperlink"/>
            <w:noProof/>
          </w:rPr>
          <w:t>5.</w:t>
        </w:r>
        <w:r>
          <w:rPr>
            <w:rFonts w:asciiTheme="minorHAnsi" w:eastAsiaTheme="minorEastAsia" w:hAnsiTheme="minorHAnsi" w:cstheme="minorBidi"/>
            <w:b w:val="0"/>
            <w:bCs w:val="0"/>
            <w:caps w:val="0"/>
            <w:noProof/>
            <w:sz w:val="22"/>
            <w:szCs w:val="22"/>
            <w:lang w:val="en-US" w:eastAsia="en-US"/>
          </w:rPr>
          <w:tab/>
        </w:r>
        <w:r>
          <w:rPr>
            <w:rStyle w:val="Hyperlink"/>
            <w:noProof/>
          </w:rPr>
          <w:t>Пакет за делегиране за шестте изпълнителни агенции</w:t>
        </w:r>
        <w:r>
          <w:rPr>
            <w:noProof/>
            <w:webHidden/>
          </w:rPr>
          <w:tab/>
        </w:r>
        <w:r>
          <w:rPr>
            <w:noProof/>
            <w:webHidden/>
          </w:rPr>
          <w:fldChar w:fldCharType="begin"/>
        </w:r>
        <w:r>
          <w:rPr>
            <w:noProof/>
            <w:webHidden/>
          </w:rPr>
          <w:instrText xml:space="preserve"> PAGEREF _Toc56247308 \h </w:instrText>
        </w:r>
        <w:r>
          <w:rPr>
            <w:noProof/>
            <w:webHidden/>
          </w:rPr>
        </w:r>
        <w:r>
          <w:rPr>
            <w:noProof/>
            <w:webHidden/>
          </w:rPr>
          <w:fldChar w:fldCharType="separate"/>
        </w:r>
        <w:r>
          <w:rPr>
            <w:noProof/>
            <w:webHidden/>
          </w:rPr>
          <w:t>15</w:t>
        </w:r>
        <w:r>
          <w:rPr>
            <w:noProof/>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09" w:history="1">
        <w:r>
          <w:rPr>
            <w:rStyle w:val="Hyperlink"/>
          </w:rPr>
          <w:t xml:space="preserve">5.1 </w:t>
        </w:r>
        <w:r>
          <w:rPr>
            <w:rFonts w:asciiTheme="minorHAnsi" w:eastAsiaTheme="minorEastAsia" w:hAnsiTheme="minorHAnsi" w:cstheme="minorBidi"/>
            <w:sz w:val="22"/>
            <w:szCs w:val="22"/>
            <w:lang w:val="en-US" w:eastAsia="en-US"/>
          </w:rPr>
          <w:tab/>
        </w:r>
        <w:r>
          <w:rPr>
            <w:rStyle w:val="Hyperlink"/>
          </w:rPr>
          <w:t>Представяне пред Комитета за изпълнителните</w:t>
        </w:r>
        <w:r>
          <w:rPr>
            <w:rStyle w:val="Hyperlink"/>
          </w:rPr>
          <w:t xml:space="preserve"> агенции</w:t>
        </w:r>
        <w:r>
          <w:rPr>
            <w:webHidden/>
          </w:rPr>
          <w:tab/>
        </w:r>
        <w:r>
          <w:rPr>
            <w:webHidden/>
          </w:rPr>
          <w:fldChar w:fldCharType="begin"/>
        </w:r>
        <w:r>
          <w:rPr>
            <w:webHidden/>
          </w:rPr>
          <w:instrText xml:space="preserve"> PAGEREF _Toc56247309 \h </w:instrText>
        </w:r>
        <w:r>
          <w:rPr>
            <w:webHidden/>
          </w:rPr>
        </w:r>
        <w:r>
          <w:rPr>
            <w:webHidden/>
          </w:rPr>
          <w:fldChar w:fldCharType="separate"/>
        </w:r>
        <w:r>
          <w:rPr>
            <w:webHidden/>
          </w:rPr>
          <w:t>15</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10" w:history="1">
        <w:r>
          <w:rPr>
            <w:rStyle w:val="Hyperlink"/>
          </w:rPr>
          <w:t xml:space="preserve">5.2 </w:t>
        </w:r>
        <w:r>
          <w:rPr>
            <w:rFonts w:asciiTheme="minorHAnsi" w:eastAsiaTheme="minorEastAsia" w:hAnsiTheme="minorHAnsi" w:cstheme="minorBidi"/>
            <w:sz w:val="22"/>
            <w:szCs w:val="22"/>
            <w:lang w:val="en-US" w:eastAsia="en-US"/>
          </w:rPr>
          <w:tab/>
        </w:r>
        <w:r>
          <w:rPr>
            <w:rStyle w:val="Hyperlink"/>
          </w:rPr>
          <w:t>Предложено равнище на бюджетните кредити за оперативни разходи за периода 2021—2027 г., които ще бъдат делегирани</w:t>
        </w:r>
        <w:r>
          <w:rPr>
            <w:webHidden/>
          </w:rPr>
          <w:tab/>
        </w:r>
        <w:r>
          <w:rPr>
            <w:webHidden/>
          </w:rPr>
          <w:fldChar w:fldCharType="begin"/>
        </w:r>
        <w:r>
          <w:rPr>
            <w:webHidden/>
          </w:rPr>
          <w:instrText xml:space="preserve"> </w:instrText>
        </w:r>
        <w:r>
          <w:rPr>
            <w:webHidden/>
          </w:rPr>
          <w:instrText xml:space="preserve">PAGEREF _Toc56247310 \h </w:instrText>
        </w:r>
        <w:r>
          <w:rPr>
            <w:webHidden/>
          </w:rPr>
        </w:r>
        <w:r>
          <w:rPr>
            <w:webHidden/>
          </w:rPr>
          <w:fldChar w:fldCharType="separate"/>
        </w:r>
        <w:r>
          <w:rPr>
            <w:webHidden/>
          </w:rPr>
          <w:t>16</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11" w:history="1">
        <w:r>
          <w:rPr>
            <w:rStyle w:val="Hyperlink"/>
          </w:rPr>
          <w:t xml:space="preserve">5.3 </w:t>
        </w:r>
        <w:r>
          <w:rPr>
            <w:rFonts w:asciiTheme="minorHAnsi" w:eastAsiaTheme="minorEastAsia" w:hAnsiTheme="minorHAnsi" w:cstheme="minorBidi"/>
            <w:sz w:val="22"/>
            <w:szCs w:val="22"/>
            <w:lang w:val="en-US" w:eastAsia="en-US"/>
          </w:rPr>
          <w:tab/>
        </w:r>
        <w:r>
          <w:rPr>
            <w:rStyle w:val="Hyperlink"/>
          </w:rPr>
          <w:t>Отражение върху човешките и финансовите ресурси в изпълнителните агенции през 2021 г.</w:t>
        </w:r>
        <w:r>
          <w:rPr>
            <w:webHidden/>
          </w:rPr>
          <w:tab/>
        </w:r>
        <w:r>
          <w:rPr>
            <w:webHidden/>
          </w:rPr>
          <w:fldChar w:fldCharType="begin"/>
        </w:r>
        <w:r>
          <w:rPr>
            <w:webHidden/>
          </w:rPr>
          <w:instrText xml:space="preserve"> PAGEREF _Toc56247311 \h </w:instrText>
        </w:r>
        <w:r>
          <w:rPr>
            <w:webHidden/>
          </w:rPr>
        </w:r>
        <w:r>
          <w:rPr>
            <w:webHidden/>
          </w:rPr>
          <w:fldChar w:fldCharType="separate"/>
        </w:r>
        <w:r>
          <w:rPr>
            <w:webHidden/>
          </w:rPr>
          <w:t>17</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12" w:history="1">
        <w:r>
          <w:rPr>
            <w:rStyle w:val="Hyperlink"/>
          </w:rPr>
          <w:t>5.4</w:t>
        </w:r>
        <w:r>
          <w:rPr>
            <w:rFonts w:asciiTheme="minorHAnsi" w:eastAsiaTheme="minorEastAsia" w:hAnsiTheme="minorHAnsi" w:cstheme="minorBidi"/>
            <w:sz w:val="22"/>
            <w:szCs w:val="22"/>
            <w:lang w:val="en-US" w:eastAsia="en-US"/>
          </w:rPr>
          <w:tab/>
        </w:r>
        <w:r>
          <w:rPr>
            <w:rStyle w:val="Hyperlink"/>
          </w:rPr>
          <w:t xml:space="preserve"> Отражение върху човешките ресурси в Комисията</w:t>
        </w:r>
        <w:r>
          <w:rPr>
            <w:webHidden/>
          </w:rPr>
          <w:tab/>
        </w:r>
        <w:r>
          <w:rPr>
            <w:webHidden/>
          </w:rPr>
          <w:fldChar w:fldCharType="begin"/>
        </w:r>
        <w:r>
          <w:rPr>
            <w:webHidden/>
          </w:rPr>
          <w:instrText xml:space="preserve"> PAGEREF _Toc56247312 \h </w:instrText>
        </w:r>
        <w:r>
          <w:rPr>
            <w:webHidden/>
          </w:rPr>
        </w:r>
        <w:r>
          <w:rPr>
            <w:webHidden/>
          </w:rPr>
          <w:fldChar w:fldCharType="separate"/>
        </w:r>
        <w:r>
          <w:rPr>
            <w:webHidden/>
          </w:rPr>
          <w:t>17</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13" w:history="1">
        <w:r>
          <w:rPr>
            <w:rStyle w:val="Hyperlink"/>
          </w:rPr>
          <w:t>5.5</w:t>
        </w:r>
        <w:r>
          <w:rPr>
            <w:rFonts w:asciiTheme="minorHAnsi" w:eastAsiaTheme="minorEastAsia" w:hAnsiTheme="minorHAnsi" w:cstheme="minorBidi"/>
            <w:sz w:val="22"/>
            <w:szCs w:val="22"/>
            <w:lang w:val="en-US" w:eastAsia="en-US"/>
          </w:rPr>
          <w:tab/>
        </w:r>
        <w:r>
          <w:rPr>
            <w:rStyle w:val="Hyperlink"/>
          </w:rPr>
          <w:t xml:space="preserve"> Корекции, включени в ПВК 1/2021</w:t>
        </w:r>
        <w:r>
          <w:rPr>
            <w:webHidden/>
          </w:rPr>
          <w:tab/>
        </w:r>
        <w:r>
          <w:rPr>
            <w:webHidden/>
          </w:rPr>
          <w:fldChar w:fldCharType="begin"/>
        </w:r>
        <w:r>
          <w:rPr>
            <w:webHidden/>
          </w:rPr>
          <w:instrText xml:space="preserve"> PAGEREF _Toc56247313 \h </w:instrText>
        </w:r>
        <w:r>
          <w:rPr>
            <w:webHidden/>
          </w:rPr>
        </w:r>
        <w:r>
          <w:rPr>
            <w:webHidden/>
          </w:rPr>
          <w:fldChar w:fldCharType="separate"/>
        </w:r>
        <w:r>
          <w:rPr>
            <w:webHidden/>
          </w:rPr>
          <w:t>18</w:t>
        </w:r>
        <w:r>
          <w:rPr>
            <w:webHidden/>
          </w:rPr>
          <w:fldChar w:fldCharType="end"/>
        </w:r>
      </w:hyperlink>
    </w:p>
    <w:p w:rsidR="00763157" w:rsidRDefault="00E45FF1">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247314" w:history="1">
        <w:r>
          <w:rPr>
            <w:rStyle w:val="Hyperlink"/>
            <w:noProof/>
          </w:rPr>
          <w:t>6.</w:t>
        </w:r>
        <w:r>
          <w:rPr>
            <w:rFonts w:asciiTheme="minorHAnsi" w:eastAsiaTheme="minorEastAsia" w:hAnsiTheme="minorHAnsi" w:cstheme="minorBidi"/>
            <w:b w:val="0"/>
            <w:bCs w:val="0"/>
            <w:caps w:val="0"/>
            <w:noProof/>
            <w:sz w:val="22"/>
            <w:szCs w:val="22"/>
            <w:lang w:val="en-US" w:eastAsia="en-US"/>
          </w:rPr>
          <w:tab/>
        </w:r>
        <w:r>
          <w:rPr>
            <w:rStyle w:val="Hyperlink"/>
            <w:noProof/>
          </w:rPr>
          <w:t>Децентрализирани агенции</w:t>
        </w:r>
        <w:r>
          <w:rPr>
            <w:noProof/>
            <w:webHidden/>
          </w:rPr>
          <w:tab/>
        </w:r>
        <w:r>
          <w:rPr>
            <w:noProof/>
            <w:webHidden/>
          </w:rPr>
          <w:fldChar w:fldCharType="begin"/>
        </w:r>
        <w:r>
          <w:rPr>
            <w:noProof/>
            <w:webHidden/>
          </w:rPr>
          <w:instrText xml:space="preserve"> PAGEREF _Toc56247314 \h </w:instrText>
        </w:r>
        <w:r>
          <w:rPr>
            <w:noProof/>
            <w:webHidden/>
          </w:rPr>
        </w:r>
        <w:r>
          <w:rPr>
            <w:noProof/>
            <w:webHidden/>
          </w:rPr>
          <w:fldChar w:fldCharType="separate"/>
        </w:r>
        <w:r>
          <w:rPr>
            <w:noProof/>
            <w:webHidden/>
          </w:rPr>
          <w:t>20</w:t>
        </w:r>
        <w:r>
          <w:rPr>
            <w:noProof/>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15" w:history="1">
        <w:r>
          <w:rPr>
            <w:rStyle w:val="Hyperlink"/>
          </w:rPr>
          <w:t xml:space="preserve">6.1 </w:t>
        </w:r>
        <w:r>
          <w:rPr>
            <w:rFonts w:asciiTheme="minorHAnsi" w:eastAsiaTheme="minorEastAsia" w:hAnsiTheme="minorHAnsi" w:cstheme="minorBidi"/>
            <w:sz w:val="22"/>
            <w:szCs w:val="22"/>
            <w:lang w:val="en-US" w:eastAsia="en-US"/>
          </w:rPr>
          <w:tab/>
        </w:r>
        <w:r>
          <w:rPr>
            <w:rStyle w:val="Hyperlink"/>
          </w:rPr>
          <w:t>Европейска агенция по лекарствата (EMA)</w:t>
        </w:r>
        <w:r>
          <w:rPr>
            <w:webHidden/>
          </w:rPr>
          <w:tab/>
        </w:r>
        <w:r>
          <w:rPr>
            <w:webHidden/>
          </w:rPr>
          <w:fldChar w:fldCharType="begin"/>
        </w:r>
        <w:r>
          <w:rPr>
            <w:webHidden/>
          </w:rPr>
          <w:instrText xml:space="preserve"> PAGEREF _Toc56247315 \h </w:instrText>
        </w:r>
        <w:r>
          <w:rPr>
            <w:webHidden/>
          </w:rPr>
        </w:r>
        <w:r>
          <w:rPr>
            <w:webHidden/>
          </w:rPr>
          <w:fldChar w:fldCharType="separate"/>
        </w:r>
        <w:r>
          <w:rPr>
            <w:webHidden/>
          </w:rPr>
          <w:t>20</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16" w:history="1">
        <w:r>
          <w:rPr>
            <w:rStyle w:val="Hyperlink"/>
          </w:rPr>
          <w:t>6.2</w:t>
        </w:r>
        <w:r>
          <w:rPr>
            <w:rFonts w:asciiTheme="minorHAnsi" w:eastAsiaTheme="minorEastAsia" w:hAnsiTheme="minorHAnsi" w:cstheme="minorBidi"/>
            <w:sz w:val="22"/>
            <w:szCs w:val="22"/>
            <w:lang w:val="en-US" w:eastAsia="en-US"/>
          </w:rPr>
          <w:tab/>
        </w:r>
        <w:r>
          <w:rPr>
            <w:rStyle w:val="Hyperlink"/>
          </w:rPr>
          <w:t xml:space="preserve"> Европейски център за профилактика и контрол върху заболяванията (ECDC)</w:t>
        </w:r>
        <w:r>
          <w:rPr>
            <w:webHidden/>
          </w:rPr>
          <w:tab/>
        </w:r>
        <w:r>
          <w:rPr>
            <w:webHidden/>
          </w:rPr>
          <w:fldChar w:fldCharType="begin"/>
        </w:r>
        <w:r>
          <w:rPr>
            <w:webHidden/>
          </w:rPr>
          <w:instrText xml:space="preserve"> PAGEREF _Toc56247316 \h </w:instrText>
        </w:r>
        <w:r>
          <w:rPr>
            <w:webHidden/>
          </w:rPr>
        </w:r>
        <w:r>
          <w:rPr>
            <w:webHidden/>
          </w:rPr>
          <w:fldChar w:fldCharType="separate"/>
        </w:r>
        <w:r>
          <w:rPr>
            <w:webHidden/>
          </w:rPr>
          <w:t>21</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17" w:history="1">
        <w:r>
          <w:rPr>
            <w:rStyle w:val="Hyperlink"/>
          </w:rPr>
          <w:t xml:space="preserve">6.3 </w:t>
        </w:r>
        <w:r>
          <w:rPr>
            <w:rFonts w:asciiTheme="minorHAnsi" w:eastAsiaTheme="minorEastAsia" w:hAnsiTheme="minorHAnsi" w:cstheme="minorBidi"/>
            <w:sz w:val="22"/>
            <w:szCs w:val="22"/>
            <w:lang w:val="en-US" w:eastAsia="en-US"/>
          </w:rPr>
          <w:tab/>
        </w:r>
        <w:r>
          <w:rPr>
            <w:rStyle w:val="Hyperlink"/>
          </w:rPr>
          <w:t xml:space="preserve">Европейска агенция за околната среда </w:t>
        </w:r>
        <w:r>
          <w:rPr>
            <w:rStyle w:val="Hyperlink"/>
          </w:rPr>
          <w:t>(ЕАОС):</w:t>
        </w:r>
        <w:r>
          <w:rPr>
            <w:webHidden/>
          </w:rPr>
          <w:tab/>
        </w:r>
        <w:r>
          <w:rPr>
            <w:webHidden/>
          </w:rPr>
          <w:fldChar w:fldCharType="begin"/>
        </w:r>
        <w:r>
          <w:rPr>
            <w:webHidden/>
          </w:rPr>
          <w:instrText xml:space="preserve"> PAGEREF _Toc56247317 \h </w:instrText>
        </w:r>
        <w:r>
          <w:rPr>
            <w:webHidden/>
          </w:rPr>
        </w:r>
        <w:r>
          <w:rPr>
            <w:webHidden/>
          </w:rPr>
          <w:fldChar w:fldCharType="separate"/>
        </w:r>
        <w:r>
          <w:rPr>
            <w:webHidden/>
          </w:rPr>
          <w:t>21</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18" w:history="1">
        <w:r>
          <w:rPr>
            <w:rStyle w:val="Hyperlink"/>
          </w:rPr>
          <w:t xml:space="preserve">6.4 </w:t>
        </w:r>
        <w:r>
          <w:rPr>
            <w:rFonts w:asciiTheme="minorHAnsi" w:eastAsiaTheme="minorEastAsia" w:hAnsiTheme="minorHAnsi" w:cstheme="minorBidi"/>
            <w:sz w:val="22"/>
            <w:szCs w:val="22"/>
            <w:lang w:val="en-US" w:eastAsia="en-US"/>
          </w:rPr>
          <w:tab/>
        </w:r>
        <w:r>
          <w:rPr>
            <w:rStyle w:val="Hyperlink"/>
          </w:rPr>
          <w:t>Европейска агенция по химикали (ЕСНА)</w:t>
        </w:r>
        <w:r>
          <w:rPr>
            <w:webHidden/>
          </w:rPr>
          <w:tab/>
        </w:r>
        <w:r>
          <w:rPr>
            <w:webHidden/>
          </w:rPr>
          <w:fldChar w:fldCharType="begin"/>
        </w:r>
        <w:r>
          <w:rPr>
            <w:webHidden/>
          </w:rPr>
          <w:instrText xml:space="preserve"> PAGEREF _Toc56247318 \h </w:instrText>
        </w:r>
        <w:r>
          <w:rPr>
            <w:webHidden/>
          </w:rPr>
        </w:r>
        <w:r>
          <w:rPr>
            <w:webHidden/>
          </w:rPr>
          <w:fldChar w:fldCharType="separate"/>
        </w:r>
        <w:r>
          <w:rPr>
            <w:webHidden/>
          </w:rPr>
          <w:t>21</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19" w:history="1">
        <w:r>
          <w:rPr>
            <w:rStyle w:val="Hyperlink"/>
          </w:rPr>
          <w:t xml:space="preserve">6.5 </w:t>
        </w:r>
        <w:r>
          <w:rPr>
            <w:rFonts w:asciiTheme="minorHAnsi" w:eastAsiaTheme="minorEastAsia" w:hAnsiTheme="minorHAnsi" w:cstheme="minorBidi"/>
            <w:sz w:val="22"/>
            <w:szCs w:val="22"/>
            <w:lang w:val="en-US" w:eastAsia="en-US"/>
          </w:rPr>
          <w:tab/>
        </w:r>
        <w:r>
          <w:rPr>
            <w:rStyle w:val="Hyperlink"/>
          </w:rPr>
          <w:t>Европейски банков орган (ЕБО)</w:t>
        </w:r>
        <w:r>
          <w:rPr>
            <w:webHidden/>
          </w:rPr>
          <w:tab/>
        </w:r>
        <w:r>
          <w:rPr>
            <w:webHidden/>
          </w:rPr>
          <w:fldChar w:fldCharType="begin"/>
        </w:r>
        <w:r>
          <w:rPr>
            <w:webHidden/>
          </w:rPr>
          <w:instrText xml:space="preserve"> PAGEREF _Toc56247319 \h </w:instrText>
        </w:r>
        <w:r>
          <w:rPr>
            <w:webHidden/>
          </w:rPr>
        </w:r>
        <w:r>
          <w:rPr>
            <w:webHidden/>
          </w:rPr>
          <w:fldChar w:fldCharType="separate"/>
        </w:r>
        <w:r>
          <w:rPr>
            <w:webHidden/>
          </w:rPr>
          <w:t>21</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20" w:history="1">
        <w:r>
          <w:rPr>
            <w:rStyle w:val="Hyperlink"/>
          </w:rPr>
          <w:t xml:space="preserve">6.6 </w:t>
        </w:r>
        <w:r>
          <w:rPr>
            <w:rFonts w:asciiTheme="minorHAnsi" w:eastAsiaTheme="minorEastAsia" w:hAnsiTheme="minorHAnsi" w:cstheme="minorBidi"/>
            <w:sz w:val="22"/>
            <w:szCs w:val="22"/>
            <w:lang w:val="en-US" w:eastAsia="en-US"/>
          </w:rPr>
          <w:tab/>
        </w:r>
        <w:r>
          <w:rPr>
            <w:rStyle w:val="Hyperlink"/>
          </w:rPr>
          <w:t xml:space="preserve">Европейска служба за подкрепа в областта </w:t>
        </w:r>
        <w:r>
          <w:rPr>
            <w:rStyle w:val="Hyperlink"/>
          </w:rPr>
          <w:t>на убежището (EASO)</w:t>
        </w:r>
        <w:r>
          <w:rPr>
            <w:webHidden/>
          </w:rPr>
          <w:tab/>
        </w:r>
        <w:r>
          <w:rPr>
            <w:webHidden/>
          </w:rPr>
          <w:fldChar w:fldCharType="begin"/>
        </w:r>
        <w:r>
          <w:rPr>
            <w:webHidden/>
          </w:rPr>
          <w:instrText xml:space="preserve"> PAGEREF _Toc56247320 \h </w:instrText>
        </w:r>
        <w:r>
          <w:rPr>
            <w:webHidden/>
          </w:rPr>
        </w:r>
        <w:r>
          <w:rPr>
            <w:webHidden/>
          </w:rPr>
          <w:fldChar w:fldCharType="separate"/>
        </w:r>
        <w:r>
          <w:rPr>
            <w:webHidden/>
          </w:rPr>
          <w:t>21</w:t>
        </w:r>
        <w:r>
          <w:rPr>
            <w:webHidden/>
          </w:rPr>
          <w:fldChar w:fldCharType="end"/>
        </w:r>
      </w:hyperlink>
    </w:p>
    <w:p w:rsidR="00763157" w:rsidRDefault="00E45FF1">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247321" w:history="1">
        <w:r>
          <w:rPr>
            <w:rStyle w:val="Hyperlink"/>
            <w:noProof/>
          </w:rPr>
          <w:t>7.</w:t>
        </w:r>
        <w:r>
          <w:rPr>
            <w:rFonts w:asciiTheme="minorHAnsi" w:eastAsiaTheme="minorEastAsia" w:hAnsiTheme="minorHAnsi" w:cstheme="minorBidi"/>
            <w:b w:val="0"/>
            <w:bCs w:val="0"/>
            <w:caps w:val="0"/>
            <w:noProof/>
            <w:sz w:val="22"/>
            <w:szCs w:val="22"/>
            <w:lang w:val="en-US" w:eastAsia="en-US"/>
          </w:rPr>
          <w:tab/>
        </w:r>
        <w:r>
          <w:rPr>
            <w:rStyle w:val="Hyperlink"/>
            <w:noProof/>
          </w:rPr>
          <w:t>Корекции във функция 7 „Европейска публична администрация“</w:t>
        </w:r>
        <w:r>
          <w:rPr>
            <w:noProof/>
            <w:webHidden/>
          </w:rPr>
          <w:tab/>
        </w:r>
        <w:r>
          <w:rPr>
            <w:noProof/>
            <w:webHidden/>
          </w:rPr>
          <w:fldChar w:fldCharType="begin"/>
        </w:r>
        <w:r>
          <w:rPr>
            <w:noProof/>
            <w:webHidden/>
          </w:rPr>
          <w:instrText xml:space="preserve"> PAGEREF _Toc56247321 \h </w:instrText>
        </w:r>
        <w:r>
          <w:rPr>
            <w:noProof/>
            <w:webHidden/>
          </w:rPr>
        </w:r>
        <w:r>
          <w:rPr>
            <w:noProof/>
            <w:webHidden/>
          </w:rPr>
          <w:fldChar w:fldCharType="separate"/>
        </w:r>
        <w:r>
          <w:rPr>
            <w:noProof/>
            <w:webHidden/>
          </w:rPr>
          <w:t>22</w:t>
        </w:r>
        <w:r>
          <w:rPr>
            <w:noProof/>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22" w:history="1">
        <w:r>
          <w:rPr>
            <w:rStyle w:val="Hyperlink"/>
          </w:rPr>
          <w:t>7.1</w:t>
        </w:r>
        <w:r>
          <w:rPr>
            <w:rFonts w:asciiTheme="minorHAnsi" w:eastAsiaTheme="minorEastAsia" w:hAnsiTheme="minorHAnsi" w:cstheme="minorBidi"/>
            <w:sz w:val="22"/>
            <w:szCs w:val="22"/>
            <w:lang w:val="en-US" w:eastAsia="en-US"/>
          </w:rPr>
          <w:tab/>
        </w:r>
        <w:r>
          <w:rPr>
            <w:rStyle w:val="Hyperlink"/>
          </w:rPr>
          <w:t xml:space="preserve"> Индексация на заплатите, считано от 1 юли 2020 г.</w:t>
        </w:r>
        <w:r>
          <w:rPr>
            <w:webHidden/>
          </w:rPr>
          <w:tab/>
        </w:r>
        <w:r>
          <w:rPr>
            <w:webHidden/>
          </w:rPr>
          <w:fldChar w:fldCharType="begin"/>
        </w:r>
        <w:r>
          <w:rPr>
            <w:webHidden/>
          </w:rPr>
          <w:instrText xml:space="preserve"> PAGEREF _Toc56247322 \h </w:instrText>
        </w:r>
        <w:r>
          <w:rPr>
            <w:webHidden/>
          </w:rPr>
        </w:r>
        <w:r>
          <w:rPr>
            <w:webHidden/>
          </w:rPr>
          <w:fldChar w:fldCharType="separate"/>
        </w:r>
        <w:r>
          <w:rPr>
            <w:webHidden/>
          </w:rPr>
          <w:t>22</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23" w:history="1">
        <w:r>
          <w:rPr>
            <w:rStyle w:val="Hyperlink"/>
          </w:rPr>
          <w:t>7.2</w:t>
        </w:r>
        <w:r>
          <w:rPr>
            <w:rFonts w:asciiTheme="minorHAnsi" w:eastAsiaTheme="minorEastAsia" w:hAnsiTheme="minorHAnsi" w:cstheme="minorBidi"/>
            <w:sz w:val="22"/>
            <w:szCs w:val="22"/>
            <w:lang w:val="en-US" w:eastAsia="en-US"/>
          </w:rPr>
          <w:tab/>
        </w:r>
        <w:r>
          <w:rPr>
            <w:rStyle w:val="Hyperlink"/>
          </w:rPr>
          <w:t xml:space="preserve"> Увеличаване на средствата за Европейския парламент</w:t>
        </w:r>
        <w:r>
          <w:rPr>
            <w:webHidden/>
          </w:rPr>
          <w:tab/>
        </w:r>
        <w:r>
          <w:rPr>
            <w:webHidden/>
          </w:rPr>
          <w:fldChar w:fldCharType="begin"/>
        </w:r>
        <w:r>
          <w:rPr>
            <w:webHidden/>
          </w:rPr>
          <w:instrText xml:space="preserve"> PAGEREF _Toc56247323 \h </w:instrText>
        </w:r>
        <w:r>
          <w:rPr>
            <w:webHidden/>
          </w:rPr>
        </w:r>
        <w:r>
          <w:rPr>
            <w:webHidden/>
          </w:rPr>
          <w:fldChar w:fldCharType="separate"/>
        </w:r>
        <w:r>
          <w:rPr>
            <w:webHidden/>
          </w:rPr>
          <w:t>23</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24" w:history="1">
        <w:r>
          <w:rPr>
            <w:rStyle w:val="Hyperlink"/>
          </w:rPr>
          <w:t xml:space="preserve">7.4 </w:t>
        </w:r>
        <w:r>
          <w:rPr>
            <w:rFonts w:asciiTheme="minorHAnsi" w:eastAsiaTheme="minorEastAsia" w:hAnsiTheme="minorHAnsi" w:cstheme="minorBidi"/>
            <w:sz w:val="22"/>
            <w:szCs w:val="22"/>
            <w:lang w:val="en-US" w:eastAsia="en-US"/>
          </w:rPr>
          <w:tab/>
        </w:r>
        <w:r>
          <w:rPr>
            <w:rStyle w:val="Hyperlink"/>
          </w:rPr>
          <w:t>Прехвърляне на определен персонал в делегациите</w:t>
        </w:r>
        <w:r>
          <w:rPr>
            <w:rStyle w:val="Hyperlink"/>
          </w:rPr>
          <w:t xml:space="preserve"> на Съюза от Комисията в ЕСВД</w:t>
        </w:r>
        <w:r>
          <w:rPr>
            <w:webHidden/>
          </w:rPr>
          <w:tab/>
        </w:r>
        <w:r>
          <w:rPr>
            <w:webHidden/>
          </w:rPr>
          <w:fldChar w:fldCharType="begin"/>
        </w:r>
        <w:r>
          <w:rPr>
            <w:webHidden/>
          </w:rPr>
          <w:instrText xml:space="preserve"> PAGEREF _Toc56247324 \h </w:instrText>
        </w:r>
        <w:r>
          <w:rPr>
            <w:webHidden/>
          </w:rPr>
        </w:r>
        <w:r>
          <w:rPr>
            <w:webHidden/>
          </w:rPr>
          <w:fldChar w:fldCharType="separate"/>
        </w:r>
        <w:r>
          <w:rPr>
            <w:webHidden/>
          </w:rPr>
          <w:t>24</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25" w:history="1">
        <w:r>
          <w:rPr>
            <w:rStyle w:val="Hyperlink"/>
          </w:rPr>
          <w:t xml:space="preserve">7.5 </w:t>
        </w:r>
        <w:r>
          <w:rPr>
            <w:rFonts w:asciiTheme="minorHAnsi" w:eastAsiaTheme="minorEastAsia" w:hAnsiTheme="minorHAnsi" w:cstheme="minorBidi"/>
            <w:sz w:val="22"/>
            <w:szCs w:val="22"/>
            <w:lang w:val="en-US" w:eastAsia="en-US"/>
          </w:rPr>
          <w:tab/>
        </w:r>
        <w:r>
          <w:rPr>
            <w:rStyle w:val="Hyperlink"/>
          </w:rPr>
          <w:t>Прехвърляне на централната библиотека от Комисията в Службата за публикации</w:t>
        </w:r>
        <w:r>
          <w:rPr>
            <w:webHidden/>
          </w:rPr>
          <w:tab/>
        </w:r>
        <w:r>
          <w:rPr>
            <w:webHidden/>
          </w:rPr>
          <w:fldChar w:fldCharType="begin"/>
        </w:r>
        <w:r>
          <w:rPr>
            <w:webHidden/>
          </w:rPr>
          <w:instrText xml:space="preserve"> PAGEREF _Toc562473</w:instrText>
        </w:r>
        <w:r>
          <w:rPr>
            <w:webHidden/>
          </w:rPr>
          <w:instrText xml:space="preserve">25 \h </w:instrText>
        </w:r>
        <w:r>
          <w:rPr>
            <w:webHidden/>
          </w:rPr>
        </w:r>
        <w:r>
          <w:rPr>
            <w:webHidden/>
          </w:rPr>
          <w:fldChar w:fldCharType="separate"/>
        </w:r>
        <w:r>
          <w:rPr>
            <w:webHidden/>
          </w:rPr>
          <w:t>25</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26" w:history="1">
        <w:r>
          <w:rPr>
            <w:rStyle w:val="Hyperlink"/>
          </w:rPr>
          <w:t xml:space="preserve">7.6 </w:t>
        </w:r>
        <w:r>
          <w:rPr>
            <w:rFonts w:asciiTheme="minorHAnsi" w:eastAsiaTheme="minorEastAsia" w:hAnsiTheme="minorHAnsi" w:cstheme="minorBidi"/>
            <w:sz w:val="22"/>
            <w:szCs w:val="22"/>
            <w:lang w:val="en-US" w:eastAsia="en-US"/>
          </w:rPr>
          <w:tab/>
        </w:r>
        <w:r>
          <w:rPr>
            <w:rStyle w:val="Hyperlink"/>
          </w:rPr>
          <w:t>Прехвърляне на 2 длъжности в щатното разписание от Европейския парламент на Комисията</w:t>
        </w:r>
        <w:r>
          <w:rPr>
            <w:webHidden/>
          </w:rPr>
          <w:tab/>
        </w:r>
        <w:r>
          <w:rPr>
            <w:webHidden/>
          </w:rPr>
          <w:fldChar w:fldCharType="begin"/>
        </w:r>
        <w:r>
          <w:rPr>
            <w:webHidden/>
          </w:rPr>
          <w:instrText xml:space="preserve"> PAGEREF _Toc56247326 \h </w:instrText>
        </w:r>
        <w:r>
          <w:rPr>
            <w:webHidden/>
          </w:rPr>
        </w:r>
        <w:r>
          <w:rPr>
            <w:webHidden/>
          </w:rPr>
          <w:fldChar w:fldCharType="separate"/>
        </w:r>
        <w:r>
          <w:rPr>
            <w:webHidden/>
          </w:rPr>
          <w:t>26</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27" w:history="1">
        <w:r>
          <w:rPr>
            <w:rStyle w:val="Hyperlink"/>
          </w:rPr>
          <w:t>7.7</w:t>
        </w:r>
        <w:r>
          <w:rPr>
            <w:rFonts w:asciiTheme="minorHAnsi" w:eastAsiaTheme="minorEastAsia" w:hAnsiTheme="minorHAnsi" w:cstheme="minorBidi"/>
            <w:sz w:val="22"/>
            <w:szCs w:val="22"/>
            <w:lang w:val="en-US" w:eastAsia="en-US"/>
          </w:rPr>
          <w:tab/>
        </w:r>
        <w:r>
          <w:rPr>
            <w:rStyle w:val="Hyperlink"/>
          </w:rPr>
          <w:t>Финансов принос на ЕСВД за предоставянето на основни услуги от Службата за управление и плащане по индивидуални права (PMO)</w:t>
        </w:r>
        <w:r>
          <w:rPr>
            <w:webHidden/>
          </w:rPr>
          <w:tab/>
        </w:r>
        <w:r>
          <w:rPr>
            <w:webHidden/>
          </w:rPr>
          <w:fldChar w:fldCharType="begin"/>
        </w:r>
        <w:r>
          <w:rPr>
            <w:webHidden/>
          </w:rPr>
          <w:instrText xml:space="preserve"> PAGEREF _Toc56247327 \h </w:instrText>
        </w:r>
        <w:r>
          <w:rPr>
            <w:webHidden/>
          </w:rPr>
        </w:r>
        <w:r>
          <w:rPr>
            <w:webHidden/>
          </w:rPr>
          <w:fldChar w:fldCharType="separate"/>
        </w:r>
        <w:r>
          <w:rPr>
            <w:webHidden/>
          </w:rPr>
          <w:t>26</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28" w:history="1">
        <w:r>
          <w:rPr>
            <w:rStyle w:val="Hyperlink"/>
          </w:rPr>
          <w:t>7.8</w:t>
        </w:r>
        <w:r>
          <w:rPr>
            <w:rFonts w:asciiTheme="minorHAnsi" w:eastAsiaTheme="minorEastAsia" w:hAnsiTheme="minorHAnsi" w:cstheme="minorBidi"/>
            <w:sz w:val="22"/>
            <w:szCs w:val="22"/>
            <w:lang w:val="en-US" w:eastAsia="en-US"/>
          </w:rPr>
          <w:tab/>
        </w:r>
        <w:r>
          <w:rPr>
            <w:rStyle w:val="Hyperlink"/>
          </w:rPr>
          <w:t>Отражение на пандемията от COVID-19 върху бюджета на Европейските училища</w:t>
        </w:r>
        <w:r>
          <w:rPr>
            <w:webHidden/>
          </w:rPr>
          <w:tab/>
        </w:r>
        <w:r>
          <w:rPr>
            <w:webHidden/>
          </w:rPr>
          <w:fldChar w:fldCharType="begin"/>
        </w:r>
        <w:r>
          <w:rPr>
            <w:webHidden/>
          </w:rPr>
          <w:instrText xml:space="preserve"> PAGEREF _Toc56247328 \h </w:instrText>
        </w:r>
        <w:r>
          <w:rPr>
            <w:webHidden/>
          </w:rPr>
        </w:r>
        <w:r>
          <w:rPr>
            <w:webHidden/>
          </w:rPr>
          <w:fldChar w:fldCharType="separate"/>
        </w:r>
        <w:r>
          <w:rPr>
            <w:webHidden/>
          </w:rPr>
          <w:t>26</w:t>
        </w:r>
        <w:r>
          <w:rPr>
            <w:webHidden/>
          </w:rPr>
          <w:fldChar w:fldCharType="end"/>
        </w:r>
      </w:hyperlink>
    </w:p>
    <w:p w:rsidR="00763157" w:rsidRDefault="00E45FF1">
      <w:pPr>
        <w:pStyle w:val="TOC2"/>
        <w:rPr>
          <w:rFonts w:eastAsiaTheme="minorEastAsia" w:cstheme="minorBidi"/>
          <w:sz w:val="22"/>
          <w:szCs w:val="22"/>
          <w:lang w:val="en-US" w:eastAsia="en-US"/>
        </w:rPr>
      </w:pPr>
      <w:hyperlink w:anchor="_Toc56247329" w:history="1">
        <w:r>
          <w:rPr>
            <w:rStyle w:val="Hyperlink"/>
          </w:rPr>
          <w:t xml:space="preserve">7.9 </w:t>
        </w:r>
        <w:r>
          <w:rPr>
            <w:rFonts w:eastAsiaTheme="minorEastAsia" w:cstheme="minorBidi"/>
            <w:sz w:val="22"/>
            <w:szCs w:val="22"/>
            <w:lang w:val="en-US" w:eastAsia="en-US"/>
          </w:rPr>
          <w:tab/>
        </w:r>
        <w:r>
          <w:rPr>
            <w:rStyle w:val="Hyperlink"/>
          </w:rPr>
          <w:t>Отражение на преместването на службата на Омбудсмана, намираща се в Брюксел</w:t>
        </w:r>
        <w:r>
          <w:rPr>
            <w:webHidden/>
          </w:rPr>
          <w:tab/>
        </w:r>
        <w:r>
          <w:rPr>
            <w:webHidden/>
          </w:rPr>
          <w:fldChar w:fldCharType="begin"/>
        </w:r>
        <w:r>
          <w:rPr>
            <w:webHidden/>
          </w:rPr>
          <w:instrText xml:space="preserve"> PAGEREF _Toc56247329 \h </w:instrText>
        </w:r>
        <w:r>
          <w:rPr>
            <w:webHidden/>
          </w:rPr>
        </w:r>
        <w:r>
          <w:rPr>
            <w:webHidden/>
          </w:rPr>
          <w:fldChar w:fldCharType="separate"/>
        </w:r>
        <w:r>
          <w:rPr>
            <w:webHidden/>
          </w:rPr>
          <w:t>27</w:t>
        </w:r>
        <w:r>
          <w:rPr>
            <w:webHidden/>
          </w:rPr>
          <w:fldChar w:fldCharType="end"/>
        </w:r>
      </w:hyperlink>
    </w:p>
    <w:p w:rsidR="00763157" w:rsidRDefault="00E45FF1">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247330" w:history="1">
        <w:r>
          <w:rPr>
            <w:rStyle w:val="Hyperlink"/>
            <w:noProof/>
          </w:rPr>
          <w:t>8.</w:t>
        </w:r>
        <w:r>
          <w:rPr>
            <w:rFonts w:asciiTheme="minorHAnsi" w:eastAsiaTheme="minorEastAsia" w:hAnsiTheme="minorHAnsi" w:cstheme="minorBidi"/>
            <w:b w:val="0"/>
            <w:bCs w:val="0"/>
            <w:caps w:val="0"/>
            <w:noProof/>
            <w:sz w:val="22"/>
            <w:szCs w:val="22"/>
            <w:lang w:val="en-US" w:eastAsia="en-US"/>
          </w:rPr>
          <w:tab/>
        </w:r>
        <w:r>
          <w:rPr>
            <w:rStyle w:val="Hyperlink"/>
            <w:noProof/>
          </w:rPr>
          <w:t>Други корекции</w:t>
        </w:r>
        <w:r>
          <w:rPr>
            <w:noProof/>
            <w:webHidden/>
          </w:rPr>
          <w:tab/>
        </w:r>
        <w:r>
          <w:rPr>
            <w:noProof/>
            <w:webHidden/>
          </w:rPr>
          <w:fldChar w:fldCharType="begin"/>
        </w:r>
        <w:r>
          <w:rPr>
            <w:noProof/>
            <w:webHidden/>
          </w:rPr>
          <w:instrText xml:space="preserve"> PAGEREF _Toc56247330 \h </w:instrText>
        </w:r>
        <w:r>
          <w:rPr>
            <w:noProof/>
            <w:webHidden/>
          </w:rPr>
        </w:r>
        <w:r>
          <w:rPr>
            <w:noProof/>
            <w:webHidden/>
          </w:rPr>
          <w:fldChar w:fldCharType="separate"/>
        </w:r>
        <w:r>
          <w:rPr>
            <w:noProof/>
            <w:webHidden/>
          </w:rPr>
          <w:t>27</w:t>
        </w:r>
        <w:r>
          <w:rPr>
            <w:noProof/>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31" w:history="1">
        <w:r>
          <w:rPr>
            <w:rStyle w:val="Hyperlink"/>
          </w:rPr>
          <w:t xml:space="preserve">8.1 </w:t>
        </w:r>
        <w:r>
          <w:rPr>
            <w:rFonts w:asciiTheme="minorHAnsi" w:eastAsiaTheme="minorEastAsia" w:hAnsiTheme="minorHAnsi" w:cstheme="minorBidi"/>
            <w:sz w:val="22"/>
            <w:szCs w:val="22"/>
            <w:lang w:val="en-US" w:eastAsia="en-US"/>
          </w:rPr>
          <w:tab/>
        </w:r>
        <w:r>
          <w:rPr>
            <w:rStyle w:val="Hyperlink"/>
          </w:rPr>
          <w:t>Целенасочени увеличения на средствата</w:t>
        </w:r>
        <w:r>
          <w:rPr>
            <w:webHidden/>
          </w:rPr>
          <w:tab/>
        </w:r>
        <w:r>
          <w:rPr>
            <w:webHidden/>
          </w:rPr>
          <w:fldChar w:fldCharType="begin"/>
        </w:r>
        <w:r>
          <w:rPr>
            <w:webHidden/>
          </w:rPr>
          <w:instrText xml:space="preserve"> PAGEREF _Toc56247331 \h </w:instrText>
        </w:r>
        <w:r>
          <w:rPr>
            <w:webHidden/>
          </w:rPr>
        </w:r>
        <w:r>
          <w:rPr>
            <w:webHidden/>
          </w:rPr>
          <w:fldChar w:fldCharType="separate"/>
        </w:r>
        <w:r>
          <w:rPr>
            <w:webHidden/>
          </w:rPr>
          <w:t>27</w:t>
        </w:r>
        <w:r>
          <w:rPr>
            <w:webHidden/>
          </w:rPr>
          <w:fldChar w:fldCharType="end"/>
        </w:r>
      </w:hyperlink>
    </w:p>
    <w:p w:rsidR="00763157" w:rsidRDefault="00E45FF1">
      <w:pPr>
        <w:pStyle w:val="TOC2"/>
        <w:rPr>
          <w:rFonts w:asciiTheme="minorHAnsi" w:eastAsiaTheme="minorEastAsia" w:hAnsiTheme="minorHAnsi" w:cstheme="minorBidi"/>
          <w:b w:val="0"/>
          <w:i/>
          <w:sz w:val="22"/>
          <w:szCs w:val="22"/>
          <w:lang w:val="en-US" w:eastAsia="en-US"/>
        </w:rPr>
      </w:pPr>
      <w:hyperlink w:anchor="_Toc56247332" w:history="1">
        <w:r>
          <w:rPr>
            <w:rStyle w:val="Hyperlink"/>
            <w:rFonts w:ascii="Times New Roman" w:hAnsi="Times New Roman"/>
            <w:b w:val="0"/>
            <w:i/>
          </w:rPr>
          <w:t xml:space="preserve">8.1.1 </w:t>
        </w:r>
        <w:r>
          <w:rPr>
            <w:rFonts w:ascii="Times New Roman" w:eastAsiaTheme="minorEastAsia" w:hAnsi="Times New Roman" w:cstheme="minorBidi"/>
            <w:b w:val="0"/>
            <w:i/>
            <w:sz w:val="22"/>
            <w:szCs w:val="22"/>
            <w:lang w:val="en-US" w:eastAsia="en-US"/>
          </w:rPr>
          <w:tab/>
        </w:r>
        <w:r>
          <w:rPr>
            <w:rStyle w:val="Hyperlink"/>
            <w:rFonts w:ascii="Times New Roman" w:hAnsi="Times New Roman"/>
            <w:b w:val="0"/>
            <w:i/>
          </w:rPr>
          <w:t>Подкрепа за общността на кипърските турци</w:t>
        </w:r>
        <w:r>
          <w:rPr>
            <w:b w:val="0"/>
            <w:i/>
            <w:webHidden/>
          </w:rPr>
          <w:tab/>
        </w:r>
        <w:r>
          <w:rPr>
            <w:rFonts w:ascii="Times New Roman" w:hAnsi="Times New Roman"/>
            <w:b w:val="0"/>
            <w:webHidden/>
          </w:rPr>
          <w:fldChar w:fldCharType="begin"/>
        </w:r>
        <w:r>
          <w:rPr>
            <w:rFonts w:ascii="Times New Roman" w:hAnsi="Times New Roman"/>
            <w:b w:val="0"/>
            <w:webHidden/>
          </w:rPr>
          <w:instrText xml:space="preserve"> PAGEREF _Toc56247332 \h </w:instrText>
        </w:r>
        <w:r>
          <w:rPr>
            <w:rFonts w:ascii="Times New Roman" w:hAnsi="Times New Roman"/>
            <w:b w:val="0"/>
            <w:webHidden/>
          </w:rPr>
        </w:r>
        <w:r>
          <w:rPr>
            <w:rFonts w:ascii="Times New Roman" w:hAnsi="Times New Roman"/>
            <w:b w:val="0"/>
            <w:webHidden/>
          </w:rPr>
          <w:fldChar w:fldCharType="separate"/>
        </w:r>
        <w:r>
          <w:rPr>
            <w:rFonts w:ascii="Times New Roman" w:hAnsi="Times New Roman"/>
            <w:b w:val="0"/>
            <w:webHidden/>
          </w:rPr>
          <w:t>27</w:t>
        </w:r>
        <w:r>
          <w:rPr>
            <w:rFonts w:ascii="Times New Roman" w:hAnsi="Times New Roman"/>
            <w:b w:val="0"/>
            <w:webHidden/>
          </w:rPr>
          <w:fldChar w:fldCharType="end"/>
        </w:r>
      </w:hyperlink>
    </w:p>
    <w:p w:rsidR="00763157" w:rsidRDefault="00E45FF1">
      <w:pPr>
        <w:pStyle w:val="TOC2"/>
        <w:rPr>
          <w:rFonts w:asciiTheme="minorHAnsi" w:eastAsiaTheme="minorEastAsia" w:hAnsiTheme="minorHAnsi" w:cstheme="minorBidi"/>
          <w:b w:val="0"/>
          <w:i/>
          <w:sz w:val="22"/>
          <w:szCs w:val="22"/>
          <w:lang w:val="en-US" w:eastAsia="en-US"/>
        </w:rPr>
      </w:pPr>
      <w:hyperlink w:anchor="_Toc56247333" w:history="1">
        <w:r>
          <w:rPr>
            <w:rStyle w:val="Hyperlink"/>
            <w:rFonts w:ascii="Times New Roman" w:hAnsi="Times New Roman"/>
            <w:b w:val="0"/>
            <w:i/>
          </w:rPr>
          <w:t xml:space="preserve">8.1.2 </w:t>
        </w:r>
        <w:r>
          <w:rPr>
            <w:rFonts w:ascii="Times New Roman" w:eastAsiaTheme="minorEastAsia" w:hAnsi="Times New Roman" w:cstheme="minorBidi"/>
            <w:b w:val="0"/>
            <w:i/>
            <w:sz w:val="22"/>
            <w:szCs w:val="22"/>
            <w:lang w:val="en-US" w:eastAsia="en-US"/>
          </w:rPr>
          <w:tab/>
        </w:r>
        <w:r>
          <w:rPr>
            <w:rStyle w:val="Hyperlink"/>
            <w:rFonts w:ascii="Times New Roman" w:hAnsi="Times New Roman"/>
            <w:b w:val="0"/>
            <w:i/>
          </w:rPr>
          <w:t>Социален диалог</w:t>
        </w:r>
        <w:r>
          <w:rPr>
            <w:b w:val="0"/>
            <w:i/>
            <w:webHidden/>
          </w:rPr>
          <w:tab/>
        </w:r>
        <w:r>
          <w:rPr>
            <w:rFonts w:ascii="Times New Roman" w:hAnsi="Times New Roman"/>
            <w:b w:val="0"/>
            <w:webHidden/>
          </w:rPr>
          <w:fldChar w:fldCharType="begin"/>
        </w:r>
        <w:r>
          <w:rPr>
            <w:rFonts w:ascii="Times New Roman" w:hAnsi="Times New Roman"/>
            <w:b w:val="0"/>
            <w:webHidden/>
          </w:rPr>
          <w:instrText xml:space="preserve"> PAGEREF _Toc56247333 \h </w:instrText>
        </w:r>
        <w:r>
          <w:rPr>
            <w:rFonts w:ascii="Times New Roman" w:hAnsi="Times New Roman"/>
            <w:b w:val="0"/>
            <w:webHidden/>
          </w:rPr>
        </w:r>
        <w:r>
          <w:rPr>
            <w:rFonts w:ascii="Times New Roman" w:hAnsi="Times New Roman"/>
            <w:b w:val="0"/>
            <w:webHidden/>
          </w:rPr>
          <w:fldChar w:fldCharType="separate"/>
        </w:r>
        <w:r>
          <w:rPr>
            <w:rFonts w:ascii="Times New Roman" w:hAnsi="Times New Roman"/>
            <w:b w:val="0"/>
            <w:webHidden/>
          </w:rPr>
          <w:t>27</w:t>
        </w:r>
        <w:r>
          <w:rPr>
            <w:rFonts w:ascii="Times New Roman" w:hAnsi="Times New Roman"/>
            <w:b w:val="0"/>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34" w:history="1">
        <w:r>
          <w:rPr>
            <w:rStyle w:val="Hyperlink"/>
          </w:rPr>
          <w:t xml:space="preserve">8.2 </w:t>
        </w:r>
        <w:r>
          <w:rPr>
            <w:rFonts w:asciiTheme="minorHAnsi" w:eastAsiaTheme="minorEastAsia" w:hAnsiTheme="minorHAnsi" w:cstheme="minorBidi"/>
            <w:sz w:val="22"/>
            <w:szCs w:val="22"/>
            <w:lang w:val="en-US" w:eastAsia="en-US"/>
          </w:rPr>
          <w:tab/>
        </w:r>
        <w:r>
          <w:rPr>
            <w:rStyle w:val="Hyperlink"/>
          </w:rPr>
          <w:t>Адапт</w:t>
        </w:r>
        <w:r>
          <w:rPr>
            <w:rStyle w:val="Hyperlink"/>
          </w:rPr>
          <w:t>иране на номенклатурата</w:t>
        </w:r>
        <w:r>
          <w:rPr>
            <w:webHidden/>
          </w:rPr>
          <w:tab/>
        </w:r>
        <w:r>
          <w:rPr>
            <w:webHidden/>
          </w:rPr>
          <w:fldChar w:fldCharType="begin"/>
        </w:r>
        <w:r>
          <w:rPr>
            <w:webHidden/>
          </w:rPr>
          <w:instrText xml:space="preserve"> PAGEREF _Toc56247334 \h </w:instrText>
        </w:r>
        <w:r>
          <w:rPr>
            <w:webHidden/>
          </w:rPr>
        </w:r>
        <w:r>
          <w:rPr>
            <w:webHidden/>
          </w:rPr>
          <w:fldChar w:fldCharType="separate"/>
        </w:r>
        <w:r>
          <w:rPr>
            <w:webHidden/>
          </w:rPr>
          <w:t>27</w:t>
        </w:r>
        <w:r>
          <w:rPr>
            <w:webHidden/>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35" w:history="1">
        <w:r>
          <w:rPr>
            <w:rStyle w:val="Hyperlink"/>
            <w:rFonts w:ascii="Times New Roman" w:hAnsi="Times New Roman"/>
            <w:b w:val="0"/>
            <w:i/>
          </w:rPr>
          <w:t xml:space="preserve">8.2.2 </w:t>
        </w:r>
        <w:r>
          <w:rPr>
            <w:rFonts w:ascii="Times New Roman" w:eastAsiaTheme="minorEastAsia" w:hAnsi="Times New Roman" w:cstheme="minorBidi"/>
            <w:b w:val="0"/>
            <w:sz w:val="22"/>
            <w:szCs w:val="22"/>
            <w:lang w:val="en-US" w:eastAsia="en-US"/>
          </w:rPr>
          <w:tab/>
        </w:r>
        <w:r>
          <w:rPr>
            <w:rStyle w:val="Hyperlink"/>
            <w:rFonts w:ascii="Times New Roman" w:hAnsi="Times New Roman"/>
            <w:b w:val="0"/>
            <w:i/>
          </w:rPr>
          <w:t>Програма за единния пазар</w:t>
        </w:r>
        <w:r>
          <w:rPr>
            <w:webHidden/>
          </w:rPr>
          <w:tab/>
        </w:r>
        <w:r>
          <w:rPr>
            <w:rFonts w:ascii="Times New Roman" w:hAnsi="Times New Roman"/>
            <w:b w:val="0"/>
            <w:webHidden/>
          </w:rPr>
          <w:fldChar w:fldCharType="begin"/>
        </w:r>
        <w:r>
          <w:rPr>
            <w:rFonts w:ascii="Times New Roman" w:hAnsi="Times New Roman"/>
            <w:b w:val="0"/>
            <w:webHidden/>
          </w:rPr>
          <w:instrText xml:space="preserve"> PAGEREF _Toc56247335 \h </w:instrText>
        </w:r>
        <w:r>
          <w:rPr>
            <w:rFonts w:ascii="Times New Roman" w:hAnsi="Times New Roman"/>
            <w:b w:val="0"/>
            <w:webHidden/>
          </w:rPr>
        </w:r>
        <w:r>
          <w:rPr>
            <w:rFonts w:ascii="Times New Roman" w:hAnsi="Times New Roman"/>
            <w:b w:val="0"/>
            <w:webHidden/>
          </w:rPr>
          <w:fldChar w:fldCharType="separate"/>
        </w:r>
        <w:r>
          <w:rPr>
            <w:rFonts w:ascii="Times New Roman" w:hAnsi="Times New Roman"/>
            <w:b w:val="0"/>
            <w:webHidden/>
          </w:rPr>
          <w:t>29</w:t>
        </w:r>
        <w:r>
          <w:rPr>
            <w:rFonts w:ascii="Times New Roman" w:hAnsi="Times New Roman"/>
            <w:b w:val="0"/>
            <w:webHidden/>
          </w:rPr>
          <w:fldChar w:fldCharType="end"/>
        </w:r>
      </w:hyperlink>
    </w:p>
    <w:p w:rsidR="00763157" w:rsidRDefault="00E45FF1">
      <w:pPr>
        <w:pStyle w:val="TOC2"/>
        <w:rPr>
          <w:rFonts w:ascii="Times New Roman" w:eastAsiaTheme="minorEastAsia" w:hAnsi="Times New Roman" w:cstheme="minorBidi"/>
          <w:b w:val="0"/>
          <w:i/>
          <w:sz w:val="22"/>
          <w:szCs w:val="22"/>
          <w:lang w:val="en-US" w:eastAsia="en-US"/>
        </w:rPr>
      </w:pPr>
      <w:hyperlink w:anchor="_Toc56247336" w:history="1">
        <w:r>
          <w:rPr>
            <w:rStyle w:val="Hyperlink"/>
            <w:rFonts w:ascii="Times New Roman" w:hAnsi="Times New Roman"/>
            <w:b w:val="0"/>
            <w:i/>
          </w:rPr>
          <w:t xml:space="preserve">8.2.3 </w:t>
        </w:r>
        <w:r>
          <w:rPr>
            <w:rFonts w:ascii="Times New Roman" w:eastAsiaTheme="minorEastAsia" w:hAnsi="Times New Roman" w:cstheme="minorBidi"/>
            <w:b w:val="0"/>
            <w:i/>
            <w:sz w:val="22"/>
            <w:szCs w:val="22"/>
            <w:lang w:val="en-US" w:eastAsia="en-US"/>
          </w:rPr>
          <w:tab/>
        </w:r>
        <w:r>
          <w:rPr>
            <w:rStyle w:val="Hyperlink"/>
            <w:rFonts w:ascii="Times New Roman" w:hAnsi="Times New Roman"/>
            <w:b w:val="0"/>
            <w:i/>
          </w:rPr>
          <w:t>Социална политика (включително социалният диалог)</w:t>
        </w:r>
        <w:r>
          <w:rPr>
            <w:rFonts w:ascii="Times New Roman" w:hAnsi="Times New Roman"/>
            <w:b w:val="0"/>
            <w:i/>
            <w:webHidden/>
          </w:rPr>
          <w:tab/>
        </w:r>
        <w:r>
          <w:rPr>
            <w:rFonts w:ascii="Times New Roman" w:hAnsi="Times New Roman"/>
            <w:b w:val="0"/>
            <w:i/>
            <w:webHidden/>
          </w:rPr>
          <w:fldChar w:fldCharType="begin"/>
        </w:r>
        <w:r>
          <w:rPr>
            <w:rFonts w:ascii="Times New Roman" w:hAnsi="Times New Roman"/>
            <w:b w:val="0"/>
            <w:i/>
            <w:webHidden/>
          </w:rPr>
          <w:instrText xml:space="preserve"> PAGEREF _Toc56247336 \h </w:instrText>
        </w:r>
        <w:r>
          <w:rPr>
            <w:rFonts w:ascii="Times New Roman" w:hAnsi="Times New Roman"/>
            <w:b w:val="0"/>
            <w:i/>
            <w:webHidden/>
          </w:rPr>
        </w:r>
        <w:r>
          <w:rPr>
            <w:rFonts w:ascii="Times New Roman" w:hAnsi="Times New Roman"/>
            <w:b w:val="0"/>
            <w:i/>
            <w:webHidden/>
          </w:rPr>
          <w:fldChar w:fldCharType="separate"/>
        </w:r>
        <w:r>
          <w:rPr>
            <w:rFonts w:ascii="Times New Roman" w:hAnsi="Times New Roman"/>
            <w:b w:val="0"/>
            <w:i/>
            <w:webHidden/>
          </w:rPr>
          <w:t>29</w:t>
        </w:r>
        <w:r>
          <w:rPr>
            <w:rFonts w:ascii="Times New Roman" w:hAnsi="Times New Roman"/>
            <w:b w:val="0"/>
            <w:i/>
            <w:webHidden/>
          </w:rPr>
          <w:fldChar w:fldCharType="end"/>
        </w:r>
      </w:hyperlink>
    </w:p>
    <w:p w:rsidR="00763157" w:rsidRDefault="00E45FF1">
      <w:pPr>
        <w:pStyle w:val="TOC2"/>
        <w:rPr>
          <w:rFonts w:ascii="Times New Roman" w:eastAsiaTheme="minorEastAsia" w:hAnsi="Times New Roman" w:cstheme="minorBidi"/>
          <w:b w:val="0"/>
          <w:i/>
          <w:sz w:val="22"/>
          <w:szCs w:val="22"/>
          <w:lang w:val="en-US" w:eastAsia="en-US"/>
        </w:rPr>
      </w:pPr>
      <w:hyperlink w:anchor="_Toc56247337" w:history="1">
        <w:r>
          <w:rPr>
            <w:rStyle w:val="Hyperlink"/>
            <w:rFonts w:ascii="Times New Roman" w:hAnsi="Times New Roman"/>
            <w:b w:val="0"/>
            <w:i/>
          </w:rPr>
          <w:t>8.2.4</w:t>
        </w:r>
        <w:r>
          <w:rPr>
            <w:rFonts w:ascii="Times New Roman" w:eastAsiaTheme="minorEastAsia" w:hAnsi="Times New Roman" w:cstheme="minorBidi"/>
            <w:b w:val="0"/>
            <w:i/>
            <w:sz w:val="22"/>
            <w:szCs w:val="22"/>
            <w:lang w:val="en-US" w:eastAsia="en-US"/>
          </w:rPr>
          <w:tab/>
        </w:r>
        <w:r>
          <w:rPr>
            <w:rStyle w:val="Hyperlink"/>
            <w:rFonts w:ascii="Times New Roman" w:hAnsi="Times New Roman"/>
            <w:b w:val="0"/>
            <w:i/>
          </w:rPr>
          <w:t>Удължаване на срока на действие на Съвместното предприятие за европейски високопроизводителни изчислителни технологии (EuroHPC)</w:t>
        </w:r>
        <w:r>
          <w:rPr>
            <w:rFonts w:ascii="Times New Roman" w:hAnsi="Times New Roman"/>
            <w:b w:val="0"/>
            <w:i/>
            <w:webHidden/>
          </w:rPr>
          <w:tab/>
        </w:r>
        <w:r>
          <w:rPr>
            <w:rFonts w:ascii="Times New Roman" w:hAnsi="Times New Roman"/>
            <w:b w:val="0"/>
            <w:i/>
            <w:webHidden/>
          </w:rPr>
          <w:fldChar w:fldCharType="begin"/>
        </w:r>
        <w:r>
          <w:rPr>
            <w:rFonts w:ascii="Times New Roman" w:hAnsi="Times New Roman"/>
            <w:b w:val="0"/>
            <w:i/>
            <w:webHidden/>
          </w:rPr>
          <w:instrText xml:space="preserve"> PAGEREF _Toc56247337 \h </w:instrText>
        </w:r>
        <w:r>
          <w:rPr>
            <w:rFonts w:ascii="Times New Roman" w:hAnsi="Times New Roman"/>
            <w:b w:val="0"/>
            <w:i/>
            <w:webHidden/>
          </w:rPr>
        </w:r>
        <w:r>
          <w:rPr>
            <w:rFonts w:ascii="Times New Roman" w:hAnsi="Times New Roman"/>
            <w:b w:val="0"/>
            <w:i/>
            <w:webHidden/>
          </w:rPr>
          <w:fldChar w:fldCharType="separate"/>
        </w:r>
        <w:r>
          <w:rPr>
            <w:rFonts w:ascii="Times New Roman" w:hAnsi="Times New Roman"/>
            <w:b w:val="0"/>
            <w:i/>
            <w:webHidden/>
          </w:rPr>
          <w:t>29</w:t>
        </w:r>
        <w:r>
          <w:rPr>
            <w:rFonts w:ascii="Times New Roman" w:hAnsi="Times New Roman"/>
            <w:b w:val="0"/>
            <w:i/>
            <w:webHidden/>
          </w:rPr>
          <w:fldChar w:fldCharType="end"/>
        </w:r>
      </w:hyperlink>
    </w:p>
    <w:p w:rsidR="00763157" w:rsidRDefault="00E45FF1">
      <w:pPr>
        <w:pStyle w:val="TOC2"/>
        <w:rPr>
          <w:rFonts w:ascii="Times New Roman" w:eastAsiaTheme="minorEastAsia" w:hAnsi="Times New Roman" w:cstheme="minorBidi"/>
          <w:b w:val="0"/>
          <w:i/>
          <w:sz w:val="22"/>
          <w:szCs w:val="22"/>
          <w:lang w:val="en-US" w:eastAsia="en-US"/>
        </w:rPr>
      </w:pPr>
      <w:hyperlink w:anchor="_Toc56247338" w:history="1">
        <w:r>
          <w:rPr>
            <w:rStyle w:val="Hyperlink"/>
            <w:rFonts w:ascii="Times New Roman" w:hAnsi="Times New Roman"/>
            <w:b w:val="0"/>
            <w:i/>
          </w:rPr>
          <w:t xml:space="preserve">8.2.5 </w:t>
        </w:r>
        <w:r>
          <w:rPr>
            <w:rFonts w:ascii="Times New Roman" w:eastAsiaTheme="minorEastAsia" w:hAnsi="Times New Roman" w:cstheme="minorBidi"/>
            <w:b w:val="0"/>
            <w:i/>
            <w:sz w:val="22"/>
            <w:szCs w:val="22"/>
            <w:lang w:val="en-US" w:eastAsia="en-US"/>
          </w:rPr>
          <w:tab/>
        </w:r>
        <w:r>
          <w:rPr>
            <w:rStyle w:val="Hyperlink"/>
            <w:rFonts w:ascii="Times New Roman" w:hAnsi="Times New Roman"/>
            <w:b w:val="0"/>
            <w:i/>
          </w:rPr>
          <w:t>Създаване на нови бюджетни редове за двата консултативни органа</w:t>
        </w:r>
        <w:r>
          <w:rPr>
            <w:rFonts w:ascii="Times New Roman" w:hAnsi="Times New Roman"/>
            <w:b w:val="0"/>
            <w:i/>
            <w:webHidden/>
          </w:rPr>
          <w:tab/>
        </w:r>
        <w:r>
          <w:rPr>
            <w:rFonts w:ascii="Times New Roman" w:hAnsi="Times New Roman"/>
            <w:b w:val="0"/>
            <w:i/>
            <w:webHidden/>
          </w:rPr>
          <w:fldChar w:fldCharType="begin"/>
        </w:r>
        <w:r>
          <w:rPr>
            <w:rFonts w:ascii="Times New Roman" w:hAnsi="Times New Roman"/>
            <w:b w:val="0"/>
            <w:i/>
            <w:webHidden/>
          </w:rPr>
          <w:instrText xml:space="preserve"> PAGEREF _Toc56247338 \h </w:instrText>
        </w:r>
        <w:r>
          <w:rPr>
            <w:rFonts w:ascii="Times New Roman" w:hAnsi="Times New Roman"/>
            <w:b w:val="0"/>
            <w:i/>
            <w:webHidden/>
          </w:rPr>
        </w:r>
        <w:r>
          <w:rPr>
            <w:rFonts w:ascii="Times New Roman" w:hAnsi="Times New Roman"/>
            <w:b w:val="0"/>
            <w:i/>
            <w:webHidden/>
          </w:rPr>
          <w:fldChar w:fldCharType="separate"/>
        </w:r>
        <w:r>
          <w:rPr>
            <w:rFonts w:ascii="Times New Roman" w:hAnsi="Times New Roman"/>
            <w:b w:val="0"/>
            <w:i/>
            <w:webHidden/>
          </w:rPr>
          <w:t>29</w:t>
        </w:r>
        <w:r>
          <w:rPr>
            <w:rFonts w:ascii="Times New Roman" w:hAnsi="Times New Roman"/>
            <w:b w:val="0"/>
            <w:i/>
            <w:webHidden/>
          </w:rPr>
          <w:fldChar w:fldCharType="end"/>
        </w:r>
      </w:hyperlink>
    </w:p>
    <w:p w:rsidR="00763157" w:rsidRDefault="00E45FF1">
      <w:pPr>
        <w:pStyle w:val="TOC2"/>
        <w:rPr>
          <w:rFonts w:ascii="Times New Roman" w:eastAsiaTheme="minorEastAsia" w:hAnsi="Times New Roman" w:cstheme="minorBidi"/>
          <w:b w:val="0"/>
          <w:i/>
          <w:sz w:val="22"/>
          <w:szCs w:val="22"/>
          <w:lang w:val="en-US" w:eastAsia="en-US"/>
        </w:rPr>
      </w:pPr>
      <w:hyperlink w:anchor="_Toc56247339" w:history="1">
        <w:r>
          <w:rPr>
            <w:rStyle w:val="Hyperlink"/>
            <w:rFonts w:ascii="Times New Roman" w:hAnsi="Times New Roman"/>
            <w:b w:val="0"/>
            <w:i/>
          </w:rPr>
          <w:t xml:space="preserve">8.2.6 </w:t>
        </w:r>
        <w:r>
          <w:rPr>
            <w:rFonts w:ascii="Times New Roman" w:eastAsiaTheme="minorEastAsia" w:hAnsi="Times New Roman" w:cstheme="minorBidi"/>
            <w:b w:val="0"/>
            <w:i/>
            <w:spacing w:val="-6"/>
            <w:sz w:val="22"/>
            <w:szCs w:val="22"/>
            <w:lang w:val="en-US" w:eastAsia="en-US"/>
          </w:rPr>
          <w:tab/>
        </w:r>
        <w:r>
          <w:rPr>
            <w:rStyle w:val="Hyperlink"/>
            <w:rFonts w:ascii="Times New Roman" w:hAnsi="Times New Roman"/>
            <w:b w:val="0"/>
            <w:i/>
            <w:spacing w:val="-6"/>
          </w:rPr>
          <w:t xml:space="preserve">Заличаване на </w:t>
        </w:r>
        <w:r>
          <w:rPr>
            <w:rStyle w:val="Hyperlink"/>
            <w:rFonts w:ascii="Times New Roman" w:hAnsi="Times New Roman"/>
            <w:b w:val="0"/>
            <w:i/>
            <w:spacing w:val="-6"/>
          </w:rPr>
          <w:t>бюджетни редове в раздела за Европейския надзорен орган по защита на данните</w:t>
        </w:r>
        <w:r>
          <w:rPr>
            <w:rFonts w:ascii="Times New Roman" w:hAnsi="Times New Roman"/>
            <w:b w:val="0"/>
            <w:i/>
            <w:webHidden/>
            <w:spacing w:val="-6"/>
          </w:rPr>
          <w:tab/>
        </w:r>
        <w:r>
          <w:rPr>
            <w:rFonts w:ascii="Times New Roman" w:hAnsi="Times New Roman"/>
            <w:b w:val="0"/>
            <w:i/>
            <w:webHidden/>
            <w:spacing w:val="-6"/>
          </w:rPr>
          <w:fldChar w:fldCharType="begin"/>
        </w:r>
        <w:r>
          <w:rPr>
            <w:rFonts w:ascii="Times New Roman" w:hAnsi="Times New Roman"/>
            <w:b w:val="0"/>
            <w:i/>
            <w:webHidden/>
            <w:spacing w:val="-6"/>
          </w:rPr>
          <w:instrText xml:space="preserve"> PAGEREF _Toc56247339 \h </w:instrText>
        </w:r>
        <w:r>
          <w:rPr>
            <w:rFonts w:ascii="Times New Roman" w:hAnsi="Times New Roman"/>
            <w:b w:val="0"/>
            <w:i/>
            <w:webHidden/>
            <w:spacing w:val="-6"/>
          </w:rPr>
        </w:r>
        <w:r>
          <w:rPr>
            <w:rFonts w:ascii="Times New Roman" w:hAnsi="Times New Roman"/>
            <w:b w:val="0"/>
            <w:i/>
            <w:webHidden/>
            <w:spacing w:val="-6"/>
          </w:rPr>
          <w:fldChar w:fldCharType="separate"/>
        </w:r>
        <w:r>
          <w:rPr>
            <w:rFonts w:ascii="Times New Roman" w:hAnsi="Times New Roman"/>
            <w:b w:val="0"/>
            <w:i/>
            <w:webHidden/>
            <w:spacing w:val="-6"/>
          </w:rPr>
          <w:t>30</w:t>
        </w:r>
        <w:r>
          <w:rPr>
            <w:rFonts w:ascii="Times New Roman" w:hAnsi="Times New Roman"/>
            <w:b w:val="0"/>
            <w:i/>
            <w:webHidden/>
            <w:spacing w:val="-6"/>
          </w:rPr>
          <w:fldChar w:fldCharType="end"/>
        </w:r>
      </w:hyperlink>
    </w:p>
    <w:p w:rsidR="00763157" w:rsidRDefault="00E45FF1">
      <w:pPr>
        <w:pStyle w:val="TOC2"/>
        <w:rPr>
          <w:rFonts w:asciiTheme="minorHAnsi" w:eastAsiaTheme="minorEastAsia" w:hAnsiTheme="minorHAnsi" w:cstheme="minorBidi"/>
          <w:sz w:val="22"/>
          <w:szCs w:val="22"/>
          <w:lang w:val="en-US" w:eastAsia="en-US"/>
        </w:rPr>
      </w:pPr>
      <w:hyperlink w:anchor="_Toc56247340" w:history="1">
        <w:r>
          <w:rPr>
            <w:rStyle w:val="Hyperlink"/>
          </w:rPr>
          <w:t xml:space="preserve">8.3 </w:t>
        </w:r>
        <w:r>
          <w:rPr>
            <w:rFonts w:asciiTheme="minorHAnsi" w:eastAsiaTheme="minorEastAsia" w:hAnsiTheme="minorHAnsi" w:cstheme="minorBidi"/>
            <w:sz w:val="22"/>
            <w:szCs w:val="22"/>
            <w:lang w:val="en-US" w:eastAsia="en-US"/>
          </w:rPr>
          <w:tab/>
        </w:r>
        <w:r>
          <w:rPr>
            <w:rStyle w:val="Hyperlink"/>
          </w:rPr>
          <w:t>Технически актуализации</w:t>
        </w:r>
        <w:r>
          <w:rPr>
            <w:webHidden/>
          </w:rPr>
          <w:tab/>
        </w:r>
        <w:r>
          <w:rPr>
            <w:webHidden/>
          </w:rPr>
          <w:fldChar w:fldCharType="begin"/>
        </w:r>
        <w:r>
          <w:rPr>
            <w:webHidden/>
          </w:rPr>
          <w:instrText xml:space="preserve"> PAGEREF _Toc56247340 \h </w:instrText>
        </w:r>
        <w:r>
          <w:rPr>
            <w:webHidden/>
          </w:rPr>
        </w:r>
        <w:r>
          <w:rPr>
            <w:webHidden/>
          </w:rPr>
          <w:fldChar w:fldCharType="separate"/>
        </w:r>
        <w:r>
          <w:rPr>
            <w:webHidden/>
          </w:rPr>
          <w:t>30</w:t>
        </w:r>
        <w:r>
          <w:rPr>
            <w:webHidden/>
          </w:rPr>
          <w:fldChar w:fldCharType="end"/>
        </w:r>
      </w:hyperlink>
    </w:p>
    <w:p w:rsidR="00763157" w:rsidRDefault="00E45FF1">
      <w:pPr>
        <w:pStyle w:val="TOC2"/>
        <w:rPr>
          <w:rFonts w:ascii="Times New Roman" w:eastAsiaTheme="minorEastAsia" w:hAnsi="Times New Roman" w:cstheme="minorBidi"/>
          <w:b w:val="0"/>
          <w:i/>
          <w:sz w:val="22"/>
          <w:szCs w:val="22"/>
          <w:lang w:val="en-US" w:eastAsia="en-US"/>
        </w:rPr>
      </w:pPr>
      <w:hyperlink w:anchor="_Toc56247341" w:history="1">
        <w:r>
          <w:rPr>
            <w:rStyle w:val="Hyperlink"/>
            <w:rFonts w:ascii="Times New Roman" w:hAnsi="Times New Roman"/>
            <w:b w:val="0"/>
            <w:i/>
          </w:rPr>
          <w:t xml:space="preserve">8.3.1 </w:t>
        </w:r>
        <w:r>
          <w:rPr>
            <w:rFonts w:ascii="Times New Roman" w:eastAsiaTheme="minorEastAsia" w:hAnsi="Times New Roman" w:cstheme="minorBidi"/>
            <w:b w:val="0"/>
            <w:i/>
            <w:sz w:val="22"/>
            <w:szCs w:val="22"/>
            <w:lang w:val="en-US" w:eastAsia="en-US"/>
          </w:rPr>
          <w:tab/>
        </w:r>
        <w:r>
          <w:rPr>
            <w:rStyle w:val="Hyperlink"/>
            <w:rFonts w:ascii="Times New Roman" w:hAnsi="Times New Roman"/>
            <w:b w:val="0"/>
            <w:i/>
          </w:rPr>
          <w:t>Изменение на щатните разписания във връзка с прибягването до член 53, параграф 1 от Финансовия регламент</w:t>
        </w:r>
        <w:r>
          <w:rPr>
            <w:rFonts w:ascii="Times New Roman" w:hAnsi="Times New Roman"/>
            <w:b w:val="0"/>
            <w:i/>
            <w:webHidden/>
          </w:rPr>
          <w:tab/>
        </w:r>
        <w:r>
          <w:rPr>
            <w:rFonts w:ascii="Times New Roman" w:hAnsi="Times New Roman"/>
            <w:b w:val="0"/>
            <w:webHidden/>
          </w:rPr>
          <w:fldChar w:fldCharType="begin"/>
        </w:r>
        <w:r>
          <w:rPr>
            <w:rFonts w:ascii="Times New Roman" w:hAnsi="Times New Roman"/>
            <w:b w:val="0"/>
            <w:webHidden/>
          </w:rPr>
          <w:instrText xml:space="preserve"> PAGEREF _Toc56247</w:instrText>
        </w:r>
        <w:r>
          <w:rPr>
            <w:rFonts w:ascii="Times New Roman" w:hAnsi="Times New Roman"/>
            <w:b w:val="0"/>
            <w:webHidden/>
          </w:rPr>
          <w:instrText xml:space="preserve">341 \h </w:instrText>
        </w:r>
        <w:r>
          <w:rPr>
            <w:rFonts w:ascii="Times New Roman" w:hAnsi="Times New Roman"/>
            <w:b w:val="0"/>
            <w:webHidden/>
          </w:rPr>
        </w:r>
        <w:r>
          <w:rPr>
            <w:rFonts w:ascii="Times New Roman" w:hAnsi="Times New Roman"/>
            <w:b w:val="0"/>
            <w:webHidden/>
          </w:rPr>
          <w:fldChar w:fldCharType="separate"/>
        </w:r>
        <w:r>
          <w:rPr>
            <w:rFonts w:ascii="Times New Roman" w:hAnsi="Times New Roman"/>
            <w:b w:val="0"/>
            <w:webHidden/>
          </w:rPr>
          <w:t>30</w:t>
        </w:r>
        <w:r>
          <w:rPr>
            <w:rFonts w:ascii="Times New Roman" w:hAnsi="Times New Roman"/>
            <w:b w:val="0"/>
            <w:webHidden/>
          </w:rPr>
          <w:fldChar w:fldCharType="end"/>
        </w:r>
      </w:hyperlink>
    </w:p>
    <w:p w:rsidR="00763157" w:rsidRDefault="00E45FF1">
      <w:pPr>
        <w:pStyle w:val="TOC2"/>
        <w:rPr>
          <w:rFonts w:ascii="Times New Roman" w:eastAsiaTheme="minorEastAsia" w:hAnsi="Times New Roman" w:cstheme="minorBidi"/>
          <w:b w:val="0"/>
          <w:i/>
          <w:sz w:val="22"/>
          <w:szCs w:val="22"/>
          <w:lang w:val="en-US" w:eastAsia="en-US"/>
        </w:rPr>
      </w:pPr>
      <w:hyperlink w:anchor="_Toc56247342" w:history="1">
        <w:r>
          <w:rPr>
            <w:rStyle w:val="Hyperlink"/>
            <w:rFonts w:ascii="Times New Roman" w:hAnsi="Times New Roman"/>
            <w:b w:val="0"/>
            <w:i/>
          </w:rPr>
          <w:t>8.3.1</w:t>
        </w:r>
        <w:r>
          <w:rPr>
            <w:rFonts w:ascii="Times New Roman" w:eastAsiaTheme="minorEastAsia" w:hAnsi="Times New Roman" w:cstheme="minorBidi"/>
            <w:b w:val="0"/>
            <w:i/>
            <w:sz w:val="22"/>
            <w:szCs w:val="22"/>
            <w:lang w:val="en-US" w:eastAsia="en-US"/>
          </w:rPr>
          <w:tab/>
        </w:r>
        <w:r>
          <w:rPr>
            <w:rStyle w:val="Hyperlink"/>
            <w:rFonts w:ascii="Times New Roman" w:hAnsi="Times New Roman"/>
            <w:b w:val="0"/>
            <w:i/>
          </w:rPr>
          <w:t>Изменение на текста на някои бюджетни забележки</w:t>
        </w:r>
        <w:r>
          <w:rPr>
            <w:rFonts w:ascii="Times New Roman" w:hAnsi="Times New Roman"/>
            <w:b w:val="0"/>
            <w:i/>
            <w:webHidden/>
          </w:rPr>
          <w:tab/>
        </w:r>
        <w:r>
          <w:rPr>
            <w:rFonts w:ascii="Times New Roman" w:hAnsi="Times New Roman"/>
            <w:b w:val="0"/>
            <w:webHidden/>
          </w:rPr>
          <w:fldChar w:fldCharType="begin"/>
        </w:r>
        <w:r>
          <w:rPr>
            <w:rFonts w:ascii="Times New Roman" w:hAnsi="Times New Roman"/>
            <w:b w:val="0"/>
            <w:webHidden/>
          </w:rPr>
          <w:instrText xml:space="preserve"> PAGEREF _Toc56247342 \h </w:instrText>
        </w:r>
        <w:r>
          <w:rPr>
            <w:rFonts w:ascii="Times New Roman" w:hAnsi="Times New Roman"/>
            <w:b w:val="0"/>
            <w:webHidden/>
          </w:rPr>
        </w:r>
        <w:r>
          <w:rPr>
            <w:rFonts w:ascii="Times New Roman" w:hAnsi="Times New Roman"/>
            <w:b w:val="0"/>
            <w:webHidden/>
          </w:rPr>
          <w:fldChar w:fldCharType="separate"/>
        </w:r>
        <w:r>
          <w:rPr>
            <w:rFonts w:ascii="Times New Roman" w:hAnsi="Times New Roman"/>
            <w:b w:val="0"/>
            <w:webHidden/>
          </w:rPr>
          <w:t>30</w:t>
        </w:r>
        <w:r>
          <w:rPr>
            <w:rFonts w:ascii="Times New Roman" w:hAnsi="Times New Roman"/>
            <w:b w:val="0"/>
            <w:webHidden/>
          </w:rPr>
          <w:fldChar w:fldCharType="end"/>
        </w:r>
      </w:hyperlink>
    </w:p>
    <w:p w:rsidR="00763157" w:rsidRDefault="00E45FF1">
      <w:pPr>
        <w:pStyle w:val="TOC1"/>
        <w:tabs>
          <w:tab w:val="left" w:pos="709"/>
          <w:tab w:val="right" w:leader="dot" w:pos="9061"/>
        </w:tabs>
        <w:rPr>
          <w:rFonts w:asciiTheme="minorHAnsi" w:eastAsiaTheme="minorEastAsia" w:hAnsiTheme="minorHAnsi" w:cstheme="minorBidi"/>
          <w:b w:val="0"/>
          <w:bCs w:val="0"/>
          <w:caps w:val="0"/>
          <w:noProof/>
          <w:sz w:val="22"/>
          <w:szCs w:val="22"/>
          <w:lang w:val="en-US" w:eastAsia="en-US"/>
        </w:rPr>
      </w:pPr>
      <w:hyperlink w:anchor="_Toc56247343" w:history="1">
        <w:r>
          <w:rPr>
            <w:rStyle w:val="Hyperlink"/>
            <w:noProof/>
          </w:rPr>
          <w:t>9.</w:t>
        </w:r>
        <w:r>
          <w:rPr>
            <w:rFonts w:asciiTheme="minorHAnsi" w:eastAsiaTheme="minorEastAsia" w:hAnsiTheme="minorHAnsi" w:cstheme="minorBidi"/>
            <w:b w:val="0"/>
            <w:bCs w:val="0"/>
            <w:caps w:val="0"/>
            <w:noProof/>
            <w:sz w:val="22"/>
            <w:szCs w:val="22"/>
            <w:lang w:val="en-US" w:eastAsia="en-US"/>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_Toc56247343 \h </w:instrText>
        </w:r>
        <w:r>
          <w:rPr>
            <w:noProof/>
            <w:webHidden/>
          </w:rPr>
        </w:r>
        <w:r>
          <w:rPr>
            <w:noProof/>
            <w:webHidden/>
          </w:rPr>
          <w:fldChar w:fldCharType="separate"/>
        </w:r>
        <w:r>
          <w:rPr>
            <w:noProof/>
            <w:webHidden/>
          </w:rPr>
          <w:t>31</w:t>
        </w:r>
        <w:r>
          <w:rPr>
            <w:noProof/>
            <w:webHidden/>
          </w:rPr>
          <w:fldChar w:fldCharType="end"/>
        </w:r>
      </w:hyperlink>
    </w:p>
    <w:p w:rsidR="00763157" w:rsidRDefault="00E45FF1">
      <w:pPr>
        <w:rPr>
          <w:noProof/>
          <w:sz w:val="18"/>
          <w:szCs w:val="18"/>
        </w:rPr>
        <w:sectPr w:rsidR="00763157">
          <w:headerReference w:type="even" r:id="rId22"/>
          <w:headerReference w:type="default" r:id="rId23"/>
          <w:footerReference w:type="even" r:id="rId24"/>
          <w:footerReference w:type="default" r:id="rId25"/>
          <w:headerReference w:type="first" r:id="rId26"/>
          <w:footerReference w:type="first" r:id="rId27"/>
          <w:pgSz w:w="11907" w:h="16839"/>
          <w:pgMar w:top="826" w:right="1418" w:bottom="1418" w:left="1418" w:header="284" w:footer="709" w:gutter="0"/>
          <w:cols w:space="720"/>
        </w:sectPr>
      </w:pPr>
      <w:r>
        <w:rPr>
          <w:rFonts w:ascii="10" w:hAnsi="10"/>
          <w:noProof/>
          <w:sz w:val="18"/>
          <w:szCs w:val="18"/>
        </w:rPr>
        <w:fldChar w:fldCharType="end"/>
      </w:r>
    </w:p>
    <w:p w:rsidR="00763157" w:rsidRDefault="00E45FF1">
      <w:pPr>
        <w:pStyle w:val="ManualHeading1"/>
        <w:spacing w:before="240"/>
        <w:ind w:left="0" w:firstLine="0"/>
        <w:rPr>
          <w:noProof/>
        </w:rPr>
      </w:pPr>
      <w:bookmarkStart w:id="8" w:name="_Toc462410042"/>
      <w:bookmarkStart w:id="9" w:name="_Toc526753779"/>
      <w:bookmarkStart w:id="10" w:name="_Toc54770308"/>
      <w:bookmarkStart w:id="11" w:name="_Toc55807118"/>
      <w:bookmarkStart w:id="12" w:name="_Toc56247293"/>
      <w:bookmarkStart w:id="13" w:name="_Toc385506031"/>
      <w:bookmarkStart w:id="14" w:name="_Toc430865946"/>
      <w:bookmarkStart w:id="15" w:name="_Toc430867524"/>
      <w:bookmarkStart w:id="16" w:name="_Toc463264162"/>
      <w:bookmarkStart w:id="17" w:name="_Toc351469332"/>
      <w:bookmarkStart w:id="18" w:name="_Toc361649879"/>
      <w:r>
        <w:rPr>
          <w:noProof/>
        </w:rPr>
        <w:lastRenderedPageBreak/>
        <w:t>1.</w:t>
      </w:r>
      <w:r>
        <w:rPr>
          <w:noProof/>
        </w:rPr>
        <w:tab/>
      </w:r>
      <w:bookmarkEnd w:id="8"/>
      <w:bookmarkEnd w:id="9"/>
      <w:bookmarkEnd w:id="10"/>
      <w:bookmarkEnd w:id="11"/>
      <w:r>
        <w:rPr>
          <w:noProof/>
        </w:rPr>
        <w:t>Въведение</w:t>
      </w:r>
      <w:bookmarkEnd w:id="12"/>
    </w:p>
    <w:bookmarkEnd w:id="2"/>
    <w:bookmarkEnd w:id="3"/>
    <w:bookmarkEnd w:id="4"/>
    <w:bookmarkEnd w:id="5"/>
    <w:bookmarkEnd w:id="6"/>
    <w:bookmarkEnd w:id="7"/>
    <w:bookmarkEnd w:id="13"/>
    <w:bookmarkEnd w:id="14"/>
    <w:bookmarkEnd w:id="15"/>
    <w:bookmarkEnd w:id="16"/>
    <w:bookmarkEnd w:id="17"/>
    <w:bookmarkEnd w:id="18"/>
    <w:p w:rsidR="00763157" w:rsidRDefault="00E45FF1">
      <w:pPr>
        <w:spacing w:before="120" w:after="120"/>
        <w:jc w:val="both"/>
        <w:rPr>
          <w:noProof/>
          <w:szCs w:val="20"/>
        </w:rPr>
      </w:pPr>
      <w:r>
        <w:rPr>
          <w:noProof/>
        </w:rPr>
        <w:t xml:space="preserve">Писмо за внасяне на </w:t>
      </w:r>
      <w:r>
        <w:rPr>
          <w:noProof/>
        </w:rPr>
        <w:t>корекции № 1 (ПВК 1/2021) към проектобюджета за 2021 г. (ПБ за 2021 г.) обхваща следните елементи:</w:t>
      </w:r>
    </w:p>
    <w:p w:rsidR="00763157" w:rsidRDefault="00E45FF1">
      <w:pPr>
        <w:numPr>
          <w:ilvl w:val="0"/>
          <w:numId w:val="10"/>
        </w:numPr>
        <w:spacing w:before="120" w:after="120"/>
        <w:jc w:val="both"/>
        <w:rPr>
          <w:noProof/>
          <w:szCs w:val="20"/>
        </w:rPr>
      </w:pPr>
      <w:r>
        <w:rPr>
          <w:noProof/>
        </w:rPr>
        <w:t>вземането под внимание на споразумението, постигнато между Европейския парламент и Съвета относно следващата многогодишна финансова рамка за периода 2021—202</w:t>
      </w:r>
      <w:r>
        <w:rPr>
          <w:noProof/>
        </w:rPr>
        <w:t>7 г. (МФР) по време на тристранната среща на 10 ноември. Този резултат се основава на споразумението, постигнато по време на специалното заседание на Европейския съвет (EUCO), проведено на 17—21 юли</w:t>
      </w:r>
      <w:r>
        <w:rPr>
          <w:rStyle w:val="FootnoteReference"/>
          <w:noProof/>
          <w:szCs w:val="20"/>
          <w:lang w:eastAsia="de-DE"/>
        </w:rPr>
        <w:footnoteReference w:id="4"/>
      </w:r>
      <w:r>
        <w:rPr>
          <w:noProof/>
        </w:rPr>
        <w:t>, и има отражение върху редица разходни програми и специа</w:t>
      </w:r>
      <w:r>
        <w:rPr>
          <w:noProof/>
        </w:rPr>
        <w:t>лни инструменти от гледна точка на равнището на бюджетните кредити, структурата на бюджетните редове и на номенклатурата и съдържанието на бюджетните забележки (по-конкретно що се отнася до финансовия принос на плана за възстановяване на Европа — Next Gene</w:t>
      </w:r>
      <w:r>
        <w:rPr>
          <w:noProof/>
        </w:rPr>
        <w:t>ration EU);</w:t>
      </w:r>
    </w:p>
    <w:p w:rsidR="00763157" w:rsidRDefault="00E45FF1">
      <w:pPr>
        <w:numPr>
          <w:ilvl w:val="0"/>
          <w:numId w:val="10"/>
        </w:numPr>
        <w:spacing w:before="120" w:after="120"/>
        <w:jc w:val="both"/>
        <w:rPr>
          <w:noProof/>
          <w:szCs w:val="20"/>
        </w:rPr>
      </w:pPr>
      <w:r>
        <w:rPr>
          <w:noProof/>
        </w:rPr>
        <w:t>актуализирането на прогнозните нужди, целеви приходи и бюджетни кредити за селскостопански разходи. В допълнение към променящите се пазарни фактори ПВК 1/2021 включва също отражението на решенията в селскостопанския сектор след приемането на ПБ</w:t>
      </w:r>
      <w:r>
        <w:rPr>
          <w:noProof/>
        </w:rPr>
        <w:t xml:space="preserve"> за 2021 г. през юли 2020 г., както и други предложения, които се очаква да окажат значително влияние през бюджетната година;</w:t>
      </w:r>
    </w:p>
    <w:p w:rsidR="00763157" w:rsidRDefault="00E45FF1">
      <w:pPr>
        <w:numPr>
          <w:ilvl w:val="0"/>
          <w:numId w:val="10"/>
        </w:numPr>
        <w:spacing w:before="120" w:after="120"/>
        <w:jc w:val="both"/>
        <w:rPr>
          <w:noProof/>
          <w:szCs w:val="20"/>
        </w:rPr>
      </w:pPr>
      <w:r>
        <w:rPr>
          <w:noProof/>
        </w:rPr>
        <w:t>корекциите вследствие на предстоящото внасяне в Комитета за изпълнителните агенции</w:t>
      </w:r>
      <w:r>
        <w:rPr>
          <w:rStyle w:val="FootnoteReference"/>
          <w:noProof/>
          <w:szCs w:val="20"/>
        </w:rPr>
        <w:footnoteReference w:id="5"/>
      </w:r>
      <w:r>
        <w:rPr>
          <w:noProof/>
        </w:rPr>
        <w:t xml:space="preserve"> за становище, както и в Съвета и Европейския п</w:t>
      </w:r>
      <w:r>
        <w:rPr>
          <w:noProof/>
        </w:rPr>
        <w:t>арламент за шестседмичен контрол, на предложението за единен акт за създаване, в който се определят основните компоненти на мандата и на задачите, възложени на новото поколение изпълнителни агенции, считано от 2021 г. Тези корекции по отношение на номенкла</w:t>
      </w:r>
      <w:r>
        <w:rPr>
          <w:noProof/>
        </w:rPr>
        <w:t>турата, бюджетните кредити и щатните разписания все още се основават на споразумението, постигнато на специалното заседание на Европейския съвет (EUCO) от 17—21 юли, и ще бъдат допълнително актуализирани, за да отразят политическото споразумение за следващ</w:t>
      </w:r>
      <w:r>
        <w:rPr>
          <w:noProof/>
        </w:rPr>
        <w:t>ата МФР, след като бъде финализиран единният акт за създаване;</w:t>
      </w:r>
    </w:p>
    <w:p w:rsidR="00763157" w:rsidRDefault="00E45FF1">
      <w:pPr>
        <w:numPr>
          <w:ilvl w:val="0"/>
          <w:numId w:val="10"/>
        </w:numPr>
        <w:spacing w:before="120" w:after="120"/>
        <w:jc w:val="both"/>
        <w:rPr>
          <w:noProof/>
          <w:szCs w:val="20"/>
        </w:rPr>
      </w:pPr>
      <w:r>
        <w:rPr>
          <w:noProof/>
        </w:rPr>
        <w:t>корекциите на равнището на бюджетните кредити и/или на персонала на някои децентрализирани агенции (EMA, ECDC, ECHA, ЕАОС, ЕБО и EASO), които отчитат последните законодателни или политически пр</w:t>
      </w:r>
      <w:r>
        <w:rPr>
          <w:noProof/>
        </w:rPr>
        <w:t>омени в тяхната дейност за 2021 г., и по-специално отражението на предложения „пакет от мерки за здравеопазването“, представен от Комисията на 11 ноември;</w:t>
      </w:r>
    </w:p>
    <w:p w:rsidR="00763157" w:rsidRDefault="00E45FF1">
      <w:pPr>
        <w:numPr>
          <w:ilvl w:val="0"/>
          <w:numId w:val="10"/>
        </w:numPr>
        <w:spacing w:before="120" w:after="120"/>
        <w:jc w:val="both"/>
        <w:rPr>
          <w:noProof/>
        </w:rPr>
      </w:pPr>
      <w:r>
        <w:rPr>
          <w:noProof/>
        </w:rPr>
        <w:t>корекциите във функция 7 „Европейска публична администрация“, включително отражението на намаляването</w:t>
      </w:r>
      <w:r>
        <w:rPr>
          <w:noProof/>
        </w:rPr>
        <w:t xml:space="preserve"> на използвания при изготвянето на ПБ за 2021 г. процент за актуализиране на заплатите, считано от 1 юли 2020 г., от 0,9 % на 0,7 % и увеличаването на средствата за Европейската служба за външна дейност (ЕСВД) за управлението на извънбюджетния Европейски м</w:t>
      </w:r>
      <w:r>
        <w:rPr>
          <w:noProof/>
        </w:rPr>
        <w:t>еханизъм за подкрепа на мира (ЕМПМ), както и увеличаването на средствата за консулските служби; и</w:t>
      </w:r>
    </w:p>
    <w:p w:rsidR="00763157" w:rsidRDefault="00E45FF1">
      <w:pPr>
        <w:numPr>
          <w:ilvl w:val="0"/>
          <w:numId w:val="10"/>
        </w:numPr>
        <w:spacing w:before="120" w:after="120"/>
        <w:jc w:val="both"/>
        <w:rPr>
          <w:noProof/>
          <w:szCs w:val="20"/>
        </w:rPr>
      </w:pPr>
      <w:r>
        <w:rPr>
          <w:noProof/>
        </w:rPr>
        <w:t>други корекции и технически актуализации, включително на структурата на бюджета (номенклатурата).</w:t>
      </w:r>
    </w:p>
    <w:p w:rsidR="00763157" w:rsidRDefault="00E45FF1">
      <w:pPr>
        <w:spacing w:after="200"/>
        <w:jc w:val="both"/>
        <w:rPr>
          <w:noProof/>
          <w:szCs w:val="20"/>
        </w:rPr>
      </w:pPr>
      <w:bookmarkStart w:id="19" w:name="_Toc463264163"/>
      <w:r>
        <w:rPr>
          <w:noProof/>
        </w:rPr>
        <w:t xml:space="preserve">Като цяло нетното отражение на ПВК 1/2021 върху разходите в </w:t>
      </w:r>
      <w:r>
        <w:rPr>
          <w:noProof/>
        </w:rPr>
        <w:t>ПБ за 2021 г. е намаляване с 2 608,8 милиона евро бюджетни кредити за поети задължения и увеличаване с 2 609,3 милиона евро бюджетни кредити за плащания, които могат да бъдат разбити на следните компоненти:</w:t>
      </w:r>
    </w:p>
    <w:tbl>
      <w:tblPr>
        <w:tblW w:w="9840" w:type="dxa"/>
        <w:tblInd w:w="108" w:type="dxa"/>
        <w:tblLook w:val="04A0" w:firstRow="1" w:lastRow="0" w:firstColumn="1" w:lastColumn="0" w:noHBand="0" w:noVBand="1"/>
      </w:tblPr>
      <w:tblGrid>
        <w:gridCol w:w="6360"/>
        <w:gridCol w:w="1780"/>
        <w:gridCol w:w="1700"/>
      </w:tblGrid>
      <w:tr w:rsidR="00763157">
        <w:trPr>
          <w:trHeight w:val="300"/>
          <w:tblHeader/>
        </w:trPr>
        <w:tc>
          <w:tcPr>
            <w:tcW w:w="6360" w:type="dxa"/>
            <w:tcBorders>
              <w:top w:val="nil"/>
              <w:left w:val="nil"/>
              <w:bottom w:val="nil"/>
              <w:right w:val="nil"/>
            </w:tcBorders>
            <w:shd w:val="clear" w:color="auto" w:fill="auto"/>
            <w:noWrap/>
            <w:vAlign w:val="center"/>
            <w:hideMark/>
          </w:tcPr>
          <w:p w:rsidR="00763157" w:rsidRDefault="00763157">
            <w:pPr>
              <w:rPr>
                <w:noProof/>
                <w:sz w:val="20"/>
                <w:szCs w:val="20"/>
              </w:rPr>
            </w:pPr>
            <w:bookmarkStart w:id="20" w:name="_Toc526753780"/>
          </w:p>
        </w:tc>
        <w:tc>
          <w:tcPr>
            <w:tcW w:w="1780" w:type="dxa"/>
            <w:tcBorders>
              <w:top w:val="nil"/>
              <w:left w:val="nil"/>
              <w:bottom w:val="nil"/>
              <w:right w:val="nil"/>
            </w:tcBorders>
            <w:shd w:val="clear" w:color="auto" w:fill="auto"/>
            <w:noWrap/>
            <w:vAlign w:val="center"/>
            <w:hideMark/>
          </w:tcPr>
          <w:p w:rsidR="00763157" w:rsidRDefault="00763157">
            <w:pPr>
              <w:rPr>
                <w:noProof/>
                <w:sz w:val="20"/>
                <w:szCs w:val="20"/>
                <w:lang w:eastAsia="en-US"/>
              </w:rPr>
            </w:pPr>
          </w:p>
        </w:tc>
        <w:tc>
          <w:tcPr>
            <w:tcW w:w="1700" w:type="dxa"/>
            <w:tcBorders>
              <w:top w:val="nil"/>
              <w:left w:val="nil"/>
              <w:bottom w:val="nil"/>
              <w:right w:val="nil"/>
            </w:tcBorders>
            <w:shd w:val="clear" w:color="auto" w:fill="auto"/>
            <w:noWrap/>
            <w:vAlign w:val="center"/>
            <w:hideMark/>
          </w:tcPr>
          <w:p w:rsidR="00763157" w:rsidRDefault="00E45FF1">
            <w:pPr>
              <w:jc w:val="right"/>
              <w:rPr>
                <w:i/>
                <w:iCs/>
                <w:noProof/>
                <w:color w:val="000000"/>
                <w:sz w:val="16"/>
                <w:szCs w:val="16"/>
              </w:rPr>
            </w:pPr>
            <w:r>
              <w:rPr>
                <w:i/>
                <w:iCs/>
                <w:noProof/>
                <w:color w:val="000000"/>
                <w:sz w:val="16"/>
                <w:szCs w:val="16"/>
              </w:rPr>
              <w:t>(В милиони евро)</w:t>
            </w:r>
          </w:p>
        </w:tc>
      </w:tr>
      <w:tr w:rsidR="00763157">
        <w:trPr>
          <w:trHeight w:val="300"/>
          <w:tblHeader/>
        </w:trPr>
        <w:tc>
          <w:tcPr>
            <w:tcW w:w="6360" w:type="dxa"/>
            <w:tcBorders>
              <w:top w:val="single" w:sz="4" w:space="0" w:color="auto"/>
              <w:left w:val="single" w:sz="4" w:space="0" w:color="auto"/>
              <w:bottom w:val="nil"/>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lastRenderedPageBreak/>
              <w:t>Програма</w:t>
            </w:r>
          </w:p>
        </w:tc>
        <w:tc>
          <w:tcPr>
            <w:tcW w:w="1780" w:type="dxa"/>
            <w:tcBorders>
              <w:top w:val="single" w:sz="4" w:space="0" w:color="auto"/>
              <w:left w:val="nil"/>
              <w:bottom w:val="nil"/>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 xml:space="preserve">Бюджетни кредити за </w:t>
            </w:r>
            <w:r>
              <w:rPr>
                <w:b/>
                <w:bCs/>
                <w:noProof/>
                <w:color w:val="000000"/>
                <w:sz w:val="22"/>
                <w:szCs w:val="22"/>
              </w:rPr>
              <w:t>поети задължения</w:t>
            </w:r>
          </w:p>
        </w:tc>
        <w:tc>
          <w:tcPr>
            <w:tcW w:w="1700" w:type="dxa"/>
            <w:tcBorders>
              <w:top w:val="single" w:sz="4" w:space="0" w:color="auto"/>
              <w:left w:val="nil"/>
              <w:bottom w:val="nil"/>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Бюджетни кредити за плащания</w:t>
            </w:r>
          </w:p>
        </w:tc>
      </w:tr>
      <w:tr w:rsidR="00763157">
        <w:trPr>
          <w:trHeight w:val="300"/>
        </w:trPr>
        <w:tc>
          <w:tcPr>
            <w:tcW w:w="6360" w:type="dxa"/>
            <w:tcBorders>
              <w:top w:val="single" w:sz="4" w:space="0" w:color="auto"/>
              <w:left w:val="single" w:sz="4" w:space="0" w:color="auto"/>
              <w:bottom w:val="nil"/>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Корекции вследствие на споразумението на Европейския съвет от юли 2020 г.</w:t>
            </w:r>
          </w:p>
        </w:tc>
        <w:tc>
          <w:tcPr>
            <w:tcW w:w="1780" w:type="dxa"/>
            <w:tcBorders>
              <w:top w:val="single" w:sz="4" w:space="0" w:color="auto"/>
              <w:left w:val="nil"/>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 </w:t>
            </w:r>
          </w:p>
        </w:tc>
        <w:tc>
          <w:tcPr>
            <w:tcW w:w="1700" w:type="dxa"/>
            <w:tcBorders>
              <w:top w:val="single" w:sz="4" w:space="0" w:color="auto"/>
              <w:left w:val="nil"/>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 </w:t>
            </w:r>
          </w:p>
        </w:tc>
      </w:tr>
      <w:tr w:rsidR="00763157">
        <w:trPr>
          <w:trHeight w:val="300"/>
        </w:trPr>
        <w:tc>
          <w:tcPr>
            <w:tcW w:w="6360" w:type="dxa"/>
            <w:tcBorders>
              <w:top w:val="nil"/>
              <w:left w:val="single" w:sz="4" w:space="0" w:color="auto"/>
              <w:bottom w:val="nil"/>
              <w:right w:val="single" w:sz="4" w:space="0" w:color="auto"/>
            </w:tcBorders>
            <w:shd w:val="clear" w:color="auto" w:fill="auto"/>
            <w:vAlign w:val="center"/>
            <w:hideMark/>
          </w:tcPr>
          <w:p w:rsidR="00763157" w:rsidRDefault="00E45FF1">
            <w:pPr>
              <w:ind w:firstLineChars="200" w:firstLine="440"/>
              <w:rPr>
                <w:noProof/>
                <w:color w:val="000000"/>
                <w:sz w:val="22"/>
                <w:szCs w:val="22"/>
              </w:rPr>
            </w:pPr>
            <w:r>
              <w:rPr>
                <w:noProof/>
                <w:color w:val="000000"/>
                <w:sz w:val="22"/>
                <w:szCs w:val="22"/>
              </w:rPr>
              <w:t>По разходните програми</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-749,4</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189,9</w:t>
            </w:r>
          </w:p>
        </w:tc>
      </w:tr>
      <w:tr w:rsidR="00763157">
        <w:trPr>
          <w:trHeight w:val="300"/>
        </w:trPr>
        <w:tc>
          <w:tcPr>
            <w:tcW w:w="6360" w:type="dxa"/>
            <w:tcBorders>
              <w:top w:val="nil"/>
              <w:left w:val="single" w:sz="4" w:space="0" w:color="auto"/>
              <w:bottom w:val="nil"/>
              <w:right w:val="single" w:sz="4" w:space="0" w:color="auto"/>
            </w:tcBorders>
            <w:shd w:val="clear" w:color="auto" w:fill="auto"/>
            <w:vAlign w:val="center"/>
            <w:hideMark/>
          </w:tcPr>
          <w:p w:rsidR="00763157" w:rsidRDefault="00E45FF1">
            <w:pPr>
              <w:ind w:firstLineChars="200" w:firstLine="440"/>
              <w:rPr>
                <w:noProof/>
                <w:color w:val="000000"/>
                <w:sz w:val="22"/>
                <w:szCs w:val="22"/>
              </w:rPr>
            </w:pPr>
            <w:r>
              <w:rPr>
                <w:noProof/>
                <w:color w:val="000000"/>
                <w:sz w:val="22"/>
                <w:szCs w:val="22"/>
              </w:rPr>
              <w:t>По тематичните специални инструменти</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-2 172,4</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-368,4</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 xml:space="preserve">Корекции вследствие на политическото </w:t>
            </w:r>
            <w:r>
              <w:rPr>
                <w:noProof/>
                <w:color w:val="000000"/>
                <w:sz w:val="22"/>
                <w:szCs w:val="22"/>
              </w:rPr>
              <w:t>споразумение от 10 ноември 2020 г.</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249,4</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151,3</w:t>
            </w:r>
          </w:p>
        </w:tc>
      </w:tr>
      <w:tr w:rsidR="00763157">
        <w:trPr>
          <w:trHeight w:val="300"/>
        </w:trPr>
        <w:tc>
          <w:tcPr>
            <w:tcW w:w="6360" w:type="dxa"/>
            <w:tcBorders>
              <w:top w:val="nil"/>
              <w:left w:val="single" w:sz="4" w:space="0" w:color="auto"/>
              <w:bottom w:val="nil"/>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Промени в ставките на предварителното финансиране за европейските структурни и инвестиционни фондове (ЕСИФ) за периода 2014—2020 г.</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3 605,6</w:t>
            </w:r>
          </w:p>
        </w:tc>
      </w:tr>
      <w:tr w:rsidR="00763157">
        <w:trPr>
          <w:trHeight w:val="300"/>
        </w:trPr>
        <w:tc>
          <w:tcPr>
            <w:tcW w:w="6360" w:type="dxa"/>
            <w:tcBorders>
              <w:top w:val="nil"/>
              <w:left w:val="single" w:sz="4" w:space="0" w:color="auto"/>
              <w:bottom w:val="nil"/>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Неприемане на „преходното решение“ през 2020 г.</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-775,0</w:t>
            </w:r>
          </w:p>
        </w:tc>
      </w:tr>
      <w:tr w:rsidR="00763157">
        <w:trPr>
          <w:trHeight w:val="300"/>
        </w:trPr>
        <w:tc>
          <w:tcPr>
            <w:tcW w:w="6360" w:type="dxa"/>
            <w:tcBorders>
              <w:top w:val="nil"/>
              <w:left w:val="single" w:sz="4" w:space="0" w:color="auto"/>
              <w:bottom w:val="nil"/>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Отражение, свързано с КБ 6/2020 (ПКБ 8/2020 — ИСП — стратегия за ваксините)</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-700,0</w:t>
            </w:r>
          </w:p>
        </w:tc>
      </w:tr>
      <w:tr w:rsidR="00763157">
        <w:trPr>
          <w:trHeight w:val="300"/>
        </w:trPr>
        <w:tc>
          <w:tcPr>
            <w:tcW w:w="6360" w:type="dxa"/>
            <w:tcBorders>
              <w:top w:val="nil"/>
              <w:left w:val="single" w:sz="4" w:space="0" w:color="auto"/>
              <w:bottom w:val="nil"/>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Преразглеждане на нуждите от плащания (включително за изпълнение на неизпълнените поети задължения)</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448,8</w:t>
            </w:r>
          </w:p>
        </w:tc>
      </w:tr>
      <w:tr w:rsidR="00763157">
        <w:trPr>
          <w:trHeight w:val="300"/>
        </w:trPr>
        <w:tc>
          <w:tcPr>
            <w:tcW w:w="6360" w:type="dxa"/>
            <w:tcBorders>
              <w:top w:val="nil"/>
              <w:left w:val="single" w:sz="4" w:space="0" w:color="auto"/>
              <w:bottom w:val="nil"/>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Актуализации за децентрализираните агенции (нови инициативи)</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46,8</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46,8</w:t>
            </w:r>
          </w:p>
        </w:tc>
      </w:tr>
      <w:tr w:rsidR="00763157">
        <w:trPr>
          <w:trHeight w:val="300"/>
        </w:trPr>
        <w:tc>
          <w:tcPr>
            <w:tcW w:w="6360" w:type="dxa"/>
            <w:tcBorders>
              <w:top w:val="nil"/>
              <w:left w:val="single" w:sz="4" w:space="0" w:color="auto"/>
              <w:bottom w:val="nil"/>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Корекции във функция 7</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5,9</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5,9</w:t>
            </w:r>
          </w:p>
        </w:tc>
      </w:tr>
      <w:tr w:rsidR="00763157">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Други корекции</w:t>
            </w:r>
          </w:p>
        </w:tc>
        <w:tc>
          <w:tcPr>
            <w:tcW w:w="178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11,0</w:t>
            </w:r>
          </w:p>
        </w:tc>
        <w:tc>
          <w:tcPr>
            <w:tcW w:w="170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4,4</w:t>
            </w:r>
          </w:p>
        </w:tc>
      </w:tr>
      <w:tr w:rsidR="00763157">
        <w:trPr>
          <w:trHeight w:val="300"/>
        </w:trPr>
        <w:tc>
          <w:tcPr>
            <w:tcW w:w="6360" w:type="dxa"/>
            <w:tcBorders>
              <w:top w:val="nil"/>
              <w:left w:val="single" w:sz="4" w:space="0" w:color="auto"/>
              <w:bottom w:val="single" w:sz="4" w:space="0" w:color="auto"/>
              <w:right w:val="nil"/>
            </w:tcBorders>
            <w:shd w:val="clear" w:color="auto" w:fill="auto"/>
            <w:noWrap/>
            <w:vAlign w:val="center"/>
            <w:hideMark/>
          </w:tcPr>
          <w:p w:rsidR="00763157" w:rsidRDefault="00E45FF1">
            <w:pPr>
              <w:rPr>
                <w:b/>
                <w:bCs/>
                <w:noProof/>
                <w:color w:val="000000"/>
                <w:sz w:val="22"/>
                <w:szCs w:val="22"/>
              </w:rPr>
            </w:pPr>
            <w:r>
              <w:rPr>
                <w:b/>
                <w:bCs/>
                <w:noProof/>
                <w:color w:val="000000"/>
                <w:sz w:val="22"/>
                <w:szCs w:val="22"/>
              </w:rPr>
              <w:t>Общо</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63157" w:rsidRDefault="00E45FF1">
            <w:pPr>
              <w:jc w:val="right"/>
              <w:rPr>
                <w:b/>
                <w:bCs/>
                <w:noProof/>
                <w:color w:val="000000"/>
                <w:sz w:val="22"/>
                <w:szCs w:val="22"/>
              </w:rPr>
            </w:pPr>
            <w:r>
              <w:rPr>
                <w:b/>
                <w:bCs/>
                <w:noProof/>
                <w:color w:val="000000"/>
                <w:sz w:val="22"/>
                <w:szCs w:val="22"/>
              </w:rPr>
              <w:t>-2 608,8</w:t>
            </w:r>
          </w:p>
        </w:tc>
        <w:tc>
          <w:tcPr>
            <w:tcW w:w="170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b/>
                <w:bCs/>
                <w:noProof/>
                <w:color w:val="000000"/>
                <w:sz w:val="22"/>
                <w:szCs w:val="22"/>
              </w:rPr>
            </w:pPr>
            <w:r>
              <w:rPr>
                <w:b/>
                <w:bCs/>
                <w:noProof/>
                <w:color w:val="000000"/>
                <w:sz w:val="22"/>
                <w:szCs w:val="22"/>
              </w:rPr>
              <w:t>2 609,3</w:t>
            </w:r>
          </w:p>
        </w:tc>
      </w:tr>
    </w:tbl>
    <w:p w:rsidR="00763157" w:rsidRDefault="00E45FF1">
      <w:pPr>
        <w:spacing w:before="120" w:after="120"/>
        <w:jc w:val="both"/>
        <w:rPr>
          <w:noProof/>
          <w:szCs w:val="20"/>
        </w:rPr>
      </w:pPr>
      <w:r>
        <w:rPr>
          <w:noProof/>
        </w:rPr>
        <w:t xml:space="preserve">Повече информация за всеки компонент е предоставена в точките, които следват. </w:t>
      </w:r>
    </w:p>
    <w:p w:rsidR="00763157" w:rsidRDefault="00E45FF1">
      <w:pPr>
        <w:spacing w:before="120" w:after="120"/>
        <w:jc w:val="both"/>
        <w:rPr>
          <w:noProof/>
          <w:szCs w:val="20"/>
        </w:rPr>
      </w:pPr>
      <w:r>
        <w:rPr>
          <w:noProof/>
        </w:rPr>
        <w:t xml:space="preserve">Съответните бюджетни редове и щатни разписания са представени подробно в бюджетното </w:t>
      </w:r>
      <w:r>
        <w:rPr>
          <w:noProof/>
        </w:rPr>
        <w:t>приложение заедно с актуализацията на приходите вследствие на промените в разходите, включени в настоящото писмо за внасяне на корекции.</w:t>
      </w:r>
    </w:p>
    <w:p w:rsidR="00763157" w:rsidRDefault="00E45FF1">
      <w:pPr>
        <w:pStyle w:val="ManualHeading1"/>
        <w:spacing w:before="240"/>
        <w:ind w:left="720" w:hanging="720"/>
        <w:rPr>
          <w:noProof/>
        </w:rPr>
      </w:pPr>
      <w:bookmarkStart w:id="21" w:name="_Toc54770309"/>
      <w:bookmarkStart w:id="22" w:name="_Toc55807119"/>
      <w:bookmarkStart w:id="23" w:name="_Toc56247294"/>
      <w:r>
        <w:rPr>
          <w:noProof/>
        </w:rPr>
        <w:t>2.</w:t>
      </w:r>
      <w:r>
        <w:rPr>
          <w:noProof/>
        </w:rPr>
        <w:tab/>
        <w:t>Отражение на споразумението за следващата МФР върху проектобюджета за 2021 г.</w:t>
      </w:r>
      <w:bookmarkEnd w:id="21"/>
      <w:bookmarkEnd w:id="22"/>
      <w:bookmarkEnd w:id="23"/>
      <w:r>
        <w:rPr>
          <w:noProof/>
        </w:rPr>
        <w:t xml:space="preserve"> </w:t>
      </w:r>
    </w:p>
    <w:p w:rsidR="00763157" w:rsidRDefault="00E45FF1">
      <w:pPr>
        <w:keepNext/>
        <w:tabs>
          <w:tab w:val="left" w:pos="850"/>
        </w:tabs>
        <w:spacing w:before="360" w:after="120"/>
        <w:ind w:left="840" w:hanging="840"/>
        <w:jc w:val="both"/>
        <w:outlineLvl w:val="1"/>
        <w:rPr>
          <w:rFonts w:eastAsia="Calibri"/>
          <w:b/>
          <w:noProof/>
        </w:rPr>
      </w:pPr>
      <w:bookmarkStart w:id="24" w:name="_Toc54770310"/>
      <w:bookmarkStart w:id="25" w:name="_Toc56247295"/>
      <w:bookmarkStart w:id="26" w:name="_Toc55807120"/>
      <w:r>
        <w:rPr>
          <w:b/>
          <w:noProof/>
        </w:rPr>
        <w:t xml:space="preserve">2.1 </w:t>
      </w:r>
      <w:r>
        <w:rPr>
          <w:b/>
          <w:noProof/>
        </w:rPr>
        <w:tab/>
      </w:r>
      <w:bookmarkEnd w:id="24"/>
      <w:r>
        <w:rPr>
          <w:b/>
          <w:noProof/>
        </w:rPr>
        <w:t>Корекции вследствие на споразуме</w:t>
      </w:r>
      <w:r>
        <w:rPr>
          <w:b/>
          <w:noProof/>
        </w:rPr>
        <w:t>нието на Европейския съвет от юли 2020 г.</w:t>
      </w:r>
      <w:bookmarkEnd w:id="25"/>
    </w:p>
    <w:p w:rsidR="00763157" w:rsidRDefault="00E45FF1">
      <w:pPr>
        <w:keepNext/>
        <w:tabs>
          <w:tab w:val="left" w:pos="850"/>
        </w:tabs>
        <w:spacing w:before="360" w:after="120"/>
        <w:ind w:left="840" w:hanging="840"/>
        <w:jc w:val="both"/>
        <w:outlineLvl w:val="1"/>
        <w:rPr>
          <w:rFonts w:eastAsia="Calibri"/>
          <w:b/>
          <w:noProof/>
        </w:rPr>
      </w:pPr>
      <w:bookmarkStart w:id="27" w:name="_Toc56247296"/>
      <w:r>
        <w:rPr>
          <w:i/>
          <w:noProof/>
        </w:rPr>
        <w:t xml:space="preserve">2.1.1 </w:t>
      </w:r>
      <w:r>
        <w:rPr>
          <w:i/>
          <w:noProof/>
        </w:rPr>
        <w:tab/>
        <w:t>Финансови пакети на разходните програми</w:t>
      </w:r>
      <w:bookmarkEnd w:id="26"/>
      <w:bookmarkEnd w:id="27"/>
    </w:p>
    <w:p w:rsidR="00763157" w:rsidRDefault="00E45FF1">
      <w:pPr>
        <w:spacing w:before="120" w:after="120"/>
        <w:jc w:val="both"/>
        <w:rPr>
          <w:noProof/>
        </w:rPr>
      </w:pPr>
      <w:r>
        <w:rPr>
          <w:noProof/>
        </w:rPr>
        <w:t>Финансовите пакетите на 20 разходни програми, изброени в таблицата по-долу, бяха коригирани първо, за да бъде взето под внимание споразумението на Европейския съвет от</w:t>
      </w:r>
      <w:r>
        <w:rPr>
          <w:noProof/>
        </w:rPr>
        <w:t xml:space="preserve"> юли 2020 г. Както за поетите задължения, така и за плащанията корекциите бяха извършени пропорционално на размера на бюджетните кредити, поискани в ПБ за 2021 г.</w:t>
      </w:r>
      <w:r>
        <w:rPr>
          <w:rStyle w:val="FootnoteReference"/>
          <w:noProof/>
          <w:lang w:eastAsia="de-DE"/>
        </w:rPr>
        <w:footnoteReference w:id="6"/>
      </w:r>
      <w:r>
        <w:rPr>
          <w:noProof/>
        </w:rPr>
        <w:t xml:space="preserve"> за всеки бюджетен ред, с изключение на следните програми:</w:t>
      </w:r>
    </w:p>
    <w:p w:rsidR="00763157" w:rsidRDefault="00E45FF1">
      <w:pPr>
        <w:pStyle w:val="ListParagraph"/>
        <w:numPr>
          <w:ilvl w:val="0"/>
          <w:numId w:val="28"/>
        </w:numPr>
        <w:spacing w:before="120" w:after="120" w:line="240" w:lineRule="auto"/>
        <w:ind w:left="360"/>
        <w:contextualSpacing w:val="0"/>
        <w:jc w:val="both"/>
        <w:rPr>
          <w:rFonts w:ascii="Times New Roman" w:eastAsia="Calibri" w:hAnsi="Times New Roman"/>
          <w:noProof/>
          <w:sz w:val="24"/>
          <w:szCs w:val="24"/>
        </w:rPr>
      </w:pPr>
      <w:r>
        <w:rPr>
          <w:rFonts w:ascii="Times New Roman" w:hAnsi="Times New Roman"/>
          <w:noProof/>
          <w:sz w:val="24"/>
          <w:szCs w:val="24"/>
        </w:rPr>
        <w:t xml:space="preserve">за InvestEU корекцията отчита увеличаването на капитала на Европейския инвестиционен фонд (ЕИФ), в което Съюзът следва да участва през 2021 г., за да запази общия си дял. Тази операция е представена по-подробно в точка 3 по-долу; </w:t>
      </w:r>
    </w:p>
    <w:p w:rsidR="00763157" w:rsidRDefault="00E45FF1">
      <w:pPr>
        <w:pStyle w:val="ListParagraph"/>
        <w:numPr>
          <w:ilvl w:val="0"/>
          <w:numId w:val="28"/>
        </w:numPr>
        <w:spacing w:before="120" w:after="120" w:line="240" w:lineRule="auto"/>
        <w:ind w:left="360"/>
        <w:contextualSpacing w:val="0"/>
        <w:jc w:val="both"/>
        <w:rPr>
          <w:rFonts w:ascii="Times New Roman" w:eastAsia="Calibri" w:hAnsi="Times New Roman"/>
          <w:noProof/>
          <w:sz w:val="24"/>
          <w:szCs w:val="24"/>
        </w:rPr>
      </w:pPr>
      <w:r>
        <w:rPr>
          <w:rFonts w:ascii="Times New Roman" w:hAnsi="Times New Roman"/>
          <w:noProof/>
          <w:sz w:val="24"/>
          <w:szCs w:val="24"/>
        </w:rPr>
        <w:t>за Европейския фонд за га</w:t>
      </w:r>
      <w:r>
        <w:rPr>
          <w:rFonts w:ascii="Times New Roman" w:hAnsi="Times New Roman"/>
          <w:noProof/>
          <w:sz w:val="24"/>
          <w:szCs w:val="24"/>
        </w:rPr>
        <w:t>рантиране на земеделието (ЕФГЗ) корекцията отчита най-актуалните икономически данни и законодателна рамка, както е описано в точка 4 по-долу;</w:t>
      </w:r>
    </w:p>
    <w:p w:rsidR="00763157" w:rsidRDefault="00E45FF1">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за Европейския земеделски фонд за развитие на селските райони (ЕЗФРСР) корекцията отчита а) споразумението между С</w:t>
      </w:r>
      <w:r>
        <w:rPr>
          <w:rFonts w:ascii="Times New Roman" w:hAnsi="Times New Roman"/>
          <w:noProof/>
          <w:sz w:val="24"/>
          <w:szCs w:val="24"/>
        </w:rPr>
        <w:t>ъвета и Европейския парламент за двугодишен преходен период, включващо прилагането на Next Generation EU, считано от 2021 г., б) коригираните суми за трансферите между ЕФГЗ и ЕЗФРСР вследствие на уведомленията, получени от държавите членки, и в) финансовот</w:t>
      </w:r>
      <w:r>
        <w:rPr>
          <w:rFonts w:ascii="Times New Roman" w:hAnsi="Times New Roman"/>
          <w:noProof/>
          <w:sz w:val="24"/>
          <w:szCs w:val="24"/>
        </w:rPr>
        <w:t xml:space="preserve">о отражение на решението на съзаконодателите, с което </w:t>
      </w:r>
      <w:r>
        <w:rPr>
          <w:rFonts w:ascii="Times New Roman" w:hAnsi="Times New Roman"/>
          <w:noProof/>
          <w:sz w:val="24"/>
          <w:szCs w:val="24"/>
        </w:rPr>
        <w:lastRenderedPageBreak/>
        <w:t>се увеличава извънредната подкрепа под формата на еднократна сума, която държавите членки могат да предоставят на земеделските стопани в отговор на COVID-19</w:t>
      </w:r>
      <w:r>
        <w:rPr>
          <w:rStyle w:val="FootnoteReference"/>
          <w:rFonts w:ascii="Times New Roman" w:eastAsia="Calibri" w:hAnsi="Times New Roman"/>
          <w:noProof/>
          <w:sz w:val="24"/>
          <w:szCs w:val="24"/>
          <w:lang w:eastAsia="en-US"/>
        </w:rPr>
        <w:footnoteReference w:id="7"/>
      </w:r>
      <w:r>
        <w:rPr>
          <w:rFonts w:ascii="Times New Roman" w:hAnsi="Times New Roman"/>
          <w:noProof/>
          <w:sz w:val="24"/>
          <w:szCs w:val="24"/>
        </w:rPr>
        <w:t>, както и очакваните нужди въз основа на посл</w:t>
      </w:r>
      <w:r>
        <w:rPr>
          <w:rFonts w:ascii="Times New Roman" w:hAnsi="Times New Roman"/>
          <w:noProof/>
          <w:sz w:val="24"/>
          <w:szCs w:val="24"/>
        </w:rPr>
        <w:t>едните прогнози на държавите членки;</w:t>
      </w:r>
    </w:p>
    <w:p w:rsidR="00763157" w:rsidRDefault="00E45FF1">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за фонд „Убежище и миграция“ (ФУМ), Инструмента за финансово подпомагане на управлението на границите и визите (ИУГВ, в рамките на Фонда за управление на границите) и фонд „Вътрешна сигурност“ (ФВС) корекцията включва п</w:t>
      </w:r>
      <w:r>
        <w:rPr>
          <w:rFonts w:ascii="Times New Roman" w:hAnsi="Times New Roman"/>
          <w:noProof/>
          <w:sz w:val="24"/>
          <w:szCs w:val="24"/>
        </w:rPr>
        <w:t>овишено равнище на предварителното финансиране в размер на 5 %;</w:t>
      </w:r>
    </w:p>
    <w:p w:rsidR="00763157" w:rsidRDefault="00E45FF1">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за Инструмента за съседство, сътрудничество за развитие и международно сътрудничество (ИССРМС) и Инструмента за предприсъединителна помощ (ИПП III) — обмислят се допълнителни корекции във връз</w:t>
      </w:r>
      <w:r>
        <w:rPr>
          <w:rFonts w:ascii="Times New Roman" w:hAnsi="Times New Roman"/>
          <w:noProof/>
          <w:sz w:val="24"/>
          <w:szCs w:val="24"/>
        </w:rPr>
        <w:t>ка със следното:</w:t>
      </w:r>
    </w:p>
    <w:p w:rsidR="00763157" w:rsidRDefault="00E45FF1">
      <w:pPr>
        <w:pStyle w:val="ListParagraph"/>
        <w:numPr>
          <w:ilvl w:val="1"/>
          <w:numId w:val="28"/>
        </w:numPr>
        <w:spacing w:before="120" w:after="120" w:line="240" w:lineRule="auto"/>
        <w:ind w:left="720"/>
        <w:contextualSpacing w:val="0"/>
        <w:jc w:val="both"/>
        <w:rPr>
          <w:noProof/>
        </w:rPr>
      </w:pPr>
      <w:r>
        <w:rPr>
          <w:rFonts w:ascii="Times New Roman" w:hAnsi="Times New Roman"/>
          <w:noProof/>
          <w:sz w:val="24"/>
          <w:szCs w:val="24"/>
        </w:rPr>
        <w:t>финансовия принос на „Еразъм+“: поради забавянето на приемането на секторното законодателство през 2021 г. няма да има международен обмен на студенти по програма „Еразъм+“. Общо за двете програми се предлага 23,5 милиона евро бюджетни кред</w:t>
      </w:r>
      <w:r>
        <w:rPr>
          <w:rFonts w:ascii="Times New Roman" w:hAnsi="Times New Roman"/>
          <w:noProof/>
          <w:sz w:val="24"/>
          <w:szCs w:val="24"/>
        </w:rPr>
        <w:t>ити за поети задължения и 5,3 милиона евро бюджетни кредити за плащания да финансират действията, свързани с изграждането на капацитет в сферата на младежките и виртуалните обмени, които не следват графика на академичната година. В сравнение с ПБ за 2021 г</w:t>
      </w:r>
      <w:r>
        <w:rPr>
          <w:rFonts w:ascii="Times New Roman" w:hAnsi="Times New Roman"/>
          <w:noProof/>
          <w:sz w:val="24"/>
          <w:szCs w:val="24"/>
        </w:rPr>
        <w:t>. това представлява намаляване с общо 281,6 милиона евро бюджетни кредити за поети задължения</w:t>
      </w:r>
      <w:r>
        <w:rPr>
          <w:rStyle w:val="FootnoteReference"/>
          <w:rFonts w:ascii="Times New Roman" w:hAnsi="Times New Roman"/>
          <w:noProof/>
          <w:sz w:val="24"/>
          <w:szCs w:val="24"/>
          <w:lang w:val="en-GB"/>
        </w:rPr>
        <w:footnoteReference w:id="8"/>
      </w:r>
      <w:r>
        <w:rPr>
          <w:rFonts w:ascii="Times New Roman" w:hAnsi="Times New Roman"/>
          <w:noProof/>
          <w:sz w:val="24"/>
          <w:szCs w:val="24"/>
        </w:rPr>
        <w:t xml:space="preserve"> и 152 милиона евро бюджетни кредити за плащания;</w:t>
      </w:r>
    </w:p>
    <w:p w:rsidR="00763157" w:rsidRDefault="00E45FF1">
      <w:pPr>
        <w:pStyle w:val="ListParagraph"/>
        <w:numPr>
          <w:ilvl w:val="1"/>
          <w:numId w:val="28"/>
        </w:numPr>
        <w:spacing w:before="120" w:after="120" w:line="240" w:lineRule="auto"/>
        <w:ind w:left="720"/>
        <w:contextualSpacing w:val="0"/>
        <w:jc w:val="both"/>
        <w:rPr>
          <w:noProof/>
        </w:rPr>
      </w:pPr>
      <w:r>
        <w:rPr>
          <w:rFonts w:ascii="Times New Roman" w:hAnsi="Times New Roman"/>
          <w:noProof/>
          <w:sz w:val="24"/>
          <w:szCs w:val="24"/>
        </w:rPr>
        <w:t xml:space="preserve">продължаващото прилагане на правилата за провизиране, определени в Регламент (ЕО) № 480/2009 за Гаранционния </w:t>
      </w:r>
      <w:r>
        <w:rPr>
          <w:rFonts w:ascii="Times New Roman" w:hAnsi="Times New Roman"/>
          <w:noProof/>
          <w:sz w:val="24"/>
          <w:szCs w:val="24"/>
        </w:rPr>
        <w:t>фонд, към настоящите бюджетни гаранции и финансова помощ (предимно мандата за външно кредитиране и решенията за макрофинансова помощ) е неутрално по отношение на бюджетните кредити за поети задължения на равнището на програмите</w:t>
      </w:r>
      <w:r>
        <w:rPr>
          <w:rStyle w:val="FootnoteReference"/>
          <w:rFonts w:ascii="Times New Roman" w:hAnsi="Times New Roman"/>
          <w:noProof/>
          <w:sz w:val="24"/>
          <w:szCs w:val="24"/>
          <w:lang w:val="en-GB"/>
        </w:rPr>
        <w:footnoteReference w:id="9"/>
      </w:r>
      <w:r>
        <w:rPr>
          <w:rFonts w:ascii="Times New Roman" w:hAnsi="Times New Roman"/>
          <w:noProof/>
          <w:sz w:val="24"/>
          <w:szCs w:val="24"/>
        </w:rPr>
        <w:t xml:space="preserve">, но води до увеличаване на </w:t>
      </w:r>
      <w:r>
        <w:rPr>
          <w:rFonts w:ascii="Times New Roman" w:hAnsi="Times New Roman"/>
          <w:noProof/>
          <w:sz w:val="24"/>
          <w:szCs w:val="24"/>
        </w:rPr>
        <w:t>бюджетните кредити за плащания с 42,3 милиона евро;</w:t>
      </w:r>
    </w:p>
    <w:p w:rsidR="00763157" w:rsidRDefault="00E45FF1">
      <w:pPr>
        <w:pStyle w:val="ListParagraph"/>
        <w:numPr>
          <w:ilvl w:val="1"/>
          <w:numId w:val="28"/>
        </w:numPr>
        <w:spacing w:before="120" w:after="120" w:line="240" w:lineRule="auto"/>
        <w:ind w:left="720"/>
        <w:contextualSpacing w:val="0"/>
        <w:jc w:val="both"/>
        <w:rPr>
          <w:noProof/>
        </w:rPr>
      </w:pPr>
      <w:r>
        <w:rPr>
          <w:rFonts w:ascii="Times New Roman" w:hAnsi="Times New Roman"/>
          <w:noProof/>
          <w:sz w:val="24"/>
          <w:szCs w:val="24"/>
        </w:rPr>
        <w:t>прехвърлянето на определени служители от делегациите на Съюза в ЕСВД води до общо намаление от 16 милиона евро и 2,1 милиона евро бюджетни кредити за поети задължения и за плащания съответно за ИССРМС и И</w:t>
      </w:r>
      <w:r>
        <w:rPr>
          <w:rFonts w:ascii="Times New Roman" w:hAnsi="Times New Roman"/>
          <w:noProof/>
          <w:sz w:val="24"/>
          <w:szCs w:val="24"/>
        </w:rPr>
        <w:t>ПП III, което обаче се компенсира изцяло от съответно по размер увеличение в раздела за ЕСВД във функция 7 (за повече подробности вж. точка 7.4 по-долу);</w:t>
      </w:r>
    </w:p>
    <w:p w:rsidR="00763157" w:rsidRDefault="00E45FF1">
      <w:pPr>
        <w:pStyle w:val="ListParagraph"/>
        <w:numPr>
          <w:ilvl w:val="1"/>
          <w:numId w:val="28"/>
        </w:numPr>
        <w:spacing w:before="120" w:after="120" w:line="240" w:lineRule="auto"/>
        <w:ind w:left="720"/>
        <w:contextualSpacing w:val="0"/>
        <w:jc w:val="both"/>
        <w:rPr>
          <w:rFonts w:ascii="Times New Roman" w:hAnsi="Times New Roman"/>
          <w:noProof/>
          <w:sz w:val="24"/>
          <w:szCs w:val="24"/>
        </w:rPr>
      </w:pPr>
      <w:r>
        <w:rPr>
          <w:rFonts w:ascii="Times New Roman" w:hAnsi="Times New Roman"/>
          <w:noProof/>
          <w:sz w:val="24"/>
        </w:rPr>
        <w:t>първоначалното предложение за Европейския фонд за устойчиво развитие (ЕФУР) в проект на коригиращ бюдж</w:t>
      </w:r>
      <w:r>
        <w:rPr>
          <w:rFonts w:ascii="Times New Roman" w:hAnsi="Times New Roman"/>
          <w:noProof/>
          <w:sz w:val="24"/>
        </w:rPr>
        <w:t>ет № 6/2020</w:t>
      </w:r>
      <w:r>
        <w:rPr>
          <w:rStyle w:val="FootnoteReference"/>
          <w:noProof/>
        </w:rPr>
        <w:footnoteReference w:id="10"/>
      </w:r>
      <w:r>
        <w:rPr>
          <w:rFonts w:ascii="Times New Roman" w:hAnsi="Times New Roman"/>
          <w:noProof/>
          <w:sz w:val="24"/>
        </w:rPr>
        <w:t xml:space="preserve"> включваше извънредно допълнително финансиране в размер на 1,04 милиарда евро за 2020 г.</w:t>
      </w:r>
      <w:r>
        <w:rPr>
          <w:rFonts w:ascii="Times New Roman" w:hAnsi="Times New Roman"/>
          <w:noProof/>
          <w:sz w:val="24"/>
          <w:szCs w:val="24"/>
        </w:rPr>
        <w:t xml:space="preserve"> Това извънредно допълнително финансиране се съпътстваше в ПБ за 2021 г. от 10 допълнителни еквивалента на пълно работно време (ЕПРВ) външен персонал за раб</w:t>
      </w:r>
      <w:r>
        <w:rPr>
          <w:rFonts w:ascii="Times New Roman" w:hAnsi="Times New Roman"/>
          <w:noProof/>
          <w:sz w:val="24"/>
          <w:szCs w:val="24"/>
        </w:rPr>
        <w:t>ота по ЕФУР, платени от редовете за административна подкрепа на ИССРМС и ИПП III в делегациите. Тъй като извънредното допълнително финансиране за ЕФУР не беше част от споразумението на Европейския съвет от юли 2020 г., увеличаването на външния персонал ста</w:t>
      </w:r>
      <w:r>
        <w:rPr>
          <w:rFonts w:ascii="Times New Roman" w:hAnsi="Times New Roman"/>
          <w:noProof/>
          <w:sz w:val="24"/>
          <w:szCs w:val="24"/>
        </w:rPr>
        <w:t>на ненужно. Редовете за административна подкрепа на ИССРМС и ИПП III бяха съответно намалени (1,5 милиона евро), като бяха предоставени съответни по размер допълнителни средства за оперативните редове;</w:t>
      </w:r>
    </w:p>
    <w:p w:rsidR="00763157" w:rsidRDefault="00E45FF1">
      <w:pPr>
        <w:pStyle w:val="ListParagraph"/>
        <w:numPr>
          <w:ilvl w:val="1"/>
          <w:numId w:val="28"/>
        </w:numPr>
        <w:spacing w:before="120" w:after="120" w:line="240" w:lineRule="auto"/>
        <w:ind w:left="720"/>
        <w:contextualSpacing w:val="0"/>
        <w:jc w:val="both"/>
        <w:rPr>
          <w:noProof/>
        </w:rPr>
      </w:pPr>
      <w:r>
        <w:rPr>
          <w:rFonts w:ascii="Times New Roman" w:hAnsi="Times New Roman"/>
          <w:noProof/>
          <w:sz w:val="24"/>
          <w:szCs w:val="24"/>
        </w:rPr>
        <w:t>външния персонал, работещ за настоящия Европейски фонд</w:t>
      </w:r>
      <w:r>
        <w:rPr>
          <w:rFonts w:ascii="Times New Roman" w:hAnsi="Times New Roman"/>
          <w:noProof/>
          <w:sz w:val="24"/>
          <w:szCs w:val="24"/>
        </w:rPr>
        <w:t xml:space="preserve"> за развитие, чиито дейности бяха включени в ИССРМС с ПБ за 2021 г. От 2021 г. общо 6,25 ЕПРВ от този външен </w:t>
      </w:r>
      <w:r>
        <w:rPr>
          <w:rFonts w:ascii="Times New Roman" w:hAnsi="Times New Roman"/>
          <w:noProof/>
          <w:sz w:val="24"/>
          <w:szCs w:val="24"/>
        </w:rPr>
        <w:lastRenderedPageBreak/>
        <w:t>персонал в централата и делегациите, работещи за Механизма за подкрепа на мира в Африка, ще бъдат прехвърлени на извънбюджетния Европейски механизъ</w:t>
      </w:r>
      <w:r>
        <w:rPr>
          <w:rFonts w:ascii="Times New Roman" w:hAnsi="Times New Roman"/>
          <w:noProof/>
          <w:sz w:val="24"/>
          <w:szCs w:val="24"/>
        </w:rPr>
        <w:t>м за подкрепа на мира. Редът за административна подкрепа на ИССРМС бе съответно намален (0,4 милиона евро), като бяха предоставени съответни по размер допълнителни средства за оперативните редове.</w:t>
      </w:r>
    </w:p>
    <w:tbl>
      <w:tblPr>
        <w:tblW w:w="9840" w:type="dxa"/>
        <w:tblInd w:w="108" w:type="dxa"/>
        <w:tblLook w:val="04A0" w:firstRow="1" w:lastRow="0" w:firstColumn="1" w:lastColumn="0" w:noHBand="0" w:noVBand="1"/>
      </w:tblPr>
      <w:tblGrid>
        <w:gridCol w:w="6360"/>
        <w:gridCol w:w="1780"/>
        <w:gridCol w:w="1700"/>
      </w:tblGrid>
      <w:tr w:rsidR="00763157">
        <w:trPr>
          <w:trHeight w:val="300"/>
          <w:tblHeader/>
        </w:trPr>
        <w:tc>
          <w:tcPr>
            <w:tcW w:w="6360" w:type="dxa"/>
            <w:tcBorders>
              <w:top w:val="nil"/>
              <w:left w:val="nil"/>
              <w:bottom w:val="nil"/>
              <w:right w:val="nil"/>
            </w:tcBorders>
            <w:shd w:val="clear" w:color="auto" w:fill="auto"/>
            <w:noWrap/>
            <w:vAlign w:val="bottom"/>
            <w:hideMark/>
          </w:tcPr>
          <w:p w:rsidR="00763157" w:rsidRDefault="00763157">
            <w:pPr>
              <w:rPr>
                <w:noProof/>
                <w:sz w:val="20"/>
                <w:szCs w:val="20"/>
                <w:lang w:eastAsia="en-US"/>
              </w:rPr>
            </w:pPr>
          </w:p>
        </w:tc>
        <w:tc>
          <w:tcPr>
            <w:tcW w:w="1780" w:type="dxa"/>
            <w:tcBorders>
              <w:top w:val="nil"/>
              <w:left w:val="nil"/>
              <w:bottom w:val="nil"/>
              <w:right w:val="nil"/>
            </w:tcBorders>
            <w:shd w:val="clear" w:color="auto" w:fill="auto"/>
            <w:noWrap/>
            <w:vAlign w:val="bottom"/>
            <w:hideMark/>
          </w:tcPr>
          <w:p w:rsidR="00763157" w:rsidRDefault="00763157">
            <w:pPr>
              <w:rPr>
                <w:noProof/>
                <w:sz w:val="20"/>
                <w:szCs w:val="20"/>
                <w:lang w:eastAsia="en-US"/>
              </w:rPr>
            </w:pPr>
          </w:p>
        </w:tc>
        <w:tc>
          <w:tcPr>
            <w:tcW w:w="1700" w:type="dxa"/>
            <w:tcBorders>
              <w:top w:val="nil"/>
              <w:left w:val="nil"/>
              <w:bottom w:val="nil"/>
              <w:right w:val="nil"/>
            </w:tcBorders>
            <w:shd w:val="clear" w:color="auto" w:fill="auto"/>
            <w:noWrap/>
            <w:vAlign w:val="center"/>
            <w:hideMark/>
          </w:tcPr>
          <w:p w:rsidR="00763157" w:rsidRDefault="00E45FF1">
            <w:pPr>
              <w:jc w:val="right"/>
              <w:rPr>
                <w:i/>
                <w:iCs/>
                <w:noProof/>
                <w:color w:val="000000"/>
                <w:sz w:val="16"/>
                <w:szCs w:val="16"/>
              </w:rPr>
            </w:pPr>
            <w:r>
              <w:rPr>
                <w:i/>
                <w:iCs/>
                <w:noProof/>
                <w:color w:val="000000"/>
                <w:sz w:val="16"/>
                <w:szCs w:val="16"/>
              </w:rPr>
              <w:t>(В милиони евро)</w:t>
            </w:r>
          </w:p>
        </w:tc>
      </w:tr>
      <w:tr w:rsidR="00763157">
        <w:trPr>
          <w:trHeight w:val="300"/>
          <w:tblHeader/>
        </w:trPr>
        <w:tc>
          <w:tcPr>
            <w:tcW w:w="6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Програма</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 xml:space="preserve">Бюджетни кредити за поети </w:t>
            </w:r>
            <w:r>
              <w:rPr>
                <w:b/>
                <w:bCs/>
                <w:noProof/>
                <w:color w:val="000000"/>
                <w:sz w:val="22"/>
                <w:szCs w:val="22"/>
              </w:rPr>
              <w:t>задължения</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Бюджетни кредити за плащания</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„Хоризонт Европа“</w:t>
            </w:r>
          </w:p>
        </w:tc>
        <w:tc>
          <w:tcPr>
            <w:tcW w:w="1780" w:type="dxa"/>
            <w:tcBorders>
              <w:top w:val="nil"/>
              <w:left w:val="nil"/>
              <w:bottom w:val="nil"/>
              <w:right w:val="single" w:sz="4" w:space="0" w:color="auto"/>
            </w:tcBorders>
            <w:shd w:val="clear" w:color="000000" w:fill="FFFFFF"/>
            <w:noWrap/>
            <w:vAlign w:val="center"/>
            <w:hideMark/>
          </w:tcPr>
          <w:p w:rsidR="00763157" w:rsidRDefault="00E45FF1">
            <w:pPr>
              <w:jc w:val="right"/>
              <w:rPr>
                <w:noProof/>
                <w:color w:val="000000"/>
                <w:sz w:val="22"/>
                <w:szCs w:val="22"/>
              </w:rPr>
            </w:pPr>
            <w:r>
              <w:rPr>
                <w:noProof/>
                <w:color w:val="000000"/>
                <w:sz w:val="22"/>
                <w:szCs w:val="22"/>
              </w:rPr>
              <w:t>-758,0</w:t>
            </w:r>
          </w:p>
        </w:tc>
        <w:tc>
          <w:tcPr>
            <w:tcW w:w="1700" w:type="dxa"/>
            <w:tcBorders>
              <w:top w:val="nil"/>
              <w:left w:val="nil"/>
              <w:bottom w:val="nil"/>
              <w:right w:val="single" w:sz="4" w:space="0" w:color="auto"/>
            </w:tcBorders>
            <w:shd w:val="clear" w:color="000000" w:fill="FFFFFF"/>
            <w:noWrap/>
            <w:vAlign w:val="center"/>
            <w:hideMark/>
          </w:tcPr>
          <w:p w:rsidR="00763157" w:rsidRDefault="00E45FF1">
            <w:pPr>
              <w:jc w:val="right"/>
              <w:rPr>
                <w:noProof/>
                <w:color w:val="000000"/>
                <w:sz w:val="22"/>
                <w:szCs w:val="22"/>
              </w:rPr>
            </w:pPr>
            <w:r>
              <w:rPr>
                <w:noProof/>
                <w:color w:val="000000"/>
                <w:sz w:val="22"/>
                <w:szCs w:val="22"/>
              </w:rPr>
              <w:t>-87,9</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Фонд InvestEU (включително приключване на ЕФСИ)</w:t>
            </w:r>
          </w:p>
        </w:tc>
        <w:tc>
          <w:tcPr>
            <w:tcW w:w="1780" w:type="dxa"/>
            <w:tcBorders>
              <w:top w:val="nil"/>
              <w:left w:val="nil"/>
              <w:bottom w:val="nil"/>
              <w:right w:val="single" w:sz="4" w:space="0" w:color="auto"/>
            </w:tcBorders>
            <w:shd w:val="clear" w:color="000000" w:fill="FFFFFF"/>
            <w:noWrap/>
            <w:vAlign w:val="center"/>
            <w:hideMark/>
          </w:tcPr>
          <w:p w:rsidR="00763157" w:rsidRDefault="00E45FF1">
            <w:pPr>
              <w:jc w:val="right"/>
              <w:rPr>
                <w:noProof/>
                <w:color w:val="000000"/>
                <w:sz w:val="22"/>
                <w:szCs w:val="22"/>
              </w:rPr>
            </w:pPr>
            <w:r>
              <w:rPr>
                <w:noProof/>
                <w:color w:val="000000"/>
                <w:sz w:val="22"/>
                <w:szCs w:val="22"/>
              </w:rPr>
              <w:t>551,0</w:t>
            </w:r>
          </w:p>
        </w:tc>
        <w:tc>
          <w:tcPr>
            <w:tcW w:w="1700" w:type="dxa"/>
            <w:tcBorders>
              <w:top w:val="nil"/>
              <w:left w:val="nil"/>
              <w:bottom w:val="nil"/>
              <w:right w:val="single" w:sz="4" w:space="0" w:color="auto"/>
            </w:tcBorders>
            <w:shd w:val="clear" w:color="000000" w:fill="FFFFFF"/>
            <w:noWrap/>
            <w:vAlign w:val="center"/>
            <w:hideMark/>
          </w:tcPr>
          <w:p w:rsidR="00763157" w:rsidRDefault="00E45FF1">
            <w:pPr>
              <w:jc w:val="right"/>
              <w:rPr>
                <w:noProof/>
                <w:color w:val="000000"/>
                <w:sz w:val="22"/>
                <w:szCs w:val="22"/>
              </w:rPr>
            </w:pPr>
            <w:r>
              <w:rPr>
                <w:noProof/>
                <w:color w:val="000000"/>
                <w:sz w:val="22"/>
                <w:szCs w:val="22"/>
              </w:rPr>
              <w:t>243,2</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Механизъм за свързване на Европа — Транспорт</w:t>
            </w:r>
          </w:p>
        </w:tc>
        <w:tc>
          <w:tcPr>
            <w:tcW w:w="1780" w:type="dxa"/>
            <w:tcBorders>
              <w:top w:val="nil"/>
              <w:left w:val="nil"/>
              <w:bottom w:val="nil"/>
              <w:right w:val="single" w:sz="4" w:space="0" w:color="auto"/>
            </w:tcBorders>
            <w:shd w:val="clear" w:color="000000" w:fill="FFFFFF"/>
            <w:noWrap/>
            <w:vAlign w:val="center"/>
            <w:hideMark/>
          </w:tcPr>
          <w:p w:rsidR="00763157" w:rsidRDefault="00E45FF1">
            <w:pPr>
              <w:jc w:val="right"/>
              <w:rPr>
                <w:noProof/>
                <w:color w:val="000000"/>
                <w:sz w:val="22"/>
                <w:szCs w:val="22"/>
              </w:rPr>
            </w:pPr>
            <w:r>
              <w:rPr>
                <w:noProof/>
                <w:color w:val="000000"/>
                <w:sz w:val="22"/>
                <w:szCs w:val="22"/>
              </w:rPr>
              <w:t>-227,3</w:t>
            </w:r>
          </w:p>
        </w:tc>
        <w:tc>
          <w:tcPr>
            <w:tcW w:w="1700" w:type="dxa"/>
            <w:tcBorders>
              <w:top w:val="nil"/>
              <w:left w:val="nil"/>
              <w:bottom w:val="nil"/>
              <w:right w:val="single" w:sz="4" w:space="0" w:color="auto"/>
            </w:tcBorders>
            <w:shd w:val="clear" w:color="000000" w:fill="FFFFFF"/>
            <w:noWrap/>
            <w:vAlign w:val="center"/>
            <w:hideMark/>
          </w:tcPr>
          <w:p w:rsidR="00763157" w:rsidRDefault="00E45FF1">
            <w:pPr>
              <w:jc w:val="right"/>
              <w:rPr>
                <w:noProof/>
                <w:color w:val="000000"/>
                <w:sz w:val="22"/>
                <w:szCs w:val="22"/>
              </w:rPr>
            </w:pPr>
            <w:r>
              <w:rPr>
                <w:noProof/>
                <w:color w:val="000000"/>
                <w:sz w:val="22"/>
                <w:szCs w:val="22"/>
              </w:rPr>
              <w:t>-5,8</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Програма „Цифрова Европа“</w:t>
            </w:r>
          </w:p>
        </w:tc>
        <w:tc>
          <w:tcPr>
            <w:tcW w:w="1780" w:type="dxa"/>
            <w:tcBorders>
              <w:top w:val="nil"/>
              <w:left w:val="nil"/>
              <w:bottom w:val="nil"/>
              <w:right w:val="single" w:sz="4" w:space="0" w:color="auto"/>
            </w:tcBorders>
            <w:shd w:val="clear" w:color="000000" w:fill="FFFFFF"/>
            <w:noWrap/>
            <w:vAlign w:val="center"/>
            <w:hideMark/>
          </w:tcPr>
          <w:p w:rsidR="00763157" w:rsidRDefault="00E45FF1">
            <w:pPr>
              <w:jc w:val="right"/>
              <w:rPr>
                <w:noProof/>
                <w:color w:val="000000"/>
                <w:sz w:val="22"/>
                <w:szCs w:val="22"/>
              </w:rPr>
            </w:pPr>
            <w:r>
              <w:rPr>
                <w:noProof/>
                <w:color w:val="000000"/>
                <w:sz w:val="22"/>
                <w:szCs w:val="22"/>
              </w:rPr>
              <w:t>-234,1</w:t>
            </w:r>
          </w:p>
        </w:tc>
        <w:tc>
          <w:tcPr>
            <w:tcW w:w="1700" w:type="dxa"/>
            <w:tcBorders>
              <w:top w:val="nil"/>
              <w:left w:val="nil"/>
              <w:bottom w:val="nil"/>
              <w:right w:val="single" w:sz="4" w:space="0" w:color="auto"/>
            </w:tcBorders>
            <w:shd w:val="clear" w:color="000000" w:fill="FFFFFF"/>
            <w:noWrap/>
            <w:vAlign w:val="center"/>
            <w:hideMark/>
          </w:tcPr>
          <w:p w:rsidR="00763157" w:rsidRDefault="00E45FF1">
            <w:pPr>
              <w:jc w:val="right"/>
              <w:rPr>
                <w:noProof/>
                <w:color w:val="000000"/>
                <w:sz w:val="22"/>
                <w:szCs w:val="22"/>
              </w:rPr>
            </w:pPr>
            <w:r>
              <w:rPr>
                <w:noProof/>
                <w:color w:val="000000"/>
                <w:sz w:val="22"/>
                <w:szCs w:val="22"/>
              </w:rPr>
              <w:t>-21,8</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 xml:space="preserve">Европейски фонд за </w:t>
            </w:r>
            <w:r>
              <w:rPr>
                <w:noProof/>
                <w:color w:val="000000"/>
                <w:sz w:val="22"/>
                <w:szCs w:val="22"/>
              </w:rPr>
              <w:t>регионално развитие (ЕФРР)</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497,5</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21,7</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Кохезионен фонд (КФ)</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284,1</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11,8</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Разходи за финансиране на Инструмента на Европейския съюз за възстановяване (EURI)</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-108,7</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-108,7</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EU4Health</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232,0</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55,9</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Европейски социален фонд (ЕСФ)</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259,5</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10,4</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„Еразъм+“</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-397,9</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-304,1</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Европейски фонд за гарантиране на земеделието (ЕФГЗ)</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188,9</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188,9</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Европейски земеделски фонд за развитие на селските райони (ЕЗФРСР)</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342,1</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307,1</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Европейски фонд за морско дело и рибарство (ЕФМДР)</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-70,3</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-0,5</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Фонд за справедлив преход</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-379,0</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0,0</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Фонд „Убежище и миграция“ (ФУМ)</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-230,2</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74,6</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Фонд за интегрирано управление на границите (ФИУГ)</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-491,3</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-51,3</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Фонд „Вътрешна сигурност“ (ФВС)</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-52,5</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-9,3</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Европейски фонд за отбрана</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-101,7</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-3,0</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 xml:space="preserve">Инструмент за съседство, сътрудничество за развитие и </w:t>
            </w:r>
            <w:r>
              <w:rPr>
                <w:noProof/>
                <w:color w:val="000000"/>
                <w:sz w:val="22"/>
                <w:szCs w:val="22"/>
              </w:rPr>
              <w:t>международно сътрудничество (ИССРМС)</w:t>
            </w:r>
          </w:p>
        </w:tc>
        <w:tc>
          <w:tcPr>
            <w:tcW w:w="178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-5,8</w:t>
            </w:r>
          </w:p>
        </w:tc>
        <w:tc>
          <w:tcPr>
            <w:tcW w:w="170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-113,0</w:t>
            </w:r>
          </w:p>
        </w:tc>
      </w:tr>
      <w:tr w:rsidR="00763157">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Инструмент за предприсъединителна помощ (ИПП III)</w:t>
            </w:r>
          </w:p>
        </w:tc>
        <w:tc>
          <w:tcPr>
            <w:tcW w:w="178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-47,6</w:t>
            </w:r>
          </w:p>
        </w:tc>
        <w:tc>
          <w:tcPr>
            <w:tcW w:w="170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-18,4</w:t>
            </w:r>
          </w:p>
        </w:tc>
      </w:tr>
      <w:tr w:rsidR="00763157">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763157" w:rsidRDefault="00E45FF1">
            <w:pPr>
              <w:rPr>
                <w:b/>
                <w:bCs/>
                <w:noProof/>
                <w:color w:val="000000"/>
                <w:sz w:val="22"/>
                <w:szCs w:val="22"/>
              </w:rPr>
            </w:pPr>
            <w:r>
              <w:rPr>
                <w:b/>
                <w:bCs/>
                <w:noProof/>
                <w:color w:val="000000"/>
                <w:sz w:val="22"/>
                <w:szCs w:val="22"/>
              </w:rPr>
              <w:t>Общо</w:t>
            </w:r>
          </w:p>
        </w:tc>
        <w:tc>
          <w:tcPr>
            <w:tcW w:w="178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b/>
                <w:bCs/>
                <w:noProof/>
                <w:color w:val="000000"/>
                <w:sz w:val="22"/>
                <w:szCs w:val="22"/>
              </w:rPr>
            </w:pPr>
            <w:r>
              <w:rPr>
                <w:b/>
                <w:bCs/>
                <w:noProof/>
                <w:color w:val="000000"/>
                <w:sz w:val="22"/>
                <w:szCs w:val="22"/>
              </w:rPr>
              <w:t>-749,4</w:t>
            </w:r>
          </w:p>
        </w:tc>
        <w:tc>
          <w:tcPr>
            <w:tcW w:w="170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b/>
                <w:bCs/>
                <w:noProof/>
                <w:color w:val="000000"/>
                <w:sz w:val="22"/>
                <w:szCs w:val="22"/>
              </w:rPr>
            </w:pPr>
            <w:r>
              <w:rPr>
                <w:b/>
                <w:bCs/>
                <w:noProof/>
                <w:color w:val="000000"/>
                <w:sz w:val="22"/>
                <w:szCs w:val="22"/>
              </w:rPr>
              <w:t>189,9</w:t>
            </w:r>
          </w:p>
        </w:tc>
      </w:tr>
    </w:tbl>
    <w:p w:rsidR="00763157" w:rsidRDefault="00E45FF1">
      <w:pPr>
        <w:keepNext/>
        <w:tabs>
          <w:tab w:val="left" w:pos="850"/>
        </w:tabs>
        <w:spacing w:before="360" w:after="120"/>
        <w:ind w:left="840" w:hanging="840"/>
        <w:jc w:val="both"/>
        <w:outlineLvl w:val="1"/>
        <w:rPr>
          <w:rFonts w:eastAsia="Calibri"/>
          <w:b/>
          <w:noProof/>
        </w:rPr>
      </w:pPr>
      <w:bookmarkStart w:id="28" w:name="_Toc54770311"/>
      <w:bookmarkStart w:id="29" w:name="_Toc55807121"/>
      <w:bookmarkStart w:id="30" w:name="_Toc56247297"/>
      <w:r>
        <w:rPr>
          <w:i/>
          <w:noProof/>
        </w:rPr>
        <w:t xml:space="preserve">2.1.1 </w:t>
      </w:r>
      <w:r>
        <w:rPr>
          <w:i/>
          <w:noProof/>
        </w:rPr>
        <w:tab/>
        <w:t>Финансови пакети на тематичните специални инструменти</w:t>
      </w:r>
      <w:bookmarkEnd w:id="28"/>
      <w:bookmarkEnd w:id="29"/>
      <w:bookmarkEnd w:id="30"/>
    </w:p>
    <w:p w:rsidR="00763157" w:rsidRDefault="00E45FF1">
      <w:pPr>
        <w:spacing w:before="120" w:after="120"/>
        <w:jc w:val="both"/>
        <w:rPr>
          <w:noProof/>
          <w:szCs w:val="20"/>
        </w:rPr>
      </w:pPr>
      <w:r>
        <w:rPr>
          <w:noProof/>
        </w:rPr>
        <w:t xml:space="preserve">Промените във финансовите пакети на тематичните специални </w:t>
      </w:r>
      <w:r>
        <w:rPr>
          <w:noProof/>
        </w:rPr>
        <w:t>инструменти включват:</w:t>
      </w:r>
    </w:p>
    <w:p w:rsidR="00763157" w:rsidRDefault="00E45FF1">
      <w:pPr>
        <w:pStyle w:val="ListParagraph"/>
        <w:numPr>
          <w:ilvl w:val="0"/>
          <w:numId w:val="33"/>
        </w:numPr>
        <w:spacing w:before="120" w:after="120" w:line="240" w:lineRule="auto"/>
        <w:contextualSpacing w:val="0"/>
        <w:jc w:val="both"/>
        <w:rPr>
          <w:noProof/>
        </w:rPr>
      </w:pPr>
      <w:r>
        <w:rPr>
          <w:rFonts w:ascii="Times New Roman" w:hAnsi="Times New Roman"/>
          <w:noProof/>
          <w:sz w:val="24"/>
          <w:szCs w:val="24"/>
        </w:rPr>
        <w:t xml:space="preserve">коригирането на годишния финансов пакет на Резерва за солидарност и спешна помощ (SEAR) на 1 273,5 милиона евро (които съответстват на 1 200 милиона евро по цени от 2018 г.) под формата както на бюджетни кредити за поети задължения, </w:t>
      </w:r>
      <w:r>
        <w:rPr>
          <w:rFonts w:ascii="Times New Roman" w:hAnsi="Times New Roman"/>
          <w:noProof/>
          <w:sz w:val="24"/>
          <w:szCs w:val="24"/>
        </w:rPr>
        <w:t>така и на бюджетни кредити за плащания;</w:t>
      </w:r>
    </w:p>
    <w:p w:rsidR="00763157" w:rsidRDefault="00E45FF1">
      <w:pPr>
        <w:pStyle w:val="ListParagraph"/>
        <w:numPr>
          <w:ilvl w:val="0"/>
          <w:numId w:val="33"/>
        </w:numPr>
        <w:spacing w:before="120" w:after="120" w:line="240" w:lineRule="auto"/>
        <w:contextualSpacing w:val="0"/>
        <w:jc w:val="both"/>
        <w:rPr>
          <w:noProof/>
        </w:rPr>
      </w:pPr>
      <w:r>
        <w:rPr>
          <w:rFonts w:ascii="Times New Roman" w:hAnsi="Times New Roman"/>
          <w:noProof/>
          <w:sz w:val="24"/>
          <w:szCs w:val="24"/>
        </w:rPr>
        <w:t xml:space="preserve">коригирането на годишния финансов пакет на Европейския фонд за приспособяване към глобализацията (ЕФПГ) на 197,4 милиона евро (които съответстват на 186 милиона евро по цени от 2018 г.) под формата на бюджетни </w:t>
      </w:r>
      <w:r>
        <w:rPr>
          <w:rFonts w:ascii="Times New Roman" w:hAnsi="Times New Roman"/>
          <w:noProof/>
          <w:sz w:val="24"/>
          <w:szCs w:val="24"/>
        </w:rPr>
        <w:t>кредити за поети задължения, без промяна на равнището на бюджетните кредити за плащания в сравнение с ПБ за 2021 г.;</w:t>
      </w:r>
    </w:p>
    <w:p w:rsidR="00763157" w:rsidRDefault="00E45FF1">
      <w:pPr>
        <w:pStyle w:val="ListParagraph"/>
        <w:numPr>
          <w:ilvl w:val="0"/>
          <w:numId w:val="33"/>
        </w:numPr>
        <w:spacing w:before="120" w:after="120" w:line="240" w:lineRule="auto"/>
        <w:contextualSpacing w:val="0"/>
        <w:jc w:val="both"/>
        <w:rPr>
          <w:noProof/>
        </w:rPr>
      </w:pPr>
      <w:r>
        <w:rPr>
          <w:rFonts w:ascii="Times New Roman" w:hAnsi="Times New Roman"/>
          <w:noProof/>
          <w:sz w:val="24"/>
        </w:rPr>
        <w:t>създаването на два нови специални бюджетни реда</w:t>
      </w:r>
      <w:r>
        <w:rPr>
          <w:rStyle w:val="FootnoteReference"/>
          <w:rFonts w:ascii="Times New Roman" w:hAnsi="Times New Roman"/>
          <w:noProof/>
          <w:sz w:val="24"/>
          <w:szCs w:val="24"/>
        </w:rPr>
        <w:footnoteReference w:id="11"/>
      </w:r>
      <w:r>
        <w:rPr>
          <w:rFonts w:ascii="Times New Roman" w:hAnsi="Times New Roman"/>
          <w:noProof/>
          <w:sz w:val="24"/>
        </w:rPr>
        <w:t xml:space="preserve"> за Резервa за приспособяване във връзка с последиците от Брексит (BAR), но без бюджетни кр</w:t>
      </w:r>
      <w:r>
        <w:rPr>
          <w:rFonts w:ascii="Times New Roman" w:hAnsi="Times New Roman"/>
          <w:noProof/>
          <w:sz w:val="24"/>
        </w:rPr>
        <w:t>едити — в очакване на предложението, което Комисията се очаква да внесе през ноември 2020 г.</w:t>
      </w:r>
    </w:p>
    <w:p w:rsidR="00763157" w:rsidRDefault="00E45FF1">
      <w:pPr>
        <w:keepNext/>
        <w:tabs>
          <w:tab w:val="left" w:pos="850"/>
        </w:tabs>
        <w:spacing w:before="120" w:after="120"/>
        <w:ind w:left="357" w:hanging="357"/>
        <w:jc w:val="both"/>
        <w:outlineLvl w:val="1"/>
        <w:rPr>
          <w:rFonts w:eastAsia="Calibri"/>
          <w:b/>
          <w:noProof/>
        </w:rPr>
      </w:pPr>
      <w:bookmarkStart w:id="31" w:name="_Toc56247298"/>
      <w:bookmarkStart w:id="32" w:name="_Toc54770312"/>
      <w:r>
        <w:rPr>
          <w:b/>
          <w:noProof/>
        </w:rPr>
        <w:lastRenderedPageBreak/>
        <w:t xml:space="preserve">2.2 </w:t>
      </w:r>
      <w:r>
        <w:rPr>
          <w:b/>
          <w:noProof/>
        </w:rPr>
        <w:tab/>
        <w:t>Корекции вследствие на политическото споразумение от 10 ноември 2020 г.</w:t>
      </w:r>
      <w:bookmarkEnd w:id="31"/>
    </w:p>
    <w:p w:rsidR="00763157" w:rsidRDefault="00E45FF1">
      <w:pPr>
        <w:spacing w:before="120" w:after="120"/>
        <w:jc w:val="both"/>
        <w:rPr>
          <w:noProof/>
          <w:szCs w:val="20"/>
        </w:rPr>
      </w:pPr>
      <w:r>
        <w:rPr>
          <w:noProof/>
        </w:rPr>
        <w:t>В политическото си споразумение от 10 ноември 2020 г. за следващата МФР Европейският п</w:t>
      </w:r>
      <w:r>
        <w:rPr>
          <w:noProof/>
        </w:rPr>
        <w:t xml:space="preserve">арламент и Съветът се споразумяха, наред с другото, за целево подсилване на програмите на Съюза, включително „Хоризонт Европа“, EU4Health и „Еразъм“. </w:t>
      </w:r>
    </w:p>
    <w:p w:rsidR="00763157" w:rsidRDefault="00E45FF1">
      <w:pPr>
        <w:spacing w:before="120" w:after="120"/>
        <w:jc w:val="both"/>
        <w:rPr>
          <w:noProof/>
          <w:szCs w:val="20"/>
        </w:rPr>
      </w:pPr>
      <w:r>
        <w:rPr>
          <w:noProof/>
        </w:rPr>
        <w:t>За тези три програми в ПВК 1/2021 са включени следните увеличения на средствата:</w:t>
      </w:r>
    </w:p>
    <w:tbl>
      <w:tblPr>
        <w:tblW w:w="9840" w:type="dxa"/>
        <w:tblInd w:w="108" w:type="dxa"/>
        <w:tblLook w:val="04A0" w:firstRow="1" w:lastRow="0" w:firstColumn="1" w:lastColumn="0" w:noHBand="0" w:noVBand="1"/>
      </w:tblPr>
      <w:tblGrid>
        <w:gridCol w:w="6360"/>
        <w:gridCol w:w="1820"/>
        <w:gridCol w:w="1660"/>
      </w:tblGrid>
      <w:tr w:rsidR="00763157">
        <w:trPr>
          <w:trHeight w:val="300"/>
        </w:trPr>
        <w:tc>
          <w:tcPr>
            <w:tcW w:w="6360" w:type="dxa"/>
            <w:tcBorders>
              <w:top w:val="nil"/>
              <w:left w:val="nil"/>
              <w:bottom w:val="nil"/>
              <w:right w:val="nil"/>
            </w:tcBorders>
            <w:shd w:val="clear" w:color="auto" w:fill="auto"/>
            <w:noWrap/>
            <w:vAlign w:val="center"/>
            <w:hideMark/>
          </w:tcPr>
          <w:p w:rsidR="00763157" w:rsidRDefault="00763157">
            <w:pPr>
              <w:rPr>
                <w:noProof/>
                <w:sz w:val="20"/>
                <w:szCs w:val="20"/>
                <w:lang w:eastAsia="en-US"/>
              </w:rPr>
            </w:pPr>
          </w:p>
        </w:tc>
        <w:tc>
          <w:tcPr>
            <w:tcW w:w="1820" w:type="dxa"/>
            <w:tcBorders>
              <w:top w:val="nil"/>
              <w:left w:val="nil"/>
              <w:bottom w:val="nil"/>
              <w:right w:val="nil"/>
            </w:tcBorders>
            <w:shd w:val="clear" w:color="auto" w:fill="auto"/>
            <w:noWrap/>
            <w:vAlign w:val="center"/>
            <w:hideMark/>
          </w:tcPr>
          <w:p w:rsidR="00763157" w:rsidRDefault="00763157">
            <w:pPr>
              <w:rPr>
                <w:noProof/>
                <w:sz w:val="20"/>
                <w:szCs w:val="20"/>
                <w:lang w:eastAsia="en-US"/>
              </w:rPr>
            </w:pPr>
          </w:p>
        </w:tc>
        <w:tc>
          <w:tcPr>
            <w:tcW w:w="1660" w:type="dxa"/>
            <w:tcBorders>
              <w:top w:val="nil"/>
              <w:left w:val="nil"/>
              <w:bottom w:val="nil"/>
              <w:right w:val="nil"/>
            </w:tcBorders>
            <w:shd w:val="clear" w:color="auto" w:fill="auto"/>
            <w:noWrap/>
            <w:vAlign w:val="center"/>
            <w:hideMark/>
          </w:tcPr>
          <w:p w:rsidR="00763157" w:rsidRDefault="00E45FF1">
            <w:pPr>
              <w:jc w:val="right"/>
              <w:rPr>
                <w:i/>
                <w:iCs/>
                <w:noProof/>
                <w:color w:val="000000"/>
                <w:sz w:val="16"/>
                <w:szCs w:val="16"/>
              </w:rPr>
            </w:pPr>
            <w:r>
              <w:rPr>
                <w:i/>
                <w:iCs/>
                <w:noProof/>
                <w:color w:val="000000"/>
                <w:sz w:val="16"/>
                <w:szCs w:val="16"/>
              </w:rPr>
              <w:t>(В милиони евро)</w:t>
            </w:r>
          </w:p>
        </w:tc>
      </w:tr>
      <w:tr w:rsidR="00763157">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Програма</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Бюджетни кредити за поети задължения</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Бюджетни кредити за плащания</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„Хоризонт Европа“</w:t>
            </w:r>
          </w:p>
        </w:tc>
        <w:tc>
          <w:tcPr>
            <w:tcW w:w="182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75,8</w:t>
            </w:r>
          </w:p>
        </w:tc>
        <w:tc>
          <w:tcPr>
            <w:tcW w:w="166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3,0</w:t>
            </w:r>
          </w:p>
        </w:tc>
      </w:tr>
      <w:tr w:rsidR="00763157">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EU4Health</w:t>
            </w:r>
          </w:p>
        </w:tc>
        <w:tc>
          <w:tcPr>
            <w:tcW w:w="182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74,3</w:t>
            </w:r>
          </w:p>
        </w:tc>
        <w:tc>
          <w:tcPr>
            <w:tcW w:w="166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15,3</w:t>
            </w:r>
          </w:p>
        </w:tc>
      </w:tr>
      <w:tr w:rsidR="00763157">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„Еразъм+“</w:t>
            </w:r>
          </w:p>
        </w:tc>
        <w:tc>
          <w:tcPr>
            <w:tcW w:w="182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175,1</w:t>
            </w:r>
          </w:p>
        </w:tc>
        <w:tc>
          <w:tcPr>
            <w:tcW w:w="166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133,1</w:t>
            </w:r>
          </w:p>
        </w:tc>
      </w:tr>
      <w:tr w:rsidR="00763157">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763157" w:rsidRDefault="00E45FF1">
            <w:pPr>
              <w:rPr>
                <w:b/>
                <w:bCs/>
                <w:noProof/>
                <w:color w:val="000000"/>
                <w:sz w:val="22"/>
                <w:szCs w:val="22"/>
              </w:rPr>
            </w:pPr>
            <w:r>
              <w:rPr>
                <w:b/>
                <w:bCs/>
                <w:noProof/>
                <w:color w:val="000000"/>
                <w:sz w:val="22"/>
                <w:szCs w:val="22"/>
              </w:rPr>
              <w:t>Общо</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763157" w:rsidRDefault="00E45FF1">
            <w:pPr>
              <w:jc w:val="right"/>
              <w:rPr>
                <w:b/>
                <w:bCs/>
                <w:noProof/>
                <w:color w:val="000000"/>
                <w:sz w:val="22"/>
                <w:szCs w:val="22"/>
              </w:rPr>
            </w:pPr>
            <w:r>
              <w:rPr>
                <w:b/>
                <w:bCs/>
                <w:noProof/>
                <w:color w:val="000000"/>
                <w:sz w:val="22"/>
                <w:szCs w:val="22"/>
              </w:rPr>
              <w:t>325,2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157" w:rsidRDefault="00E45FF1">
            <w:pPr>
              <w:jc w:val="right"/>
              <w:rPr>
                <w:b/>
                <w:bCs/>
                <w:noProof/>
                <w:color w:val="000000"/>
                <w:sz w:val="22"/>
                <w:szCs w:val="22"/>
              </w:rPr>
            </w:pPr>
            <w:r>
              <w:rPr>
                <w:b/>
                <w:bCs/>
                <w:noProof/>
                <w:color w:val="000000"/>
                <w:sz w:val="22"/>
                <w:szCs w:val="22"/>
              </w:rPr>
              <w:t>151,3</w:t>
            </w:r>
          </w:p>
        </w:tc>
      </w:tr>
    </w:tbl>
    <w:p w:rsidR="00763157" w:rsidRDefault="00E45FF1">
      <w:pPr>
        <w:spacing w:before="120" w:after="120"/>
        <w:jc w:val="both"/>
        <w:rPr>
          <w:noProof/>
          <w:szCs w:val="20"/>
        </w:rPr>
      </w:pPr>
      <w:r>
        <w:rPr>
          <w:noProof/>
        </w:rPr>
        <w:t>За „Хоризонт Европа“ допълнителните бюджетни кредити за поети задължения в размер на 75,8 милиона евро ще бъдат предоставени отново на основание на член 15, параграф 3 от Финансовия регламент вследствие на пълното или частично неизпълнение на предишни науч</w:t>
      </w:r>
      <w:r>
        <w:rPr>
          <w:noProof/>
        </w:rPr>
        <w:t xml:space="preserve">ноизследователски проекти. </w:t>
      </w:r>
    </w:p>
    <w:p w:rsidR="00763157" w:rsidRDefault="00763157">
      <w:pPr>
        <w:spacing w:after="200" w:line="276" w:lineRule="auto"/>
        <w:rPr>
          <w:noProof/>
          <w:szCs w:val="20"/>
        </w:rPr>
      </w:pPr>
    </w:p>
    <w:p w:rsidR="00763157" w:rsidRDefault="00E45FF1">
      <w:pPr>
        <w:spacing w:before="120" w:after="120"/>
        <w:jc w:val="both"/>
        <w:rPr>
          <w:noProof/>
          <w:szCs w:val="20"/>
        </w:rPr>
      </w:pPr>
      <w:r>
        <w:rPr>
          <w:noProof/>
        </w:rPr>
        <w:t>По следните бюджетни редове средствата ще бъдат увеличени и бюджетни забележки ще бъдат съответно коригирани:</w:t>
      </w:r>
    </w:p>
    <w:tbl>
      <w:tblPr>
        <w:tblW w:w="9782" w:type="dxa"/>
        <w:tblInd w:w="108" w:type="dxa"/>
        <w:tblLook w:val="04A0" w:firstRow="1" w:lastRow="0" w:firstColumn="1" w:lastColumn="0" w:noHBand="0" w:noVBand="1"/>
      </w:tblPr>
      <w:tblGrid>
        <w:gridCol w:w="1440"/>
        <w:gridCol w:w="6720"/>
        <w:gridCol w:w="1622"/>
      </w:tblGrid>
      <w:tr w:rsidR="00763157">
        <w:trPr>
          <w:trHeight w:val="260"/>
        </w:trPr>
        <w:tc>
          <w:tcPr>
            <w:tcW w:w="1440" w:type="dxa"/>
            <w:tcBorders>
              <w:top w:val="nil"/>
              <w:left w:val="nil"/>
              <w:bottom w:val="nil"/>
              <w:right w:val="nil"/>
            </w:tcBorders>
            <w:shd w:val="clear" w:color="auto" w:fill="auto"/>
            <w:vAlign w:val="center"/>
            <w:hideMark/>
          </w:tcPr>
          <w:p w:rsidR="00763157" w:rsidRDefault="00763157">
            <w:pPr>
              <w:rPr>
                <w:noProof/>
                <w:sz w:val="20"/>
                <w:szCs w:val="20"/>
                <w:lang w:eastAsia="en-US"/>
              </w:rPr>
            </w:pPr>
          </w:p>
        </w:tc>
        <w:tc>
          <w:tcPr>
            <w:tcW w:w="6720" w:type="dxa"/>
            <w:tcBorders>
              <w:top w:val="nil"/>
              <w:left w:val="nil"/>
              <w:bottom w:val="nil"/>
              <w:right w:val="nil"/>
            </w:tcBorders>
            <w:shd w:val="clear" w:color="auto" w:fill="auto"/>
            <w:vAlign w:val="center"/>
            <w:hideMark/>
          </w:tcPr>
          <w:p w:rsidR="00763157" w:rsidRDefault="00763157">
            <w:pPr>
              <w:rPr>
                <w:noProof/>
                <w:sz w:val="20"/>
                <w:szCs w:val="20"/>
                <w:lang w:eastAsia="en-US"/>
              </w:rPr>
            </w:pPr>
          </w:p>
        </w:tc>
        <w:tc>
          <w:tcPr>
            <w:tcW w:w="1622" w:type="dxa"/>
            <w:tcBorders>
              <w:top w:val="nil"/>
              <w:left w:val="nil"/>
              <w:bottom w:val="nil"/>
              <w:right w:val="nil"/>
            </w:tcBorders>
            <w:shd w:val="clear" w:color="auto" w:fill="auto"/>
            <w:vAlign w:val="center"/>
            <w:hideMark/>
          </w:tcPr>
          <w:p w:rsidR="00763157" w:rsidRDefault="00E45FF1">
            <w:pPr>
              <w:jc w:val="right"/>
              <w:rPr>
                <w:i/>
                <w:iCs/>
                <w:noProof/>
                <w:color w:val="000000"/>
                <w:sz w:val="20"/>
                <w:szCs w:val="20"/>
              </w:rPr>
            </w:pPr>
            <w:r>
              <w:rPr>
                <w:i/>
                <w:iCs/>
                <w:noProof/>
                <w:color w:val="000000"/>
                <w:sz w:val="20"/>
                <w:szCs w:val="20"/>
              </w:rPr>
              <w:t>(EUR)</w:t>
            </w:r>
          </w:p>
        </w:tc>
      </w:tr>
      <w:tr w:rsidR="00763157">
        <w:trPr>
          <w:trHeight w:val="519"/>
        </w:trPr>
        <w:tc>
          <w:tcPr>
            <w:tcW w:w="816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763157" w:rsidRDefault="00E45FF1">
            <w:pPr>
              <w:jc w:val="center"/>
              <w:rPr>
                <w:b/>
                <w:bCs/>
                <w:noProof/>
                <w:color w:val="000000"/>
                <w:sz w:val="22"/>
                <w:szCs w:val="22"/>
              </w:rPr>
            </w:pPr>
            <w:r>
              <w:rPr>
                <w:b/>
                <w:bCs/>
                <w:noProof/>
                <w:color w:val="000000"/>
                <w:sz w:val="22"/>
                <w:szCs w:val="22"/>
              </w:rPr>
              <w:t>Бюджетни редове</w:t>
            </w:r>
          </w:p>
        </w:tc>
        <w:tc>
          <w:tcPr>
            <w:tcW w:w="1622" w:type="dxa"/>
            <w:tcBorders>
              <w:top w:val="single" w:sz="4" w:space="0" w:color="auto"/>
              <w:left w:val="nil"/>
              <w:bottom w:val="single" w:sz="4" w:space="0" w:color="auto"/>
              <w:right w:val="single" w:sz="4" w:space="0" w:color="auto"/>
            </w:tcBorders>
            <w:shd w:val="clear" w:color="000000" w:fill="BFBFBF"/>
            <w:vAlign w:val="bottom"/>
            <w:hideMark/>
          </w:tcPr>
          <w:p w:rsidR="00763157" w:rsidRDefault="00E45FF1">
            <w:pPr>
              <w:jc w:val="center"/>
              <w:rPr>
                <w:b/>
                <w:bCs/>
                <w:noProof/>
                <w:color w:val="000000"/>
                <w:sz w:val="22"/>
                <w:szCs w:val="22"/>
              </w:rPr>
            </w:pPr>
            <w:r>
              <w:rPr>
                <w:b/>
                <w:bCs/>
                <w:noProof/>
                <w:color w:val="000000"/>
                <w:sz w:val="22"/>
                <w:szCs w:val="22"/>
              </w:rPr>
              <w:t>Бюджетни кредити за поети задължения</w:t>
            </w:r>
          </w:p>
        </w:tc>
      </w:tr>
      <w:tr w:rsidR="00763157">
        <w:trPr>
          <w:cantSplit/>
          <w:trHeight w:val="260"/>
        </w:trPr>
        <w:tc>
          <w:tcPr>
            <w:tcW w:w="1440" w:type="dxa"/>
            <w:tcBorders>
              <w:top w:val="nil"/>
              <w:left w:val="single" w:sz="4" w:space="0" w:color="auto"/>
              <w:bottom w:val="nil"/>
              <w:right w:val="nil"/>
            </w:tcBorders>
            <w:shd w:val="clear" w:color="auto" w:fill="auto"/>
            <w:noWrap/>
            <w:vAlign w:val="center"/>
            <w:hideMark/>
          </w:tcPr>
          <w:p w:rsidR="00763157" w:rsidRDefault="00E45FF1">
            <w:pPr>
              <w:rPr>
                <w:noProof/>
                <w:color w:val="000000"/>
                <w:sz w:val="22"/>
                <w:szCs w:val="22"/>
              </w:rPr>
            </w:pPr>
            <w:r>
              <w:rPr>
                <w:noProof/>
                <w:color w:val="000000"/>
                <w:sz w:val="22"/>
                <w:szCs w:val="22"/>
              </w:rPr>
              <w:t>01 02 02 10</w:t>
            </w:r>
          </w:p>
        </w:tc>
        <w:tc>
          <w:tcPr>
            <w:tcW w:w="6720" w:type="dxa"/>
            <w:tcBorders>
              <w:top w:val="nil"/>
              <w:left w:val="nil"/>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Клъстер „Здравеопазване“</w:t>
            </w:r>
          </w:p>
        </w:tc>
        <w:tc>
          <w:tcPr>
            <w:tcW w:w="1622"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12 886 000</w:t>
            </w:r>
          </w:p>
        </w:tc>
      </w:tr>
      <w:tr w:rsidR="00763157">
        <w:trPr>
          <w:cantSplit/>
          <w:trHeight w:val="260"/>
        </w:trPr>
        <w:tc>
          <w:tcPr>
            <w:tcW w:w="1440" w:type="dxa"/>
            <w:tcBorders>
              <w:top w:val="nil"/>
              <w:left w:val="single" w:sz="4" w:space="0" w:color="auto"/>
              <w:bottom w:val="nil"/>
              <w:right w:val="nil"/>
            </w:tcBorders>
            <w:shd w:val="clear" w:color="auto" w:fill="auto"/>
            <w:noWrap/>
            <w:vAlign w:val="center"/>
            <w:hideMark/>
          </w:tcPr>
          <w:p w:rsidR="00763157" w:rsidRDefault="00E45FF1">
            <w:pPr>
              <w:rPr>
                <w:noProof/>
                <w:color w:val="000000"/>
                <w:sz w:val="22"/>
                <w:szCs w:val="22"/>
              </w:rPr>
            </w:pPr>
            <w:r>
              <w:rPr>
                <w:noProof/>
                <w:color w:val="000000"/>
                <w:sz w:val="22"/>
                <w:szCs w:val="22"/>
              </w:rPr>
              <w:t>01 02</w:t>
            </w:r>
            <w:r>
              <w:rPr>
                <w:noProof/>
                <w:color w:val="000000"/>
                <w:sz w:val="22"/>
                <w:szCs w:val="22"/>
              </w:rPr>
              <w:t xml:space="preserve"> 02 40</w:t>
            </w:r>
          </w:p>
        </w:tc>
        <w:tc>
          <w:tcPr>
            <w:tcW w:w="6720" w:type="dxa"/>
            <w:tcBorders>
              <w:top w:val="nil"/>
              <w:left w:val="nil"/>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Клъстер „Цифрова сфера, промишленост и космическо пространство“</w:t>
            </w:r>
          </w:p>
        </w:tc>
        <w:tc>
          <w:tcPr>
            <w:tcW w:w="1622"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12 886 000</w:t>
            </w:r>
          </w:p>
        </w:tc>
      </w:tr>
      <w:tr w:rsidR="00763157">
        <w:trPr>
          <w:cantSplit/>
          <w:trHeight w:val="260"/>
        </w:trPr>
        <w:tc>
          <w:tcPr>
            <w:tcW w:w="1440" w:type="dxa"/>
            <w:tcBorders>
              <w:top w:val="nil"/>
              <w:left w:val="single" w:sz="4" w:space="0" w:color="auto"/>
              <w:bottom w:val="nil"/>
              <w:right w:val="nil"/>
            </w:tcBorders>
            <w:shd w:val="clear" w:color="auto" w:fill="auto"/>
            <w:noWrap/>
            <w:vAlign w:val="center"/>
            <w:hideMark/>
          </w:tcPr>
          <w:p w:rsidR="00763157" w:rsidRDefault="00E45FF1">
            <w:pPr>
              <w:rPr>
                <w:noProof/>
                <w:color w:val="000000"/>
                <w:sz w:val="22"/>
                <w:szCs w:val="22"/>
              </w:rPr>
            </w:pPr>
            <w:r>
              <w:rPr>
                <w:noProof/>
                <w:color w:val="000000"/>
                <w:sz w:val="22"/>
                <w:szCs w:val="22"/>
              </w:rPr>
              <w:t>01 02 02 50</w:t>
            </w:r>
          </w:p>
        </w:tc>
        <w:tc>
          <w:tcPr>
            <w:tcW w:w="6720" w:type="dxa"/>
            <w:tcBorders>
              <w:top w:val="nil"/>
              <w:left w:val="nil"/>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Клъстер „Климат, енергия и мобилност“</w:t>
            </w:r>
          </w:p>
        </w:tc>
        <w:tc>
          <w:tcPr>
            <w:tcW w:w="1622"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25 014 000</w:t>
            </w:r>
          </w:p>
        </w:tc>
      </w:tr>
      <w:tr w:rsidR="00763157">
        <w:trPr>
          <w:trHeight w:val="260"/>
        </w:trPr>
        <w:tc>
          <w:tcPr>
            <w:tcW w:w="1440" w:type="dxa"/>
            <w:tcBorders>
              <w:top w:val="nil"/>
              <w:left w:val="single" w:sz="4" w:space="0" w:color="auto"/>
              <w:bottom w:val="nil"/>
              <w:right w:val="nil"/>
            </w:tcBorders>
            <w:shd w:val="clear" w:color="auto" w:fill="auto"/>
            <w:noWrap/>
            <w:vAlign w:val="center"/>
            <w:hideMark/>
          </w:tcPr>
          <w:p w:rsidR="00763157" w:rsidRDefault="00E45FF1">
            <w:pPr>
              <w:rPr>
                <w:noProof/>
                <w:color w:val="000000"/>
                <w:sz w:val="22"/>
                <w:szCs w:val="22"/>
              </w:rPr>
            </w:pPr>
            <w:r>
              <w:rPr>
                <w:noProof/>
                <w:color w:val="000000"/>
                <w:sz w:val="22"/>
                <w:szCs w:val="22"/>
              </w:rPr>
              <w:t>01 02 02 60</w:t>
            </w:r>
          </w:p>
        </w:tc>
        <w:tc>
          <w:tcPr>
            <w:tcW w:w="6720" w:type="dxa"/>
            <w:tcBorders>
              <w:top w:val="nil"/>
              <w:left w:val="nil"/>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Клъстер „Храни, биоикономика, природни ресурси, селско стопанство и околна среда“</w:t>
            </w:r>
          </w:p>
        </w:tc>
        <w:tc>
          <w:tcPr>
            <w:tcW w:w="1622"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25 014 000</w:t>
            </w:r>
          </w:p>
        </w:tc>
      </w:tr>
      <w:tr w:rsidR="00763157">
        <w:trPr>
          <w:trHeight w:val="260"/>
        </w:trPr>
        <w:tc>
          <w:tcPr>
            <w:tcW w:w="1440" w:type="dxa"/>
            <w:tcBorders>
              <w:top w:val="single" w:sz="4" w:space="0" w:color="auto"/>
              <w:left w:val="single" w:sz="4" w:space="0" w:color="auto"/>
              <w:bottom w:val="single" w:sz="4" w:space="0" w:color="auto"/>
              <w:right w:val="nil"/>
            </w:tcBorders>
            <w:shd w:val="clear" w:color="000000" w:fill="D9D9D9"/>
            <w:noWrap/>
            <w:vAlign w:val="center"/>
            <w:hideMark/>
          </w:tcPr>
          <w:p w:rsidR="00763157" w:rsidRDefault="00E45FF1">
            <w:pPr>
              <w:rPr>
                <w:b/>
                <w:bCs/>
                <w:noProof/>
                <w:color w:val="000000"/>
                <w:sz w:val="22"/>
                <w:szCs w:val="22"/>
              </w:rPr>
            </w:pPr>
            <w:r>
              <w:rPr>
                <w:b/>
                <w:bCs/>
                <w:noProof/>
                <w:color w:val="000000"/>
                <w:sz w:val="22"/>
                <w:szCs w:val="22"/>
              </w:rPr>
              <w:t>Общо</w:t>
            </w:r>
          </w:p>
        </w:tc>
        <w:tc>
          <w:tcPr>
            <w:tcW w:w="6720" w:type="dxa"/>
            <w:tcBorders>
              <w:top w:val="single" w:sz="4" w:space="0" w:color="auto"/>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 </w:t>
            </w:r>
          </w:p>
        </w:tc>
        <w:tc>
          <w:tcPr>
            <w:tcW w:w="1622" w:type="dxa"/>
            <w:tcBorders>
              <w:top w:val="single" w:sz="4" w:space="0" w:color="auto"/>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75 800 000</w:t>
            </w:r>
          </w:p>
        </w:tc>
      </w:tr>
    </w:tbl>
    <w:p w:rsidR="00763157" w:rsidRDefault="00E45FF1">
      <w:pPr>
        <w:spacing w:before="120" w:after="120"/>
        <w:jc w:val="both"/>
        <w:rPr>
          <w:noProof/>
          <w:szCs w:val="20"/>
        </w:rPr>
      </w:pPr>
      <w:r>
        <w:rPr>
          <w:noProof/>
        </w:rPr>
        <w:t xml:space="preserve">С увеличенията за EU4Health и „Еразъм+“ (249,4 милиона евро) общият размер на поисканите бюджетни кредити по функция 2б </w:t>
      </w:r>
      <w:r>
        <w:rPr>
          <w:i/>
          <w:iCs/>
          <w:noProof/>
        </w:rPr>
        <w:t>Устойчивост и ценности</w:t>
      </w:r>
      <w:r>
        <w:rPr>
          <w:noProof/>
        </w:rPr>
        <w:t xml:space="preserve"> през 2021 г. надвишава договорения таван с 97,8 милиона евро. Поради това се предлага да бъде мобилизиран Инструментът за гъвкавост за тази сума. </w:t>
      </w:r>
    </w:p>
    <w:p w:rsidR="00763157" w:rsidRDefault="00E45FF1">
      <w:pPr>
        <w:keepNext/>
        <w:tabs>
          <w:tab w:val="left" w:pos="850"/>
        </w:tabs>
        <w:spacing w:before="120" w:after="120"/>
        <w:ind w:left="357" w:hanging="357"/>
        <w:jc w:val="both"/>
        <w:outlineLvl w:val="1"/>
        <w:rPr>
          <w:rFonts w:eastAsia="Calibri"/>
          <w:b/>
          <w:noProof/>
        </w:rPr>
      </w:pPr>
      <w:bookmarkStart w:id="33" w:name="_Toc55807122"/>
      <w:bookmarkStart w:id="34" w:name="_Toc56247299"/>
      <w:r>
        <w:rPr>
          <w:b/>
          <w:noProof/>
        </w:rPr>
        <w:t xml:space="preserve">2.3 </w:t>
      </w:r>
      <w:r>
        <w:rPr>
          <w:b/>
          <w:noProof/>
        </w:rPr>
        <w:tab/>
        <w:t xml:space="preserve">Актуализирани нужди от бюджетни кредити </w:t>
      </w:r>
      <w:bookmarkEnd w:id="32"/>
      <w:r>
        <w:rPr>
          <w:b/>
          <w:noProof/>
        </w:rPr>
        <w:t>за плащания</w:t>
      </w:r>
      <w:bookmarkEnd w:id="33"/>
      <w:bookmarkEnd w:id="34"/>
    </w:p>
    <w:p w:rsidR="00763157" w:rsidRDefault="00E45FF1">
      <w:pPr>
        <w:keepNext/>
        <w:tabs>
          <w:tab w:val="left" w:pos="850"/>
        </w:tabs>
        <w:spacing w:before="240" w:after="120"/>
        <w:ind w:left="850" w:hanging="850"/>
        <w:jc w:val="both"/>
        <w:outlineLvl w:val="1"/>
        <w:rPr>
          <w:i/>
          <w:noProof/>
        </w:rPr>
      </w:pPr>
      <w:bookmarkStart w:id="35" w:name="_Toc54770313"/>
      <w:bookmarkStart w:id="36" w:name="_Toc55807123"/>
      <w:bookmarkStart w:id="37" w:name="_Toc56247300"/>
      <w:bookmarkStart w:id="38" w:name="_Toc52372351"/>
      <w:bookmarkStart w:id="39" w:name="_Toc52346056"/>
      <w:r>
        <w:rPr>
          <w:i/>
          <w:noProof/>
        </w:rPr>
        <w:t>2.3.1</w:t>
      </w:r>
      <w:r>
        <w:rPr>
          <w:i/>
          <w:noProof/>
        </w:rPr>
        <w:tab/>
        <w:t>Неприемане на „преходното решение“ през 2020 </w:t>
      </w:r>
      <w:r>
        <w:rPr>
          <w:i/>
          <w:noProof/>
        </w:rPr>
        <w:t>г.</w:t>
      </w:r>
      <w:bookmarkEnd w:id="35"/>
      <w:bookmarkEnd w:id="36"/>
      <w:bookmarkEnd w:id="37"/>
    </w:p>
    <w:p w:rsidR="00763157" w:rsidRDefault="00E45FF1">
      <w:pPr>
        <w:spacing w:before="120" w:after="120"/>
        <w:jc w:val="both"/>
        <w:rPr>
          <w:noProof/>
        </w:rPr>
      </w:pPr>
      <w:r>
        <w:rPr>
          <w:noProof/>
        </w:rPr>
        <w:t>На 3 юни 2020 г. Комисията предложи в ПКБ 6/2020 да бъде отразено в бюджета за 2020 г. въздействието на законодателните предложения, приети от Комисията на 27, 28 и 29 май в рамките на пакета от мерки за икономическо възстановяване на Европейския съюз</w:t>
      </w:r>
      <w:r>
        <w:rPr>
          <w:rStyle w:val="FootnoteReference"/>
          <w:noProof/>
          <w:lang w:eastAsia="de-DE"/>
        </w:rPr>
        <w:footnoteReference w:id="12"/>
      </w:r>
      <w:r>
        <w:rPr>
          <w:noProof/>
        </w:rPr>
        <w:t>.</w:t>
      </w:r>
      <w:r>
        <w:rPr>
          <w:noProof/>
        </w:rPr>
        <w:t xml:space="preserve"> ПКБ 6/2020 съпътстваше предложението за преразглеждане на Регламента за многогодишната финансова рамка за 2020 г.</w:t>
      </w:r>
      <w:r>
        <w:rPr>
          <w:rStyle w:val="FootnoteReference"/>
          <w:noProof/>
          <w:lang w:eastAsia="de-DE"/>
        </w:rPr>
        <w:footnoteReference w:id="13"/>
      </w:r>
    </w:p>
    <w:p w:rsidR="00763157" w:rsidRDefault="00E45FF1">
      <w:pPr>
        <w:spacing w:before="120" w:after="120"/>
        <w:jc w:val="both"/>
        <w:rPr>
          <w:noProof/>
        </w:rPr>
      </w:pPr>
      <w:r>
        <w:rPr>
          <w:noProof/>
        </w:rPr>
        <w:lastRenderedPageBreak/>
        <w:t>Тъй като тази инициатива, наричана „преходно решение“, вече не е актуална, се предлага нейното отражение върху равнището на бюджетните креди</w:t>
      </w:r>
      <w:r>
        <w:rPr>
          <w:noProof/>
        </w:rPr>
        <w:t>ти за плащания за 2021 г. (775 милиона евро) да бъде отменено в ПВК 1/2021.</w:t>
      </w:r>
    </w:p>
    <w:p w:rsidR="00763157" w:rsidRDefault="00E45FF1">
      <w:pPr>
        <w:spacing w:after="200" w:line="276" w:lineRule="auto"/>
        <w:rPr>
          <w:noProof/>
        </w:rPr>
      </w:pPr>
      <w:r>
        <w:rPr>
          <w:noProof/>
        </w:rPr>
        <w:t>Това намаляване засяга следните програми:</w:t>
      </w:r>
    </w:p>
    <w:p w:rsidR="00763157" w:rsidRDefault="00E45FF1">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 xml:space="preserve">програмата InvestEU, в която плащанията за приключване на настоящия Европейски фонд за стратегически инвестиции (ЕФСИ) ще бъдат включени, </w:t>
      </w:r>
      <w:r>
        <w:rPr>
          <w:rFonts w:ascii="Times New Roman" w:hAnsi="Times New Roman"/>
          <w:noProof/>
          <w:sz w:val="24"/>
          <w:szCs w:val="24"/>
        </w:rPr>
        <w:t>считано от 2021 г. В „преходното решение“ се предвиждаше в рамките на ЕФСИ да бъде създаден специален прозорец за Инструмента за подкрепа на платежоспособността, за който в ПБ за 2021 г. бяха включени бюджетни кредити за плащания в размер на 500 милиона ев</w:t>
      </w:r>
      <w:r>
        <w:rPr>
          <w:rFonts w:ascii="Times New Roman" w:hAnsi="Times New Roman"/>
          <w:noProof/>
          <w:sz w:val="24"/>
          <w:szCs w:val="24"/>
        </w:rPr>
        <w:t>ро;</w:t>
      </w:r>
    </w:p>
    <w:p w:rsidR="00763157" w:rsidRDefault="00E45FF1">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Европейския фонд за регионално развитие (ЕФРР) и Европейския социален фонд (ЕСФ), за които в ПБ за 2021 г. бяха включени бюджетни кредити за плащания в размер на общо 275 милиона евро в рамките на инициативата REACT-EU</w:t>
      </w:r>
      <w:r>
        <w:rPr>
          <w:rStyle w:val="FootnoteReference"/>
          <w:rFonts w:ascii="Times New Roman" w:eastAsia="Times New Roman" w:hAnsi="Times New Roman"/>
          <w:noProof/>
          <w:sz w:val="24"/>
          <w:szCs w:val="24"/>
          <w:lang w:eastAsia="en-GB"/>
        </w:rPr>
        <w:footnoteReference w:id="14"/>
      </w:r>
      <w:r>
        <w:rPr>
          <w:rFonts w:ascii="Times New Roman" w:hAnsi="Times New Roman"/>
          <w:noProof/>
          <w:sz w:val="24"/>
          <w:szCs w:val="24"/>
        </w:rPr>
        <w:t>, което също е част от „преходнот</w:t>
      </w:r>
      <w:r>
        <w:rPr>
          <w:rFonts w:ascii="Times New Roman" w:hAnsi="Times New Roman"/>
          <w:noProof/>
          <w:sz w:val="24"/>
          <w:szCs w:val="24"/>
        </w:rPr>
        <w:t>о решение“.</w:t>
      </w:r>
    </w:p>
    <w:p w:rsidR="00763157" w:rsidRDefault="00E45FF1">
      <w:pPr>
        <w:spacing w:before="120" w:after="120"/>
        <w:jc w:val="both"/>
        <w:rPr>
          <w:noProof/>
        </w:rPr>
      </w:pPr>
      <w:r>
        <w:rPr>
          <w:noProof/>
        </w:rPr>
        <w:t>ПКБ 6/2020 включваше също създаването на нови бюджетни редове в бюджета за 2020 г., като някои от тях ще продължат да съществуват и през 2021 г. Поради неприемането на „преходното решение“ бюджетната номенклатура трябва да бъде адаптирана, а ня</w:t>
      </w:r>
      <w:r>
        <w:rPr>
          <w:noProof/>
        </w:rPr>
        <w:t>кои бюджетни редове — заличени или прехвърлени, както е показано в таблицата по-долу:</w:t>
      </w:r>
    </w:p>
    <w:tbl>
      <w:tblPr>
        <w:tblW w:w="9835" w:type="dxa"/>
        <w:tblInd w:w="113" w:type="dxa"/>
        <w:tblLook w:val="04A0" w:firstRow="1" w:lastRow="0" w:firstColumn="1" w:lastColumn="0" w:noHBand="0" w:noVBand="1"/>
      </w:tblPr>
      <w:tblGrid>
        <w:gridCol w:w="1195"/>
        <w:gridCol w:w="3720"/>
        <w:gridCol w:w="1320"/>
        <w:gridCol w:w="3600"/>
      </w:tblGrid>
      <w:tr w:rsidR="00763157">
        <w:trPr>
          <w:trHeight w:val="274"/>
        </w:trPr>
        <w:tc>
          <w:tcPr>
            <w:tcW w:w="4915" w:type="dxa"/>
            <w:gridSpan w:val="2"/>
            <w:tcBorders>
              <w:top w:val="single" w:sz="4" w:space="0" w:color="auto"/>
              <w:left w:val="single" w:sz="4" w:space="0" w:color="auto"/>
              <w:bottom w:val="single" w:sz="4" w:space="0" w:color="auto"/>
              <w:right w:val="nil"/>
            </w:tcBorders>
            <w:shd w:val="clear" w:color="000000" w:fill="D9D9D9"/>
            <w:vAlign w:val="center"/>
            <w:hideMark/>
          </w:tcPr>
          <w:p w:rsidR="00763157" w:rsidRDefault="00E45FF1">
            <w:pPr>
              <w:jc w:val="center"/>
              <w:rPr>
                <w:noProof/>
                <w:color w:val="000000"/>
                <w:sz w:val="20"/>
                <w:szCs w:val="20"/>
              </w:rPr>
            </w:pPr>
            <w:r>
              <w:rPr>
                <w:noProof/>
                <w:color w:val="000000"/>
                <w:sz w:val="20"/>
                <w:szCs w:val="20"/>
              </w:rPr>
              <w:t>Номенклатура в ПБ за 2021 г.</w:t>
            </w:r>
          </w:p>
        </w:tc>
        <w:tc>
          <w:tcPr>
            <w:tcW w:w="492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763157" w:rsidRDefault="00E45FF1">
            <w:pPr>
              <w:jc w:val="center"/>
              <w:rPr>
                <w:noProof/>
                <w:color w:val="000000"/>
                <w:sz w:val="20"/>
                <w:szCs w:val="20"/>
              </w:rPr>
            </w:pPr>
            <w:r>
              <w:rPr>
                <w:noProof/>
                <w:color w:val="000000"/>
                <w:sz w:val="20"/>
                <w:szCs w:val="20"/>
              </w:rPr>
              <w:t>Номенклатура в ПВК 1/2021</w:t>
            </w:r>
          </w:p>
        </w:tc>
      </w:tr>
      <w:tr w:rsidR="00763157">
        <w:trPr>
          <w:trHeight w:val="350"/>
        </w:trPr>
        <w:tc>
          <w:tcPr>
            <w:tcW w:w="1195" w:type="dxa"/>
            <w:tcBorders>
              <w:top w:val="nil"/>
              <w:left w:val="single" w:sz="4" w:space="0" w:color="auto"/>
              <w:bottom w:val="nil"/>
              <w:right w:val="nil"/>
            </w:tcBorders>
            <w:shd w:val="clear" w:color="auto" w:fill="auto"/>
            <w:vAlign w:val="center"/>
            <w:hideMark/>
          </w:tcPr>
          <w:p w:rsidR="00763157" w:rsidRDefault="00E45FF1">
            <w:pPr>
              <w:rPr>
                <w:noProof/>
                <w:color w:val="000000"/>
                <w:sz w:val="20"/>
                <w:szCs w:val="20"/>
              </w:rPr>
            </w:pPr>
            <w:r>
              <w:rPr>
                <w:noProof/>
                <w:color w:val="000000"/>
                <w:sz w:val="20"/>
                <w:szCs w:val="20"/>
              </w:rPr>
              <w:t>02 01 04</w:t>
            </w:r>
          </w:p>
        </w:tc>
        <w:tc>
          <w:tcPr>
            <w:tcW w:w="3720" w:type="dxa"/>
            <w:tcBorders>
              <w:top w:val="nil"/>
              <w:left w:val="nil"/>
              <w:bottom w:val="nil"/>
              <w:right w:val="single" w:sz="4" w:space="0" w:color="auto"/>
            </w:tcBorders>
            <w:shd w:val="clear" w:color="auto" w:fill="auto"/>
            <w:vAlign w:val="center"/>
            <w:hideMark/>
          </w:tcPr>
          <w:p w:rsidR="00763157" w:rsidRDefault="00E45FF1">
            <w:pPr>
              <w:rPr>
                <w:noProof/>
                <w:color w:val="000000"/>
                <w:sz w:val="20"/>
                <w:szCs w:val="20"/>
              </w:rPr>
            </w:pPr>
            <w:r>
              <w:rPr>
                <w:noProof/>
                <w:color w:val="000000"/>
                <w:sz w:val="20"/>
                <w:szCs w:val="20"/>
              </w:rPr>
              <w:t>Разходи за подкрепа за „Европейския фонд за стратегически инвестиции“</w:t>
            </w:r>
          </w:p>
        </w:tc>
        <w:tc>
          <w:tcPr>
            <w:tcW w:w="1320" w:type="dxa"/>
            <w:tcBorders>
              <w:top w:val="nil"/>
              <w:left w:val="nil"/>
              <w:bottom w:val="nil"/>
              <w:right w:val="nil"/>
            </w:tcBorders>
            <w:shd w:val="clear" w:color="auto" w:fill="F2F2F2" w:themeFill="background1" w:themeFillShade="F2"/>
            <w:vAlign w:val="center"/>
            <w:hideMark/>
          </w:tcPr>
          <w:p w:rsidR="00763157" w:rsidRDefault="00E45FF1">
            <w:pPr>
              <w:rPr>
                <w:i/>
                <w:noProof/>
                <w:color w:val="000000"/>
                <w:sz w:val="20"/>
                <w:szCs w:val="20"/>
              </w:rPr>
            </w:pPr>
            <w:r>
              <w:rPr>
                <w:i/>
                <w:noProof/>
                <w:color w:val="000000"/>
                <w:sz w:val="20"/>
                <w:szCs w:val="20"/>
              </w:rPr>
              <w:t>заличен</w:t>
            </w:r>
          </w:p>
        </w:tc>
        <w:tc>
          <w:tcPr>
            <w:tcW w:w="3600" w:type="dxa"/>
            <w:tcBorders>
              <w:top w:val="nil"/>
              <w:left w:val="nil"/>
              <w:bottom w:val="nil"/>
              <w:right w:val="single" w:sz="4" w:space="0" w:color="auto"/>
            </w:tcBorders>
            <w:shd w:val="clear" w:color="auto" w:fill="F2F2F2" w:themeFill="background1" w:themeFillShade="F2"/>
            <w:vAlign w:val="center"/>
            <w:hideMark/>
          </w:tcPr>
          <w:p w:rsidR="00763157" w:rsidRDefault="00E45FF1">
            <w:pPr>
              <w:rPr>
                <w:i/>
                <w:noProof/>
                <w:color w:val="000000"/>
                <w:sz w:val="20"/>
                <w:szCs w:val="20"/>
              </w:rPr>
            </w:pPr>
            <w:r>
              <w:rPr>
                <w:i/>
                <w:noProof/>
                <w:color w:val="000000"/>
                <w:sz w:val="20"/>
                <w:szCs w:val="20"/>
              </w:rPr>
              <w:t> </w:t>
            </w:r>
          </w:p>
        </w:tc>
      </w:tr>
      <w:tr w:rsidR="00763157">
        <w:trPr>
          <w:trHeight w:val="552"/>
        </w:trPr>
        <w:tc>
          <w:tcPr>
            <w:tcW w:w="1195" w:type="dxa"/>
            <w:tcBorders>
              <w:top w:val="nil"/>
              <w:left w:val="single" w:sz="4" w:space="0" w:color="auto"/>
              <w:bottom w:val="nil"/>
              <w:right w:val="nil"/>
            </w:tcBorders>
            <w:shd w:val="clear" w:color="auto" w:fill="auto"/>
            <w:vAlign w:val="center"/>
            <w:hideMark/>
          </w:tcPr>
          <w:p w:rsidR="00763157" w:rsidRDefault="00E45FF1">
            <w:pPr>
              <w:rPr>
                <w:noProof/>
                <w:color w:val="000000"/>
                <w:sz w:val="20"/>
                <w:szCs w:val="20"/>
              </w:rPr>
            </w:pPr>
            <w:r>
              <w:rPr>
                <w:noProof/>
                <w:color w:val="000000"/>
                <w:sz w:val="20"/>
                <w:szCs w:val="20"/>
              </w:rPr>
              <w:t>02 05 02 01</w:t>
            </w:r>
          </w:p>
        </w:tc>
        <w:tc>
          <w:tcPr>
            <w:tcW w:w="3720" w:type="dxa"/>
            <w:tcBorders>
              <w:top w:val="nil"/>
              <w:left w:val="nil"/>
              <w:bottom w:val="nil"/>
              <w:right w:val="single" w:sz="4" w:space="0" w:color="auto"/>
            </w:tcBorders>
            <w:shd w:val="clear" w:color="auto" w:fill="auto"/>
            <w:vAlign w:val="center"/>
            <w:hideMark/>
          </w:tcPr>
          <w:p w:rsidR="00763157" w:rsidRDefault="00E45FF1">
            <w:pPr>
              <w:rPr>
                <w:noProof/>
                <w:color w:val="000000"/>
                <w:sz w:val="20"/>
                <w:szCs w:val="20"/>
              </w:rPr>
            </w:pPr>
            <w:r>
              <w:rPr>
                <w:noProof/>
                <w:color w:val="000000"/>
                <w:sz w:val="20"/>
                <w:szCs w:val="20"/>
              </w:rPr>
              <w:t xml:space="preserve">Гаранция за </w:t>
            </w:r>
            <w:r>
              <w:rPr>
                <w:noProof/>
                <w:color w:val="000000"/>
                <w:sz w:val="20"/>
                <w:szCs w:val="20"/>
              </w:rPr>
              <w:t>ЕФСИ — Компонент за инфраструктурата и иновациите (КИИ) и компонент за МСП (КМСП)</w:t>
            </w:r>
          </w:p>
        </w:tc>
        <w:tc>
          <w:tcPr>
            <w:tcW w:w="1320" w:type="dxa"/>
            <w:tcBorders>
              <w:top w:val="nil"/>
              <w:left w:val="nil"/>
              <w:bottom w:val="nil"/>
              <w:right w:val="nil"/>
            </w:tcBorders>
            <w:shd w:val="clear" w:color="auto" w:fill="F2F2F2" w:themeFill="background1" w:themeFillShade="F2"/>
            <w:vAlign w:val="center"/>
            <w:hideMark/>
          </w:tcPr>
          <w:p w:rsidR="00763157" w:rsidRDefault="00E45FF1">
            <w:pPr>
              <w:rPr>
                <w:i/>
                <w:noProof/>
                <w:sz w:val="20"/>
                <w:szCs w:val="20"/>
              </w:rPr>
            </w:pPr>
            <w:r>
              <w:rPr>
                <w:i/>
                <w:noProof/>
                <w:sz w:val="20"/>
                <w:szCs w:val="20"/>
              </w:rPr>
              <w:t>02 02 99 12</w:t>
            </w:r>
          </w:p>
          <w:p w:rsidR="00763157" w:rsidRDefault="00E45FF1">
            <w:pPr>
              <w:rPr>
                <w:i/>
                <w:noProof/>
                <w:sz w:val="20"/>
                <w:szCs w:val="20"/>
              </w:rPr>
            </w:pPr>
            <w:r>
              <w:rPr>
                <w:i/>
                <w:noProof/>
                <w:sz w:val="20"/>
                <w:szCs w:val="20"/>
              </w:rPr>
              <w:t>(нов)</w:t>
            </w:r>
          </w:p>
        </w:tc>
        <w:tc>
          <w:tcPr>
            <w:tcW w:w="3600" w:type="dxa"/>
            <w:tcBorders>
              <w:top w:val="nil"/>
              <w:left w:val="nil"/>
              <w:bottom w:val="nil"/>
              <w:right w:val="single" w:sz="4" w:space="0" w:color="auto"/>
            </w:tcBorders>
            <w:shd w:val="clear" w:color="auto" w:fill="F2F2F2" w:themeFill="background1" w:themeFillShade="F2"/>
            <w:vAlign w:val="center"/>
            <w:hideMark/>
          </w:tcPr>
          <w:p w:rsidR="00763157" w:rsidRDefault="00E45FF1">
            <w:pPr>
              <w:rPr>
                <w:i/>
                <w:noProof/>
                <w:sz w:val="20"/>
                <w:szCs w:val="20"/>
              </w:rPr>
            </w:pPr>
            <w:r>
              <w:rPr>
                <w:i/>
                <w:noProof/>
                <w:sz w:val="20"/>
                <w:szCs w:val="20"/>
              </w:rPr>
              <w:t>Приключване на Европейския фонд за стратегически инвестиции (ЕФСИ)</w:t>
            </w:r>
          </w:p>
        </w:tc>
      </w:tr>
      <w:tr w:rsidR="00763157">
        <w:trPr>
          <w:trHeight w:val="348"/>
        </w:trPr>
        <w:tc>
          <w:tcPr>
            <w:tcW w:w="1195" w:type="dxa"/>
            <w:tcBorders>
              <w:top w:val="nil"/>
              <w:left w:val="single" w:sz="4" w:space="0" w:color="auto"/>
              <w:bottom w:val="nil"/>
              <w:right w:val="nil"/>
            </w:tcBorders>
            <w:shd w:val="clear" w:color="auto" w:fill="auto"/>
            <w:vAlign w:val="center"/>
            <w:hideMark/>
          </w:tcPr>
          <w:p w:rsidR="00763157" w:rsidRDefault="00E45FF1">
            <w:pPr>
              <w:rPr>
                <w:noProof/>
                <w:color w:val="000000"/>
                <w:sz w:val="20"/>
                <w:szCs w:val="20"/>
              </w:rPr>
            </w:pPr>
            <w:r>
              <w:rPr>
                <w:noProof/>
                <w:color w:val="000000"/>
                <w:sz w:val="20"/>
                <w:szCs w:val="20"/>
              </w:rPr>
              <w:t>02 05 02 02</w:t>
            </w:r>
          </w:p>
        </w:tc>
        <w:tc>
          <w:tcPr>
            <w:tcW w:w="3720" w:type="dxa"/>
            <w:tcBorders>
              <w:top w:val="nil"/>
              <w:left w:val="nil"/>
              <w:bottom w:val="nil"/>
              <w:right w:val="single" w:sz="4" w:space="0" w:color="auto"/>
            </w:tcBorders>
            <w:shd w:val="clear" w:color="auto" w:fill="auto"/>
            <w:vAlign w:val="center"/>
            <w:hideMark/>
          </w:tcPr>
          <w:p w:rsidR="00763157" w:rsidRDefault="00E45FF1">
            <w:pPr>
              <w:rPr>
                <w:noProof/>
                <w:color w:val="000000"/>
                <w:sz w:val="20"/>
                <w:szCs w:val="20"/>
              </w:rPr>
            </w:pPr>
            <w:r>
              <w:rPr>
                <w:noProof/>
                <w:color w:val="000000"/>
                <w:sz w:val="20"/>
                <w:szCs w:val="20"/>
              </w:rPr>
              <w:t xml:space="preserve"> Гаранция за ЕФСИ — Компонент за Инструмента за подкрепа на платежоспособността</w:t>
            </w:r>
          </w:p>
        </w:tc>
        <w:tc>
          <w:tcPr>
            <w:tcW w:w="1320" w:type="dxa"/>
            <w:tcBorders>
              <w:top w:val="nil"/>
              <w:left w:val="nil"/>
              <w:bottom w:val="nil"/>
              <w:right w:val="nil"/>
            </w:tcBorders>
            <w:shd w:val="clear" w:color="auto" w:fill="F2F2F2" w:themeFill="background1" w:themeFillShade="F2"/>
            <w:vAlign w:val="center"/>
            <w:hideMark/>
          </w:tcPr>
          <w:p w:rsidR="00763157" w:rsidRDefault="00E45FF1">
            <w:pPr>
              <w:rPr>
                <w:i/>
                <w:noProof/>
                <w:color w:val="000000"/>
                <w:sz w:val="20"/>
                <w:szCs w:val="20"/>
              </w:rPr>
            </w:pPr>
            <w:r>
              <w:rPr>
                <w:i/>
                <w:noProof/>
                <w:color w:val="000000"/>
                <w:sz w:val="20"/>
                <w:szCs w:val="20"/>
              </w:rPr>
              <w:t>заличен</w:t>
            </w:r>
          </w:p>
        </w:tc>
        <w:tc>
          <w:tcPr>
            <w:tcW w:w="3600" w:type="dxa"/>
            <w:tcBorders>
              <w:top w:val="nil"/>
              <w:left w:val="nil"/>
              <w:bottom w:val="nil"/>
              <w:right w:val="single" w:sz="4" w:space="0" w:color="auto"/>
            </w:tcBorders>
            <w:shd w:val="clear" w:color="auto" w:fill="F2F2F2" w:themeFill="background1" w:themeFillShade="F2"/>
            <w:vAlign w:val="center"/>
            <w:hideMark/>
          </w:tcPr>
          <w:p w:rsidR="00763157" w:rsidRDefault="00E45FF1">
            <w:pPr>
              <w:rPr>
                <w:i/>
                <w:noProof/>
                <w:color w:val="000000"/>
                <w:sz w:val="20"/>
                <w:szCs w:val="20"/>
              </w:rPr>
            </w:pPr>
            <w:r>
              <w:rPr>
                <w:i/>
                <w:noProof/>
                <w:color w:val="000000"/>
                <w:sz w:val="20"/>
                <w:szCs w:val="20"/>
              </w:rPr>
              <w:t> </w:t>
            </w:r>
          </w:p>
        </w:tc>
      </w:tr>
      <w:tr w:rsidR="00763157">
        <w:trPr>
          <w:trHeight w:val="612"/>
        </w:trPr>
        <w:tc>
          <w:tcPr>
            <w:tcW w:w="1195" w:type="dxa"/>
            <w:tcBorders>
              <w:top w:val="nil"/>
              <w:left w:val="single" w:sz="4" w:space="0" w:color="auto"/>
              <w:bottom w:val="nil"/>
              <w:right w:val="nil"/>
            </w:tcBorders>
            <w:shd w:val="clear" w:color="auto" w:fill="auto"/>
            <w:vAlign w:val="center"/>
            <w:hideMark/>
          </w:tcPr>
          <w:p w:rsidR="00763157" w:rsidRDefault="00E45FF1">
            <w:pPr>
              <w:rPr>
                <w:noProof/>
                <w:color w:val="000000"/>
                <w:sz w:val="20"/>
                <w:szCs w:val="20"/>
              </w:rPr>
            </w:pPr>
            <w:r>
              <w:rPr>
                <w:noProof/>
                <w:color w:val="000000"/>
                <w:sz w:val="20"/>
                <w:szCs w:val="20"/>
              </w:rPr>
              <w:t>02 05 03 01</w:t>
            </w:r>
          </w:p>
        </w:tc>
        <w:tc>
          <w:tcPr>
            <w:tcW w:w="3720" w:type="dxa"/>
            <w:tcBorders>
              <w:top w:val="nil"/>
              <w:left w:val="nil"/>
              <w:bottom w:val="nil"/>
              <w:right w:val="single" w:sz="4" w:space="0" w:color="auto"/>
            </w:tcBorders>
            <w:shd w:val="clear" w:color="auto" w:fill="auto"/>
            <w:vAlign w:val="center"/>
            <w:hideMark/>
          </w:tcPr>
          <w:p w:rsidR="00763157" w:rsidRDefault="00E45FF1">
            <w:pPr>
              <w:rPr>
                <w:noProof/>
                <w:color w:val="000000"/>
                <w:sz w:val="20"/>
                <w:szCs w:val="20"/>
              </w:rPr>
            </w:pPr>
            <w:r>
              <w:rPr>
                <w:noProof/>
                <w:color w:val="000000"/>
                <w:sz w:val="20"/>
                <w:szCs w:val="20"/>
              </w:rPr>
              <w:t>ЕКЦИВ и ЕПИП — Компонент за инфраструктурата и иновациите (КИИ) и компонент за МСП (КМСП)</w:t>
            </w:r>
          </w:p>
        </w:tc>
        <w:tc>
          <w:tcPr>
            <w:tcW w:w="1320" w:type="dxa"/>
            <w:tcBorders>
              <w:top w:val="nil"/>
              <w:left w:val="nil"/>
              <w:bottom w:val="nil"/>
              <w:right w:val="nil"/>
            </w:tcBorders>
            <w:shd w:val="clear" w:color="auto" w:fill="F2F2F2" w:themeFill="background1" w:themeFillShade="F2"/>
            <w:vAlign w:val="center"/>
            <w:hideMark/>
          </w:tcPr>
          <w:p w:rsidR="00763157" w:rsidRDefault="00E45FF1">
            <w:pPr>
              <w:rPr>
                <w:i/>
                <w:noProof/>
                <w:sz w:val="20"/>
                <w:szCs w:val="20"/>
              </w:rPr>
            </w:pPr>
            <w:r>
              <w:rPr>
                <w:i/>
                <w:noProof/>
                <w:sz w:val="20"/>
                <w:szCs w:val="20"/>
              </w:rPr>
              <w:t>02 02 99 12</w:t>
            </w:r>
          </w:p>
          <w:p w:rsidR="00763157" w:rsidRDefault="00E45FF1">
            <w:pPr>
              <w:rPr>
                <w:i/>
                <w:noProof/>
                <w:color w:val="FF0000"/>
                <w:sz w:val="20"/>
                <w:szCs w:val="20"/>
              </w:rPr>
            </w:pPr>
            <w:r>
              <w:rPr>
                <w:i/>
                <w:noProof/>
                <w:sz w:val="20"/>
                <w:szCs w:val="20"/>
              </w:rPr>
              <w:t>(нов)</w:t>
            </w:r>
          </w:p>
        </w:tc>
        <w:tc>
          <w:tcPr>
            <w:tcW w:w="3600" w:type="dxa"/>
            <w:tcBorders>
              <w:top w:val="nil"/>
              <w:left w:val="nil"/>
              <w:bottom w:val="nil"/>
              <w:right w:val="single" w:sz="4" w:space="0" w:color="auto"/>
            </w:tcBorders>
            <w:shd w:val="clear" w:color="auto" w:fill="F2F2F2" w:themeFill="background1" w:themeFillShade="F2"/>
            <w:vAlign w:val="center"/>
            <w:hideMark/>
          </w:tcPr>
          <w:p w:rsidR="00763157" w:rsidRDefault="00E45FF1">
            <w:pPr>
              <w:rPr>
                <w:i/>
                <w:noProof/>
                <w:color w:val="FF0000"/>
                <w:sz w:val="20"/>
                <w:szCs w:val="20"/>
              </w:rPr>
            </w:pPr>
            <w:r>
              <w:rPr>
                <w:i/>
                <w:noProof/>
                <w:sz w:val="20"/>
                <w:szCs w:val="20"/>
              </w:rPr>
              <w:t xml:space="preserve">Приключване на Европейския фонд за </w:t>
            </w:r>
            <w:r>
              <w:rPr>
                <w:i/>
                <w:noProof/>
                <w:sz w:val="20"/>
                <w:szCs w:val="20"/>
              </w:rPr>
              <w:t>стратегически инвестиции (ЕФСИ)</w:t>
            </w:r>
          </w:p>
        </w:tc>
      </w:tr>
      <w:tr w:rsidR="00763157">
        <w:trPr>
          <w:trHeight w:val="288"/>
        </w:trPr>
        <w:tc>
          <w:tcPr>
            <w:tcW w:w="1195" w:type="dxa"/>
            <w:tcBorders>
              <w:top w:val="nil"/>
              <w:left w:val="single" w:sz="4" w:space="0" w:color="auto"/>
              <w:bottom w:val="single" w:sz="4" w:space="0" w:color="auto"/>
              <w:right w:val="nil"/>
            </w:tcBorders>
            <w:shd w:val="clear" w:color="auto" w:fill="auto"/>
            <w:vAlign w:val="center"/>
            <w:hideMark/>
          </w:tcPr>
          <w:p w:rsidR="00763157" w:rsidRDefault="00E45FF1">
            <w:pPr>
              <w:rPr>
                <w:noProof/>
                <w:color w:val="000000"/>
                <w:sz w:val="20"/>
                <w:szCs w:val="20"/>
              </w:rPr>
            </w:pPr>
            <w:r>
              <w:rPr>
                <w:noProof/>
                <w:color w:val="000000"/>
                <w:sz w:val="20"/>
                <w:szCs w:val="20"/>
              </w:rPr>
              <w:t>02 05 03 02</w:t>
            </w:r>
          </w:p>
        </w:tc>
        <w:tc>
          <w:tcPr>
            <w:tcW w:w="3720" w:type="dxa"/>
            <w:tcBorders>
              <w:top w:val="nil"/>
              <w:left w:val="nil"/>
              <w:bottom w:val="single" w:sz="4" w:space="0" w:color="auto"/>
              <w:right w:val="single" w:sz="4" w:space="0" w:color="auto"/>
            </w:tcBorders>
            <w:shd w:val="clear" w:color="auto" w:fill="auto"/>
            <w:vAlign w:val="center"/>
            <w:hideMark/>
          </w:tcPr>
          <w:p w:rsidR="00763157" w:rsidRDefault="00E45FF1">
            <w:pPr>
              <w:rPr>
                <w:noProof/>
                <w:color w:val="000000"/>
                <w:sz w:val="20"/>
                <w:szCs w:val="20"/>
              </w:rPr>
            </w:pPr>
            <w:r>
              <w:rPr>
                <w:noProof/>
                <w:color w:val="000000"/>
                <w:sz w:val="20"/>
                <w:szCs w:val="20"/>
              </w:rPr>
              <w:t>ЕКЦИВ и ЕПИП — Компонент за Инструмента за подкрепа на платежоспособността</w:t>
            </w:r>
          </w:p>
        </w:tc>
        <w:tc>
          <w:tcPr>
            <w:tcW w:w="1320" w:type="dxa"/>
            <w:tcBorders>
              <w:top w:val="nil"/>
              <w:left w:val="nil"/>
              <w:bottom w:val="single" w:sz="4" w:space="0" w:color="auto"/>
              <w:right w:val="nil"/>
            </w:tcBorders>
            <w:shd w:val="clear" w:color="auto" w:fill="F2F2F2" w:themeFill="background1" w:themeFillShade="F2"/>
            <w:vAlign w:val="center"/>
            <w:hideMark/>
          </w:tcPr>
          <w:p w:rsidR="00763157" w:rsidRDefault="00E45FF1">
            <w:pPr>
              <w:rPr>
                <w:i/>
                <w:noProof/>
                <w:color w:val="000000"/>
                <w:sz w:val="20"/>
                <w:szCs w:val="20"/>
              </w:rPr>
            </w:pPr>
            <w:r>
              <w:rPr>
                <w:i/>
                <w:noProof/>
                <w:color w:val="000000"/>
                <w:sz w:val="20"/>
                <w:szCs w:val="20"/>
              </w:rPr>
              <w:t>заличен</w:t>
            </w:r>
          </w:p>
        </w:tc>
        <w:tc>
          <w:tcPr>
            <w:tcW w:w="36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color w:val="000000"/>
                <w:sz w:val="20"/>
                <w:szCs w:val="20"/>
              </w:rPr>
            </w:pPr>
            <w:r>
              <w:rPr>
                <w:i/>
                <w:noProof/>
                <w:color w:val="000000"/>
                <w:sz w:val="20"/>
                <w:szCs w:val="20"/>
              </w:rPr>
              <w:t> </w:t>
            </w:r>
          </w:p>
        </w:tc>
      </w:tr>
    </w:tbl>
    <w:p w:rsidR="00763157" w:rsidRDefault="00E45FF1">
      <w:pPr>
        <w:keepNext/>
        <w:tabs>
          <w:tab w:val="left" w:pos="850"/>
        </w:tabs>
        <w:spacing w:before="240" w:after="120"/>
        <w:ind w:left="850" w:hanging="850"/>
        <w:jc w:val="both"/>
        <w:outlineLvl w:val="1"/>
        <w:rPr>
          <w:rFonts w:eastAsia="Calibri"/>
          <w:i/>
          <w:noProof/>
        </w:rPr>
      </w:pPr>
      <w:bookmarkStart w:id="40" w:name="_Toc54770314"/>
      <w:bookmarkStart w:id="41" w:name="_Toc55807124"/>
      <w:bookmarkStart w:id="42" w:name="_Toc56247301"/>
      <w:r>
        <w:rPr>
          <w:i/>
          <w:noProof/>
        </w:rPr>
        <w:t>2.3.2</w:t>
      </w:r>
      <w:r>
        <w:rPr>
          <w:i/>
          <w:noProof/>
        </w:rPr>
        <w:tab/>
        <w:t>Отражение, свързано с коригиращ бюджет № 6/2020 (стратегия за ваксините)</w:t>
      </w:r>
      <w:bookmarkEnd w:id="40"/>
      <w:bookmarkEnd w:id="41"/>
      <w:bookmarkEnd w:id="42"/>
    </w:p>
    <w:p w:rsidR="00763157" w:rsidRDefault="00E45FF1">
      <w:pPr>
        <w:spacing w:before="120" w:after="120"/>
        <w:jc w:val="both"/>
        <w:rPr>
          <w:noProof/>
          <w:szCs w:val="20"/>
        </w:rPr>
      </w:pPr>
      <w:r>
        <w:rPr>
          <w:noProof/>
        </w:rPr>
        <w:t>С коригиращ бюджет № 6/2020</w:t>
      </w:r>
      <w:r>
        <w:rPr>
          <w:rStyle w:val="FootnoteReference"/>
          <w:noProof/>
          <w:szCs w:val="20"/>
          <w:lang w:eastAsia="de-DE"/>
        </w:rPr>
        <w:footnoteReference w:id="15"/>
      </w:r>
      <w:r>
        <w:rPr>
          <w:noProof/>
        </w:rPr>
        <w:t xml:space="preserve"> размерът на бюджетните кредити за плащания през 2020 г. за Инструмента за спешна подкрепа (ИСП) бе увеличен с 1 090 милиона евро, за да достигне стратегията за ваксини срещу COVID-19 общо 2 610 милиона евро, докато общият размер на поетите задължения бе о</w:t>
      </w:r>
      <w:r>
        <w:rPr>
          <w:noProof/>
        </w:rPr>
        <w:t>пределен на 2 700 милиона евро през 2020 г. в коригиращ бюджет № 2/2020</w:t>
      </w:r>
      <w:r>
        <w:rPr>
          <w:rStyle w:val="FootnoteReference"/>
          <w:noProof/>
          <w:szCs w:val="20"/>
          <w:lang w:eastAsia="de-DE"/>
        </w:rPr>
        <w:footnoteReference w:id="16"/>
      </w:r>
      <w:r>
        <w:rPr>
          <w:noProof/>
        </w:rPr>
        <w:t xml:space="preserve">. </w:t>
      </w:r>
    </w:p>
    <w:p w:rsidR="00763157" w:rsidRDefault="00E45FF1">
      <w:pPr>
        <w:spacing w:before="120" w:after="120"/>
        <w:jc w:val="both"/>
        <w:rPr>
          <w:noProof/>
          <w:szCs w:val="20"/>
        </w:rPr>
      </w:pPr>
      <w:r>
        <w:rPr>
          <w:noProof/>
        </w:rPr>
        <w:t>Поради това размерът на бюджетните кредити за плащания за 2021 г. трябва да бъде намален на 90 милиона евро. Това представлява намаляване със 700 милиона евро в сравнение с ПБ за 20</w:t>
      </w:r>
      <w:r>
        <w:rPr>
          <w:noProof/>
        </w:rPr>
        <w:t>21 г., който се основаваше на по-дълъг профил на плащанията, т.е. 790 милиона евро през 2021 г. и 265 милиона евро както през 2022 г., така и през 2023 г.</w:t>
      </w:r>
    </w:p>
    <w:p w:rsidR="00763157" w:rsidRDefault="00E45FF1">
      <w:pPr>
        <w:keepNext/>
        <w:tabs>
          <w:tab w:val="left" w:pos="850"/>
        </w:tabs>
        <w:spacing w:before="240" w:after="120"/>
        <w:ind w:left="850" w:hanging="850"/>
        <w:jc w:val="both"/>
        <w:outlineLvl w:val="1"/>
        <w:rPr>
          <w:rFonts w:eastAsia="Calibri"/>
          <w:i/>
          <w:noProof/>
        </w:rPr>
      </w:pPr>
      <w:bookmarkStart w:id="43" w:name="_Toc54770315"/>
      <w:bookmarkStart w:id="44" w:name="_Toc55807125"/>
      <w:bookmarkStart w:id="45" w:name="_Toc56247302"/>
      <w:r>
        <w:rPr>
          <w:i/>
          <w:noProof/>
        </w:rPr>
        <w:t>2.3.3</w:t>
      </w:r>
      <w:r>
        <w:rPr>
          <w:i/>
          <w:noProof/>
        </w:rPr>
        <w:tab/>
        <w:t>Промени в ставките на предварителното финансиране за европейските структурни и инвестиционни фо</w:t>
      </w:r>
      <w:r>
        <w:rPr>
          <w:i/>
          <w:noProof/>
        </w:rPr>
        <w:t>ндове (ЕСИФ) за периода 2014—2020 г.</w:t>
      </w:r>
      <w:bookmarkEnd w:id="43"/>
      <w:bookmarkEnd w:id="44"/>
      <w:bookmarkEnd w:id="45"/>
    </w:p>
    <w:p w:rsidR="00763157" w:rsidRDefault="00E45FF1">
      <w:pPr>
        <w:spacing w:before="120" w:after="120"/>
        <w:jc w:val="both"/>
        <w:rPr>
          <w:noProof/>
          <w:szCs w:val="20"/>
        </w:rPr>
      </w:pPr>
      <w:r>
        <w:rPr>
          <w:noProof/>
        </w:rPr>
        <w:t>През 2018 г. Комисията предложи</w:t>
      </w:r>
      <w:r>
        <w:rPr>
          <w:rStyle w:val="FootnoteReference"/>
          <w:noProof/>
        </w:rPr>
        <w:footnoteReference w:id="17"/>
      </w:r>
      <w:r>
        <w:rPr>
          <w:noProof/>
        </w:rPr>
        <w:t xml:space="preserve"> да бъде изменен Регламент (ЕС) № 1303/2013 (Регламентът за общоприложимите разпоредби) и да бъде намалено годишното предварително финансиране </w:t>
      </w:r>
      <w:r>
        <w:rPr>
          <w:noProof/>
        </w:rPr>
        <w:lastRenderedPageBreak/>
        <w:t>за годините 2021—2023 от 3 % на 1 % от общат</w:t>
      </w:r>
      <w:r>
        <w:rPr>
          <w:noProof/>
        </w:rPr>
        <w:t>а подкрепа, предоставяна от Европейския фонд за регионално развитие (ЕФРР), Кохезионния фонд (КФ), Европейския социален фонд (ЕСФ) и Европейския фонд за морско дело и рибарство (ЕФМДР). Последиците от това предложение за бюджета бяха включени в ПБ за 2021 </w:t>
      </w:r>
      <w:r>
        <w:rPr>
          <w:noProof/>
        </w:rPr>
        <w:t>г.</w:t>
      </w:r>
    </w:p>
    <w:p w:rsidR="00763157" w:rsidRDefault="00E45FF1">
      <w:pPr>
        <w:spacing w:before="120" w:after="120"/>
        <w:jc w:val="both"/>
        <w:rPr>
          <w:noProof/>
        </w:rPr>
      </w:pPr>
      <w:r>
        <w:rPr>
          <w:noProof/>
        </w:rPr>
        <w:t>На 4 април 2019 г. Европейският парламент прие законодателната си резолюция, с която бе изменено предложението на Комисията, като определи годишната ставка на предварителното финансиране на 2 % за периода 2021—2023 г. В споразумението на Европейския съв</w:t>
      </w:r>
      <w:r>
        <w:rPr>
          <w:noProof/>
        </w:rPr>
        <w:t>ет от юли 2020 г. процентът не е променен.</w:t>
      </w:r>
    </w:p>
    <w:p w:rsidR="00763157" w:rsidRDefault="00E45FF1">
      <w:pPr>
        <w:spacing w:before="120" w:after="120"/>
        <w:jc w:val="both"/>
        <w:rPr>
          <w:noProof/>
        </w:rPr>
      </w:pPr>
      <w:r>
        <w:rPr>
          <w:noProof/>
        </w:rPr>
        <w:t>Вследствие на това в ПВК 1/2021 е включено за ЕСИФ увеличение в размер на общо 3,6 милиарда евро бюджетни кредити за плащания, което съответства на 1 % от общия размер на отпуснатите средства за периода 2021—2027 </w:t>
      </w:r>
      <w:r>
        <w:rPr>
          <w:noProof/>
        </w:rPr>
        <w:t>г. за ЕФРР, КФ, ЕСФ и ЕФМДР.</w:t>
      </w:r>
    </w:p>
    <w:tbl>
      <w:tblPr>
        <w:tblW w:w="9880" w:type="dxa"/>
        <w:tblInd w:w="108" w:type="dxa"/>
        <w:tblLook w:val="04A0" w:firstRow="1" w:lastRow="0" w:firstColumn="1" w:lastColumn="0" w:noHBand="0" w:noVBand="1"/>
      </w:tblPr>
      <w:tblGrid>
        <w:gridCol w:w="6240"/>
        <w:gridCol w:w="1820"/>
        <w:gridCol w:w="1820"/>
      </w:tblGrid>
      <w:tr w:rsidR="00763157">
        <w:trPr>
          <w:trHeight w:val="288"/>
        </w:trPr>
        <w:tc>
          <w:tcPr>
            <w:tcW w:w="6240" w:type="dxa"/>
            <w:tcBorders>
              <w:top w:val="nil"/>
              <w:left w:val="nil"/>
              <w:bottom w:val="nil"/>
              <w:right w:val="nil"/>
            </w:tcBorders>
            <w:shd w:val="clear" w:color="auto" w:fill="auto"/>
            <w:noWrap/>
            <w:vAlign w:val="bottom"/>
            <w:hideMark/>
          </w:tcPr>
          <w:p w:rsidR="00763157" w:rsidRDefault="00763157">
            <w:pPr>
              <w:rPr>
                <w:noProof/>
                <w:sz w:val="20"/>
                <w:szCs w:val="20"/>
                <w:lang w:eastAsia="en-US"/>
              </w:rPr>
            </w:pPr>
          </w:p>
        </w:tc>
        <w:tc>
          <w:tcPr>
            <w:tcW w:w="1820" w:type="dxa"/>
            <w:tcBorders>
              <w:top w:val="nil"/>
              <w:left w:val="nil"/>
              <w:bottom w:val="nil"/>
              <w:right w:val="nil"/>
            </w:tcBorders>
            <w:shd w:val="clear" w:color="auto" w:fill="auto"/>
            <w:noWrap/>
            <w:vAlign w:val="bottom"/>
            <w:hideMark/>
          </w:tcPr>
          <w:p w:rsidR="00763157" w:rsidRDefault="00763157">
            <w:pPr>
              <w:rPr>
                <w:noProof/>
                <w:sz w:val="20"/>
                <w:szCs w:val="20"/>
                <w:lang w:eastAsia="en-US"/>
              </w:rPr>
            </w:pPr>
          </w:p>
        </w:tc>
        <w:tc>
          <w:tcPr>
            <w:tcW w:w="1820" w:type="dxa"/>
            <w:tcBorders>
              <w:top w:val="nil"/>
              <w:left w:val="nil"/>
              <w:bottom w:val="nil"/>
              <w:right w:val="nil"/>
            </w:tcBorders>
            <w:shd w:val="clear" w:color="auto" w:fill="auto"/>
            <w:noWrap/>
            <w:vAlign w:val="center"/>
            <w:hideMark/>
          </w:tcPr>
          <w:p w:rsidR="00763157" w:rsidRDefault="00E45FF1">
            <w:pPr>
              <w:jc w:val="right"/>
              <w:rPr>
                <w:i/>
                <w:iCs/>
                <w:noProof/>
                <w:color w:val="000000"/>
                <w:sz w:val="16"/>
                <w:szCs w:val="16"/>
              </w:rPr>
            </w:pPr>
            <w:r>
              <w:rPr>
                <w:i/>
                <w:iCs/>
                <w:noProof/>
                <w:color w:val="000000"/>
                <w:sz w:val="16"/>
                <w:szCs w:val="16"/>
              </w:rPr>
              <w:t>(В милиони евро)</w:t>
            </w:r>
          </w:p>
        </w:tc>
      </w:tr>
      <w:tr w:rsidR="00763157">
        <w:trPr>
          <w:trHeight w:val="548"/>
        </w:trPr>
        <w:tc>
          <w:tcPr>
            <w:tcW w:w="6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Програма</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Бюджетни кредити за поети задължения</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Бюджетни кредити за плащания</w:t>
            </w:r>
          </w:p>
        </w:tc>
      </w:tr>
      <w:tr w:rsidR="00763157">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763157" w:rsidRDefault="00E45FF1">
            <w:pPr>
              <w:rPr>
                <w:noProof/>
                <w:color w:val="000000"/>
                <w:sz w:val="22"/>
                <w:szCs w:val="22"/>
              </w:rPr>
            </w:pPr>
            <w:r>
              <w:rPr>
                <w:noProof/>
                <w:color w:val="000000"/>
                <w:sz w:val="22"/>
                <w:szCs w:val="22"/>
              </w:rPr>
              <w:t>Европейски фонд за регионално развитие (ЕФРР)</w:t>
            </w:r>
          </w:p>
        </w:tc>
        <w:tc>
          <w:tcPr>
            <w:tcW w:w="1820" w:type="dxa"/>
            <w:tcBorders>
              <w:top w:val="nil"/>
              <w:left w:val="nil"/>
              <w:bottom w:val="nil"/>
              <w:right w:val="single" w:sz="4" w:space="0" w:color="auto"/>
            </w:tcBorders>
            <w:shd w:val="clear" w:color="auto" w:fill="auto"/>
            <w:noWrap/>
            <w:vAlign w:val="bottom"/>
            <w:hideMark/>
          </w:tcPr>
          <w:p w:rsidR="00763157" w:rsidRDefault="00E45FF1">
            <w:pPr>
              <w:jc w:val="right"/>
              <w:rPr>
                <w:noProof/>
                <w:color w:val="000000"/>
                <w:sz w:val="22"/>
                <w:szCs w:val="22"/>
              </w:rPr>
            </w:pPr>
            <w:r>
              <w:rPr>
                <w:noProof/>
                <w:color w:val="000000"/>
                <w:sz w:val="22"/>
                <w:szCs w:val="22"/>
              </w:rPr>
              <w:t>-</w:t>
            </w:r>
          </w:p>
        </w:tc>
        <w:tc>
          <w:tcPr>
            <w:tcW w:w="1820" w:type="dxa"/>
            <w:tcBorders>
              <w:top w:val="nil"/>
              <w:left w:val="nil"/>
              <w:bottom w:val="nil"/>
              <w:right w:val="single" w:sz="4" w:space="0" w:color="auto"/>
            </w:tcBorders>
            <w:shd w:val="clear" w:color="auto" w:fill="auto"/>
            <w:noWrap/>
            <w:vAlign w:val="bottom"/>
            <w:hideMark/>
          </w:tcPr>
          <w:p w:rsidR="00763157" w:rsidRDefault="00E45FF1">
            <w:pPr>
              <w:jc w:val="right"/>
              <w:rPr>
                <w:noProof/>
                <w:color w:val="000000"/>
                <w:sz w:val="22"/>
                <w:szCs w:val="22"/>
              </w:rPr>
            </w:pPr>
            <w:r>
              <w:rPr>
                <w:noProof/>
                <w:color w:val="000000"/>
                <w:sz w:val="22"/>
                <w:szCs w:val="22"/>
              </w:rPr>
              <w:t>1 996,6</w:t>
            </w:r>
          </w:p>
        </w:tc>
      </w:tr>
      <w:tr w:rsidR="00763157">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763157" w:rsidRDefault="00E45FF1">
            <w:pPr>
              <w:rPr>
                <w:noProof/>
                <w:color w:val="000000"/>
                <w:sz w:val="22"/>
                <w:szCs w:val="22"/>
              </w:rPr>
            </w:pPr>
            <w:r>
              <w:rPr>
                <w:noProof/>
                <w:color w:val="000000"/>
                <w:sz w:val="22"/>
                <w:szCs w:val="22"/>
              </w:rPr>
              <w:t>Кохезионен фонд (КФ)</w:t>
            </w:r>
          </w:p>
        </w:tc>
        <w:tc>
          <w:tcPr>
            <w:tcW w:w="1820" w:type="dxa"/>
            <w:tcBorders>
              <w:top w:val="nil"/>
              <w:left w:val="nil"/>
              <w:bottom w:val="nil"/>
              <w:right w:val="single" w:sz="4" w:space="0" w:color="auto"/>
            </w:tcBorders>
            <w:shd w:val="clear" w:color="auto" w:fill="auto"/>
            <w:noWrap/>
            <w:vAlign w:val="bottom"/>
            <w:hideMark/>
          </w:tcPr>
          <w:p w:rsidR="00763157" w:rsidRDefault="00E45FF1">
            <w:pPr>
              <w:jc w:val="right"/>
              <w:rPr>
                <w:noProof/>
                <w:color w:val="000000"/>
                <w:sz w:val="22"/>
                <w:szCs w:val="22"/>
              </w:rPr>
            </w:pPr>
            <w:r>
              <w:rPr>
                <w:noProof/>
                <w:color w:val="000000"/>
                <w:sz w:val="22"/>
                <w:szCs w:val="22"/>
              </w:rPr>
              <w:t>-</w:t>
            </w:r>
          </w:p>
        </w:tc>
        <w:tc>
          <w:tcPr>
            <w:tcW w:w="1820" w:type="dxa"/>
            <w:tcBorders>
              <w:top w:val="nil"/>
              <w:left w:val="nil"/>
              <w:bottom w:val="nil"/>
              <w:right w:val="single" w:sz="4" w:space="0" w:color="auto"/>
            </w:tcBorders>
            <w:shd w:val="clear" w:color="auto" w:fill="auto"/>
            <w:noWrap/>
            <w:vAlign w:val="bottom"/>
            <w:hideMark/>
          </w:tcPr>
          <w:p w:rsidR="00763157" w:rsidRDefault="00E45FF1">
            <w:pPr>
              <w:jc w:val="right"/>
              <w:rPr>
                <w:noProof/>
                <w:color w:val="000000"/>
                <w:sz w:val="22"/>
                <w:szCs w:val="22"/>
              </w:rPr>
            </w:pPr>
            <w:r>
              <w:rPr>
                <w:noProof/>
                <w:color w:val="000000"/>
                <w:sz w:val="22"/>
                <w:szCs w:val="22"/>
              </w:rPr>
              <w:t>622,2</w:t>
            </w:r>
          </w:p>
        </w:tc>
      </w:tr>
      <w:tr w:rsidR="00763157">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763157" w:rsidRDefault="00E45FF1">
            <w:pPr>
              <w:rPr>
                <w:noProof/>
                <w:color w:val="000000"/>
                <w:sz w:val="22"/>
                <w:szCs w:val="22"/>
              </w:rPr>
            </w:pPr>
            <w:r>
              <w:rPr>
                <w:noProof/>
                <w:color w:val="000000"/>
                <w:sz w:val="22"/>
                <w:szCs w:val="22"/>
              </w:rPr>
              <w:t>Европейски социален фонд (ЕСФ)</w:t>
            </w:r>
          </w:p>
        </w:tc>
        <w:tc>
          <w:tcPr>
            <w:tcW w:w="1820" w:type="dxa"/>
            <w:tcBorders>
              <w:top w:val="nil"/>
              <w:left w:val="nil"/>
              <w:bottom w:val="nil"/>
              <w:right w:val="single" w:sz="4" w:space="0" w:color="auto"/>
            </w:tcBorders>
            <w:shd w:val="clear" w:color="auto" w:fill="auto"/>
            <w:noWrap/>
            <w:vAlign w:val="bottom"/>
            <w:hideMark/>
          </w:tcPr>
          <w:p w:rsidR="00763157" w:rsidRDefault="00E45FF1">
            <w:pPr>
              <w:jc w:val="right"/>
              <w:rPr>
                <w:noProof/>
                <w:color w:val="000000"/>
                <w:sz w:val="22"/>
                <w:szCs w:val="22"/>
              </w:rPr>
            </w:pPr>
            <w:r>
              <w:rPr>
                <w:noProof/>
                <w:color w:val="000000"/>
                <w:sz w:val="22"/>
                <w:szCs w:val="22"/>
              </w:rPr>
              <w:t>-</w:t>
            </w:r>
          </w:p>
        </w:tc>
        <w:tc>
          <w:tcPr>
            <w:tcW w:w="1820" w:type="dxa"/>
            <w:tcBorders>
              <w:top w:val="nil"/>
              <w:left w:val="nil"/>
              <w:bottom w:val="nil"/>
              <w:right w:val="single" w:sz="4" w:space="0" w:color="auto"/>
            </w:tcBorders>
            <w:shd w:val="clear" w:color="auto" w:fill="auto"/>
            <w:noWrap/>
            <w:vAlign w:val="bottom"/>
            <w:hideMark/>
          </w:tcPr>
          <w:p w:rsidR="00763157" w:rsidRDefault="00E45FF1">
            <w:pPr>
              <w:jc w:val="right"/>
              <w:rPr>
                <w:noProof/>
                <w:color w:val="000000"/>
                <w:sz w:val="22"/>
                <w:szCs w:val="22"/>
              </w:rPr>
            </w:pPr>
            <w:r>
              <w:rPr>
                <w:noProof/>
                <w:color w:val="000000"/>
                <w:sz w:val="22"/>
                <w:szCs w:val="22"/>
              </w:rPr>
              <w:t>929,9</w:t>
            </w:r>
          </w:p>
        </w:tc>
      </w:tr>
      <w:tr w:rsidR="00763157">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763157" w:rsidRDefault="00E45FF1">
            <w:pPr>
              <w:rPr>
                <w:noProof/>
                <w:color w:val="000000"/>
                <w:sz w:val="22"/>
                <w:szCs w:val="22"/>
              </w:rPr>
            </w:pPr>
            <w:r>
              <w:rPr>
                <w:noProof/>
                <w:color w:val="000000"/>
                <w:sz w:val="22"/>
                <w:szCs w:val="22"/>
              </w:rPr>
              <w:t>Европейски фонд за морско дело и рибарство (ЕФМДР)</w:t>
            </w:r>
          </w:p>
        </w:tc>
        <w:tc>
          <w:tcPr>
            <w:tcW w:w="1820" w:type="dxa"/>
            <w:tcBorders>
              <w:top w:val="nil"/>
              <w:left w:val="nil"/>
              <w:bottom w:val="nil"/>
              <w:right w:val="single" w:sz="4" w:space="0" w:color="auto"/>
            </w:tcBorders>
            <w:shd w:val="clear" w:color="auto" w:fill="auto"/>
            <w:noWrap/>
            <w:vAlign w:val="bottom"/>
            <w:hideMark/>
          </w:tcPr>
          <w:p w:rsidR="00763157" w:rsidRDefault="00E45FF1">
            <w:pPr>
              <w:jc w:val="right"/>
              <w:rPr>
                <w:noProof/>
                <w:color w:val="000000"/>
                <w:sz w:val="22"/>
                <w:szCs w:val="22"/>
              </w:rPr>
            </w:pPr>
            <w:r>
              <w:rPr>
                <w:noProof/>
                <w:color w:val="000000"/>
                <w:sz w:val="22"/>
                <w:szCs w:val="22"/>
              </w:rPr>
              <w:t>-</w:t>
            </w:r>
          </w:p>
        </w:tc>
        <w:tc>
          <w:tcPr>
            <w:tcW w:w="1820" w:type="dxa"/>
            <w:tcBorders>
              <w:top w:val="nil"/>
              <w:left w:val="nil"/>
              <w:bottom w:val="nil"/>
              <w:right w:val="single" w:sz="4" w:space="0" w:color="auto"/>
            </w:tcBorders>
            <w:shd w:val="clear" w:color="auto" w:fill="auto"/>
            <w:noWrap/>
            <w:vAlign w:val="bottom"/>
            <w:hideMark/>
          </w:tcPr>
          <w:p w:rsidR="00763157" w:rsidRDefault="00E45FF1">
            <w:pPr>
              <w:jc w:val="right"/>
              <w:rPr>
                <w:noProof/>
                <w:color w:val="000000"/>
                <w:sz w:val="22"/>
                <w:szCs w:val="22"/>
              </w:rPr>
            </w:pPr>
            <w:r>
              <w:rPr>
                <w:noProof/>
                <w:color w:val="000000"/>
                <w:sz w:val="22"/>
                <w:szCs w:val="22"/>
              </w:rPr>
              <w:t>56,9</w:t>
            </w:r>
          </w:p>
        </w:tc>
      </w:tr>
      <w:tr w:rsidR="00763157">
        <w:trPr>
          <w:trHeight w:val="288"/>
        </w:trPr>
        <w:tc>
          <w:tcPr>
            <w:tcW w:w="6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157" w:rsidRDefault="00E45FF1">
            <w:pPr>
              <w:rPr>
                <w:b/>
                <w:bCs/>
                <w:noProof/>
                <w:color w:val="000000"/>
                <w:sz w:val="22"/>
                <w:szCs w:val="22"/>
              </w:rPr>
            </w:pPr>
            <w:r>
              <w:rPr>
                <w:b/>
                <w:bCs/>
                <w:noProof/>
                <w:color w:val="000000"/>
                <w:sz w:val="22"/>
                <w:szCs w:val="22"/>
              </w:rPr>
              <w:t>Общо</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763157" w:rsidRDefault="00E45FF1">
            <w:pPr>
              <w:jc w:val="right"/>
              <w:rPr>
                <w:b/>
                <w:bCs/>
                <w:noProof/>
                <w:color w:val="000000"/>
                <w:sz w:val="22"/>
                <w:szCs w:val="22"/>
              </w:rPr>
            </w:pPr>
            <w:r>
              <w:rPr>
                <w:b/>
                <w:bCs/>
                <w:noProof/>
                <w:color w:val="000000"/>
                <w:sz w:val="22"/>
                <w:szCs w:val="22"/>
              </w:rPr>
              <w:t>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763157" w:rsidRDefault="00E45FF1">
            <w:pPr>
              <w:jc w:val="right"/>
              <w:rPr>
                <w:b/>
                <w:bCs/>
                <w:noProof/>
                <w:color w:val="000000"/>
                <w:sz w:val="22"/>
                <w:szCs w:val="22"/>
              </w:rPr>
            </w:pPr>
            <w:r>
              <w:rPr>
                <w:b/>
                <w:bCs/>
                <w:noProof/>
                <w:color w:val="000000"/>
                <w:sz w:val="22"/>
                <w:szCs w:val="22"/>
              </w:rPr>
              <w:t>3 605,6</w:t>
            </w:r>
          </w:p>
        </w:tc>
      </w:tr>
    </w:tbl>
    <w:p w:rsidR="00763157" w:rsidRDefault="00E45FF1">
      <w:pPr>
        <w:keepNext/>
        <w:tabs>
          <w:tab w:val="left" w:pos="850"/>
        </w:tabs>
        <w:spacing w:before="240" w:after="120"/>
        <w:ind w:left="850" w:hanging="850"/>
        <w:jc w:val="both"/>
        <w:outlineLvl w:val="1"/>
        <w:rPr>
          <w:rFonts w:eastAsia="Calibri"/>
          <w:i/>
          <w:noProof/>
        </w:rPr>
      </w:pPr>
      <w:bookmarkStart w:id="46" w:name="_Toc55807126"/>
      <w:bookmarkStart w:id="47" w:name="_Toc56247303"/>
      <w:bookmarkEnd w:id="38"/>
      <w:bookmarkEnd w:id="39"/>
      <w:r>
        <w:rPr>
          <w:i/>
          <w:noProof/>
        </w:rPr>
        <w:t>2.3.4</w:t>
      </w:r>
      <w:r>
        <w:rPr>
          <w:i/>
          <w:noProof/>
        </w:rPr>
        <w:tab/>
      </w:r>
      <w:bookmarkStart w:id="48" w:name="_Toc54770316"/>
      <w:r>
        <w:rPr>
          <w:i/>
          <w:noProof/>
        </w:rPr>
        <w:t xml:space="preserve">Друго преразглеждане на </w:t>
      </w:r>
      <w:bookmarkEnd w:id="48"/>
      <w:r>
        <w:rPr>
          <w:i/>
          <w:noProof/>
        </w:rPr>
        <w:t>плащанията</w:t>
      </w:r>
      <w:bookmarkEnd w:id="46"/>
      <w:bookmarkEnd w:id="47"/>
    </w:p>
    <w:p w:rsidR="00763157" w:rsidRDefault="00E45FF1">
      <w:pPr>
        <w:spacing w:before="120" w:after="120"/>
        <w:jc w:val="both"/>
        <w:rPr>
          <w:noProof/>
          <w:szCs w:val="20"/>
        </w:rPr>
      </w:pPr>
      <w:r>
        <w:rPr>
          <w:noProof/>
        </w:rPr>
        <w:t xml:space="preserve">Комисията преразгледа нуждите от бюджетни кредити за плащания (в допълнение към актуализациите, произтичащи от упоменатите по-горе </w:t>
      </w:r>
      <w:r>
        <w:rPr>
          <w:noProof/>
        </w:rPr>
        <w:t xml:space="preserve">коригирани финансови пакети). Следните седем програми са засегнати от нетно увеличаване в размер на общо 448,8 милиона евро и — с изключение на програмата „Правосъдие, права и ценности“ (за която незначителното по размер увеличаване е техническа корекция) </w:t>
      </w:r>
      <w:r>
        <w:rPr>
          <w:noProof/>
        </w:rPr>
        <w:t>— преразглеждането е свързано с плащанията за изпълнение на неизпълнените поети задължения.</w:t>
      </w:r>
    </w:p>
    <w:tbl>
      <w:tblPr>
        <w:tblW w:w="9720" w:type="dxa"/>
        <w:tblInd w:w="108" w:type="dxa"/>
        <w:tblLook w:val="04A0" w:firstRow="1" w:lastRow="0" w:firstColumn="1" w:lastColumn="0" w:noHBand="0" w:noVBand="1"/>
      </w:tblPr>
      <w:tblGrid>
        <w:gridCol w:w="6240"/>
        <w:gridCol w:w="1820"/>
        <w:gridCol w:w="1660"/>
      </w:tblGrid>
      <w:tr w:rsidR="00763157">
        <w:trPr>
          <w:trHeight w:val="288"/>
          <w:tblHeader/>
        </w:trPr>
        <w:tc>
          <w:tcPr>
            <w:tcW w:w="6240" w:type="dxa"/>
            <w:tcBorders>
              <w:top w:val="nil"/>
              <w:left w:val="nil"/>
              <w:bottom w:val="nil"/>
              <w:right w:val="nil"/>
            </w:tcBorders>
            <w:shd w:val="clear" w:color="auto" w:fill="auto"/>
            <w:noWrap/>
            <w:vAlign w:val="center"/>
            <w:hideMark/>
          </w:tcPr>
          <w:p w:rsidR="00763157" w:rsidRDefault="00763157">
            <w:pPr>
              <w:rPr>
                <w:noProof/>
                <w:sz w:val="20"/>
                <w:szCs w:val="20"/>
                <w:lang w:eastAsia="en-US"/>
              </w:rPr>
            </w:pPr>
          </w:p>
        </w:tc>
        <w:tc>
          <w:tcPr>
            <w:tcW w:w="1820" w:type="dxa"/>
            <w:tcBorders>
              <w:top w:val="nil"/>
              <w:left w:val="nil"/>
              <w:bottom w:val="nil"/>
              <w:right w:val="nil"/>
            </w:tcBorders>
            <w:shd w:val="clear" w:color="auto" w:fill="auto"/>
            <w:noWrap/>
            <w:vAlign w:val="center"/>
            <w:hideMark/>
          </w:tcPr>
          <w:p w:rsidR="00763157" w:rsidRDefault="00763157">
            <w:pPr>
              <w:rPr>
                <w:noProof/>
                <w:sz w:val="20"/>
                <w:szCs w:val="20"/>
                <w:lang w:eastAsia="en-US"/>
              </w:rPr>
            </w:pPr>
          </w:p>
        </w:tc>
        <w:tc>
          <w:tcPr>
            <w:tcW w:w="1660" w:type="dxa"/>
            <w:tcBorders>
              <w:top w:val="nil"/>
              <w:left w:val="nil"/>
              <w:bottom w:val="nil"/>
              <w:right w:val="nil"/>
            </w:tcBorders>
            <w:shd w:val="clear" w:color="auto" w:fill="auto"/>
            <w:noWrap/>
            <w:vAlign w:val="center"/>
            <w:hideMark/>
          </w:tcPr>
          <w:p w:rsidR="00763157" w:rsidRDefault="00E45FF1">
            <w:pPr>
              <w:jc w:val="right"/>
              <w:rPr>
                <w:i/>
                <w:iCs/>
                <w:noProof/>
                <w:color w:val="000000"/>
                <w:sz w:val="16"/>
                <w:szCs w:val="16"/>
              </w:rPr>
            </w:pPr>
            <w:r>
              <w:rPr>
                <w:i/>
                <w:iCs/>
                <w:noProof/>
                <w:color w:val="000000"/>
                <w:sz w:val="16"/>
                <w:szCs w:val="16"/>
              </w:rPr>
              <w:t>(В милиони евро)</w:t>
            </w:r>
          </w:p>
        </w:tc>
      </w:tr>
      <w:tr w:rsidR="00763157">
        <w:trPr>
          <w:trHeight w:val="548"/>
          <w:tblHeader/>
        </w:trPr>
        <w:tc>
          <w:tcPr>
            <w:tcW w:w="6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Програма</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Бюджетни кредити за поети задължения</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22"/>
                <w:szCs w:val="22"/>
              </w:rPr>
            </w:pPr>
            <w:r>
              <w:rPr>
                <w:b/>
                <w:bCs/>
                <w:noProof/>
                <w:color w:val="000000"/>
                <w:sz w:val="22"/>
                <w:szCs w:val="22"/>
              </w:rPr>
              <w:t>Бюджетни кредити за плащания</w:t>
            </w:r>
          </w:p>
        </w:tc>
      </w:tr>
      <w:tr w:rsidR="00763157">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 xml:space="preserve">Инструмент за съседство, сътрудничество за развитие и международно </w:t>
            </w:r>
            <w:r>
              <w:rPr>
                <w:noProof/>
                <w:color w:val="000000"/>
                <w:sz w:val="22"/>
                <w:szCs w:val="22"/>
              </w:rPr>
              <w:t>сътрудничество (ИССРМС)</w:t>
            </w:r>
          </w:p>
        </w:tc>
        <w:tc>
          <w:tcPr>
            <w:tcW w:w="182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372,0</w:t>
            </w:r>
          </w:p>
        </w:tc>
      </w:tr>
      <w:tr w:rsidR="00763157">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Инструмент за предприсъединителна помощ (ИПП III)</w:t>
            </w:r>
          </w:p>
        </w:tc>
        <w:tc>
          <w:tcPr>
            <w:tcW w:w="182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120,0</w:t>
            </w:r>
          </w:p>
        </w:tc>
      </w:tr>
      <w:tr w:rsidR="00763157">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Механизъм за гражданска защита на Съюза (RescEU)</w:t>
            </w:r>
          </w:p>
        </w:tc>
        <w:tc>
          <w:tcPr>
            <w:tcW w:w="182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131,8</w:t>
            </w:r>
          </w:p>
        </w:tc>
      </w:tr>
      <w:tr w:rsidR="00763157">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Подкрепа за общността на кипърските турци</w:t>
            </w:r>
          </w:p>
        </w:tc>
        <w:tc>
          <w:tcPr>
            <w:tcW w:w="182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7,0</w:t>
            </w:r>
          </w:p>
        </w:tc>
      </w:tr>
      <w:tr w:rsidR="00763157">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„Правосъдие, права и ценности“</w:t>
            </w:r>
          </w:p>
        </w:tc>
        <w:tc>
          <w:tcPr>
            <w:tcW w:w="182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6,8</w:t>
            </w:r>
          </w:p>
        </w:tc>
      </w:tr>
      <w:tr w:rsidR="00763157">
        <w:trPr>
          <w:trHeight w:val="576"/>
        </w:trPr>
        <w:tc>
          <w:tcPr>
            <w:tcW w:w="6240" w:type="dxa"/>
            <w:tcBorders>
              <w:top w:val="nil"/>
              <w:left w:val="single" w:sz="4" w:space="0" w:color="auto"/>
              <w:bottom w:val="nil"/>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 xml:space="preserve">Механизъм за </w:t>
            </w:r>
            <w:r>
              <w:rPr>
                <w:noProof/>
                <w:color w:val="000000"/>
                <w:sz w:val="22"/>
                <w:szCs w:val="22"/>
              </w:rPr>
              <w:t>свързване на Европа — Транспорт (вкл. финансовия принос от Кохезионния фонд и военната мобилност)</w:t>
            </w:r>
          </w:p>
        </w:tc>
        <w:tc>
          <w:tcPr>
            <w:tcW w:w="182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-155,0</w:t>
            </w:r>
          </w:p>
        </w:tc>
      </w:tr>
      <w:tr w:rsidR="00763157">
        <w:trPr>
          <w:trHeight w:val="288"/>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763157" w:rsidRDefault="00E45FF1">
            <w:pPr>
              <w:rPr>
                <w:noProof/>
                <w:color w:val="000000"/>
                <w:sz w:val="22"/>
                <w:szCs w:val="22"/>
              </w:rPr>
            </w:pPr>
            <w:r>
              <w:rPr>
                <w:noProof/>
                <w:color w:val="000000"/>
                <w:sz w:val="22"/>
                <w:szCs w:val="22"/>
              </w:rPr>
              <w:t>InvestEU</w:t>
            </w:r>
          </w:p>
        </w:tc>
        <w:tc>
          <w:tcPr>
            <w:tcW w:w="182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w:t>
            </w:r>
          </w:p>
        </w:tc>
        <w:tc>
          <w:tcPr>
            <w:tcW w:w="1660" w:type="dxa"/>
            <w:tcBorders>
              <w:top w:val="nil"/>
              <w:left w:val="nil"/>
              <w:bottom w:val="nil"/>
              <w:right w:val="single" w:sz="4" w:space="0" w:color="auto"/>
            </w:tcBorders>
            <w:shd w:val="clear" w:color="000000" w:fill="FFFFFF"/>
            <w:noWrap/>
            <w:vAlign w:val="center"/>
            <w:hideMark/>
          </w:tcPr>
          <w:p w:rsidR="00763157" w:rsidRDefault="00E45FF1">
            <w:pPr>
              <w:jc w:val="right"/>
              <w:rPr>
                <w:noProof/>
                <w:color w:val="000000"/>
                <w:sz w:val="22"/>
                <w:szCs w:val="22"/>
              </w:rPr>
            </w:pPr>
            <w:r>
              <w:rPr>
                <w:noProof/>
                <w:color w:val="000000"/>
                <w:sz w:val="22"/>
                <w:szCs w:val="22"/>
              </w:rPr>
              <w:t>-33,7</w:t>
            </w:r>
          </w:p>
        </w:tc>
      </w:tr>
      <w:tr w:rsidR="00763157">
        <w:trPr>
          <w:trHeight w:val="288"/>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763157" w:rsidRDefault="00E45FF1">
            <w:pPr>
              <w:rPr>
                <w:b/>
                <w:bCs/>
                <w:noProof/>
                <w:color w:val="000000"/>
                <w:sz w:val="22"/>
                <w:szCs w:val="22"/>
              </w:rPr>
            </w:pPr>
            <w:r>
              <w:rPr>
                <w:b/>
                <w:bCs/>
                <w:noProof/>
                <w:color w:val="000000"/>
                <w:sz w:val="22"/>
                <w:szCs w:val="22"/>
              </w:rPr>
              <w:t>Общо</w:t>
            </w:r>
          </w:p>
        </w:tc>
        <w:tc>
          <w:tcPr>
            <w:tcW w:w="182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b/>
                <w:bCs/>
                <w:noProof/>
                <w:color w:val="000000"/>
                <w:sz w:val="22"/>
                <w:szCs w:val="22"/>
              </w:rPr>
            </w:pPr>
            <w:r>
              <w:rPr>
                <w:b/>
                <w:bCs/>
                <w:noProof/>
                <w:color w:val="000000"/>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157" w:rsidRDefault="00E45FF1">
            <w:pPr>
              <w:jc w:val="right"/>
              <w:rPr>
                <w:b/>
                <w:bCs/>
                <w:noProof/>
                <w:color w:val="000000"/>
                <w:sz w:val="22"/>
                <w:szCs w:val="22"/>
              </w:rPr>
            </w:pPr>
            <w:r>
              <w:rPr>
                <w:b/>
                <w:bCs/>
                <w:noProof/>
                <w:color w:val="000000"/>
                <w:sz w:val="22"/>
                <w:szCs w:val="22"/>
              </w:rPr>
              <w:t>448,8</w:t>
            </w:r>
          </w:p>
        </w:tc>
      </w:tr>
    </w:tbl>
    <w:p w:rsidR="00763157" w:rsidRDefault="00E45FF1">
      <w:pPr>
        <w:pStyle w:val="ListParagraph"/>
        <w:numPr>
          <w:ilvl w:val="0"/>
          <w:numId w:val="28"/>
        </w:numPr>
        <w:spacing w:before="24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u w:val="single"/>
        </w:rPr>
        <w:t>ИССРМС и ИПП III</w:t>
      </w:r>
      <w:r>
        <w:rPr>
          <w:rFonts w:ascii="Times New Roman" w:hAnsi="Times New Roman"/>
          <w:noProof/>
          <w:sz w:val="24"/>
          <w:szCs w:val="24"/>
        </w:rPr>
        <w:t xml:space="preserve">: След публикуването на Съвместното съобщение относно действията на ЕС за глобално реагиране на </w:t>
      </w:r>
      <w:r>
        <w:rPr>
          <w:rFonts w:ascii="Times New Roman" w:hAnsi="Times New Roman"/>
          <w:noProof/>
          <w:sz w:val="24"/>
          <w:szCs w:val="24"/>
        </w:rPr>
        <w:t>COVID-19</w:t>
      </w:r>
      <w:r>
        <w:rPr>
          <w:rStyle w:val="FootnoteReference"/>
          <w:rFonts w:eastAsia="Times New Roman"/>
          <w:noProof/>
          <w:lang w:eastAsia="en-GB"/>
        </w:rPr>
        <w:footnoteReference w:id="18"/>
      </w:r>
      <w:r>
        <w:rPr>
          <w:rFonts w:ascii="Times New Roman" w:hAnsi="Times New Roman"/>
          <w:noProof/>
          <w:sz w:val="24"/>
          <w:szCs w:val="24"/>
        </w:rPr>
        <w:t xml:space="preserve">, в което Съюзът изрази солидарност и ангажимент да помогне на партньорските държавите да се справят със здравните, икономическите и социалните последици от кризата с COVID-19 като част от усилията на „Екип Европа“, беше извършено препрограмиране </w:t>
      </w:r>
      <w:r>
        <w:rPr>
          <w:rFonts w:ascii="Times New Roman" w:hAnsi="Times New Roman"/>
          <w:noProof/>
          <w:sz w:val="24"/>
          <w:szCs w:val="24"/>
        </w:rPr>
        <w:t xml:space="preserve">и отпускането на помощта за трети </w:t>
      </w:r>
      <w:r>
        <w:rPr>
          <w:rFonts w:ascii="Times New Roman" w:hAnsi="Times New Roman"/>
          <w:noProof/>
          <w:sz w:val="24"/>
          <w:szCs w:val="24"/>
        </w:rPr>
        <w:lastRenderedPageBreak/>
        <w:t>държави се ускори, като това ще продължи и през 2021 г. Като се вземат предвид политическите ангажименти на Съюза към трети държави и договорните задължения, като сроковете за плащания, беше констатирана по-голяма нужда от</w:t>
      </w:r>
      <w:r>
        <w:rPr>
          <w:rFonts w:ascii="Times New Roman" w:hAnsi="Times New Roman"/>
          <w:noProof/>
          <w:sz w:val="24"/>
          <w:szCs w:val="24"/>
        </w:rPr>
        <w:t xml:space="preserve"> бюджетни кредити за плащания в размер на 492 милиона евро поради променените условия за отпускане на бюджетната подкрепа, увеличеното предварително финансиране и по-бързото изпълнение в рамките на непрякото управление.</w:t>
      </w:r>
    </w:p>
    <w:p w:rsidR="00763157" w:rsidRDefault="00E45FF1">
      <w:pPr>
        <w:pStyle w:val="ListParagraph"/>
        <w:numPr>
          <w:ilvl w:val="0"/>
          <w:numId w:val="28"/>
        </w:numPr>
        <w:spacing w:before="120" w:line="240" w:lineRule="auto"/>
        <w:ind w:left="360"/>
        <w:contextualSpacing w:val="0"/>
        <w:jc w:val="both"/>
        <w:rPr>
          <w:noProof/>
          <w:u w:val="single"/>
        </w:rPr>
      </w:pPr>
      <w:r>
        <w:rPr>
          <w:noProof/>
          <w:u w:val="single"/>
        </w:rPr>
        <w:t>RescEU</w:t>
      </w:r>
      <w:r>
        <w:rPr>
          <w:rFonts w:ascii="Times New Roman" w:hAnsi="Times New Roman"/>
          <w:noProof/>
          <w:sz w:val="24"/>
          <w:szCs w:val="24"/>
        </w:rPr>
        <w:t>: С коригиращи бюджети № 1 и №</w:t>
      </w:r>
      <w:r>
        <w:rPr>
          <w:rFonts w:ascii="Times New Roman" w:hAnsi="Times New Roman"/>
          <w:noProof/>
          <w:sz w:val="24"/>
          <w:szCs w:val="24"/>
        </w:rPr>
        <w:t> 2/2020 бяха значително увеличени наличните ресурси по програмата на Съюза за гражданска защита, предназначени за посрещане на спешните нужди, свързани с COVID-19 (а именно създаване на медицински резерв и репатриране). Това представлява общо увеличение от</w:t>
      </w:r>
      <w:r>
        <w:rPr>
          <w:rFonts w:ascii="Times New Roman" w:hAnsi="Times New Roman"/>
          <w:noProof/>
          <w:sz w:val="24"/>
          <w:szCs w:val="24"/>
        </w:rPr>
        <w:t xml:space="preserve"> 415 милиона евро бюджетни кредити за поети задължения. По-малко от половината от тези бюджетни кредити са покрити от бюджетни кредити за плащания през 2020 г., а коригираните прогнози сочат, че през 2021 г. ще са необходими приблизително 132 милиона евро </w:t>
      </w:r>
      <w:r>
        <w:rPr>
          <w:rFonts w:ascii="Times New Roman" w:hAnsi="Times New Roman"/>
          <w:noProof/>
          <w:sz w:val="24"/>
          <w:szCs w:val="24"/>
        </w:rPr>
        <w:t>за приключване на тези мерки. По-голямата част от плащанията ще послужат за възстановяване на средства на държавите членки за вече изпълнени мерки.</w:t>
      </w:r>
    </w:p>
    <w:p w:rsidR="00763157" w:rsidRDefault="00E45FF1">
      <w:pPr>
        <w:pStyle w:val="ListParagraph"/>
        <w:numPr>
          <w:ilvl w:val="0"/>
          <w:numId w:val="28"/>
        </w:numPr>
        <w:spacing w:before="120" w:after="120" w:line="240" w:lineRule="auto"/>
        <w:ind w:left="426" w:hanging="426"/>
        <w:contextualSpacing w:val="0"/>
        <w:jc w:val="both"/>
        <w:rPr>
          <w:rFonts w:ascii="Times New Roman" w:hAnsi="Times New Roman"/>
          <w:noProof/>
          <w:sz w:val="24"/>
          <w:szCs w:val="24"/>
        </w:rPr>
      </w:pPr>
      <w:r>
        <w:rPr>
          <w:rFonts w:ascii="Times New Roman" w:hAnsi="Times New Roman"/>
          <w:noProof/>
          <w:sz w:val="24"/>
          <w:szCs w:val="24"/>
          <w:u w:val="single"/>
        </w:rPr>
        <w:t>Подкрепа за общността на кипърските турци</w:t>
      </w:r>
      <w:r>
        <w:rPr>
          <w:rFonts w:ascii="Times New Roman" w:hAnsi="Times New Roman"/>
          <w:noProof/>
          <w:sz w:val="24"/>
          <w:szCs w:val="24"/>
        </w:rPr>
        <w:t>: Поради кризата с COVID-19 Програмата на ООН за развитие — Инструм</w:t>
      </w:r>
      <w:r>
        <w:rPr>
          <w:rFonts w:ascii="Times New Roman" w:hAnsi="Times New Roman"/>
          <w:noProof/>
          <w:sz w:val="24"/>
          <w:szCs w:val="24"/>
        </w:rPr>
        <w:t>ент за местна инфраструктура (ПРООН LIF) предоставя по-голяма техническа помощ за набелязване на нуждите от спешни ответни действия, което води до по-големи плащания в сравнение с прогнозата. В допълнение към увеличението вследствие на целенасоченото подси</w:t>
      </w:r>
      <w:r>
        <w:rPr>
          <w:rFonts w:ascii="Times New Roman" w:hAnsi="Times New Roman"/>
          <w:noProof/>
          <w:sz w:val="24"/>
          <w:szCs w:val="24"/>
        </w:rPr>
        <w:t>лване (3 милиона евро), описано в точка 8.1.1 по-долу, са необходими още 4 милиона евро бюджетни кредити за плащания за приключване на дейности като Програмата за стипендии, Програмата за икономически анализ за растеж и устойчиво развитие на Международната</w:t>
      </w:r>
      <w:r>
        <w:rPr>
          <w:rFonts w:ascii="Times New Roman" w:hAnsi="Times New Roman"/>
          <w:noProof/>
          <w:sz w:val="24"/>
          <w:szCs w:val="24"/>
        </w:rPr>
        <w:t xml:space="preserve"> банка за възстановяване и развитие, подкрепата за микропредприятия и проекта „Изграждане на новия северен канализационен колектор на Никозия — СККН“.</w:t>
      </w:r>
    </w:p>
    <w:p w:rsidR="00763157" w:rsidRDefault="00E45FF1">
      <w:pPr>
        <w:pStyle w:val="ListParagraph"/>
        <w:numPr>
          <w:ilvl w:val="0"/>
          <w:numId w:val="28"/>
        </w:numPr>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u w:val="single"/>
        </w:rPr>
        <w:t>МСЕ — Транспорт (включително финансовия принос от Кохезионния фонд и военната мобилност)</w:t>
      </w:r>
      <w:r>
        <w:rPr>
          <w:rFonts w:ascii="Times New Roman" w:hAnsi="Times New Roman"/>
          <w:noProof/>
          <w:sz w:val="24"/>
          <w:szCs w:val="24"/>
        </w:rPr>
        <w:t>: Общото намалява</w:t>
      </w:r>
      <w:r>
        <w:rPr>
          <w:rFonts w:ascii="Times New Roman" w:hAnsi="Times New Roman"/>
          <w:noProof/>
          <w:sz w:val="24"/>
          <w:szCs w:val="24"/>
        </w:rPr>
        <w:t>не от 155 милиона евро се дължи на следните два елемента, взети заедно:</w:t>
      </w:r>
    </w:p>
    <w:p w:rsidR="00763157" w:rsidRDefault="00E45FF1">
      <w:pPr>
        <w:pStyle w:val="ListParagraph"/>
        <w:numPr>
          <w:ilvl w:val="1"/>
          <w:numId w:val="28"/>
        </w:numPr>
        <w:spacing w:before="120" w:after="120" w:line="240" w:lineRule="auto"/>
        <w:ind w:left="720"/>
        <w:contextualSpacing w:val="0"/>
        <w:jc w:val="both"/>
        <w:rPr>
          <w:rFonts w:ascii="Times New Roman" w:hAnsi="Times New Roman"/>
          <w:noProof/>
          <w:sz w:val="24"/>
          <w:szCs w:val="24"/>
        </w:rPr>
      </w:pPr>
      <w:r>
        <w:rPr>
          <w:rFonts w:ascii="Times New Roman" w:hAnsi="Times New Roman"/>
          <w:noProof/>
          <w:sz w:val="24"/>
          <w:szCs w:val="24"/>
        </w:rPr>
        <w:t xml:space="preserve">-100 милиона евро, съответстващи на плащания, които ще бъдат извършени през 2020 г., въпреки че първоначално бяха предвидени за 2021 г. Тези плащания са свързани с доброволните </w:t>
      </w:r>
      <w:r>
        <w:rPr>
          <w:rFonts w:ascii="Times New Roman" w:hAnsi="Times New Roman"/>
          <w:noProof/>
          <w:sz w:val="24"/>
          <w:szCs w:val="24"/>
        </w:rPr>
        <w:t>искания, които бяха изпратени от няколко големи бенефициери и за които Комисията предложи увеличаване на средствата в ПКБ № 10/2020;</w:t>
      </w:r>
    </w:p>
    <w:p w:rsidR="00763157" w:rsidRDefault="00E45FF1">
      <w:pPr>
        <w:pStyle w:val="ListParagraph"/>
        <w:numPr>
          <w:ilvl w:val="1"/>
          <w:numId w:val="28"/>
        </w:numPr>
        <w:spacing w:before="120" w:after="120" w:line="240" w:lineRule="auto"/>
        <w:ind w:left="720"/>
        <w:contextualSpacing w:val="0"/>
        <w:jc w:val="both"/>
        <w:rPr>
          <w:rFonts w:ascii="Times New Roman" w:hAnsi="Times New Roman"/>
          <w:noProof/>
          <w:sz w:val="24"/>
          <w:szCs w:val="24"/>
        </w:rPr>
      </w:pPr>
      <w:r>
        <w:rPr>
          <w:rFonts w:ascii="Times New Roman" w:hAnsi="Times New Roman"/>
          <w:noProof/>
          <w:sz w:val="24"/>
          <w:szCs w:val="24"/>
        </w:rPr>
        <w:t xml:space="preserve">намаляване на нуждите от плащания за всички компоненти на МСЕ — Транспорт с общо 55 милиона евро (от които 37 милиона евро </w:t>
      </w:r>
      <w:r>
        <w:rPr>
          <w:rFonts w:ascii="Times New Roman" w:hAnsi="Times New Roman"/>
          <w:noProof/>
          <w:sz w:val="24"/>
          <w:szCs w:val="24"/>
        </w:rPr>
        <w:t>за финансовия принос от Кохезионния фонд и 13,4 милиона евро за военната мобилност). Като се има предвид настоящият срок за публикуване на първата покана за представяне на предложения по МСЕ — Транспорт през 2021 г., Комисията счита, че през 2021 г. ще бъд</w:t>
      </w:r>
      <w:r>
        <w:rPr>
          <w:rFonts w:ascii="Times New Roman" w:hAnsi="Times New Roman"/>
          <w:noProof/>
          <w:sz w:val="24"/>
          <w:szCs w:val="24"/>
        </w:rPr>
        <w:t>ат подписани само малка част от споразуменията за отпускане на безвъзмездни средства (вследствие на което ще бъде отпусната малка част от предварителното финансиране).</w:t>
      </w:r>
    </w:p>
    <w:p w:rsidR="00763157" w:rsidRDefault="00E45FF1">
      <w:pPr>
        <w:pStyle w:val="ListParagraph"/>
        <w:numPr>
          <w:ilvl w:val="0"/>
          <w:numId w:val="28"/>
        </w:numPr>
        <w:spacing w:before="120" w:after="120" w:line="240" w:lineRule="auto"/>
        <w:ind w:left="426" w:hanging="426"/>
        <w:contextualSpacing w:val="0"/>
        <w:jc w:val="both"/>
        <w:rPr>
          <w:rFonts w:ascii="Times New Roman" w:hAnsi="Times New Roman"/>
          <w:noProof/>
          <w:sz w:val="24"/>
          <w:szCs w:val="24"/>
        </w:rPr>
      </w:pPr>
      <w:r>
        <w:rPr>
          <w:rFonts w:ascii="Times New Roman" w:hAnsi="Times New Roman"/>
          <w:noProof/>
          <w:sz w:val="24"/>
          <w:szCs w:val="24"/>
          <w:u w:val="single"/>
        </w:rPr>
        <w:t>InvestEU</w:t>
      </w:r>
      <w:r>
        <w:rPr>
          <w:rFonts w:ascii="Times New Roman" w:hAnsi="Times New Roman"/>
          <w:noProof/>
          <w:sz w:val="24"/>
          <w:szCs w:val="24"/>
        </w:rPr>
        <w:t>: Намаляването на нуждите от плащания за Дълговия инструмент на Механизма за свъ</w:t>
      </w:r>
      <w:r>
        <w:rPr>
          <w:rFonts w:ascii="Times New Roman" w:hAnsi="Times New Roman"/>
          <w:noProof/>
          <w:sz w:val="24"/>
          <w:szCs w:val="24"/>
        </w:rPr>
        <w:t>рзване на Европа (ДИ на МСЕ) съответства на плащания, които ще бъдат извършени през 2020 г., въпреки че първоначално бяха предвидени за 2021 г. (записани са в редовете за приключване на InvestEU), и следователно трябва да бъдат отпуснати в началото на пери</w:t>
      </w:r>
      <w:r>
        <w:rPr>
          <w:rFonts w:ascii="Times New Roman" w:hAnsi="Times New Roman"/>
          <w:noProof/>
          <w:sz w:val="24"/>
          <w:szCs w:val="24"/>
        </w:rPr>
        <w:t>ода. Очаква се до края на 2020 г. ЕИБ да приключи подписването на редица проекти, които включват дейности, свързани с пускането в употреба на пунктове за зареждане на електрически автомобили, пунктове за зареждане с водород, електрически автобуси с водород</w:t>
      </w:r>
      <w:r>
        <w:rPr>
          <w:rFonts w:ascii="Times New Roman" w:hAnsi="Times New Roman"/>
          <w:noProof/>
          <w:sz w:val="24"/>
          <w:szCs w:val="24"/>
        </w:rPr>
        <w:t>ни горивни елементи и електрически камиони за превоз на товари, по които проекти бе постигнат по-бърз напредък от очакваното.</w:t>
      </w:r>
    </w:p>
    <w:p w:rsidR="00763157" w:rsidRDefault="00E45FF1">
      <w:pPr>
        <w:keepNext/>
        <w:tabs>
          <w:tab w:val="left" w:pos="850"/>
        </w:tabs>
        <w:spacing w:before="360" w:after="120"/>
        <w:ind w:left="426" w:hanging="426"/>
        <w:jc w:val="both"/>
        <w:outlineLvl w:val="1"/>
        <w:rPr>
          <w:rFonts w:eastAsia="Calibri"/>
          <w:b/>
          <w:noProof/>
        </w:rPr>
      </w:pPr>
      <w:bookmarkStart w:id="49" w:name="_Toc54770317"/>
      <w:bookmarkStart w:id="50" w:name="_Toc55807127"/>
      <w:bookmarkStart w:id="51" w:name="_Toc56247304"/>
      <w:r>
        <w:rPr>
          <w:b/>
          <w:noProof/>
        </w:rPr>
        <w:lastRenderedPageBreak/>
        <w:t xml:space="preserve">2.4 </w:t>
      </w:r>
      <w:r>
        <w:rPr>
          <w:b/>
          <w:noProof/>
        </w:rPr>
        <w:tab/>
        <w:t>Коригиран обхват на функциите на МФР и отражение върху структурата на номенклатурата</w:t>
      </w:r>
      <w:bookmarkEnd w:id="49"/>
      <w:bookmarkEnd w:id="50"/>
      <w:bookmarkEnd w:id="51"/>
    </w:p>
    <w:p w:rsidR="00763157" w:rsidRDefault="00E45FF1">
      <w:pPr>
        <w:spacing w:after="240"/>
        <w:jc w:val="both"/>
        <w:rPr>
          <w:noProof/>
        </w:rPr>
      </w:pPr>
      <w:r>
        <w:rPr>
          <w:noProof/>
        </w:rPr>
        <w:t xml:space="preserve">В съответствие със споразумението на </w:t>
      </w:r>
      <w:r>
        <w:rPr>
          <w:noProof/>
        </w:rPr>
        <w:t>Европейския съвет от юли 2020 г. и както бе потвърдено в политическото споразумение от ноември 2020 г. между Европейския парламент и Съвета, програмите (и другите елементи), включени в ПБ за 2021 г. в новия бюджетен дял 14 „Устойчивост и реакция при кризи“</w:t>
      </w:r>
      <w:r>
        <w:rPr>
          <w:noProof/>
        </w:rPr>
        <w:t xml:space="preserve"> (който бе включен във функция 5 „Устойчивост, сигурност и отбрана“), се прехвърлят в новия бюджетен дял 06 „Възстановяване и устойчивост“ (включен във функция 2б „Устойчивост и ценности“).</w:t>
      </w:r>
    </w:p>
    <w:p w:rsidR="00763157" w:rsidRDefault="00E45FF1">
      <w:pPr>
        <w:spacing w:after="240"/>
        <w:jc w:val="both"/>
        <w:rPr>
          <w:noProof/>
        </w:rPr>
      </w:pPr>
      <w:r>
        <w:rPr>
          <w:noProof/>
        </w:rPr>
        <w:t>Това прехвърляне ще наложи техническо преномериране на дялове 15 „</w:t>
      </w:r>
      <w:r>
        <w:rPr>
          <w:noProof/>
        </w:rPr>
        <w:t>Външна дейност“, 16 „Предприсъединителна помощ“ и 17 „Разходи извън годишните тавани, определени в многогодишната финансова рамка“. Това техническо преномериране ще бъде направено при публикуването на бюджета за 2021 г., след приемането му.</w:t>
      </w:r>
    </w:p>
    <w:p w:rsidR="00763157" w:rsidRDefault="00E45FF1">
      <w:pPr>
        <w:keepNext/>
        <w:tabs>
          <w:tab w:val="left" w:pos="850"/>
        </w:tabs>
        <w:spacing w:before="360" w:after="120"/>
        <w:ind w:left="720" w:hanging="720"/>
        <w:jc w:val="both"/>
        <w:outlineLvl w:val="1"/>
        <w:rPr>
          <w:rFonts w:eastAsia="Calibri"/>
          <w:b/>
          <w:noProof/>
        </w:rPr>
      </w:pPr>
      <w:bookmarkStart w:id="52" w:name="_Toc54770318"/>
      <w:bookmarkStart w:id="53" w:name="_Toc55807128"/>
      <w:bookmarkStart w:id="54" w:name="_Toc56247305"/>
      <w:r>
        <w:rPr>
          <w:b/>
          <w:noProof/>
        </w:rPr>
        <w:t xml:space="preserve">2.5 </w:t>
      </w:r>
      <w:r>
        <w:rPr>
          <w:b/>
          <w:noProof/>
        </w:rPr>
        <w:tab/>
        <w:t>Коригирано</w:t>
      </w:r>
      <w:r>
        <w:rPr>
          <w:b/>
          <w:noProof/>
        </w:rPr>
        <w:t xml:space="preserve"> разпределение на Next Generation EU между безвъзмездни средства и заеми</w:t>
      </w:r>
      <w:bookmarkEnd w:id="52"/>
      <w:bookmarkEnd w:id="53"/>
      <w:bookmarkEnd w:id="54"/>
    </w:p>
    <w:p w:rsidR="00763157" w:rsidRDefault="00E45FF1">
      <w:pPr>
        <w:spacing w:after="240"/>
        <w:jc w:val="both"/>
        <w:rPr>
          <w:noProof/>
        </w:rPr>
      </w:pPr>
      <w:r>
        <w:rPr>
          <w:noProof/>
        </w:rPr>
        <w:t xml:space="preserve">Както бе потвърдено в политическото споразумение от ноември 2020 г. между Европейския парламент и Съвета, средствата на Next Generation EU (NGEU) под формата на безвъзмездни средства </w:t>
      </w:r>
      <w:r>
        <w:rPr>
          <w:noProof/>
        </w:rPr>
        <w:t>(750 милиарда евро по цени от 2018 г.), с които ще се подпомагат програмите на Съюза, бяха намалени както по размер (от 500 милиарда евро на 390 милиарда евро), така и по обхват.</w:t>
      </w:r>
    </w:p>
    <w:p w:rsidR="00763157" w:rsidRDefault="00E45FF1">
      <w:pPr>
        <w:spacing w:after="240"/>
        <w:jc w:val="both"/>
        <w:rPr>
          <w:rFonts w:eastAsia="Calibri"/>
          <w:noProof/>
        </w:rPr>
      </w:pPr>
      <w:r>
        <w:rPr>
          <w:noProof/>
        </w:rPr>
        <w:t>Вследствие на това бюджетните забележки по засегнатите бюджетни редове бяха а</w:t>
      </w:r>
      <w:r>
        <w:rPr>
          <w:noProof/>
        </w:rPr>
        <w:t xml:space="preserve">даптирани по съответния начин в ПВК 1/2021. Също така, що се отнася до ЕЗФРСР, двугодишният преходен период, който вече е одобрен от Съвета и Европейския парламент, ще включва изпълнението на приноса от NGEU, считано от 2021 г. За тази цел в ПВК 1/2021 бе </w:t>
      </w:r>
      <w:r>
        <w:rPr>
          <w:noProof/>
        </w:rPr>
        <w:t>създаден нов бюджетен ред.</w:t>
      </w:r>
    </w:p>
    <w:p w:rsidR="00763157" w:rsidRDefault="00E45FF1">
      <w:pPr>
        <w:spacing w:after="240"/>
        <w:jc w:val="both"/>
        <w:rPr>
          <w:noProof/>
        </w:rPr>
      </w:pPr>
      <w:r>
        <w:rPr>
          <w:noProof/>
        </w:rPr>
        <w:t>Предвидените суми от NGEU за 2021 г., по програми и по бюджетни редове, са посочени в таблицата по-долу:</w:t>
      </w:r>
    </w:p>
    <w:tbl>
      <w:tblPr>
        <w:tblW w:w="9912" w:type="dxa"/>
        <w:tblInd w:w="113" w:type="dxa"/>
        <w:tblLook w:val="04A0" w:firstRow="1" w:lastRow="0" w:firstColumn="1" w:lastColumn="0" w:noHBand="0" w:noVBand="1"/>
      </w:tblPr>
      <w:tblGrid>
        <w:gridCol w:w="6715"/>
        <w:gridCol w:w="1560"/>
        <w:gridCol w:w="1622"/>
        <w:gridCol w:w="15"/>
      </w:tblGrid>
      <w:tr w:rsidR="00763157">
        <w:trPr>
          <w:trHeight w:val="300"/>
          <w:tblHeader/>
        </w:trPr>
        <w:tc>
          <w:tcPr>
            <w:tcW w:w="671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63157" w:rsidRDefault="00E45FF1">
            <w:pPr>
              <w:jc w:val="center"/>
              <w:rPr>
                <w:b/>
                <w:bCs/>
                <w:noProof/>
                <w:color w:val="000000"/>
                <w:sz w:val="22"/>
                <w:szCs w:val="22"/>
              </w:rPr>
            </w:pPr>
            <w:r>
              <w:rPr>
                <w:b/>
                <w:bCs/>
                <w:noProof/>
                <w:color w:val="000000"/>
                <w:sz w:val="22"/>
                <w:szCs w:val="22"/>
              </w:rPr>
              <w:t>Програма/бюджетен ред</w:t>
            </w:r>
          </w:p>
        </w:tc>
        <w:tc>
          <w:tcPr>
            <w:tcW w:w="3197"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763157" w:rsidRDefault="00E45FF1">
            <w:pPr>
              <w:jc w:val="center"/>
              <w:rPr>
                <w:b/>
                <w:bCs/>
                <w:noProof/>
                <w:color w:val="000000"/>
                <w:sz w:val="22"/>
                <w:szCs w:val="22"/>
              </w:rPr>
            </w:pPr>
            <w:r>
              <w:rPr>
                <w:b/>
                <w:bCs/>
                <w:noProof/>
                <w:color w:val="000000"/>
                <w:sz w:val="22"/>
                <w:szCs w:val="22"/>
              </w:rPr>
              <w:t xml:space="preserve">Финансов принос от Next Generation EU </w:t>
            </w:r>
            <w:r>
              <w:rPr>
                <w:i/>
                <w:iCs/>
                <w:noProof/>
                <w:color w:val="000000"/>
                <w:sz w:val="22"/>
                <w:szCs w:val="22"/>
              </w:rPr>
              <w:t>(в милиони евро)</w:t>
            </w:r>
          </w:p>
        </w:tc>
      </w:tr>
      <w:tr w:rsidR="00763157">
        <w:trPr>
          <w:gridAfter w:val="1"/>
          <w:wAfter w:w="15" w:type="dxa"/>
          <w:trHeight w:val="300"/>
          <w:tblHeader/>
        </w:trPr>
        <w:tc>
          <w:tcPr>
            <w:tcW w:w="6715" w:type="dxa"/>
            <w:vMerge/>
            <w:tcBorders>
              <w:top w:val="single" w:sz="4" w:space="0" w:color="auto"/>
              <w:left w:val="single" w:sz="4" w:space="0" w:color="auto"/>
              <w:bottom w:val="single" w:sz="4" w:space="0" w:color="auto"/>
              <w:right w:val="single" w:sz="4" w:space="0" w:color="auto"/>
            </w:tcBorders>
            <w:vAlign w:val="center"/>
            <w:hideMark/>
          </w:tcPr>
          <w:p w:rsidR="00763157" w:rsidRDefault="00763157">
            <w:pPr>
              <w:rPr>
                <w:b/>
                <w:bCs/>
                <w:noProof/>
                <w:color w:val="000000"/>
                <w:sz w:val="22"/>
                <w:szCs w:val="22"/>
                <w:lang w:eastAsia="en-US"/>
              </w:rPr>
            </w:pPr>
          </w:p>
        </w:tc>
        <w:tc>
          <w:tcPr>
            <w:tcW w:w="1560" w:type="dxa"/>
            <w:tcBorders>
              <w:top w:val="nil"/>
              <w:left w:val="nil"/>
              <w:bottom w:val="single" w:sz="4" w:space="0" w:color="auto"/>
              <w:right w:val="single" w:sz="4" w:space="0" w:color="auto"/>
            </w:tcBorders>
            <w:shd w:val="clear" w:color="000000" w:fill="BFBFBF"/>
            <w:vAlign w:val="center"/>
            <w:hideMark/>
          </w:tcPr>
          <w:p w:rsidR="00763157" w:rsidRDefault="00E45FF1">
            <w:pPr>
              <w:jc w:val="center"/>
              <w:rPr>
                <w:b/>
                <w:bCs/>
                <w:noProof/>
                <w:color w:val="000000"/>
                <w:sz w:val="22"/>
                <w:szCs w:val="22"/>
              </w:rPr>
            </w:pPr>
            <w:r>
              <w:rPr>
                <w:b/>
                <w:bCs/>
                <w:noProof/>
                <w:color w:val="000000"/>
                <w:sz w:val="22"/>
                <w:szCs w:val="22"/>
              </w:rPr>
              <w:t>Бюджетни задължения</w:t>
            </w:r>
          </w:p>
        </w:tc>
        <w:tc>
          <w:tcPr>
            <w:tcW w:w="1622" w:type="dxa"/>
            <w:tcBorders>
              <w:top w:val="nil"/>
              <w:left w:val="nil"/>
              <w:bottom w:val="single" w:sz="4" w:space="0" w:color="auto"/>
              <w:right w:val="single" w:sz="4" w:space="0" w:color="auto"/>
            </w:tcBorders>
            <w:shd w:val="clear" w:color="000000" w:fill="BFBFBF"/>
            <w:vAlign w:val="center"/>
            <w:hideMark/>
          </w:tcPr>
          <w:p w:rsidR="00763157" w:rsidRDefault="00E45FF1">
            <w:pPr>
              <w:jc w:val="center"/>
              <w:rPr>
                <w:b/>
                <w:bCs/>
                <w:noProof/>
                <w:color w:val="000000"/>
                <w:sz w:val="22"/>
                <w:szCs w:val="22"/>
              </w:rPr>
            </w:pPr>
            <w:r>
              <w:rPr>
                <w:b/>
                <w:bCs/>
                <w:noProof/>
                <w:color w:val="000000"/>
                <w:sz w:val="22"/>
                <w:szCs w:val="22"/>
              </w:rPr>
              <w:t xml:space="preserve">Бюджетни кредити за </w:t>
            </w:r>
            <w:r>
              <w:rPr>
                <w:b/>
                <w:bCs/>
                <w:noProof/>
                <w:color w:val="000000"/>
                <w:sz w:val="22"/>
                <w:szCs w:val="22"/>
              </w:rPr>
              <w:t>плащания</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63157" w:rsidRDefault="00E45FF1">
            <w:pPr>
              <w:rPr>
                <w:b/>
                <w:bCs/>
                <w:noProof/>
                <w:color w:val="000000"/>
                <w:sz w:val="22"/>
                <w:szCs w:val="22"/>
              </w:rPr>
            </w:pPr>
            <w:r>
              <w:rPr>
                <w:b/>
                <w:bCs/>
                <w:noProof/>
                <w:color w:val="000000"/>
                <w:sz w:val="22"/>
                <w:szCs w:val="22"/>
              </w:rPr>
              <w:t>„Хоризонт Европа“</w:t>
            </w:r>
          </w:p>
        </w:tc>
        <w:tc>
          <w:tcPr>
            <w:tcW w:w="1560"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1 772,0</w:t>
            </w:r>
          </w:p>
        </w:tc>
        <w:tc>
          <w:tcPr>
            <w:tcW w:w="1622"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177,9</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01 01 01 02 — Външен персонал, изпълняващ програма „Хоризонт Европа“ — Непреки научни изследвания</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3,7</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3,7</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01 01 01 03 — Други разходи за управление за „Хоризонт Европа“ — Непреки научни изследвания</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3,7</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3,7</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01 02 02 10 — Клъстер „Здравеопазване“</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32,2</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01 02 02 40 — Клъстер „Цифрова сфера, промишленост и космическо пространство“</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47,9</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01 02 02 50 — Клъстер „Климат, енергия и мобилност“</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7,0</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01 02 03 01 — Европейски съвет по иновациите</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83,5</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63157" w:rsidRDefault="00E45FF1">
            <w:pPr>
              <w:rPr>
                <w:b/>
                <w:bCs/>
                <w:noProof/>
                <w:color w:val="000000"/>
                <w:sz w:val="22"/>
                <w:szCs w:val="22"/>
              </w:rPr>
            </w:pPr>
            <w:r>
              <w:rPr>
                <w:b/>
                <w:bCs/>
                <w:noProof/>
                <w:color w:val="000000"/>
                <w:sz w:val="22"/>
                <w:szCs w:val="22"/>
              </w:rPr>
              <w:t>Фонд InvestEU</w:t>
            </w:r>
          </w:p>
        </w:tc>
        <w:tc>
          <w:tcPr>
            <w:tcW w:w="1560"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1 783,0</w:t>
            </w:r>
          </w:p>
        </w:tc>
        <w:tc>
          <w:tcPr>
            <w:tcW w:w="1622"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174,0</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02 01 01 — Разходи за подкрепа на „InvestEU“</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0,5</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0,5</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02 02 02 — Гаранция за InvestEU — провизиране на общия фонд „Провизии“</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1 745,0</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151,0</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02 02 03 — Консултантски център InvestEU, портал InvestEU и съпътстващи мерки</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37,5</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22,5</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63157" w:rsidRDefault="00E45FF1">
            <w:pPr>
              <w:rPr>
                <w:b/>
                <w:bCs/>
                <w:noProof/>
                <w:color w:val="000000"/>
                <w:sz w:val="22"/>
                <w:szCs w:val="22"/>
              </w:rPr>
            </w:pPr>
            <w:r>
              <w:rPr>
                <w:b/>
                <w:bCs/>
                <w:noProof/>
                <w:color w:val="000000"/>
                <w:sz w:val="22"/>
                <w:szCs w:val="22"/>
              </w:rPr>
              <w:t>REACT-EU — Европейски фонд за регионално развитие (ЕФРР)</w:t>
            </w:r>
          </w:p>
        </w:tc>
        <w:tc>
          <w:tcPr>
            <w:tcW w:w="1560"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27 856,5</w:t>
            </w:r>
          </w:p>
        </w:tc>
        <w:tc>
          <w:tcPr>
            <w:tcW w:w="1622"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4 983,5</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 xml:space="preserve">05 01 01 — Разходи за подкрепа за „Европейския фонд за </w:t>
            </w:r>
            <w:r>
              <w:rPr>
                <w:noProof/>
                <w:color w:val="000000"/>
                <w:sz w:val="22"/>
                <w:szCs w:val="22"/>
              </w:rPr>
              <w:lastRenderedPageBreak/>
              <w:t>регионално развитие“</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lastRenderedPageBreak/>
              <w:t>2,5</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2,5</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05 02 05 01 — ЕФРР — Оперативни разходи — Финансиране по REACT-EU</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27 756,8</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4 977,1</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05 02 05 02 — ЕФРР — Оперативна техническа помощ — Финансиране по REACT-EU</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97,2</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3,9</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63157" w:rsidRDefault="00E45FF1">
            <w:pPr>
              <w:rPr>
                <w:b/>
                <w:bCs/>
                <w:noProof/>
                <w:color w:val="000000"/>
                <w:sz w:val="22"/>
                <w:szCs w:val="22"/>
              </w:rPr>
            </w:pPr>
            <w:r>
              <w:rPr>
                <w:b/>
                <w:bCs/>
                <w:noProof/>
                <w:color w:val="000000"/>
                <w:sz w:val="22"/>
                <w:szCs w:val="22"/>
              </w:rPr>
              <w:t>Европейски механизъм за възстановяване и устойчивост (вкл. Инструментът за техническа подкрепа)</w:t>
            </w:r>
          </w:p>
        </w:tc>
        <w:tc>
          <w:tcPr>
            <w:tcW w:w="1560"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236 607,0</w:t>
            </w:r>
          </w:p>
        </w:tc>
        <w:tc>
          <w:tcPr>
            <w:tcW w:w="1622"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67 607,0</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06 01 01 — Разходи за подкрепа за Европейския механизъм</w:t>
            </w:r>
            <w:r>
              <w:rPr>
                <w:noProof/>
                <w:color w:val="000000"/>
                <w:sz w:val="22"/>
                <w:szCs w:val="22"/>
              </w:rPr>
              <w:t xml:space="preserve"> за възстановяване и устойчивост (вкл. Инструмента за техническа подкрепа)</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7,0</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7,0</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06 02 01 — Европейски механизъм за възстановяване и устойчивост (ЕМВУ) — Безвъзмездни средства</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236 600,0</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67 600,0</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63157" w:rsidRDefault="00E45FF1">
            <w:pPr>
              <w:rPr>
                <w:b/>
                <w:bCs/>
                <w:noProof/>
                <w:color w:val="000000"/>
                <w:sz w:val="22"/>
                <w:szCs w:val="22"/>
              </w:rPr>
            </w:pPr>
            <w:r>
              <w:rPr>
                <w:b/>
                <w:bCs/>
                <w:noProof/>
                <w:color w:val="000000"/>
                <w:sz w:val="22"/>
                <w:szCs w:val="22"/>
              </w:rPr>
              <w:t>Механизъм за гражданска защита на Съюза (RescEU)</w:t>
            </w:r>
          </w:p>
        </w:tc>
        <w:tc>
          <w:tcPr>
            <w:tcW w:w="1560"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682,5</w:t>
            </w:r>
          </w:p>
        </w:tc>
        <w:tc>
          <w:tcPr>
            <w:tcW w:w="1622"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197,0</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06 01 04 — Разходи за подкрепа за „Механизъм за гражданска защита на Съюза (RescEU)“</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3,9</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3,9</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06 05 01 — Механизъм за гражданска защита на Съюза (RescEU)</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678,6</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193,1</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63157" w:rsidRDefault="00E45FF1">
            <w:pPr>
              <w:rPr>
                <w:b/>
                <w:bCs/>
                <w:noProof/>
                <w:color w:val="000000"/>
                <w:sz w:val="22"/>
                <w:szCs w:val="22"/>
              </w:rPr>
            </w:pPr>
            <w:r>
              <w:rPr>
                <w:b/>
                <w:bCs/>
                <w:noProof/>
                <w:color w:val="000000"/>
                <w:sz w:val="22"/>
                <w:szCs w:val="22"/>
              </w:rPr>
              <w:t>REACT-EU — Европейски социален фонд (ЕСФ)</w:t>
            </w:r>
          </w:p>
        </w:tc>
        <w:tc>
          <w:tcPr>
            <w:tcW w:w="1560"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11 938,5</w:t>
            </w:r>
          </w:p>
        </w:tc>
        <w:tc>
          <w:tcPr>
            <w:tcW w:w="1622"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2 135,8</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 xml:space="preserve">07 01 01 01 — Разходи </w:t>
            </w:r>
            <w:r>
              <w:rPr>
                <w:noProof/>
                <w:color w:val="000000"/>
                <w:sz w:val="22"/>
                <w:szCs w:val="22"/>
              </w:rPr>
              <w:t>за подкрепа за „Европейски социален фонд+ — Споделено управление“</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1,1</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1,1</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07 02 05 01 — ЕСФ — Оперативни разходи — Финансиране по REACT-EU</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11 895,8</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2 133,0</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07 02 05 02 — ЕСФ — Оперативна техническа помощ — Финансиране по REACT-EU</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41,6</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1,7</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63157" w:rsidRDefault="00E45FF1">
            <w:pPr>
              <w:rPr>
                <w:b/>
                <w:bCs/>
                <w:noProof/>
                <w:color w:val="000000"/>
                <w:sz w:val="22"/>
                <w:szCs w:val="22"/>
              </w:rPr>
            </w:pPr>
            <w:r>
              <w:rPr>
                <w:b/>
                <w:bCs/>
                <w:noProof/>
                <w:color w:val="000000"/>
                <w:sz w:val="22"/>
                <w:szCs w:val="22"/>
              </w:rPr>
              <w:t xml:space="preserve">Европейски </w:t>
            </w:r>
            <w:r>
              <w:rPr>
                <w:b/>
                <w:bCs/>
                <w:noProof/>
                <w:color w:val="000000"/>
                <w:sz w:val="22"/>
                <w:szCs w:val="22"/>
              </w:rPr>
              <w:t>земеделски фонд за развитие на селските райони (ЕЗФРСР)</w:t>
            </w:r>
          </w:p>
        </w:tc>
        <w:tc>
          <w:tcPr>
            <w:tcW w:w="1560"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2 387,7</w:t>
            </w:r>
          </w:p>
        </w:tc>
        <w:tc>
          <w:tcPr>
            <w:tcW w:w="1622"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596,9</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08 03 01 03 — Видове интервенции в областта на развитието на селските райони по линия на стратегическите планове по ОСП, финансирани от Инструмента на Европейския съюз за възстановяване</w:t>
            </w:r>
            <w:r>
              <w:rPr>
                <w:noProof/>
                <w:color w:val="000000"/>
                <w:sz w:val="22"/>
                <w:szCs w:val="22"/>
              </w:rPr>
              <w:t xml:space="preserve"> (ИЕСВ)</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2 381,7</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595,4</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08 03 03 — ЕЗФРСР — Оперативна техническа помощ, финансирана от Инструмента на Европейския съюз за възстановяване (ИЕСВ)</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6,0</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1,5</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63157" w:rsidRDefault="00E45FF1">
            <w:pPr>
              <w:rPr>
                <w:b/>
                <w:bCs/>
                <w:noProof/>
                <w:color w:val="000000"/>
                <w:sz w:val="22"/>
                <w:szCs w:val="22"/>
              </w:rPr>
            </w:pPr>
            <w:r>
              <w:rPr>
                <w:b/>
                <w:bCs/>
                <w:noProof/>
                <w:color w:val="000000"/>
                <w:sz w:val="22"/>
                <w:szCs w:val="22"/>
              </w:rPr>
              <w:t>Фонд за справедлив преход</w:t>
            </w:r>
          </w:p>
        </w:tc>
        <w:tc>
          <w:tcPr>
            <w:tcW w:w="1560"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2 122,0</w:t>
            </w:r>
          </w:p>
        </w:tc>
        <w:tc>
          <w:tcPr>
            <w:tcW w:w="1622"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55,0</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09 01 02 — Разходи за подкрепа за „Фонд за справедлив преход“</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2,4</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2,4</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09 03 01 — Фонд за справедлив преход (ФСП) — Оперативни разходи</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2 112,2</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52,4</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22"/>
                <w:szCs w:val="22"/>
              </w:rPr>
            </w:pPr>
            <w:r>
              <w:rPr>
                <w:noProof/>
                <w:color w:val="000000"/>
                <w:sz w:val="22"/>
                <w:szCs w:val="22"/>
              </w:rPr>
              <w:t>09 03 02 — Фонд за справедлив преход (ФСП) — Оперативна техническа помощ</w:t>
            </w:r>
          </w:p>
        </w:tc>
        <w:tc>
          <w:tcPr>
            <w:tcW w:w="1560"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7,4</w:t>
            </w:r>
          </w:p>
        </w:tc>
        <w:tc>
          <w:tcPr>
            <w:tcW w:w="1622"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22"/>
                <w:szCs w:val="22"/>
              </w:rPr>
            </w:pPr>
            <w:r>
              <w:rPr>
                <w:noProof/>
                <w:color w:val="000000"/>
                <w:sz w:val="22"/>
                <w:szCs w:val="22"/>
              </w:rPr>
              <w:t>0,2</w:t>
            </w:r>
          </w:p>
        </w:tc>
      </w:tr>
      <w:tr w:rsidR="00763157">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763157" w:rsidRDefault="00E45FF1">
            <w:pPr>
              <w:rPr>
                <w:b/>
                <w:bCs/>
                <w:noProof/>
                <w:color w:val="000000"/>
                <w:sz w:val="22"/>
                <w:szCs w:val="22"/>
              </w:rPr>
            </w:pPr>
            <w:r>
              <w:rPr>
                <w:b/>
                <w:bCs/>
                <w:noProof/>
                <w:color w:val="000000"/>
                <w:sz w:val="22"/>
                <w:szCs w:val="22"/>
              </w:rPr>
              <w:t>ОБЩО</w:t>
            </w:r>
          </w:p>
        </w:tc>
        <w:tc>
          <w:tcPr>
            <w:tcW w:w="1560"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285 149,2</w:t>
            </w:r>
          </w:p>
        </w:tc>
        <w:tc>
          <w:tcPr>
            <w:tcW w:w="1622" w:type="dxa"/>
            <w:tcBorders>
              <w:top w:val="nil"/>
              <w:left w:val="nil"/>
              <w:bottom w:val="single" w:sz="4" w:space="0" w:color="auto"/>
              <w:right w:val="single" w:sz="4" w:space="0" w:color="auto"/>
            </w:tcBorders>
            <w:shd w:val="clear" w:color="000000" w:fill="D9D9D9"/>
            <w:noWrap/>
            <w:vAlign w:val="center"/>
            <w:hideMark/>
          </w:tcPr>
          <w:p w:rsidR="00763157" w:rsidRDefault="00E45FF1">
            <w:pPr>
              <w:jc w:val="right"/>
              <w:rPr>
                <w:b/>
                <w:bCs/>
                <w:noProof/>
                <w:color w:val="000000"/>
                <w:sz w:val="22"/>
                <w:szCs w:val="22"/>
              </w:rPr>
            </w:pPr>
            <w:r>
              <w:rPr>
                <w:b/>
                <w:bCs/>
                <w:noProof/>
                <w:color w:val="000000"/>
                <w:sz w:val="22"/>
                <w:szCs w:val="22"/>
              </w:rPr>
              <w:t>75 927,1</w:t>
            </w:r>
          </w:p>
        </w:tc>
      </w:tr>
    </w:tbl>
    <w:p w:rsidR="00763157" w:rsidRDefault="00E45FF1">
      <w:pPr>
        <w:pStyle w:val="ManualHeading1"/>
        <w:spacing w:before="240"/>
        <w:ind w:left="840" w:hanging="840"/>
        <w:rPr>
          <w:rFonts w:eastAsia="Calibri"/>
          <w:noProof/>
        </w:rPr>
      </w:pPr>
      <w:bookmarkStart w:id="55" w:name="_Toc54770319"/>
      <w:bookmarkStart w:id="56" w:name="_Toc55807129"/>
      <w:bookmarkStart w:id="57" w:name="_Toc56247306"/>
      <w:r>
        <w:rPr>
          <w:noProof/>
        </w:rPr>
        <w:t>3.</w:t>
      </w:r>
      <w:r>
        <w:rPr>
          <w:noProof/>
        </w:rPr>
        <w:tab/>
        <w:t>Участие на Съюза в увеличаването на капитала на Европейския</w:t>
      </w:r>
      <w:r>
        <w:rPr>
          <w:noProof/>
        </w:rPr>
        <w:t xml:space="preserve"> инвестиционен фонд (ЕИФ)</w:t>
      </w:r>
      <w:bookmarkEnd w:id="55"/>
      <w:bookmarkEnd w:id="56"/>
      <w:bookmarkEnd w:id="57"/>
    </w:p>
    <w:p w:rsidR="00763157" w:rsidRDefault="00E45FF1">
      <w:pPr>
        <w:spacing w:before="120" w:after="120"/>
        <w:jc w:val="both"/>
        <w:rPr>
          <w:noProof/>
          <w:szCs w:val="20"/>
        </w:rPr>
      </w:pPr>
      <w:r>
        <w:rPr>
          <w:noProof/>
        </w:rPr>
        <w:t>На 14 юли 2020 г. Съветът на директорите на Европейския инвестиционен фонд (ЕИФ) одобри по принцип предложението до акционерите за увеличаване на записания капитал на ЕИФ. Групата на Европейската инвестиционна банка (ЕИБ) определи размера на увеличението н</w:t>
      </w:r>
      <w:r>
        <w:rPr>
          <w:noProof/>
        </w:rPr>
        <w:t>а капитала на ЕИФ, необходимо, за да се инжектират в ЕИФ 1 250 милиона евро. Цената на новите акции следва да се основава на формулата за определяне на нетната стойност на активите, договорена между акционерите на ЕИФ, и включва внесената част и премията о</w:t>
      </w:r>
      <w:r>
        <w:rPr>
          <w:noProof/>
        </w:rPr>
        <w:t xml:space="preserve">т емисията на акция. </w:t>
      </w:r>
    </w:p>
    <w:p w:rsidR="00763157" w:rsidRDefault="00E45FF1">
      <w:pPr>
        <w:spacing w:before="120" w:after="120"/>
        <w:jc w:val="both"/>
        <w:rPr>
          <w:noProof/>
          <w:szCs w:val="20"/>
        </w:rPr>
      </w:pPr>
      <w:r>
        <w:rPr>
          <w:noProof/>
        </w:rPr>
        <w:t xml:space="preserve">Съюзът, представляван от Комисията, следва да е в състояние да участва в това увеличаване на капитала, за да може ЕИФ да продължи да подкрепя икономиката на Съюза и нейното </w:t>
      </w:r>
      <w:r>
        <w:rPr>
          <w:noProof/>
        </w:rPr>
        <w:lastRenderedPageBreak/>
        <w:t xml:space="preserve">възстановяване, включително чрез приноса си към изпълнението </w:t>
      </w:r>
      <w:r>
        <w:rPr>
          <w:noProof/>
        </w:rPr>
        <w:t>на програмата InvestEU. Освен това Съюзът следва да може да запази общия си дял от капитала на ЕИФ. Съюзът най-вероятно ще запише новоемитирани акции на ЕИФ и ще извърши съответното плащане през първата половина на 2021 г.</w:t>
      </w:r>
    </w:p>
    <w:p w:rsidR="00763157" w:rsidRDefault="00E45FF1">
      <w:pPr>
        <w:spacing w:before="120" w:after="120"/>
        <w:jc w:val="both"/>
        <w:rPr>
          <w:noProof/>
          <w:szCs w:val="20"/>
        </w:rPr>
      </w:pPr>
      <w:r>
        <w:rPr>
          <w:noProof/>
        </w:rPr>
        <w:t>За да може Съюзът да участва проп</w:t>
      </w:r>
      <w:r>
        <w:rPr>
          <w:noProof/>
        </w:rPr>
        <w:t>орционално в увеличаването на капитала на ЕИФ с горепосочения размер, за покриване на разходите по записването на акции се очаква да бъдат необходими 375 милиона евро</w:t>
      </w:r>
      <w:r>
        <w:rPr>
          <w:rStyle w:val="FootnoteReference"/>
          <w:noProof/>
        </w:rPr>
        <w:footnoteReference w:id="19"/>
      </w:r>
      <w:r>
        <w:rPr>
          <w:noProof/>
        </w:rPr>
        <w:t xml:space="preserve"> — както бюджетни кредити за поети задължения, така и бюджетни кредити за плащания. Тази </w:t>
      </w:r>
      <w:r>
        <w:rPr>
          <w:noProof/>
        </w:rPr>
        <w:t xml:space="preserve">сума, приспадната от финансовия пакет на InvestEU за 2021 г., е записана по специалния бюджетен ред за ЕИФ в глава 20 от същия дял (02 20 03 01 </w:t>
      </w:r>
      <w:r>
        <w:rPr>
          <w:i/>
          <w:noProof/>
          <w:szCs w:val="20"/>
        </w:rPr>
        <w:t>Европейски инвестиционен фонд — обезпечаване на изплатени акции от записания капитал</w:t>
      </w:r>
      <w:r>
        <w:rPr>
          <w:noProof/>
        </w:rPr>
        <w:t>).</w:t>
      </w:r>
    </w:p>
    <w:p w:rsidR="00763157" w:rsidRDefault="00E45FF1">
      <w:pPr>
        <w:pStyle w:val="ManualHeading1"/>
        <w:spacing w:before="240"/>
        <w:ind w:left="0" w:firstLine="0"/>
        <w:rPr>
          <w:noProof/>
        </w:rPr>
      </w:pPr>
      <w:bookmarkStart w:id="58" w:name="_Toc54770320"/>
      <w:bookmarkStart w:id="59" w:name="_Toc55807130"/>
      <w:bookmarkStart w:id="60" w:name="_Toc56247307"/>
      <w:r>
        <w:rPr>
          <w:noProof/>
        </w:rPr>
        <w:t>4.</w:t>
      </w:r>
      <w:r>
        <w:rPr>
          <w:noProof/>
        </w:rPr>
        <w:tab/>
      </w:r>
      <w:bookmarkEnd w:id="19"/>
      <w:r>
        <w:rPr>
          <w:noProof/>
        </w:rPr>
        <w:t>Европейски фонд за гар</w:t>
      </w:r>
      <w:r>
        <w:rPr>
          <w:noProof/>
        </w:rPr>
        <w:t>антиране на земеделието</w:t>
      </w:r>
      <w:bookmarkEnd w:id="20"/>
      <w:r>
        <w:rPr>
          <w:noProof/>
        </w:rPr>
        <w:t xml:space="preserve"> (ЕФГЗ)</w:t>
      </w:r>
      <w:bookmarkEnd w:id="58"/>
      <w:bookmarkEnd w:id="59"/>
      <w:bookmarkEnd w:id="60"/>
    </w:p>
    <w:p w:rsidR="00763157" w:rsidRDefault="00E45FF1">
      <w:pPr>
        <w:autoSpaceDE w:val="0"/>
        <w:autoSpaceDN w:val="0"/>
        <w:adjustRightInd w:val="0"/>
        <w:spacing w:before="120" w:after="120"/>
        <w:jc w:val="both"/>
        <w:rPr>
          <w:noProof/>
        </w:rPr>
      </w:pPr>
      <w:bookmarkStart w:id="61" w:name="_Toc462933829"/>
      <w:bookmarkStart w:id="62" w:name="_Toc462935190"/>
      <w:bookmarkStart w:id="63" w:name="_Toc462935292"/>
      <w:bookmarkStart w:id="64" w:name="_Toc462935340"/>
      <w:bookmarkStart w:id="65" w:name="_Toc462935497"/>
      <w:bookmarkStart w:id="66" w:name="_Toc463004731"/>
      <w:bookmarkStart w:id="67" w:name="_Toc463264164"/>
      <w:bookmarkStart w:id="68" w:name="_Toc463376628"/>
      <w:bookmarkStart w:id="69" w:name="_Toc463438680"/>
      <w:bookmarkStart w:id="70" w:name="_Toc463438848"/>
      <w:bookmarkStart w:id="71" w:name="_Toc463462765"/>
      <w:bookmarkStart w:id="72" w:name="_Toc463974150"/>
      <w:bookmarkStart w:id="73" w:name="_Toc464028191"/>
      <w:bookmarkStart w:id="74" w:name="_Toc462933830"/>
      <w:bookmarkStart w:id="75" w:name="_Toc462935191"/>
      <w:bookmarkStart w:id="76" w:name="_Toc462935293"/>
      <w:bookmarkStart w:id="77" w:name="_Toc462935341"/>
      <w:bookmarkStart w:id="78" w:name="_Toc462935498"/>
      <w:bookmarkStart w:id="79" w:name="_Toc463004732"/>
      <w:bookmarkStart w:id="80" w:name="_Toc463264165"/>
      <w:bookmarkStart w:id="81" w:name="_Toc463376629"/>
      <w:bookmarkStart w:id="82" w:name="_Toc463438681"/>
      <w:bookmarkStart w:id="83" w:name="_Toc463438849"/>
      <w:bookmarkStart w:id="84" w:name="_Toc463462766"/>
      <w:bookmarkStart w:id="85" w:name="_Toc463974151"/>
      <w:bookmarkStart w:id="86" w:name="_Toc464028192"/>
      <w:bookmarkStart w:id="87" w:name="_Toc464028333"/>
      <w:bookmarkStart w:id="88" w:name="_Toc526753782"/>
      <w:bookmarkStart w:id="89" w:name="_Toc52675378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noProof/>
        </w:rPr>
        <w:t>С ПВК 1/2021 се актуализират прогнозите за селскостопанските разходи въз основа на най-актуалните икономически данни и законодателна рамка. До началото на ноември 2020 г. Комисията разполагаше с първите данни за нивото на про</w:t>
      </w:r>
      <w:r>
        <w:rPr>
          <w:noProof/>
        </w:rPr>
        <w:t>изводството за 2020 г. и за перспективите пред селскостопанските пазари, както и с реалните данни за по-голямата част от изпълнението на бюджета за 2020 г., що се отнася до споделеното управление на ЕФГЗ, които са основата за актуализираните прогнози за бю</w:t>
      </w:r>
      <w:r>
        <w:rPr>
          <w:noProof/>
        </w:rPr>
        <w:t xml:space="preserve">джетните нужди за 2021 г. </w:t>
      </w:r>
    </w:p>
    <w:p w:rsidR="00763157" w:rsidRDefault="00E45FF1">
      <w:pPr>
        <w:autoSpaceDE w:val="0"/>
        <w:autoSpaceDN w:val="0"/>
        <w:adjustRightInd w:val="0"/>
        <w:spacing w:before="120" w:after="120"/>
        <w:jc w:val="both"/>
        <w:rPr>
          <w:noProof/>
        </w:rPr>
      </w:pPr>
      <w:r>
        <w:rPr>
          <w:noProof/>
        </w:rPr>
        <w:t>Освен че отчита пазарните фактори, ПВК 1/2021 включва също така отражението на законодателните решения в селскостопанския сектор, приети след приемането на ПБ за 2021 г. през юли 2020 г., както и на някои законодателни решения, к</w:t>
      </w:r>
      <w:r>
        <w:rPr>
          <w:noProof/>
        </w:rPr>
        <w:t>оито все още са в процес на подготовка и предстои скоро да бъдат приети. По-конкретно с него се актуализират сумите за трансферите между ЕФГЗ и ЕЗФРСР, за които няколко държави членки изпратиха своите уведомления до 18 май 2020 г.</w:t>
      </w:r>
    </w:p>
    <w:p w:rsidR="00763157" w:rsidRDefault="00E45FF1">
      <w:pPr>
        <w:autoSpaceDE w:val="0"/>
        <w:autoSpaceDN w:val="0"/>
        <w:adjustRightInd w:val="0"/>
        <w:spacing w:before="120" w:after="120"/>
        <w:jc w:val="both"/>
        <w:rPr>
          <w:noProof/>
        </w:rPr>
      </w:pPr>
      <w:r>
        <w:rPr>
          <w:noProof/>
        </w:rPr>
        <w:t>Съгласно политическото сп</w:t>
      </w:r>
      <w:r>
        <w:rPr>
          <w:noProof/>
        </w:rPr>
        <w:t>оразумение от ноември 2020 г. между Европейския парламент и Съвета и като се има предвид нетният трансфер в размер на 557,0 милиона евро към развитието на селските райони, нетното салдо за 2021 г., налично за ЕФГЗ, възлиза на 40 368,0 милиона евро. Тази но</w:t>
      </w:r>
      <w:r>
        <w:rPr>
          <w:noProof/>
        </w:rPr>
        <w:t>ва сума включва трансфери от ЕФГЗ към ЕЗФРСР и обратно, за които няколко държави членки уведомиха Комисията през 2019 г., включително измененията, съобщени през 2020 г.</w:t>
      </w:r>
      <w:r>
        <w:rPr>
          <w:rStyle w:val="FootnoteReference"/>
          <w:noProof/>
        </w:rPr>
        <w:footnoteReference w:id="20"/>
      </w:r>
    </w:p>
    <w:p w:rsidR="00763157" w:rsidRDefault="00E45FF1">
      <w:pPr>
        <w:autoSpaceDE w:val="0"/>
        <w:autoSpaceDN w:val="0"/>
        <w:adjustRightInd w:val="0"/>
        <w:spacing w:before="120" w:after="120"/>
        <w:jc w:val="both"/>
        <w:rPr>
          <w:noProof/>
        </w:rPr>
      </w:pPr>
      <w:r>
        <w:rPr>
          <w:noProof/>
        </w:rPr>
        <w:t>Като цяло нуждите за ЕФГЗ за 2021 г. (след като бъдат взети предвид разпоредбите на ЕФ</w:t>
      </w:r>
      <w:r>
        <w:rPr>
          <w:noProof/>
        </w:rPr>
        <w:t>ГЗ по отношение на „финансовата дисциплина“) понастоящем се определят на 40 987,0 милиона евро</w:t>
      </w:r>
      <w:r>
        <w:rPr>
          <w:noProof/>
        </w:rPr>
        <w:footnoteReference w:id="21"/>
      </w:r>
      <w:r>
        <w:rPr>
          <w:noProof/>
        </w:rPr>
        <w:t>, което представлява увеличение с 222,2 милиона евро спрямо ПБ за 2021 г. Това увеличение се дължи предимно на допълнителните нужди от финансови корекции в полза</w:t>
      </w:r>
      <w:r>
        <w:rPr>
          <w:noProof/>
        </w:rPr>
        <w:t xml:space="preserve"> на държавите членки (+233,1 милиона евро), докато промените за свързаните с пазара разходи извън стратегическите планове по ОСП (+15,0 милиона евро) и преките плащания извън стратегическите планове по ОСП (-29,7 милиона евро) са доста малки. </w:t>
      </w:r>
    </w:p>
    <w:p w:rsidR="00763157" w:rsidRDefault="00E45FF1">
      <w:pPr>
        <w:spacing w:before="120" w:after="120"/>
        <w:jc w:val="both"/>
        <w:rPr>
          <w:noProof/>
          <w:highlight w:val="yellow"/>
        </w:rPr>
      </w:pPr>
      <w:r>
        <w:rPr>
          <w:noProof/>
        </w:rPr>
        <w:t>Целевите при</w:t>
      </w:r>
      <w:r>
        <w:rPr>
          <w:noProof/>
        </w:rPr>
        <w:t xml:space="preserve">ходи, които се очаква да бъдат налични през 2021 г., нарастват леко от 585,7 милиона евро в ПБ за 2021 г. на 619,0 милиона евро (+33,3 милиона евро). За разлика от предходните години, ПВК 1/2021 не включва очакван пренос на целеви приходи от 2020 г. за </w:t>
      </w:r>
      <w:r>
        <w:rPr>
          <w:noProof/>
        </w:rPr>
        <w:lastRenderedPageBreak/>
        <w:t>202</w:t>
      </w:r>
      <w:r>
        <w:rPr>
          <w:noProof/>
        </w:rPr>
        <w:t>1 г., тъй като изпълнението през 2020 г. е високо</w:t>
      </w:r>
      <w:r>
        <w:rPr>
          <w:noProof/>
          <w:vertAlign w:val="superscript"/>
        </w:rPr>
        <w:footnoteReference w:id="22"/>
      </w:r>
      <w:r>
        <w:rPr>
          <w:noProof/>
        </w:rPr>
        <w:t>. Неусвоените бюджетни кредити (478 милиона евро) за резерва за кризи в селскостопанския сектор за 2020 г., който няма да бъде използван, ще бъдат пренесени за възстановяване на средства на земеделските сто</w:t>
      </w:r>
      <w:r>
        <w:rPr>
          <w:noProof/>
        </w:rPr>
        <w:t>пани, които са обект на механизма за финансова дисциплина през 2021 г.</w:t>
      </w:r>
    </w:p>
    <w:p w:rsidR="00763157" w:rsidRDefault="00E45FF1">
      <w:pPr>
        <w:autoSpaceDE w:val="0"/>
        <w:autoSpaceDN w:val="0"/>
        <w:adjustRightInd w:val="0"/>
        <w:spacing w:before="120" w:after="120"/>
        <w:jc w:val="both"/>
        <w:rPr>
          <w:noProof/>
        </w:rPr>
      </w:pPr>
      <w:r>
        <w:rPr>
          <w:noProof/>
        </w:rPr>
        <w:t>Вследствие на тези актуализации Комисията предлага да бъдат увеличени прогнозните разходи за селското стопанство със 188,9 милиона евро спрямо ПБ за 2021 г. За покриване на нуждите на Е</w:t>
      </w:r>
      <w:r>
        <w:rPr>
          <w:noProof/>
        </w:rPr>
        <w:t xml:space="preserve">ФГЗ за 2021 г. са необходими бюджетни кредити за поети задължения в размер на 40 368,0 милиона евро, включително </w:t>
      </w:r>
      <w:r>
        <w:rPr>
          <w:i/>
          <w:noProof/>
        </w:rPr>
        <w:t>резерва за кризи в селскостопанския сектор</w:t>
      </w:r>
      <w:r>
        <w:rPr>
          <w:noProof/>
        </w:rPr>
        <w:t>. Тази обща сума съответства точно на нетното салдо по ЕФГЗ, произтичащо от МФР за периода 2021—2027 </w:t>
      </w:r>
      <w:r>
        <w:rPr>
          <w:noProof/>
        </w:rPr>
        <w:t xml:space="preserve">г., договорена от Европейския съвет, и отчита променените трансфери между двата стълба, съобщени от държавите членки. Тъй като нуждите надвишават нетното салдо по ЕФГЗ за 2021 г., те трябва да бъдат коригирани чрез механизма за финансова дисциплина, който </w:t>
      </w:r>
      <w:r>
        <w:rPr>
          <w:noProof/>
        </w:rPr>
        <w:t>има за цел да бъдат намалени сумите, налични за преки плащания, за да се спази нетното салдо по ЕФГЗ и да се създаде резерв за кризи</w:t>
      </w:r>
      <w:r>
        <w:rPr>
          <w:noProof/>
          <w:vertAlign w:val="superscript"/>
        </w:rPr>
        <w:footnoteReference w:id="23"/>
      </w:r>
      <w:r>
        <w:rPr>
          <w:noProof/>
        </w:rPr>
        <w:t xml:space="preserve">. </w:t>
      </w:r>
    </w:p>
    <w:p w:rsidR="00763157" w:rsidRDefault="00E45FF1">
      <w:pPr>
        <w:pStyle w:val="ManualHeading1"/>
        <w:spacing w:before="240"/>
        <w:rPr>
          <w:noProof/>
        </w:rPr>
      </w:pPr>
      <w:bookmarkStart w:id="90" w:name="_Toc462933859"/>
      <w:bookmarkStart w:id="91" w:name="_Toc462935220"/>
      <w:bookmarkStart w:id="92" w:name="_Toc462935322"/>
      <w:bookmarkStart w:id="93" w:name="_Toc462935370"/>
      <w:bookmarkStart w:id="94" w:name="_Toc462935527"/>
      <w:bookmarkStart w:id="95" w:name="_Toc463004747"/>
      <w:bookmarkStart w:id="96" w:name="_Toc463974174"/>
      <w:bookmarkStart w:id="97" w:name="_Toc464028219"/>
      <w:bookmarkStart w:id="98" w:name="_Toc464028351"/>
      <w:bookmarkStart w:id="99" w:name="_Toc463974178"/>
      <w:bookmarkStart w:id="100" w:name="_Toc464028223"/>
      <w:bookmarkStart w:id="101" w:name="_Toc464028355"/>
      <w:bookmarkStart w:id="102" w:name="_Toc54770321"/>
      <w:bookmarkStart w:id="103" w:name="_Toc55807131"/>
      <w:bookmarkStart w:id="104" w:name="_Toc56247308"/>
      <w:bookmarkStart w:id="105" w:name="_Toc526753785"/>
      <w:bookmarkEnd w:id="88"/>
      <w:bookmarkEnd w:id="89"/>
      <w:bookmarkEnd w:id="90"/>
      <w:bookmarkEnd w:id="91"/>
      <w:bookmarkEnd w:id="92"/>
      <w:bookmarkEnd w:id="93"/>
      <w:bookmarkEnd w:id="94"/>
      <w:bookmarkEnd w:id="95"/>
      <w:bookmarkEnd w:id="96"/>
      <w:bookmarkEnd w:id="97"/>
      <w:bookmarkEnd w:id="98"/>
      <w:bookmarkEnd w:id="99"/>
      <w:bookmarkEnd w:id="100"/>
      <w:bookmarkEnd w:id="101"/>
      <w:r>
        <w:rPr>
          <w:noProof/>
        </w:rPr>
        <w:t>5.</w:t>
      </w:r>
      <w:r>
        <w:rPr>
          <w:noProof/>
        </w:rPr>
        <w:tab/>
        <w:t>Пакет за делегиране за шестте изпълнителни агенции</w:t>
      </w:r>
      <w:bookmarkEnd w:id="102"/>
      <w:bookmarkEnd w:id="103"/>
      <w:bookmarkEnd w:id="104"/>
    </w:p>
    <w:p w:rsidR="00763157" w:rsidRDefault="00E45FF1">
      <w:pPr>
        <w:keepNext/>
        <w:tabs>
          <w:tab w:val="left" w:pos="850"/>
        </w:tabs>
        <w:spacing w:before="360" w:after="120"/>
        <w:ind w:left="357" w:hanging="357"/>
        <w:jc w:val="both"/>
        <w:outlineLvl w:val="1"/>
        <w:rPr>
          <w:rFonts w:eastAsia="Calibri"/>
          <w:b/>
          <w:noProof/>
        </w:rPr>
      </w:pPr>
      <w:bookmarkStart w:id="106" w:name="_Toc54770322"/>
      <w:bookmarkStart w:id="107" w:name="_Toc55807132"/>
      <w:bookmarkStart w:id="108" w:name="_Toc56247309"/>
      <w:r>
        <w:rPr>
          <w:b/>
          <w:noProof/>
        </w:rPr>
        <w:t xml:space="preserve">5.1 </w:t>
      </w:r>
      <w:r>
        <w:rPr>
          <w:b/>
          <w:noProof/>
        </w:rPr>
        <w:tab/>
        <w:t>Представяне пред Комитета за изпълнителните агенции</w:t>
      </w:r>
      <w:bookmarkEnd w:id="106"/>
      <w:bookmarkEnd w:id="107"/>
      <w:bookmarkEnd w:id="108"/>
    </w:p>
    <w:p w:rsidR="00763157" w:rsidRDefault="00E45FF1">
      <w:pPr>
        <w:spacing w:before="120" w:after="120"/>
        <w:jc w:val="both"/>
        <w:rPr>
          <w:noProof/>
        </w:rPr>
      </w:pPr>
      <w:r>
        <w:rPr>
          <w:noProof/>
        </w:rPr>
        <w:t xml:space="preserve">През </w:t>
      </w:r>
      <w:r>
        <w:rPr>
          <w:noProof/>
        </w:rPr>
        <w:t>следващите дни в съответствие с процедурата, предвидена в Регламент № 58/2003</w:t>
      </w:r>
      <w:r>
        <w:rPr>
          <w:rStyle w:val="FootnoteReference"/>
          <w:bCs/>
          <w:noProof/>
        </w:rPr>
        <w:footnoteReference w:id="24"/>
      </w:r>
      <w:r>
        <w:rPr>
          <w:noProof/>
        </w:rPr>
        <w:t>, Комисията ще поиска от Комитета за изпълнителните агенции (КИА) да даде становище по проекта на Решение за изпълнение на Комисията за създаване на новото поколение изпълнителни</w:t>
      </w:r>
      <w:r>
        <w:rPr>
          <w:noProof/>
        </w:rPr>
        <w:t xml:space="preserve"> агенции. Същевременно Комисията ще предаде на Европейския парламент и на Съвета пълния комплект от документи за делегирането, включително информационна бележка, в която се определят основните елементи на предвидения пакет за делегирането. Пакетът, който щ</w:t>
      </w:r>
      <w:r>
        <w:rPr>
          <w:noProof/>
        </w:rPr>
        <w:t>е бъде представен на КИА, ще бъде актуализиран, за да се отрази равнището на финансовите пакети на разходните програми, които се предлага да бъдат делегирани съгласно политическото споразумение от ноември 2020 г. между Европейския парламент и Съвета за сле</w:t>
      </w:r>
      <w:r>
        <w:rPr>
          <w:noProof/>
        </w:rPr>
        <w:t>дващата МФР.</w:t>
      </w:r>
    </w:p>
    <w:p w:rsidR="00763157" w:rsidRDefault="00E45FF1">
      <w:pPr>
        <w:spacing w:before="120" w:after="120"/>
        <w:jc w:val="both"/>
        <w:rPr>
          <w:noProof/>
        </w:rPr>
      </w:pPr>
      <w:r>
        <w:rPr>
          <w:noProof/>
        </w:rPr>
        <w:t>Не беше възможно съответните данни да бъдат актуализирани своевременно за настоящото писмо за внасяне на корекции. Поради това всички таблици в тази точка — включително за персонала на агенциите и предложеното компенсиране в Комисията — все ощ</w:t>
      </w:r>
      <w:r>
        <w:rPr>
          <w:noProof/>
        </w:rPr>
        <w:t>е се основават на финансовите пакети на разходните програми, определени в споразумението на Европейския съвет от юли 2020 г. Предвид значителното увеличаване на бюджета на някои програми, включени в политическото споразумение от ноември 2020 г., които са ч</w:t>
      </w:r>
      <w:r>
        <w:rPr>
          <w:noProof/>
        </w:rPr>
        <w:t>астично или изцяло делегирани на изпълнителни агенции („Еразъм“, „Хоризонт Европа“, EU4Health, „Творческа Европа, „Права и ценности“), делегираният бюджет и предложеният персонал на съответните агенции ще бъдат съответно увеличени. Това обаче няма да засег</w:t>
      </w:r>
      <w:r>
        <w:rPr>
          <w:noProof/>
        </w:rPr>
        <w:t xml:space="preserve">не предложеното разпределение на програмите между изпълнителните агенции. </w:t>
      </w:r>
    </w:p>
    <w:p w:rsidR="00763157" w:rsidRDefault="00E45FF1">
      <w:pPr>
        <w:spacing w:before="120" w:after="120"/>
        <w:jc w:val="both"/>
        <w:rPr>
          <w:noProof/>
        </w:rPr>
      </w:pPr>
      <w:r>
        <w:rPr>
          <w:noProof/>
        </w:rPr>
        <w:t xml:space="preserve">В това отношение Комисията възнамерява да запази същия брой изпълнителни агенции. Тя предлага обаче да бъдат променени портфейлите на агенциите, за да се създадат повече синергии и </w:t>
      </w:r>
      <w:r>
        <w:rPr>
          <w:noProof/>
        </w:rPr>
        <w:t xml:space="preserve">икономии и да се избегне разделянето на програми или подпрограми между агенциите. Вследствие на това се предлага дейностите на Изпълнителната агенция за потребителите, здравеопазването и храните (CHAFEA), която се намира в Люксембург, да се </w:t>
      </w:r>
      <w:r>
        <w:rPr>
          <w:noProof/>
        </w:rPr>
        <w:lastRenderedPageBreak/>
        <w:t>прехвърлят на а</w:t>
      </w:r>
      <w:r>
        <w:rPr>
          <w:noProof/>
        </w:rPr>
        <w:t>генциите в Брюксел, като същевременно се създаде нова агенция в Брюксел. Предлага се също имената на агенциите да се адаптират към бъдещите им портфейли:</w:t>
      </w:r>
    </w:p>
    <w:p w:rsidR="00763157" w:rsidRDefault="00E45FF1">
      <w:pPr>
        <w:numPr>
          <w:ilvl w:val="0"/>
          <w:numId w:val="30"/>
        </w:numPr>
        <w:spacing w:before="120" w:after="120"/>
        <w:jc w:val="both"/>
        <w:rPr>
          <w:noProof/>
        </w:rPr>
      </w:pPr>
      <w:r>
        <w:rPr>
          <w:noProof/>
        </w:rPr>
        <w:t>Изпълнителна агенция на Европейския научноизследователски съвет (ERCEA);</w:t>
      </w:r>
    </w:p>
    <w:p w:rsidR="00763157" w:rsidRDefault="00E45FF1">
      <w:pPr>
        <w:numPr>
          <w:ilvl w:val="0"/>
          <w:numId w:val="30"/>
        </w:numPr>
        <w:spacing w:before="120" w:after="120"/>
        <w:jc w:val="both"/>
        <w:rPr>
          <w:noProof/>
        </w:rPr>
      </w:pPr>
      <w:r>
        <w:rPr>
          <w:noProof/>
        </w:rPr>
        <w:t>Европейска изпълнителна агенц</w:t>
      </w:r>
      <w:r>
        <w:rPr>
          <w:noProof/>
        </w:rPr>
        <w:t>ия за научни изследвания (бившата Изпълнителна агенция за научни изследвания (REA);</w:t>
      </w:r>
    </w:p>
    <w:p w:rsidR="00763157" w:rsidRDefault="00E45FF1">
      <w:pPr>
        <w:numPr>
          <w:ilvl w:val="0"/>
          <w:numId w:val="30"/>
        </w:numPr>
        <w:spacing w:before="120" w:after="120"/>
        <w:jc w:val="both"/>
        <w:rPr>
          <w:noProof/>
        </w:rPr>
      </w:pPr>
      <w:r>
        <w:rPr>
          <w:noProof/>
        </w:rPr>
        <w:t>Европейска изпълнителна агенция за здравеопазването и цифровизацията (нова агенция);</w:t>
      </w:r>
    </w:p>
    <w:p w:rsidR="00763157" w:rsidRDefault="00E45FF1">
      <w:pPr>
        <w:numPr>
          <w:ilvl w:val="0"/>
          <w:numId w:val="30"/>
        </w:numPr>
        <w:spacing w:before="120" w:after="120"/>
        <w:jc w:val="both"/>
        <w:rPr>
          <w:noProof/>
        </w:rPr>
      </w:pPr>
      <w:r>
        <w:rPr>
          <w:noProof/>
        </w:rPr>
        <w:t xml:space="preserve">Европейска изпълнителна агенция за климата, инфраструктурата и околната среда (бившата </w:t>
      </w:r>
      <w:r>
        <w:rPr>
          <w:noProof/>
        </w:rPr>
        <w:t>Изпълнителна агенция за иновации и мрежи (INEA);</w:t>
      </w:r>
    </w:p>
    <w:p w:rsidR="00763157" w:rsidRDefault="00E45FF1">
      <w:pPr>
        <w:numPr>
          <w:ilvl w:val="0"/>
          <w:numId w:val="30"/>
        </w:numPr>
        <w:spacing w:before="120" w:after="120"/>
        <w:jc w:val="both"/>
        <w:rPr>
          <w:noProof/>
        </w:rPr>
      </w:pPr>
      <w:r>
        <w:rPr>
          <w:noProof/>
        </w:rPr>
        <w:t>Европейска изпълнителна агенция за образование и култура (бившата Изпълнителна агенция за образование, аудио-визия и култура (EACEA);</w:t>
      </w:r>
    </w:p>
    <w:p w:rsidR="00763157" w:rsidRDefault="00E45FF1">
      <w:pPr>
        <w:numPr>
          <w:ilvl w:val="0"/>
          <w:numId w:val="30"/>
        </w:numPr>
        <w:spacing w:before="120" w:after="120"/>
        <w:jc w:val="both"/>
        <w:rPr>
          <w:noProof/>
        </w:rPr>
      </w:pPr>
      <w:r>
        <w:rPr>
          <w:noProof/>
        </w:rPr>
        <w:t>Изпълнителна агенция за Европейския съвет по иновациите и за МСП (бившата</w:t>
      </w:r>
      <w:r>
        <w:rPr>
          <w:noProof/>
        </w:rPr>
        <w:t xml:space="preserve"> Изпълнителна агенция за малките и средните предприятия (EASME).</w:t>
      </w:r>
    </w:p>
    <w:p w:rsidR="00763157" w:rsidRDefault="00E45FF1">
      <w:pPr>
        <w:spacing w:before="120" w:after="120"/>
        <w:jc w:val="both"/>
        <w:rPr>
          <w:rFonts w:eastAsia="Calibri"/>
          <w:bCs/>
          <w:noProof/>
          <w:szCs w:val="32"/>
        </w:rPr>
      </w:pPr>
      <w:r>
        <w:rPr>
          <w:noProof/>
        </w:rPr>
        <w:t>При наличие на положително становище от страна на КИА и при условие че нито Европейският парламент, нито Съветът са повдигнали възражения и че законодателният орган приеме навреме основните а</w:t>
      </w:r>
      <w:r>
        <w:rPr>
          <w:noProof/>
        </w:rPr>
        <w:t>ктове за програмите за периода 2021—2027 г., Комисията възнамерява да приеме проекта на предложение възможно най-скоро, за да може новото поколение изпълнителни агенции да изпълнява новите програми на Съюза.</w:t>
      </w:r>
    </w:p>
    <w:p w:rsidR="00763157" w:rsidRDefault="00E45FF1">
      <w:pPr>
        <w:keepNext/>
        <w:tabs>
          <w:tab w:val="left" w:pos="850"/>
        </w:tabs>
        <w:spacing w:before="360" w:after="120"/>
        <w:ind w:left="720" w:hanging="720"/>
        <w:jc w:val="both"/>
        <w:outlineLvl w:val="1"/>
        <w:rPr>
          <w:rFonts w:eastAsia="Calibri"/>
          <w:b/>
          <w:noProof/>
        </w:rPr>
      </w:pPr>
      <w:bookmarkStart w:id="109" w:name="_Toc54770323"/>
      <w:bookmarkStart w:id="110" w:name="_Toc55807133"/>
      <w:bookmarkStart w:id="111" w:name="_Toc56247310"/>
      <w:r>
        <w:rPr>
          <w:b/>
          <w:noProof/>
        </w:rPr>
        <w:t xml:space="preserve">5.2 </w:t>
      </w:r>
      <w:r>
        <w:rPr>
          <w:b/>
          <w:noProof/>
        </w:rPr>
        <w:tab/>
        <w:t>Предложено равнище на бюджетните кредити за</w:t>
      </w:r>
      <w:r>
        <w:rPr>
          <w:b/>
          <w:noProof/>
        </w:rPr>
        <w:t xml:space="preserve"> оперативни разходи за периода 2021—2027 г., които ще бъдат делегирани</w:t>
      </w:r>
      <w:bookmarkEnd w:id="109"/>
      <w:bookmarkEnd w:id="110"/>
      <w:bookmarkEnd w:id="111"/>
    </w:p>
    <w:p w:rsidR="00763157" w:rsidRDefault="00E45FF1">
      <w:pPr>
        <w:spacing w:before="120" w:after="120"/>
        <w:jc w:val="both"/>
        <w:rPr>
          <w:noProof/>
        </w:rPr>
      </w:pPr>
      <w:r>
        <w:rPr>
          <w:noProof/>
        </w:rPr>
        <w:t>В обзорната таблица по-долу се сравняват за всяка агенция общото равнище на бюджетните кредити за оперативни разходи, управлявани от агенциите, в настоящата и бъдещата МФР с броя на чов</w:t>
      </w:r>
      <w:r>
        <w:rPr>
          <w:noProof/>
        </w:rPr>
        <w:t>ешките ресурси (еквиваленти на пълно работно време — ЕПРВ) и съответната субсидия за покриване на текущите разходи на агенциите.</w:t>
      </w:r>
    </w:p>
    <w:tbl>
      <w:tblPr>
        <w:tblW w:w="9955" w:type="dxa"/>
        <w:tblInd w:w="113" w:type="dxa"/>
        <w:tblLook w:val="04A0" w:firstRow="1" w:lastRow="0" w:firstColumn="1" w:lastColumn="0" w:noHBand="0" w:noVBand="1"/>
      </w:tblPr>
      <w:tblGrid>
        <w:gridCol w:w="3639"/>
        <w:gridCol w:w="1501"/>
        <w:gridCol w:w="1703"/>
        <w:gridCol w:w="1409"/>
        <w:gridCol w:w="1703"/>
      </w:tblGrid>
      <w:tr w:rsidR="00763157">
        <w:trPr>
          <w:trHeight w:val="300"/>
          <w:tblHeader/>
        </w:trPr>
        <w:tc>
          <w:tcPr>
            <w:tcW w:w="4315" w:type="dxa"/>
            <w:tcBorders>
              <w:top w:val="single" w:sz="4" w:space="0" w:color="auto"/>
              <w:left w:val="single" w:sz="4" w:space="0" w:color="auto"/>
              <w:bottom w:val="single" w:sz="8" w:space="0" w:color="auto"/>
              <w:right w:val="single" w:sz="8" w:space="0" w:color="auto"/>
            </w:tcBorders>
            <w:shd w:val="clear" w:color="000000" w:fill="D9D9D9"/>
            <w:vAlign w:val="center"/>
            <w:hideMark/>
          </w:tcPr>
          <w:p w:rsidR="00763157" w:rsidRDefault="00E45FF1">
            <w:pPr>
              <w:jc w:val="center"/>
              <w:rPr>
                <w:b/>
                <w:bCs/>
                <w:noProof/>
                <w:color w:val="000000"/>
                <w:sz w:val="20"/>
                <w:szCs w:val="20"/>
              </w:rPr>
            </w:pPr>
            <w:r>
              <w:rPr>
                <w:b/>
                <w:bCs/>
                <w:noProof/>
                <w:color w:val="000000"/>
                <w:sz w:val="20"/>
                <w:szCs w:val="20"/>
              </w:rPr>
              <w:t>Изпълнителни агенции</w:t>
            </w:r>
          </w:p>
        </w:tc>
        <w:tc>
          <w:tcPr>
            <w:tcW w:w="1320" w:type="dxa"/>
            <w:tcBorders>
              <w:top w:val="single" w:sz="4" w:space="0" w:color="auto"/>
              <w:left w:val="nil"/>
              <w:bottom w:val="single" w:sz="8" w:space="0" w:color="auto"/>
              <w:right w:val="single" w:sz="8" w:space="0" w:color="auto"/>
            </w:tcBorders>
            <w:shd w:val="clear" w:color="000000" w:fill="D9D9D9"/>
            <w:vAlign w:val="center"/>
            <w:hideMark/>
          </w:tcPr>
          <w:p w:rsidR="00763157" w:rsidRDefault="00E45FF1">
            <w:pPr>
              <w:jc w:val="center"/>
              <w:rPr>
                <w:b/>
                <w:bCs/>
                <w:noProof/>
                <w:color w:val="000000"/>
                <w:sz w:val="20"/>
                <w:szCs w:val="20"/>
              </w:rPr>
            </w:pPr>
            <w:r>
              <w:rPr>
                <w:b/>
                <w:bCs/>
                <w:noProof/>
                <w:color w:val="000000"/>
                <w:sz w:val="20"/>
                <w:szCs w:val="20"/>
              </w:rPr>
              <w:t>Бюджет, управляван от всяка изпълнителна агенция, за периода 2014—2020 г. (милиарди евро)</w:t>
            </w:r>
          </w:p>
        </w:tc>
        <w:tc>
          <w:tcPr>
            <w:tcW w:w="1440" w:type="dxa"/>
            <w:tcBorders>
              <w:top w:val="single" w:sz="4" w:space="0" w:color="auto"/>
              <w:left w:val="nil"/>
              <w:bottom w:val="single" w:sz="8" w:space="0" w:color="auto"/>
              <w:right w:val="single" w:sz="8" w:space="0" w:color="auto"/>
            </w:tcBorders>
            <w:shd w:val="clear" w:color="000000" w:fill="D9D9D9"/>
            <w:vAlign w:val="center"/>
            <w:hideMark/>
          </w:tcPr>
          <w:p w:rsidR="00763157" w:rsidRDefault="00E45FF1">
            <w:pPr>
              <w:jc w:val="center"/>
              <w:rPr>
                <w:b/>
                <w:bCs/>
                <w:noProof/>
                <w:color w:val="000000"/>
                <w:sz w:val="20"/>
                <w:szCs w:val="20"/>
              </w:rPr>
            </w:pPr>
            <w:r>
              <w:rPr>
                <w:b/>
                <w:bCs/>
                <w:noProof/>
                <w:color w:val="000000"/>
                <w:sz w:val="20"/>
                <w:szCs w:val="20"/>
              </w:rPr>
              <w:t xml:space="preserve">ЕПРВ в </w:t>
            </w:r>
            <w:r>
              <w:rPr>
                <w:b/>
                <w:bCs/>
                <w:noProof/>
                <w:color w:val="000000"/>
                <w:sz w:val="20"/>
                <w:szCs w:val="20"/>
              </w:rPr>
              <w:t>изпълнителните агенции за 2020 г.</w:t>
            </w:r>
          </w:p>
        </w:tc>
        <w:tc>
          <w:tcPr>
            <w:tcW w:w="1440" w:type="dxa"/>
            <w:tcBorders>
              <w:top w:val="single" w:sz="4" w:space="0" w:color="auto"/>
              <w:left w:val="nil"/>
              <w:bottom w:val="single" w:sz="8" w:space="0" w:color="auto"/>
              <w:right w:val="single" w:sz="8" w:space="0" w:color="auto"/>
            </w:tcBorders>
            <w:shd w:val="clear" w:color="000000" w:fill="D9D9D9"/>
            <w:vAlign w:val="center"/>
            <w:hideMark/>
          </w:tcPr>
          <w:p w:rsidR="00763157" w:rsidRDefault="00E45FF1">
            <w:pPr>
              <w:jc w:val="center"/>
              <w:rPr>
                <w:b/>
                <w:bCs/>
                <w:noProof/>
                <w:color w:val="000000"/>
                <w:sz w:val="20"/>
                <w:szCs w:val="20"/>
              </w:rPr>
            </w:pPr>
            <w:r>
              <w:rPr>
                <w:b/>
                <w:bCs/>
                <w:noProof/>
                <w:color w:val="000000"/>
                <w:sz w:val="20"/>
                <w:szCs w:val="20"/>
              </w:rPr>
              <w:t>Бюджет, който ще бъде управляван, за периода 2021—2027 г. (милиарди евро, по цени от 2018 г.)</w:t>
            </w:r>
          </w:p>
        </w:tc>
        <w:tc>
          <w:tcPr>
            <w:tcW w:w="1440" w:type="dxa"/>
            <w:tcBorders>
              <w:top w:val="single" w:sz="4" w:space="0" w:color="auto"/>
              <w:left w:val="nil"/>
              <w:bottom w:val="single" w:sz="8" w:space="0" w:color="auto"/>
              <w:right w:val="single" w:sz="4" w:space="0" w:color="auto"/>
            </w:tcBorders>
            <w:shd w:val="clear" w:color="000000" w:fill="D9D9D9"/>
            <w:vAlign w:val="center"/>
            <w:hideMark/>
          </w:tcPr>
          <w:p w:rsidR="00763157" w:rsidRDefault="00E45FF1">
            <w:pPr>
              <w:jc w:val="center"/>
              <w:rPr>
                <w:b/>
                <w:bCs/>
                <w:noProof/>
                <w:color w:val="000000"/>
                <w:sz w:val="20"/>
                <w:szCs w:val="20"/>
              </w:rPr>
            </w:pPr>
            <w:r>
              <w:rPr>
                <w:b/>
                <w:bCs/>
                <w:noProof/>
                <w:color w:val="000000"/>
                <w:sz w:val="20"/>
                <w:szCs w:val="20"/>
              </w:rPr>
              <w:t>Предвидени ЕПРВ в изпълнителните агенции за 2027 г.</w:t>
            </w:r>
          </w:p>
        </w:tc>
      </w:tr>
      <w:tr w:rsidR="00763157">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63157" w:rsidRDefault="00E45FF1">
            <w:pPr>
              <w:jc w:val="both"/>
              <w:rPr>
                <w:noProof/>
                <w:color w:val="000000"/>
                <w:sz w:val="20"/>
                <w:szCs w:val="20"/>
              </w:rPr>
            </w:pPr>
            <w:r>
              <w:rPr>
                <w:noProof/>
                <w:color w:val="000000"/>
                <w:sz w:val="20"/>
                <w:szCs w:val="20"/>
              </w:rPr>
              <w:t xml:space="preserve">Изпълнителна агенция на Европейския научноизследователски съвет (бившата </w:t>
            </w:r>
            <w:r>
              <w:rPr>
                <w:noProof/>
                <w:color w:val="000000"/>
                <w:sz w:val="20"/>
                <w:szCs w:val="20"/>
              </w:rPr>
              <w:t>ERCEA)</w:t>
            </w:r>
          </w:p>
        </w:tc>
        <w:tc>
          <w:tcPr>
            <w:tcW w:w="132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13</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529</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12,3</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457</w:t>
            </w:r>
          </w:p>
        </w:tc>
      </w:tr>
      <w:tr w:rsidR="00763157">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63157" w:rsidRDefault="00E45FF1">
            <w:pPr>
              <w:jc w:val="both"/>
              <w:rPr>
                <w:noProof/>
                <w:color w:val="000000"/>
                <w:sz w:val="20"/>
                <w:szCs w:val="20"/>
              </w:rPr>
            </w:pPr>
            <w:r>
              <w:rPr>
                <w:noProof/>
                <w:color w:val="000000"/>
                <w:sz w:val="20"/>
                <w:szCs w:val="20"/>
              </w:rPr>
              <w:t>Европейска изпълнителна агенция за научни изследвания (бившата REA)</w:t>
            </w:r>
          </w:p>
        </w:tc>
        <w:tc>
          <w:tcPr>
            <w:tcW w:w="132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13</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785</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18,2</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877</w:t>
            </w:r>
          </w:p>
        </w:tc>
      </w:tr>
      <w:tr w:rsidR="00763157">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63157" w:rsidRDefault="00E45FF1">
            <w:pPr>
              <w:jc w:val="both"/>
              <w:rPr>
                <w:noProof/>
                <w:color w:val="000000"/>
                <w:sz w:val="20"/>
                <w:szCs w:val="20"/>
              </w:rPr>
            </w:pPr>
            <w:r>
              <w:rPr>
                <w:noProof/>
                <w:color w:val="000000"/>
                <w:sz w:val="20"/>
                <w:szCs w:val="20"/>
              </w:rPr>
              <w:t>Европейска изпълнителна агенция за здравеопазването и цифровизацията (нова)</w:t>
            </w:r>
          </w:p>
        </w:tc>
        <w:tc>
          <w:tcPr>
            <w:tcW w:w="132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13,2</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404</w:t>
            </w:r>
          </w:p>
        </w:tc>
      </w:tr>
      <w:tr w:rsidR="00763157">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63157" w:rsidRDefault="00E45FF1">
            <w:pPr>
              <w:jc w:val="both"/>
              <w:rPr>
                <w:noProof/>
                <w:color w:val="000000"/>
                <w:sz w:val="20"/>
                <w:szCs w:val="20"/>
              </w:rPr>
            </w:pPr>
            <w:r>
              <w:rPr>
                <w:noProof/>
                <w:color w:val="000000"/>
                <w:sz w:val="20"/>
                <w:szCs w:val="20"/>
              </w:rPr>
              <w:t xml:space="preserve">Европейска изпълнителна агенция за климата, </w:t>
            </w:r>
            <w:r>
              <w:rPr>
                <w:noProof/>
                <w:color w:val="000000"/>
                <w:sz w:val="20"/>
                <w:szCs w:val="20"/>
              </w:rPr>
              <w:t>инфраструктурата и околната среда (бивша INEA)</w:t>
            </w:r>
          </w:p>
        </w:tc>
        <w:tc>
          <w:tcPr>
            <w:tcW w:w="132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34</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313</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39,1</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474</w:t>
            </w:r>
          </w:p>
        </w:tc>
      </w:tr>
      <w:tr w:rsidR="00763157">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63157" w:rsidRDefault="00E45FF1">
            <w:pPr>
              <w:jc w:val="both"/>
              <w:rPr>
                <w:noProof/>
                <w:color w:val="000000"/>
                <w:sz w:val="20"/>
                <w:szCs w:val="20"/>
              </w:rPr>
            </w:pPr>
            <w:r>
              <w:rPr>
                <w:noProof/>
                <w:color w:val="000000"/>
                <w:sz w:val="20"/>
                <w:szCs w:val="20"/>
              </w:rPr>
              <w:t>Европейска изпълнителна агенция за образование и култура (бившата EACEA)</w:t>
            </w:r>
          </w:p>
        </w:tc>
        <w:tc>
          <w:tcPr>
            <w:tcW w:w="132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5</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438</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6,5</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501</w:t>
            </w:r>
          </w:p>
        </w:tc>
      </w:tr>
      <w:tr w:rsidR="00763157">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63157" w:rsidRDefault="00E45FF1">
            <w:pPr>
              <w:jc w:val="both"/>
              <w:rPr>
                <w:noProof/>
                <w:color w:val="000000"/>
                <w:sz w:val="20"/>
                <w:szCs w:val="20"/>
              </w:rPr>
            </w:pPr>
            <w:r>
              <w:rPr>
                <w:noProof/>
                <w:color w:val="000000"/>
                <w:sz w:val="20"/>
                <w:szCs w:val="20"/>
              </w:rPr>
              <w:t>Изпълнителна агенция за Европейския съвет по иновациите и за МСП (бившата EASME)</w:t>
            </w:r>
          </w:p>
        </w:tc>
        <w:tc>
          <w:tcPr>
            <w:tcW w:w="132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10</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506</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9,2</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328</w:t>
            </w:r>
          </w:p>
        </w:tc>
      </w:tr>
      <w:tr w:rsidR="00763157">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763157" w:rsidRDefault="00E45FF1">
            <w:pPr>
              <w:jc w:val="both"/>
              <w:rPr>
                <w:noProof/>
                <w:color w:val="000000"/>
                <w:sz w:val="20"/>
                <w:szCs w:val="20"/>
              </w:rPr>
            </w:pPr>
            <w:r>
              <w:rPr>
                <w:noProof/>
                <w:sz w:val="20"/>
                <w:szCs w:val="20"/>
              </w:rPr>
              <w:t>Изпълнителна агенция за потребителите, здравеопазването и храните (CHAFEA)</w:t>
            </w:r>
          </w:p>
        </w:tc>
        <w:tc>
          <w:tcPr>
            <w:tcW w:w="132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79</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rsidR="00763157" w:rsidRDefault="00E45FF1">
            <w:pPr>
              <w:jc w:val="right"/>
              <w:rPr>
                <w:noProof/>
                <w:color w:val="000000"/>
                <w:sz w:val="20"/>
                <w:szCs w:val="20"/>
              </w:rPr>
            </w:pPr>
            <w:r>
              <w:rPr>
                <w:noProof/>
                <w:color w:val="000000"/>
                <w:sz w:val="20"/>
                <w:szCs w:val="20"/>
              </w:rPr>
              <w:t xml:space="preserve"> - </w:t>
            </w:r>
          </w:p>
        </w:tc>
      </w:tr>
      <w:tr w:rsidR="00763157">
        <w:trPr>
          <w:trHeight w:val="300"/>
        </w:trPr>
        <w:tc>
          <w:tcPr>
            <w:tcW w:w="4315" w:type="dxa"/>
            <w:tcBorders>
              <w:top w:val="nil"/>
              <w:left w:val="single" w:sz="8" w:space="0" w:color="auto"/>
              <w:bottom w:val="single" w:sz="8" w:space="0" w:color="auto"/>
              <w:right w:val="nil"/>
            </w:tcBorders>
            <w:shd w:val="clear" w:color="000000" w:fill="D9D9D9"/>
            <w:vAlign w:val="center"/>
            <w:hideMark/>
          </w:tcPr>
          <w:p w:rsidR="00763157" w:rsidRDefault="00E45FF1">
            <w:pPr>
              <w:jc w:val="both"/>
              <w:rPr>
                <w:b/>
                <w:bCs/>
                <w:noProof/>
                <w:color w:val="000000"/>
                <w:sz w:val="20"/>
                <w:szCs w:val="20"/>
              </w:rPr>
            </w:pPr>
            <w:r>
              <w:rPr>
                <w:b/>
                <w:bCs/>
                <w:noProof/>
                <w:color w:val="000000"/>
                <w:sz w:val="20"/>
                <w:szCs w:val="20"/>
              </w:rPr>
              <w:t>Общо</w:t>
            </w:r>
          </w:p>
        </w:tc>
        <w:tc>
          <w:tcPr>
            <w:tcW w:w="1320" w:type="dxa"/>
            <w:tcBorders>
              <w:top w:val="nil"/>
              <w:left w:val="single" w:sz="8" w:space="0" w:color="auto"/>
              <w:bottom w:val="single" w:sz="8" w:space="0" w:color="auto"/>
              <w:right w:val="single" w:sz="8" w:space="0" w:color="auto"/>
            </w:tcBorders>
            <w:shd w:val="clear" w:color="000000" w:fill="D9D9D9"/>
            <w:vAlign w:val="center"/>
            <w:hideMark/>
          </w:tcPr>
          <w:p w:rsidR="00763157" w:rsidRDefault="00E45FF1">
            <w:pPr>
              <w:jc w:val="right"/>
              <w:rPr>
                <w:b/>
                <w:bCs/>
                <w:noProof/>
                <w:color w:val="000000"/>
                <w:sz w:val="20"/>
                <w:szCs w:val="20"/>
              </w:rPr>
            </w:pPr>
            <w:r>
              <w:rPr>
                <w:b/>
                <w:bCs/>
                <w:noProof/>
                <w:color w:val="000000"/>
                <w:sz w:val="20"/>
                <w:szCs w:val="20"/>
              </w:rPr>
              <w:t>75</w:t>
            </w:r>
          </w:p>
        </w:tc>
        <w:tc>
          <w:tcPr>
            <w:tcW w:w="1440" w:type="dxa"/>
            <w:tcBorders>
              <w:top w:val="nil"/>
              <w:left w:val="nil"/>
              <w:bottom w:val="single" w:sz="8" w:space="0" w:color="auto"/>
              <w:right w:val="single" w:sz="8" w:space="0" w:color="auto"/>
            </w:tcBorders>
            <w:shd w:val="clear" w:color="000000" w:fill="D9D9D9"/>
            <w:vAlign w:val="center"/>
            <w:hideMark/>
          </w:tcPr>
          <w:p w:rsidR="00763157" w:rsidRDefault="00E45FF1">
            <w:pPr>
              <w:jc w:val="right"/>
              <w:rPr>
                <w:b/>
                <w:bCs/>
                <w:noProof/>
                <w:color w:val="000000"/>
                <w:sz w:val="20"/>
                <w:szCs w:val="20"/>
              </w:rPr>
            </w:pPr>
            <w:r>
              <w:rPr>
                <w:b/>
                <w:bCs/>
                <w:noProof/>
                <w:color w:val="000000"/>
                <w:sz w:val="20"/>
                <w:szCs w:val="20"/>
              </w:rPr>
              <w:t>2 650</w:t>
            </w:r>
          </w:p>
        </w:tc>
        <w:tc>
          <w:tcPr>
            <w:tcW w:w="1440" w:type="dxa"/>
            <w:tcBorders>
              <w:top w:val="nil"/>
              <w:left w:val="nil"/>
              <w:bottom w:val="single" w:sz="8" w:space="0" w:color="auto"/>
              <w:right w:val="single" w:sz="8" w:space="0" w:color="auto"/>
            </w:tcBorders>
            <w:shd w:val="clear" w:color="000000" w:fill="D9D9D9"/>
            <w:vAlign w:val="center"/>
            <w:hideMark/>
          </w:tcPr>
          <w:p w:rsidR="00763157" w:rsidRDefault="00E45FF1">
            <w:pPr>
              <w:jc w:val="right"/>
              <w:rPr>
                <w:b/>
                <w:bCs/>
                <w:noProof/>
                <w:color w:val="000000"/>
                <w:sz w:val="20"/>
                <w:szCs w:val="20"/>
              </w:rPr>
            </w:pPr>
            <w:r>
              <w:rPr>
                <w:b/>
                <w:bCs/>
                <w:noProof/>
                <w:color w:val="000000"/>
                <w:sz w:val="20"/>
                <w:szCs w:val="20"/>
              </w:rPr>
              <w:t>98,4</w:t>
            </w:r>
          </w:p>
        </w:tc>
        <w:tc>
          <w:tcPr>
            <w:tcW w:w="1440" w:type="dxa"/>
            <w:tcBorders>
              <w:top w:val="nil"/>
              <w:left w:val="nil"/>
              <w:bottom w:val="single" w:sz="8" w:space="0" w:color="auto"/>
              <w:right w:val="single" w:sz="8" w:space="0" w:color="auto"/>
            </w:tcBorders>
            <w:shd w:val="clear" w:color="000000" w:fill="D9D9D9"/>
            <w:vAlign w:val="center"/>
            <w:hideMark/>
          </w:tcPr>
          <w:p w:rsidR="00763157" w:rsidRDefault="00E45FF1">
            <w:pPr>
              <w:jc w:val="right"/>
              <w:rPr>
                <w:b/>
                <w:bCs/>
                <w:noProof/>
                <w:color w:val="000000"/>
                <w:sz w:val="20"/>
                <w:szCs w:val="20"/>
              </w:rPr>
            </w:pPr>
            <w:r>
              <w:rPr>
                <w:b/>
                <w:bCs/>
                <w:noProof/>
                <w:color w:val="000000"/>
                <w:sz w:val="20"/>
                <w:szCs w:val="20"/>
              </w:rPr>
              <w:t>3 041</w:t>
            </w:r>
          </w:p>
        </w:tc>
      </w:tr>
    </w:tbl>
    <w:p w:rsidR="00763157" w:rsidRDefault="00E45FF1">
      <w:pPr>
        <w:keepNext/>
        <w:tabs>
          <w:tab w:val="left" w:pos="850"/>
        </w:tabs>
        <w:spacing w:before="120" w:after="120"/>
        <w:ind w:left="720" w:hanging="720"/>
        <w:jc w:val="both"/>
        <w:outlineLvl w:val="1"/>
        <w:rPr>
          <w:rFonts w:eastAsia="Calibri"/>
          <w:b/>
          <w:noProof/>
        </w:rPr>
      </w:pPr>
      <w:bookmarkStart w:id="112" w:name="_Toc54770324"/>
      <w:bookmarkStart w:id="113" w:name="_Toc55807134"/>
      <w:bookmarkStart w:id="114" w:name="_Toc56247311"/>
      <w:r>
        <w:rPr>
          <w:b/>
          <w:noProof/>
        </w:rPr>
        <w:lastRenderedPageBreak/>
        <w:t xml:space="preserve">5.3 </w:t>
      </w:r>
      <w:r>
        <w:rPr>
          <w:b/>
          <w:noProof/>
        </w:rPr>
        <w:tab/>
      </w:r>
      <w:bookmarkStart w:id="115" w:name="_Toc369629643"/>
      <w:r>
        <w:rPr>
          <w:b/>
          <w:noProof/>
        </w:rPr>
        <w:t>Отражение върху човешките и финансовите ресурси в изпълнителните агенции</w:t>
      </w:r>
      <w:bookmarkEnd w:id="115"/>
      <w:r>
        <w:rPr>
          <w:b/>
          <w:noProof/>
        </w:rPr>
        <w:t xml:space="preserve"> през 2021 г.</w:t>
      </w:r>
      <w:bookmarkEnd w:id="112"/>
      <w:bookmarkEnd w:id="113"/>
      <w:bookmarkEnd w:id="114"/>
    </w:p>
    <w:p w:rsidR="00763157" w:rsidRDefault="00E45FF1">
      <w:pPr>
        <w:spacing w:before="120" w:after="120"/>
        <w:jc w:val="both"/>
        <w:rPr>
          <w:noProof/>
        </w:rPr>
      </w:pPr>
      <w:r>
        <w:rPr>
          <w:noProof/>
        </w:rPr>
        <w:t xml:space="preserve">Отражението на делегираните гласувани бюджетни </w:t>
      </w:r>
      <w:r>
        <w:rPr>
          <w:noProof/>
        </w:rPr>
        <w:t>кредити</w:t>
      </w:r>
      <w:r>
        <w:rPr>
          <w:rStyle w:val="FootnoteReference"/>
          <w:noProof/>
        </w:rPr>
        <w:footnoteReference w:id="25"/>
      </w:r>
      <w:r>
        <w:rPr>
          <w:noProof/>
        </w:rPr>
        <w:t xml:space="preserve"> върху редовете за субсидии на изпълнителните агенции и ЕПРВ през 2021 г. е обобщено в таблицата по-долу.</w:t>
      </w:r>
    </w:p>
    <w:tbl>
      <w:tblPr>
        <w:tblW w:w="9861" w:type="dxa"/>
        <w:jc w:val="center"/>
        <w:tblLook w:val="04A0" w:firstRow="1" w:lastRow="0" w:firstColumn="1" w:lastColumn="0" w:noHBand="0" w:noVBand="1"/>
      </w:tblPr>
      <w:tblGrid>
        <w:gridCol w:w="1844"/>
        <w:gridCol w:w="655"/>
        <w:gridCol w:w="920"/>
        <w:gridCol w:w="656"/>
        <w:gridCol w:w="920"/>
        <w:gridCol w:w="656"/>
        <w:gridCol w:w="920"/>
        <w:gridCol w:w="656"/>
        <w:gridCol w:w="920"/>
        <w:gridCol w:w="967"/>
        <w:gridCol w:w="967"/>
      </w:tblGrid>
      <w:tr w:rsidR="00763157">
        <w:trPr>
          <w:trHeight w:val="300"/>
          <w:tblHeader/>
          <w:jc w:val="center"/>
        </w:trPr>
        <w:tc>
          <w:tcPr>
            <w:tcW w:w="21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Изпълнителна агенция</w:t>
            </w:r>
          </w:p>
        </w:tc>
        <w:tc>
          <w:tcPr>
            <w:tcW w:w="1553" w:type="dxa"/>
            <w:gridSpan w:val="2"/>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Бюджет за 2020 г.</w:t>
            </w:r>
          </w:p>
        </w:tc>
        <w:tc>
          <w:tcPr>
            <w:tcW w:w="1440" w:type="dxa"/>
            <w:gridSpan w:val="2"/>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 xml:space="preserve"> ПБ за 2021 г.</w:t>
            </w:r>
          </w:p>
        </w:tc>
        <w:tc>
          <w:tcPr>
            <w:tcW w:w="1558" w:type="dxa"/>
            <w:gridSpan w:val="2"/>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ПВК 1/2021</w:t>
            </w:r>
          </w:p>
        </w:tc>
        <w:tc>
          <w:tcPr>
            <w:tcW w:w="3155" w:type="dxa"/>
            <w:gridSpan w:val="4"/>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ПБ за 2021 г. (вкл. ПВК 1)</w:t>
            </w:r>
          </w:p>
        </w:tc>
      </w:tr>
      <w:tr w:rsidR="00763157">
        <w:trPr>
          <w:trHeight w:val="300"/>
          <w:tblHeader/>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763157" w:rsidRDefault="00763157">
            <w:pPr>
              <w:rPr>
                <w:b/>
                <w:bCs/>
                <w:noProof/>
                <w:color w:val="000000"/>
                <w:sz w:val="18"/>
                <w:szCs w:val="18"/>
              </w:rPr>
            </w:pPr>
          </w:p>
        </w:tc>
        <w:tc>
          <w:tcPr>
            <w:tcW w:w="700"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ЕПРВ</w:t>
            </w:r>
          </w:p>
        </w:tc>
        <w:tc>
          <w:tcPr>
            <w:tcW w:w="853"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Субсидия за ИА</w:t>
            </w:r>
          </w:p>
        </w:tc>
        <w:tc>
          <w:tcPr>
            <w:tcW w:w="643"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ЕПРВ</w:t>
            </w:r>
          </w:p>
        </w:tc>
        <w:tc>
          <w:tcPr>
            <w:tcW w:w="797"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Субсидия за ИА</w:t>
            </w:r>
          </w:p>
        </w:tc>
        <w:tc>
          <w:tcPr>
            <w:tcW w:w="757"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ЕПРВ</w:t>
            </w:r>
          </w:p>
        </w:tc>
        <w:tc>
          <w:tcPr>
            <w:tcW w:w="801"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Субсидия за ИА</w:t>
            </w:r>
          </w:p>
        </w:tc>
        <w:tc>
          <w:tcPr>
            <w:tcW w:w="632"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 xml:space="preserve">ЕПРВ </w:t>
            </w:r>
          </w:p>
        </w:tc>
        <w:tc>
          <w:tcPr>
            <w:tcW w:w="801"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 xml:space="preserve">Субсидия за ИА </w:t>
            </w:r>
          </w:p>
        </w:tc>
        <w:tc>
          <w:tcPr>
            <w:tcW w:w="861"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 xml:space="preserve">Δ ЕПРВ в сравнение с 2020 г. </w:t>
            </w:r>
          </w:p>
        </w:tc>
        <w:tc>
          <w:tcPr>
            <w:tcW w:w="861"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8"/>
                <w:szCs w:val="18"/>
              </w:rPr>
            </w:pPr>
            <w:r>
              <w:rPr>
                <w:b/>
                <w:bCs/>
                <w:noProof/>
                <w:color w:val="000000"/>
                <w:sz w:val="18"/>
                <w:szCs w:val="18"/>
              </w:rPr>
              <w:t xml:space="preserve">Δ субсидия за ИА в сравнение с 2020 г. </w:t>
            </w:r>
          </w:p>
        </w:tc>
      </w:tr>
      <w:tr w:rsidR="00763157">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18"/>
                <w:szCs w:val="18"/>
              </w:rPr>
            </w:pPr>
            <w:r>
              <w:rPr>
                <w:noProof/>
                <w:color w:val="000000"/>
                <w:sz w:val="18"/>
                <w:szCs w:val="18"/>
              </w:rPr>
              <w:t>Изпълнителна агенция на Европейския научноизследователски съвет (бившата ERCEA)</w:t>
            </w:r>
          </w:p>
        </w:tc>
        <w:tc>
          <w:tcPr>
            <w:tcW w:w="700"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529</w:t>
            </w:r>
          </w:p>
        </w:tc>
        <w:tc>
          <w:tcPr>
            <w:tcW w:w="85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51,319</w:t>
            </w:r>
          </w:p>
        </w:tc>
        <w:tc>
          <w:tcPr>
            <w:tcW w:w="64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529</w:t>
            </w:r>
          </w:p>
        </w:tc>
        <w:tc>
          <w:tcPr>
            <w:tcW w:w="79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-10</w:t>
            </w:r>
          </w:p>
        </w:tc>
        <w:tc>
          <w:tcPr>
            <w:tcW w:w="801"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53,915</w:t>
            </w:r>
          </w:p>
        </w:tc>
        <w:tc>
          <w:tcPr>
            <w:tcW w:w="63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519</w:t>
            </w:r>
          </w:p>
        </w:tc>
        <w:tc>
          <w:tcPr>
            <w:tcW w:w="80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53,915</w:t>
            </w:r>
          </w:p>
        </w:tc>
        <w:tc>
          <w:tcPr>
            <w:tcW w:w="861"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18"/>
                <w:szCs w:val="18"/>
              </w:rPr>
            </w:pPr>
            <w:r>
              <w:rPr>
                <w:noProof/>
                <w:color w:val="000000"/>
                <w:sz w:val="18"/>
                <w:szCs w:val="18"/>
              </w:rPr>
              <w:t>-1,89 %</w:t>
            </w:r>
          </w:p>
        </w:tc>
        <w:tc>
          <w:tcPr>
            <w:tcW w:w="86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5,06 %</w:t>
            </w:r>
          </w:p>
        </w:tc>
      </w:tr>
      <w:tr w:rsidR="00763157">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18"/>
                <w:szCs w:val="18"/>
              </w:rPr>
            </w:pPr>
            <w:hyperlink r:id="rId28" w:anchor="Sheet1!#REF!" w:history="1">
              <w:r>
                <w:rPr>
                  <w:noProof/>
                  <w:color w:val="000000"/>
                  <w:sz w:val="18"/>
                  <w:szCs w:val="18"/>
                </w:rPr>
                <w:t>Европейска изпълнителна агенция за научни изследвания (бившата REA)</w:t>
              </w:r>
            </w:hyperlink>
          </w:p>
        </w:tc>
        <w:tc>
          <w:tcPr>
            <w:tcW w:w="700"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785</w:t>
            </w:r>
          </w:p>
        </w:tc>
        <w:tc>
          <w:tcPr>
            <w:tcW w:w="85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75,749</w:t>
            </w:r>
          </w:p>
        </w:tc>
        <w:tc>
          <w:tcPr>
            <w:tcW w:w="64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785</w:t>
            </w:r>
          </w:p>
        </w:tc>
        <w:tc>
          <w:tcPr>
            <w:tcW w:w="79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49</w:t>
            </w:r>
          </w:p>
        </w:tc>
        <w:tc>
          <w:tcPr>
            <w:tcW w:w="801"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91,592</w:t>
            </w:r>
          </w:p>
        </w:tc>
        <w:tc>
          <w:tcPr>
            <w:tcW w:w="63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834</w:t>
            </w:r>
          </w:p>
        </w:tc>
        <w:tc>
          <w:tcPr>
            <w:tcW w:w="80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91,592</w:t>
            </w:r>
          </w:p>
        </w:tc>
        <w:tc>
          <w:tcPr>
            <w:tcW w:w="861"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18"/>
                <w:szCs w:val="18"/>
              </w:rPr>
            </w:pPr>
            <w:r>
              <w:rPr>
                <w:noProof/>
                <w:color w:val="000000"/>
                <w:sz w:val="18"/>
                <w:szCs w:val="18"/>
              </w:rPr>
              <w:t>6,24 %</w:t>
            </w:r>
          </w:p>
        </w:tc>
        <w:tc>
          <w:tcPr>
            <w:tcW w:w="86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20,92 %</w:t>
            </w:r>
          </w:p>
        </w:tc>
      </w:tr>
      <w:tr w:rsidR="00763157">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18"/>
                <w:szCs w:val="18"/>
              </w:rPr>
            </w:pPr>
            <w:r>
              <w:rPr>
                <w:noProof/>
                <w:color w:val="000000"/>
                <w:sz w:val="18"/>
                <w:szCs w:val="18"/>
              </w:rPr>
              <w:t>Европейска изпълнителна агенция за здравеопазването и цифровизацията (нова)</w:t>
            </w:r>
          </w:p>
        </w:tc>
        <w:tc>
          <w:tcPr>
            <w:tcW w:w="700" w:type="dxa"/>
            <w:tcBorders>
              <w:top w:val="nil"/>
              <w:left w:val="nil"/>
              <w:bottom w:val="single" w:sz="4" w:space="0" w:color="auto"/>
              <w:right w:val="single" w:sz="4" w:space="0" w:color="auto"/>
            </w:tcBorders>
            <w:shd w:val="clear" w:color="auto" w:fill="auto"/>
            <w:noWrap/>
            <w:vAlign w:val="center"/>
            <w:hideMark/>
          </w:tcPr>
          <w:p w:rsidR="00763157" w:rsidRDefault="00E45FF1">
            <w:pPr>
              <w:rPr>
                <w:rFonts w:ascii="Calibri" w:hAnsi="Calibri" w:cs="Calibri"/>
                <w:noProof/>
                <w:color w:val="000000"/>
                <w:sz w:val="18"/>
                <w:szCs w:val="18"/>
              </w:rPr>
            </w:pPr>
            <w:r>
              <w:rPr>
                <w:noProof/>
                <w:color w:val="000000"/>
                <w:sz w:val="18"/>
                <w:szCs w:val="18"/>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rsidR="00763157" w:rsidRDefault="00E45FF1">
            <w:pPr>
              <w:rPr>
                <w:rFonts w:ascii="Calibri" w:hAnsi="Calibri" w:cs="Calibri"/>
                <w:noProof/>
                <w:color w:val="000000"/>
                <w:sz w:val="18"/>
                <w:szCs w:val="18"/>
              </w:rPr>
            </w:pPr>
            <w:r>
              <w:rPr>
                <w:noProof/>
                <w:color w:val="000000"/>
                <w:sz w:val="18"/>
                <w:szCs w:val="18"/>
              </w:rPr>
              <w:t xml:space="preserve">        -</w:t>
            </w:r>
          </w:p>
        </w:tc>
        <w:tc>
          <w:tcPr>
            <w:tcW w:w="643" w:type="dxa"/>
            <w:tcBorders>
              <w:top w:val="nil"/>
              <w:left w:val="nil"/>
              <w:bottom w:val="single" w:sz="4" w:space="0" w:color="auto"/>
              <w:right w:val="single" w:sz="4" w:space="0" w:color="auto"/>
            </w:tcBorders>
            <w:shd w:val="clear" w:color="auto" w:fill="auto"/>
            <w:noWrap/>
            <w:vAlign w:val="center"/>
            <w:hideMark/>
          </w:tcPr>
          <w:p w:rsidR="00763157" w:rsidRDefault="00E45FF1">
            <w:pPr>
              <w:rPr>
                <w:rFonts w:ascii="Calibri" w:hAnsi="Calibri" w:cs="Calibri"/>
                <w:noProof/>
                <w:color w:val="000000"/>
                <w:sz w:val="18"/>
                <w:szCs w:val="18"/>
              </w:rPr>
            </w:pPr>
            <w:r>
              <w:rPr>
                <w:noProof/>
                <w:color w:val="000000"/>
                <w:sz w:val="18"/>
                <w:szCs w:val="18"/>
              </w:rPr>
              <w:t xml:space="preserve">        -</w:t>
            </w:r>
          </w:p>
        </w:tc>
        <w:tc>
          <w:tcPr>
            <w:tcW w:w="79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307</w:t>
            </w:r>
          </w:p>
        </w:tc>
        <w:tc>
          <w:tcPr>
            <w:tcW w:w="801"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39,078</w:t>
            </w:r>
          </w:p>
        </w:tc>
        <w:tc>
          <w:tcPr>
            <w:tcW w:w="63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307</w:t>
            </w:r>
          </w:p>
        </w:tc>
        <w:tc>
          <w:tcPr>
            <w:tcW w:w="80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39,078</w:t>
            </w:r>
          </w:p>
        </w:tc>
        <w:tc>
          <w:tcPr>
            <w:tcW w:w="861"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18"/>
                <w:szCs w:val="18"/>
              </w:rPr>
            </w:pPr>
            <w:r>
              <w:rPr>
                <w:noProof/>
                <w:color w:val="000000"/>
                <w:sz w:val="18"/>
                <w:szCs w:val="18"/>
              </w:rPr>
              <w:t>- </w:t>
            </w:r>
          </w:p>
        </w:tc>
        <w:tc>
          <w:tcPr>
            <w:tcW w:w="86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 </w:t>
            </w:r>
          </w:p>
        </w:tc>
      </w:tr>
      <w:tr w:rsidR="00763157">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18"/>
                <w:szCs w:val="18"/>
              </w:rPr>
            </w:pPr>
            <w:r>
              <w:rPr>
                <w:noProof/>
                <w:color w:val="000000"/>
                <w:sz w:val="18"/>
                <w:szCs w:val="18"/>
              </w:rPr>
              <w:t>Европейска изпълнителна агенция за климата, инфраструктурата и околната среда (бивша INEA)</w:t>
            </w:r>
          </w:p>
        </w:tc>
        <w:tc>
          <w:tcPr>
            <w:tcW w:w="700"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313</w:t>
            </w:r>
          </w:p>
        </w:tc>
        <w:tc>
          <w:tcPr>
            <w:tcW w:w="85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30,383</w:t>
            </w:r>
          </w:p>
        </w:tc>
        <w:tc>
          <w:tcPr>
            <w:tcW w:w="64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313</w:t>
            </w:r>
          </w:p>
        </w:tc>
        <w:tc>
          <w:tcPr>
            <w:tcW w:w="79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146</w:t>
            </w:r>
          </w:p>
        </w:tc>
        <w:tc>
          <w:tcPr>
            <w:tcW w:w="801"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47,969</w:t>
            </w:r>
          </w:p>
        </w:tc>
        <w:tc>
          <w:tcPr>
            <w:tcW w:w="63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459</w:t>
            </w:r>
          </w:p>
        </w:tc>
        <w:tc>
          <w:tcPr>
            <w:tcW w:w="80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47,969</w:t>
            </w:r>
          </w:p>
        </w:tc>
        <w:tc>
          <w:tcPr>
            <w:tcW w:w="861"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18"/>
                <w:szCs w:val="18"/>
              </w:rPr>
            </w:pPr>
            <w:r>
              <w:rPr>
                <w:noProof/>
                <w:color w:val="000000"/>
                <w:sz w:val="18"/>
                <w:szCs w:val="18"/>
              </w:rPr>
              <w:t>46,65 %</w:t>
            </w:r>
          </w:p>
        </w:tc>
        <w:tc>
          <w:tcPr>
            <w:tcW w:w="86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57,88 %</w:t>
            </w:r>
          </w:p>
        </w:tc>
      </w:tr>
      <w:tr w:rsidR="00763157">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18"/>
                <w:szCs w:val="18"/>
              </w:rPr>
            </w:pPr>
            <w:r>
              <w:rPr>
                <w:noProof/>
                <w:color w:val="000000"/>
                <w:sz w:val="18"/>
                <w:szCs w:val="18"/>
              </w:rPr>
              <w:t>Европейска изпълнителна агенция за образование и култура (бившата EACEA)</w:t>
            </w:r>
          </w:p>
        </w:tc>
        <w:tc>
          <w:tcPr>
            <w:tcW w:w="700"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438</w:t>
            </w:r>
          </w:p>
        </w:tc>
        <w:tc>
          <w:tcPr>
            <w:tcW w:w="85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47,750</w:t>
            </w:r>
          </w:p>
        </w:tc>
        <w:tc>
          <w:tcPr>
            <w:tcW w:w="64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438</w:t>
            </w:r>
          </w:p>
        </w:tc>
        <w:tc>
          <w:tcPr>
            <w:tcW w:w="79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5,11</w:t>
            </w:r>
          </w:p>
        </w:tc>
        <w:tc>
          <w:tcPr>
            <w:tcW w:w="75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9</w:t>
            </w:r>
          </w:p>
        </w:tc>
        <w:tc>
          <w:tcPr>
            <w:tcW w:w="801"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45,693</w:t>
            </w:r>
          </w:p>
        </w:tc>
        <w:tc>
          <w:tcPr>
            <w:tcW w:w="63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447</w:t>
            </w:r>
          </w:p>
        </w:tc>
        <w:tc>
          <w:tcPr>
            <w:tcW w:w="80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50,803</w:t>
            </w:r>
          </w:p>
        </w:tc>
        <w:tc>
          <w:tcPr>
            <w:tcW w:w="861"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18"/>
                <w:szCs w:val="18"/>
              </w:rPr>
            </w:pPr>
            <w:r>
              <w:rPr>
                <w:noProof/>
                <w:color w:val="000000"/>
                <w:sz w:val="18"/>
                <w:szCs w:val="18"/>
              </w:rPr>
              <w:t>2,05 %</w:t>
            </w:r>
          </w:p>
        </w:tc>
        <w:tc>
          <w:tcPr>
            <w:tcW w:w="86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6,39 %</w:t>
            </w:r>
          </w:p>
        </w:tc>
      </w:tr>
      <w:tr w:rsidR="00763157">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18"/>
                <w:szCs w:val="18"/>
              </w:rPr>
            </w:pPr>
            <w:r>
              <w:rPr>
                <w:noProof/>
                <w:color w:val="000000"/>
                <w:sz w:val="18"/>
                <w:szCs w:val="18"/>
              </w:rPr>
              <w:t xml:space="preserve">Изпълнителна агенция за Европейския съвет по иновациите и </w:t>
            </w:r>
            <w:r>
              <w:rPr>
                <w:noProof/>
                <w:color w:val="000000"/>
                <w:sz w:val="18"/>
                <w:szCs w:val="18"/>
              </w:rPr>
              <w:t>за МСП (бившата EASME)</w:t>
            </w:r>
          </w:p>
        </w:tc>
        <w:tc>
          <w:tcPr>
            <w:tcW w:w="700"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506</w:t>
            </w:r>
          </w:p>
        </w:tc>
        <w:tc>
          <w:tcPr>
            <w:tcW w:w="85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51,177</w:t>
            </w:r>
          </w:p>
        </w:tc>
        <w:tc>
          <w:tcPr>
            <w:tcW w:w="64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506</w:t>
            </w:r>
          </w:p>
        </w:tc>
        <w:tc>
          <w:tcPr>
            <w:tcW w:w="79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-119</w:t>
            </w:r>
          </w:p>
        </w:tc>
        <w:tc>
          <w:tcPr>
            <w:tcW w:w="801"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43,744</w:t>
            </w:r>
          </w:p>
        </w:tc>
        <w:tc>
          <w:tcPr>
            <w:tcW w:w="63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387</w:t>
            </w:r>
          </w:p>
        </w:tc>
        <w:tc>
          <w:tcPr>
            <w:tcW w:w="80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43,744</w:t>
            </w:r>
          </w:p>
        </w:tc>
        <w:tc>
          <w:tcPr>
            <w:tcW w:w="861"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18"/>
                <w:szCs w:val="18"/>
              </w:rPr>
            </w:pPr>
            <w:r>
              <w:rPr>
                <w:noProof/>
                <w:color w:val="000000"/>
                <w:sz w:val="18"/>
                <w:szCs w:val="18"/>
              </w:rPr>
              <w:t>-23,52 %</w:t>
            </w:r>
          </w:p>
        </w:tc>
        <w:tc>
          <w:tcPr>
            <w:tcW w:w="86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-14,52 %</w:t>
            </w:r>
          </w:p>
        </w:tc>
      </w:tr>
      <w:tr w:rsidR="00763157">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color w:val="000000"/>
                <w:sz w:val="18"/>
                <w:szCs w:val="18"/>
              </w:rPr>
            </w:pPr>
            <w:r>
              <w:rPr>
                <w:noProof/>
                <w:sz w:val="18"/>
                <w:szCs w:val="18"/>
              </w:rPr>
              <w:t>Изпълнителна агенция за потребителите, здравеопазването и храните (CHAFEA)</w:t>
            </w:r>
          </w:p>
        </w:tc>
        <w:tc>
          <w:tcPr>
            <w:tcW w:w="700"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79</w:t>
            </w:r>
          </w:p>
        </w:tc>
        <w:tc>
          <w:tcPr>
            <w:tcW w:w="85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11,301</w:t>
            </w:r>
          </w:p>
        </w:tc>
        <w:tc>
          <w:tcPr>
            <w:tcW w:w="64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79</w:t>
            </w:r>
          </w:p>
        </w:tc>
        <w:tc>
          <w:tcPr>
            <w:tcW w:w="79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-79</w:t>
            </w:r>
          </w:p>
        </w:tc>
        <w:tc>
          <w:tcPr>
            <w:tcW w:w="801"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0</w:t>
            </w:r>
          </w:p>
        </w:tc>
        <w:tc>
          <w:tcPr>
            <w:tcW w:w="63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0</w:t>
            </w:r>
          </w:p>
        </w:tc>
        <w:tc>
          <w:tcPr>
            <w:tcW w:w="80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0</w:t>
            </w:r>
          </w:p>
        </w:tc>
        <w:tc>
          <w:tcPr>
            <w:tcW w:w="861"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noProof/>
                <w:color w:val="000000"/>
                <w:sz w:val="18"/>
                <w:szCs w:val="18"/>
              </w:rPr>
            </w:pPr>
            <w:r>
              <w:rPr>
                <w:noProof/>
                <w:color w:val="000000"/>
                <w:sz w:val="18"/>
                <w:szCs w:val="18"/>
              </w:rPr>
              <w:t>-100 %</w:t>
            </w:r>
          </w:p>
        </w:tc>
        <w:tc>
          <w:tcPr>
            <w:tcW w:w="86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noProof/>
                <w:color w:val="000000"/>
                <w:sz w:val="18"/>
                <w:szCs w:val="18"/>
              </w:rPr>
            </w:pPr>
            <w:r>
              <w:rPr>
                <w:noProof/>
                <w:color w:val="000000"/>
                <w:sz w:val="18"/>
                <w:szCs w:val="18"/>
              </w:rPr>
              <w:t>-100 %</w:t>
            </w:r>
          </w:p>
        </w:tc>
      </w:tr>
      <w:tr w:rsidR="00763157">
        <w:trPr>
          <w:trHeight w:val="300"/>
          <w:jc w:val="center"/>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763157" w:rsidRDefault="00E45FF1">
            <w:pPr>
              <w:jc w:val="both"/>
              <w:rPr>
                <w:b/>
                <w:bCs/>
                <w:noProof/>
                <w:color w:val="000000"/>
                <w:sz w:val="18"/>
                <w:szCs w:val="18"/>
              </w:rPr>
            </w:pPr>
            <w:r>
              <w:rPr>
                <w:b/>
                <w:bCs/>
                <w:noProof/>
                <w:color w:val="000000"/>
                <w:sz w:val="18"/>
                <w:szCs w:val="18"/>
              </w:rPr>
              <w:t>Общо</w:t>
            </w:r>
          </w:p>
        </w:tc>
        <w:tc>
          <w:tcPr>
            <w:tcW w:w="700"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b/>
                <w:bCs/>
                <w:noProof/>
                <w:color w:val="000000"/>
                <w:sz w:val="18"/>
                <w:szCs w:val="18"/>
              </w:rPr>
            </w:pPr>
            <w:r>
              <w:rPr>
                <w:b/>
                <w:bCs/>
                <w:noProof/>
                <w:color w:val="000000"/>
                <w:sz w:val="18"/>
                <w:szCs w:val="18"/>
              </w:rPr>
              <w:t>2 650</w:t>
            </w:r>
          </w:p>
        </w:tc>
        <w:tc>
          <w:tcPr>
            <w:tcW w:w="85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b/>
                <w:bCs/>
                <w:noProof/>
                <w:color w:val="000000"/>
                <w:sz w:val="18"/>
                <w:szCs w:val="18"/>
              </w:rPr>
            </w:pPr>
            <w:r>
              <w:rPr>
                <w:b/>
                <w:bCs/>
                <w:noProof/>
                <w:color w:val="000000"/>
                <w:sz w:val="18"/>
                <w:szCs w:val="18"/>
              </w:rPr>
              <w:t>267,679</w:t>
            </w:r>
          </w:p>
        </w:tc>
        <w:tc>
          <w:tcPr>
            <w:tcW w:w="643"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b/>
                <w:bCs/>
                <w:noProof/>
                <w:color w:val="000000"/>
                <w:sz w:val="18"/>
                <w:szCs w:val="18"/>
              </w:rPr>
            </w:pPr>
            <w:r>
              <w:rPr>
                <w:b/>
                <w:bCs/>
                <w:noProof/>
                <w:color w:val="000000"/>
                <w:sz w:val="18"/>
                <w:szCs w:val="18"/>
              </w:rPr>
              <w:t>2 650</w:t>
            </w:r>
          </w:p>
        </w:tc>
        <w:tc>
          <w:tcPr>
            <w:tcW w:w="79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b/>
                <w:bCs/>
                <w:noProof/>
                <w:color w:val="000000"/>
                <w:sz w:val="18"/>
                <w:szCs w:val="18"/>
              </w:rPr>
            </w:pPr>
            <w:r>
              <w:rPr>
                <w:b/>
                <w:bCs/>
                <w:noProof/>
                <w:color w:val="000000"/>
                <w:sz w:val="18"/>
                <w:szCs w:val="18"/>
              </w:rPr>
              <w:t>5,11</w:t>
            </w:r>
          </w:p>
        </w:tc>
        <w:tc>
          <w:tcPr>
            <w:tcW w:w="757"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noProof/>
                <w:color w:val="000000"/>
                <w:sz w:val="18"/>
                <w:szCs w:val="18"/>
              </w:rPr>
            </w:pPr>
            <w:r>
              <w:rPr>
                <w:noProof/>
                <w:color w:val="000000"/>
                <w:sz w:val="18"/>
                <w:szCs w:val="18"/>
              </w:rPr>
              <w:t>302</w:t>
            </w:r>
          </w:p>
        </w:tc>
        <w:tc>
          <w:tcPr>
            <w:tcW w:w="801"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b/>
                <w:bCs/>
                <w:noProof/>
                <w:color w:val="000000"/>
                <w:sz w:val="18"/>
                <w:szCs w:val="18"/>
              </w:rPr>
            </w:pPr>
            <w:r>
              <w:rPr>
                <w:b/>
                <w:bCs/>
                <w:noProof/>
                <w:color w:val="000000"/>
                <w:sz w:val="18"/>
                <w:szCs w:val="18"/>
              </w:rPr>
              <w:t>321,991</w:t>
            </w:r>
          </w:p>
        </w:tc>
        <w:tc>
          <w:tcPr>
            <w:tcW w:w="63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b/>
                <w:bCs/>
                <w:noProof/>
                <w:color w:val="000000"/>
                <w:sz w:val="18"/>
                <w:szCs w:val="18"/>
              </w:rPr>
            </w:pPr>
            <w:r>
              <w:rPr>
                <w:b/>
                <w:bCs/>
                <w:noProof/>
                <w:color w:val="000000"/>
                <w:sz w:val="18"/>
                <w:szCs w:val="18"/>
              </w:rPr>
              <w:t>2 952</w:t>
            </w:r>
          </w:p>
        </w:tc>
        <w:tc>
          <w:tcPr>
            <w:tcW w:w="801"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b/>
                <w:bCs/>
                <w:noProof/>
                <w:color w:val="000000"/>
                <w:sz w:val="18"/>
                <w:szCs w:val="18"/>
              </w:rPr>
            </w:pPr>
            <w:r>
              <w:rPr>
                <w:b/>
                <w:bCs/>
                <w:noProof/>
                <w:color w:val="000000"/>
                <w:sz w:val="18"/>
                <w:szCs w:val="18"/>
              </w:rPr>
              <w:t>327,101</w:t>
            </w:r>
          </w:p>
        </w:tc>
        <w:tc>
          <w:tcPr>
            <w:tcW w:w="861" w:type="dxa"/>
            <w:tcBorders>
              <w:top w:val="nil"/>
              <w:left w:val="nil"/>
              <w:bottom w:val="single" w:sz="4" w:space="0" w:color="auto"/>
              <w:right w:val="single" w:sz="4" w:space="0" w:color="auto"/>
            </w:tcBorders>
            <w:shd w:val="clear" w:color="auto" w:fill="auto"/>
            <w:noWrap/>
            <w:vAlign w:val="center"/>
            <w:hideMark/>
          </w:tcPr>
          <w:p w:rsidR="00763157" w:rsidRDefault="00E45FF1">
            <w:pPr>
              <w:jc w:val="right"/>
              <w:rPr>
                <w:b/>
                <w:bCs/>
                <w:noProof/>
                <w:color w:val="000000"/>
                <w:sz w:val="18"/>
                <w:szCs w:val="18"/>
              </w:rPr>
            </w:pPr>
            <w:r>
              <w:rPr>
                <w:b/>
                <w:bCs/>
                <w:noProof/>
                <w:color w:val="000000"/>
                <w:sz w:val="18"/>
                <w:szCs w:val="18"/>
              </w:rPr>
              <w:t>11,40 %</w:t>
            </w:r>
          </w:p>
        </w:tc>
        <w:tc>
          <w:tcPr>
            <w:tcW w:w="861" w:type="dxa"/>
            <w:tcBorders>
              <w:top w:val="nil"/>
              <w:left w:val="nil"/>
              <w:bottom w:val="single" w:sz="4" w:space="0" w:color="auto"/>
              <w:right w:val="single" w:sz="4" w:space="0" w:color="auto"/>
            </w:tcBorders>
            <w:shd w:val="clear" w:color="000000" w:fill="FFFFFF"/>
            <w:noWrap/>
            <w:vAlign w:val="center"/>
            <w:hideMark/>
          </w:tcPr>
          <w:p w:rsidR="00763157" w:rsidRDefault="00E45FF1">
            <w:pPr>
              <w:jc w:val="right"/>
              <w:rPr>
                <w:b/>
                <w:bCs/>
                <w:noProof/>
                <w:color w:val="000000"/>
                <w:sz w:val="18"/>
                <w:szCs w:val="18"/>
              </w:rPr>
            </w:pPr>
            <w:r>
              <w:rPr>
                <w:b/>
                <w:bCs/>
                <w:noProof/>
                <w:color w:val="000000"/>
                <w:sz w:val="18"/>
                <w:szCs w:val="18"/>
              </w:rPr>
              <w:t>22,20 %</w:t>
            </w:r>
          </w:p>
        </w:tc>
      </w:tr>
    </w:tbl>
    <w:p w:rsidR="00763157" w:rsidRDefault="00E45FF1">
      <w:pPr>
        <w:spacing w:before="120" w:after="120"/>
        <w:jc w:val="both"/>
        <w:rPr>
          <w:noProof/>
        </w:rPr>
      </w:pPr>
      <w:r>
        <w:rPr>
          <w:noProof/>
        </w:rPr>
        <w:t xml:space="preserve">Прогнозният брой на персонала, необходим за изпълнителните агенции през 2021 г., нараства с 302 ЕПРВ (11,4 %) в сравнение с бюджета за 2020 г. Съответният финансов принос на Съюза нараства с 22,2 % в сравнение с </w:t>
      </w:r>
      <w:r>
        <w:rPr>
          <w:noProof/>
        </w:rPr>
        <w:t>2020 г.</w:t>
      </w:r>
    </w:p>
    <w:p w:rsidR="00763157" w:rsidRDefault="00E45FF1">
      <w:pPr>
        <w:keepNext/>
        <w:tabs>
          <w:tab w:val="left" w:pos="850"/>
        </w:tabs>
        <w:spacing w:before="360" w:after="120"/>
        <w:ind w:left="357" w:hanging="357"/>
        <w:jc w:val="both"/>
        <w:outlineLvl w:val="1"/>
        <w:rPr>
          <w:rFonts w:eastAsia="Calibri"/>
          <w:b/>
          <w:noProof/>
        </w:rPr>
      </w:pPr>
      <w:bookmarkStart w:id="116" w:name="_Toc369629644"/>
      <w:bookmarkStart w:id="117" w:name="_Toc54770325"/>
      <w:bookmarkStart w:id="118" w:name="_Toc55807135"/>
      <w:bookmarkStart w:id="119" w:name="_Toc56247312"/>
      <w:r>
        <w:rPr>
          <w:b/>
          <w:noProof/>
        </w:rPr>
        <w:t>5.4</w:t>
      </w:r>
      <w:r>
        <w:rPr>
          <w:b/>
          <w:noProof/>
        </w:rPr>
        <w:tab/>
      </w:r>
      <w:r>
        <w:rPr>
          <w:b/>
          <w:noProof/>
        </w:rPr>
        <w:tab/>
        <w:t>Отражение върху човешките ресурси в Комисията</w:t>
      </w:r>
      <w:bookmarkEnd w:id="116"/>
      <w:bookmarkEnd w:id="117"/>
      <w:bookmarkEnd w:id="118"/>
      <w:bookmarkEnd w:id="119"/>
    </w:p>
    <w:p w:rsidR="00763157" w:rsidRDefault="00E45FF1">
      <w:pPr>
        <w:spacing w:before="120" w:after="120"/>
        <w:jc w:val="both"/>
        <w:rPr>
          <w:noProof/>
        </w:rPr>
      </w:pPr>
      <w:bookmarkStart w:id="120" w:name="_Toc369629645"/>
      <w:r>
        <w:rPr>
          <w:noProof/>
        </w:rPr>
        <w:t xml:space="preserve">Според Регламент № 58/2003 всяко делегиране на задачи на изпълнителна агенция трябва да бъде икономически изгодно и в съответствие с принципа на добро финансово управление. </w:t>
      </w:r>
      <w:r>
        <w:rPr>
          <w:noProof/>
        </w:rPr>
        <w:lastRenderedPageBreak/>
        <w:t xml:space="preserve">Както е показано в </w:t>
      </w:r>
      <w:r>
        <w:rPr>
          <w:noProof/>
        </w:rPr>
        <w:t>обзорната таблица в точка 5.2 по-горе, това ще доведе до повишаване на работното натоварване на изпълнителните агенции за периода 2021—2027 г. и ще бъде нужен повече персонал, за да се управляват програмите ефективно.</w:t>
      </w:r>
    </w:p>
    <w:p w:rsidR="00763157" w:rsidRDefault="00E45FF1">
      <w:pPr>
        <w:spacing w:before="120" w:after="120"/>
        <w:jc w:val="both"/>
        <w:rPr>
          <w:noProof/>
        </w:rPr>
      </w:pPr>
      <w:r>
        <w:rPr>
          <w:noProof/>
        </w:rPr>
        <w:t>Част от нарасналото работно натоварван</w:t>
      </w:r>
      <w:r>
        <w:rPr>
          <w:noProof/>
        </w:rPr>
        <w:t xml:space="preserve">е на изпълнителните агенции ще бъде следствие от новоделегирани програми и задачи, които в момента се изпълняват от службите на Комисията. Прехвърлянето на тези задачи по изпълнението ще доведе до намаляване на съответните човешки ресурси в Комисията, тъй </w:t>
      </w:r>
      <w:r>
        <w:rPr>
          <w:noProof/>
        </w:rPr>
        <w:t>като тези задачи вече няма да се изпълняват в нея. Друга част от увеличеното работно натоварване в изпълнителните агенции ще бъде породено от увеличените бюджети за вече делегирани програми, както и от новите програми. В тези случаи няма отражение върху ра</w:t>
      </w:r>
      <w:r>
        <w:rPr>
          <w:noProof/>
        </w:rPr>
        <w:t>ботното натоварване в Комисията, тъй като задачата или вече е била прехвърлена, или никога не е била изпълнявана вътрешно. В този случай Комисията предлага да бъдат освободени известен брой служители, за да се осигури цялостна неутралност по отношение на б</w:t>
      </w:r>
      <w:r>
        <w:rPr>
          <w:noProof/>
        </w:rPr>
        <w:t xml:space="preserve">юджета. </w:t>
      </w:r>
    </w:p>
    <w:p w:rsidR="00763157" w:rsidRDefault="00E45FF1">
      <w:pPr>
        <w:spacing w:before="120" w:after="120"/>
        <w:jc w:val="both"/>
        <w:rPr>
          <w:noProof/>
        </w:rPr>
      </w:pPr>
      <w:r>
        <w:rPr>
          <w:noProof/>
        </w:rPr>
        <w:t>В миналото тези освободени човешки ресурси бяха преразпределени към други задачи в съответствие с член 13, параграф 6, буква в) от Регламент № 58/2003. Поради ангажимента на Комисията да гарантира бюджетна неутралност от гледна точка на администра</w:t>
      </w:r>
      <w:r>
        <w:rPr>
          <w:noProof/>
        </w:rPr>
        <w:t>тивните разходи — вследствие на делегирането на допълнителни задачи по управлението на програмите — Комисията ще намали човешките си ресурси, за да компенсира допълнителните ЕПРВ в изпълнителните агенции. Аналогично разходите, свързани с длъжности, които с</w:t>
      </w:r>
      <w:r>
        <w:rPr>
          <w:noProof/>
        </w:rPr>
        <w:t>а замразени поради командированията в изпълнителните агенции, също ще бъдат намалени в съответната степен.</w:t>
      </w:r>
    </w:p>
    <w:p w:rsidR="00763157" w:rsidRDefault="00E45FF1">
      <w:pPr>
        <w:spacing w:before="120" w:after="120"/>
        <w:jc w:val="both"/>
        <w:rPr>
          <w:noProof/>
        </w:rPr>
      </w:pPr>
      <w:r>
        <w:rPr>
          <w:noProof/>
        </w:rPr>
        <w:t>Таблицата по-долу показва начина, по който Комисията предлага да бъдат компенсирани допълнителните човешки ресурси в изпълнителните агенции до 2027 г</w:t>
      </w:r>
      <w:r>
        <w:rPr>
          <w:noProof/>
        </w:rPr>
        <w:t>.:</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1"/>
        <w:gridCol w:w="1579"/>
      </w:tblGrid>
      <w:tr w:rsidR="00763157">
        <w:trPr>
          <w:jc w:val="center"/>
        </w:trPr>
        <w:tc>
          <w:tcPr>
            <w:tcW w:w="8361" w:type="dxa"/>
            <w:shd w:val="clear" w:color="auto" w:fill="D9D9D9"/>
            <w:vAlign w:val="center"/>
          </w:tcPr>
          <w:p w:rsidR="00763157" w:rsidRDefault="00E45FF1">
            <w:pPr>
              <w:spacing w:before="30" w:after="30"/>
              <w:jc w:val="center"/>
              <w:rPr>
                <w:b/>
                <w:noProof/>
                <w:sz w:val="18"/>
                <w:szCs w:val="18"/>
              </w:rPr>
            </w:pPr>
            <w:r>
              <w:rPr>
                <w:b/>
                <w:noProof/>
                <w:sz w:val="18"/>
                <w:szCs w:val="18"/>
              </w:rPr>
              <w:t>Компенсиране на увеличените човешки ресурси в изпълнителните агенции</w:t>
            </w:r>
          </w:p>
        </w:tc>
        <w:tc>
          <w:tcPr>
            <w:tcW w:w="1579" w:type="dxa"/>
            <w:shd w:val="clear" w:color="auto" w:fill="D9D9D9"/>
            <w:vAlign w:val="center"/>
          </w:tcPr>
          <w:p w:rsidR="00763157" w:rsidRDefault="00E45FF1">
            <w:pPr>
              <w:spacing w:before="30" w:after="30"/>
              <w:jc w:val="center"/>
              <w:rPr>
                <w:b/>
                <w:noProof/>
                <w:sz w:val="18"/>
                <w:szCs w:val="18"/>
                <w:highlight w:val="lightGray"/>
              </w:rPr>
            </w:pPr>
            <w:r>
              <w:rPr>
                <w:b/>
                <w:noProof/>
                <w:sz w:val="18"/>
                <w:szCs w:val="18"/>
                <w:highlight w:val="lightGray"/>
              </w:rPr>
              <w:t>Човешки ресурси (ЕПРВ)</w:t>
            </w:r>
          </w:p>
        </w:tc>
      </w:tr>
      <w:tr w:rsidR="00763157">
        <w:trPr>
          <w:jc w:val="center"/>
        </w:trPr>
        <w:tc>
          <w:tcPr>
            <w:tcW w:w="8361" w:type="dxa"/>
            <w:shd w:val="clear" w:color="auto" w:fill="auto"/>
            <w:vAlign w:val="center"/>
          </w:tcPr>
          <w:p w:rsidR="00763157" w:rsidRDefault="00E45FF1">
            <w:pPr>
              <w:spacing w:before="30" w:after="30"/>
              <w:jc w:val="both"/>
              <w:rPr>
                <w:noProof/>
                <w:sz w:val="16"/>
                <w:szCs w:val="16"/>
              </w:rPr>
            </w:pPr>
            <w:r>
              <w:rPr>
                <w:noProof/>
                <w:sz w:val="16"/>
                <w:szCs w:val="16"/>
              </w:rPr>
              <w:t>Увеличаване на ресурсите за покриване на текущите разходи на шест изпълнителни агенции, произтичащо от допълнително делегиране</w:t>
            </w:r>
          </w:p>
        </w:tc>
        <w:tc>
          <w:tcPr>
            <w:tcW w:w="1579" w:type="dxa"/>
            <w:vAlign w:val="center"/>
          </w:tcPr>
          <w:p w:rsidR="00763157" w:rsidRDefault="00E45FF1">
            <w:pPr>
              <w:spacing w:before="30" w:after="30"/>
              <w:jc w:val="right"/>
              <w:rPr>
                <w:noProof/>
                <w:sz w:val="18"/>
                <w:szCs w:val="18"/>
              </w:rPr>
            </w:pPr>
            <w:r>
              <w:rPr>
                <w:noProof/>
                <w:sz w:val="18"/>
                <w:szCs w:val="18"/>
              </w:rPr>
              <w:t>+390</w:t>
            </w:r>
          </w:p>
        </w:tc>
      </w:tr>
      <w:tr w:rsidR="00763157">
        <w:trPr>
          <w:jc w:val="center"/>
        </w:trPr>
        <w:tc>
          <w:tcPr>
            <w:tcW w:w="8361" w:type="dxa"/>
            <w:shd w:val="clear" w:color="auto" w:fill="auto"/>
            <w:vAlign w:val="center"/>
          </w:tcPr>
          <w:p w:rsidR="00763157" w:rsidRDefault="00E45FF1">
            <w:pPr>
              <w:spacing w:before="30" w:after="30"/>
              <w:jc w:val="both"/>
              <w:rPr>
                <w:noProof/>
                <w:sz w:val="16"/>
                <w:szCs w:val="16"/>
              </w:rPr>
            </w:pPr>
            <w:r>
              <w:rPr>
                <w:noProof/>
                <w:sz w:val="16"/>
                <w:szCs w:val="16"/>
              </w:rPr>
              <w:t xml:space="preserve">Намалени административни </w:t>
            </w:r>
            <w:r>
              <w:rPr>
                <w:noProof/>
                <w:sz w:val="16"/>
                <w:szCs w:val="16"/>
              </w:rPr>
              <w:t>ресурси по функция 7 вследствие на делегиране на задачи, които понастоящем се управляват от Комисията</w:t>
            </w:r>
          </w:p>
        </w:tc>
        <w:tc>
          <w:tcPr>
            <w:tcW w:w="1579" w:type="dxa"/>
            <w:vAlign w:val="center"/>
          </w:tcPr>
          <w:p w:rsidR="00763157" w:rsidRDefault="00E45FF1">
            <w:pPr>
              <w:spacing w:before="30" w:after="30"/>
              <w:jc w:val="right"/>
              <w:rPr>
                <w:noProof/>
                <w:sz w:val="18"/>
                <w:szCs w:val="18"/>
              </w:rPr>
            </w:pPr>
            <w:r>
              <w:rPr>
                <w:noProof/>
                <w:sz w:val="18"/>
                <w:szCs w:val="18"/>
              </w:rPr>
              <w:t>-59</w:t>
            </w:r>
          </w:p>
        </w:tc>
      </w:tr>
      <w:tr w:rsidR="00763157">
        <w:trPr>
          <w:jc w:val="center"/>
        </w:trPr>
        <w:tc>
          <w:tcPr>
            <w:tcW w:w="8361" w:type="dxa"/>
            <w:shd w:val="clear" w:color="auto" w:fill="auto"/>
            <w:vAlign w:val="center"/>
          </w:tcPr>
          <w:p w:rsidR="00763157" w:rsidRDefault="00E45FF1">
            <w:pPr>
              <w:spacing w:before="30" w:after="30"/>
              <w:jc w:val="both"/>
              <w:rPr>
                <w:noProof/>
                <w:sz w:val="16"/>
                <w:szCs w:val="16"/>
              </w:rPr>
            </w:pPr>
            <w:r>
              <w:rPr>
                <w:noProof/>
                <w:sz w:val="16"/>
                <w:szCs w:val="16"/>
              </w:rPr>
              <w:t>Намалени административни ресурси и ресурси за подкрепа по други функции вследствие на делегиране на задачи, които понастоящем се управляват от Комиси</w:t>
            </w:r>
            <w:r>
              <w:rPr>
                <w:noProof/>
                <w:sz w:val="16"/>
                <w:szCs w:val="16"/>
              </w:rPr>
              <w:t>ята</w:t>
            </w:r>
          </w:p>
        </w:tc>
        <w:tc>
          <w:tcPr>
            <w:tcW w:w="1579" w:type="dxa"/>
            <w:vAlign w:val="center"/>
          </w:tcPr>
          <w:p w:rsidR="00763157" w:rsidRDefault="00E45FF1">
            <w:pPr>
              <w:spacing w:before="30" w:after="30"/>
              <w:jc w:val="right"/>
              <w:rPr>
                <w:noProof/>
                <w:sz w:val="18"/>
                <w:szCs w:val="18"/>
              </w:rPr>
            </w:pPr>
            <w:r>
              <w:rPr>
                <w:noProof/>
                <w:sz w:val="18"/>
                <w:szCs w:val="18"/>
              </w:rPr>
              <w:t>-188</w:t>
            </w:r>
          </w:p>
        </w:tc>
      </w:tr>
    </w:tbl>
    <w:p w:rsidR="00763157" w:rsidRDefault="00E45FF1">
      <w:pPr>
        <w:keepNext/>
        <w:tabs>
          <w:tab w:val="left" w:pos="850"/>
        </w:tabs>
        <w:spacing w:before="360" w:after="120"/>
        <w:ind w:left="357" w:hanging="357"/>
        <w:jc w:val="both"/>
        <w:outlineLvl w:val="1"/>
        <w:rPr>
          <w:rFonts w:eastAsia="Calibri"/>
          <w:b/>
          <w:noProof/>
        </w:rPr>
      </w:pPr>
      <w:bookmarkStart w:id="121" w:name="_Toc54770326"/>
      <w:bookmarkStart w:id="122" w:name="_Toc55807136"/>
      <w:bookmarkStart w:id="123" w:name="_Toc56247313"/>
      <w:bookmarkEnd w:id="120"/>
      <w:r>
        <w:rPr>
          <w:b/>
          <w:noProof/>
        </w:rPr>
        <w:t>5.5</w:t>
      </w:r>
      <w:r>
        <w:rPr>
          <w:b/>
          <w:noProof/>
        </w:rPr>
        <w:tab/>
      </w:r>
      <w:r>
        <w:rPr>
          <w:b/>
          <w:noProof/>
        </w:rPr>
        <w:tab/>
        <w:t>Корекции, включени в ПВК 1/2021</w:t>
      </w:r>
      <w:bookmarkEnd w:id="121"/>
      <w:bookmarkEnd w:id="122"/>
      <w:bookmarkEnd w:id="123"/>
    </w:p>
    <w:p w:rsidR="00763157" w:rsidRDefault="00E45FF1">
      <w:pPr>
        <w:spacing w:before="120" w:after="120"/>
        <w:jc w:val="both"/>
        <w:rPr>
          <w:noProof/>
        </w:rPr>
      </w:pPr>
      <w:r>
        <w:rPr>
          <w:noProof/>
        </w:rPr>
        <w:t>Корекциите, включени в ПВК 1/2021, отразяват последиците за ресурсите от предвиденото делегиране на програмите за периода 2021—2027 г. както за изпълнителните агенции, така и за Комисията за 2021 г. Що се отна</w:t>
      </w:r>
      <w:r>
        <w:rPr>
          <w:noProof/>
        </w:rPr>
        <w:t>ся до Комисията, последиците се състоят в нетно намаляване на бюджетните кредити за заплати по функция 7 „Европейска публична администрация“ в размер на 2,5 милиона евро и бюджетно неутрално преразпределение на бюджетните кредити в рамките на съответния фи</w:t>
      </w:r>
      <w:r>
        <w:rPr>
          <w:noProof/>
        </w:rPr>
        <w:t>нансов пакет на засегнатите делегирани програми.</w:t>
      </w:r>
    </w:p>
    <w:p w:rsidR="00763157" w:rsidRDefault="00E45FF1">
      <w:pPr>
        <w:spacing w:before="120" w:after="120"/>
        <w:jc w:val="both"/>
        <w:rPr>
          <w:noProof/>
        </w:rPr>
      </w:pPr>
      <w:r>
        <w:rPr>
          <w:noProof/>
        </w:rPr>
        <w:t>От гледна точка на номенклатурата, както е показано в таблицата по-долу, се предлага да бъдат създадени нови бюджетни редове в рамките на всяка делегирана програма, предназначени за субсидията за шестте нови</w:t>
      </w:r>
      <w:r>
        <w:rPr>
          <w:noProof/>
        </w:rPr>
        <w:t xml:space="preserve"> изпълнителни агенции, в допълнение към бюджетните редове, които вече са включени в ПБ за 2021 г. за настоящите „наследени“ изпълнителни агенции. Запазването на тази паралелна структура ще осигури плавен преход от настоящата към бъдещата организация на изп</w:t>
      </w:r>
      <w:r>
        <w:rPr>
          <w:noProof/>
        </w:rPr>
        <w:t xml:space="preserve">ълнителните агенции, независимо от това в кой момент точно ще бъде осъществена тя — това зависи до голяма степен от официалното приемане на МФР и на основните актове за програмите за периода 2021—2027 г. </w:t>
      </w:r>
    </w:p>
    <w:tbl>
      <w:tblPr>
        <w:tblW w:w="9810" w:type="dxa"/>
        <w:tblInd w:w="113" w:type="dxa"/>
        <w:tblLook w:val="04A0" w:firstRow="1" w:lastRow="0" w:firstColumn="1" w:lastColumn="0" w:noHBand="0" w:noVBand="1"/>
      </w:tblPr>
      <w:tblGrid>
        <w:gridCol w:w="2026"/>
        <w:gridCol w:w="934"/>
        <w:gridCol w:w="1839"/>
        <w:gridCol w:w="1389"/>
        <w:gridCol w:w="1069"/>
        <w:gridCol w:w="940"/>
        <w:gridCol w:w="1771"/>
      </w:tblGrid>
      <w:tr w:rsidR="00763157">
        <w:trPr>
          <w:trHeight w:val="240"/>
          <w:tblHeader/>
        </w:trPr>
        <w:tc>
          <w:tcPr>
            <w:tcW w:w="1675" w:type="dxa"/>
            <w:tcBorders>
              <w:top w:val="single" w:sz="4" w:space="0" w:color="auto"/>
              <w:left w:val="single" w:sz="4" w:space="0" w:color="auto"/>
              <w:bottom w:val="single" w:sz="4" w:space="0" w:color="auto"/>
              <w:right w:val="nil"/>
            </w:tcBorders>
            <w:shd w:val="clear" w:color="000000" w:fill="D9D9D9"/>
            <w:vAlign w:val="center"/>
            <w:hideMark/>
          </w:tcPr>
          <w:p w:rsidR="00763157" w:rsidRDefault="00E45FF1">
            <w:pPr>
              <w:jc w:val="center"/>
              <w:rPr>
                <w:noProof/>
                <w:color w:val="000000"/>
                <w:sz w:val="18"/>
                <w:szCs w:val="18"/>
              </w:rPr>
            </w:pPr>
            <w:r>
              <w:rPr>
                <w:noProof/>
                <w:color w:val="000000"/>
                <w:sz w:val="18"/>
                <w:szCs w:val="18"/>
              </w:rPr>
              <w:t>Нова изпълнителна агенция</w:t>
            </w:r>
          </w:p>
        </w:tc>
        <w:tc>
          <w:tcPr>
            <w:tcW w:w="1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63157" w:rsidRDefault="00E45FF1">
            <w:pPr>
              <w:jc w:val="center"/>
              <w:rPr>
                <w:noProof/>
                <w:color w:val="000000"/>
                <w:sz w:val="18"/>
                <w:szCs w:val="18"/>
              </w:rPr>
            </w:pPr>
            <w:r>
              <w:rPr>
                <w:noProof/>
                <w:color w:val="000000"/>
                <w:sz w:val="18"/>
                <w:szCs w:val="18"/>
              </w:rPr>
              <w:t>Нов ред за субсидии</w:t>
            </w:r>
          </w:p>
        </w:tc>
        <w:tc>
          <w:tcPr>
            <w:tcW w:w="1925"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noProof/>
                <w:color w:val="000000"/>
                <w:sz w:val="18"/>
                <w:szCs w:val="18"/>
              </w:rPr>
            </w:pPr>
            <w:r>
              <w:rPr>
                <w:noProof/>
                <w:color w:val="000000"/>
                <w:sz w:val="18"/>
                <w:szCs w:val="18"/>
              </w:rPr>
              <w:t xml:space="preserve">Нов </w:t>
            </w:r>
            <w:r>
              <w:rPr>
                <w:noProof/>
                <w:color w:val="000000"/>
                <w:sz w:val="18"/>
                <w:szCs w:val="18"/>
              </w:rPr>
              <w:t>портфейл</w:t>
            </w:r>
          </w:p>
        </w:tc>
        <w:tc>
          <w:tcPr>
            <w:tcW w:w="1066"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noProof/>
                <w:color w:val="000000"/>
                <w:sz w:val="18"/>
                <w:szCs w:val="18"/>
              </w:rPr>
            </w:pPr>
            <w:r>
              <w:rPr>
                <w:noProof/>
                <w:color w:val="000000"/>
                <w:sz w:val="18"/>
                <w:szCs w:val="18"/>
              </w:rPr>
              <w:t>Правен предшественик</w:t>
            </w:r>
          </w:p>
        </w:tc>
        <w:tc>
          <w:tcPr>
            <w:tcW w:w="1094"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noProof/>
                <w:color w:val="000000"/>
                <w:sz w:val="18"/>
                <w:szCs w:val="18"/>
              </w:rPr>
            </w:pPr>
            <w:r>
              <w:rPr>
                <w:noProof/>
                <w:color w:val="000000"/>
                <w:sz w:val="18"/>
                <w:szCs w:val="18"/>
              </w:rPr>
              <w:t>Наследено делегиране</w:t>
            </w:r>
          </w:p>
        </w:tc>
        <w:tc>
          <w:tcPr>
            <w:tcW w:w="1166"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noProof/>
                <w:color w:val="000000"/>
                <w:sz w:val="18"/>
                <w:szCs w:val="18"/>
              </w:rPr>
            </w:pPr>
            <w:r>
              <w:rPr>
                <w:noProof/>
                <w:color w:val="000000"/>
                <w:sz w:val="18"/>
                <w:szCs w:val="18"/>
              </w:rPr>
              <w:t>Наследен ред за субсидии</w:t>
            </w:r>
          </w:p>
        </w:tc>
        <w:tc>
          <w:tcPr>
            <w:tcW w:w="1809" w:type="dxa"/>
            <w:tcBorders>
              <w:top w:val="single" w:sz="4" w:space="0" w:color="auto"/>
              <w:left w:val="nil"/>
              <w:bottom w:val="single" w:sz="4" w:space="0" w:color="auto"/>
              <w:right w:val="single" w:sz="4" w:space="0" w:color="auto"/>
            </w:tcBorders>
            <w:shd w:val="clear" w:color="000000" w:fill="D9D9D9"/>
            <w:vAlign w:val="center"/>
            <w:hideMark/>
          </w:tcPr>
          <w:p w:rsidR="00763157" w:rsidRDefault="00E45FF1">
            <w:pPr>
              <w:jc w:val="center"/>
              <w:rPr>
                <w:noProof/>
                <w:color w:val="000000"/>
                <w:sz w:val="18"/>
                <w:szCs w:val="18"/>
              </w:rPr>
            </w:pPr>
            <w:r>
              <w:rPr>
                <w:noProof/>
                <w:color w:val="000000"/>
                <w:sz w:val="18"/>
                <w:szCs w:val="18"/>
              </w:rPr>
              <w:t>Предходен портфейл</w:t>
            </w:r>
          </w:p>
        </w:tc>
      </w:tr>
      <w:tr w:rsidR="00763157">
        <w:trPr>
          <w:trHeight w:val="240"/>
        </w:trPr>
        <w:tc>
          <w:tcPr>
            <w:tcW w:w="1675" w:type="dxa"/>
            <w:tcBorders>
              <w:top w:val="nil"/>
              <w:left w:val="single" w:sz="4" w:space="0" w:color="auto"/>
              <w:bottom w:val="single" w:sz="4" w:space="0" w:color="auto"/>
              <w:right w:val="nil"/>
            </w:tcBorders>
            <w:shd w:val="clear" w:color="auto" w:fill="auto"/>
            <w:vAlign w:val="center"/>
            <w:hideMark/>
          </w:tcPr>
          <w:p w:rsidR="00763157" w:rsidRDefault="00E45FF1">
            <w:pPr>
              <w:rPr>
                <w:noProof/>
                <w:color w:val="000000"/>
                <w:sz w:val="18"/>
                <w:szCs w:val="18"/>
              </w:rPr>
            </w:pPr>
            <w:r>
              <w:rPr>
                <w:noProof/>
                <w:color w:val="000000"/>
                <w:sz w:val="18"/>
                <w:szCs w:val="18"/>
              </w:rPr>
              <w:t>Изпълнителна агенция на Европейския научноизследователски съвет</w:t>
            </w: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01 01 01 71</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„Хоризонт Европа“</w:t>
            </w:r>
          </w:p>
        </w:tc>
        <w:tc>
          <w:tcPr>
            <w:tcW w:w="1066"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ERCEA</w:t>
            </w: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ERCEA</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01 01 01 61</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„Хоризонт 2020“</w:t>
            </w:r>
          </w:p>
        </w:tc>
      </w:tr>
      <w:tr w:rsidR="00763157">
        <w:trPr>
          <w:trHeight w:val="240"/>
        </w:trPr>
        <w:tc>
          <w:tcPr>
            <w:tcW w:w="1675" w:type="dxa"/>
            <w:vMerge w:val="restart"/>
            <w:tcBorders>
              <w:top w:val="nil"/>
              <w:left w:val="single" w:sz="4" w:space="0" w:color="auto"/>
              <w:bottom w:val="single" w:sz="4" w:space="0" w:color="000000"/>
              <w:right w:val="nil"/>
            </w:tcBorders>
            <w:shd w:val="clear" w:color="auto" w:fill="auto"/>
            <w:vAlign w:val="center"/>
            <w:hideMark/>
          </w:tcPr>
          <w:p w:rsidR="00763157" w:rsidRDefault="00E45FF1">
            <w:pPr>
              <w:rPr>
                <w:noProof/>
                <w:color w:val="000000"/>
                <w:sz w:val="18"/>
                <w:szCs w:val="18"/>
              </w:rPr>
            </w:pPr>
            <w:r>
              <w:rPr>
                <w:noProof/>
                <w:color w:val="000000"/>
                <w:sz w:val="18"/>
                <w:szCs w:val="18"/>
              </w:rPr>
              <w:t xml:space="preserve">Европейска </w:t>
            </w:r>
            <w:r>
              <w:rPr>
                <w:noProof/>
                <w:color w:val="000000"/>
                <w:sz w:val="18"/>
                <w:szCs w:val="18"/>
              </w:rPr>
              <w:lastRenderedPageBreak/>
              <w:t xml:space="preserve">изпълнителна </w:t>
            </w:r>
            <w:r>
              <w:rPr>
                <w:noProof/>
                <w:color w:val="000000"/>
                <w:sz w:val="18"/>
                <w:szCs w:val="18"/>
              </w:rPr>
              <w:t>агенция за научни изследвания</w:t>
            </w:r>
          </w:p>
        </w:tc>
        <w:tc>
          <w:tcPr>
            <w:tcW w:w="1075" w:type="dxa"/>
            <w:vMerge w:val="restart"/>
            <w:tcBorders>
              <w:top w:val="single" w:sz="4" w:space="0" w:color="auto"/>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lastRenderedPageBreak/>
              <w:t xml:space="preserve">01 01 01 </w:t>
            </w:r>
            <w:r>
              <w:rPr>
                <w:noProof/>
                <w:color w:val="000000"/>
                <w:sz w:val="18"/>
                <w:szCs w:val="18"/>
              </w:rPr>
              <w:lastRenderedPageBreak/>
              <w:t>72</w:t>
            </w:r>
          </w:p>
        </w:tc>
        <w:tc>
          <w:tcPr>
            <w:tcW w:w="1925" w:type="dxa"/>
            <w:vMerge w:val="restart"/>
            <w:tcBorders>
              <w:top w:val="single" w:sz="4" w:space="0" w:color="auto"/>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lastRenderedPageBreak/>
              <w:t>„Хоризонт Европа“</w:t>
            </w:r>
          </w:p>
        </w:tc>
        <w:tc>
          <w:tcPr>
            <w:tcW w:w="1066" w:type="dxa"/>
            <w:vMerge w:val="restart"/>
            <w:tcBorders>
              <w:top w:val="nil"/>
              <w:left w:val="nil"/>
              <w:bottom w:val="single" w:sz="4" w:space="0" w:color="000000"/>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REA</w:t>
            </w:r>
          </w:p>
        </w:tc>
        <w:tc>
          <w:tcPr>
            <w:tcW w:w="1094" w:type="dxa"/>
            <w:tcBorders>
              <w:top w:val="single" w:sz="4" w:space="0" w:color="auto"/>
              <w:left w:val="single" w:sz="4" w:space="0" w:color="auto"/>
              <w:bottom w:val="nil"/>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REA</w:t>
            </w:r>
          </w:p>
        </w:tc>
        <w:tc>
          <w:tcPr>
            <w:tcW w:w="1166" w:type="dxa"/>
            <w:tcBorders>
              <w:top w:val="single" w:sz="4" w:space="0" w:color="auto"/>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 xml:space="preserve">01 01 01 </w:t>
            </w:r>
            <w:r>
              <w:rPr>
                <w:noProof/>
                <w:color w:val="000000"/>
                <w:sz w:val="18"/>
                <w:szCs w:val="18"/>
              </w:rPr>
              <w:lastRenderedPageBreak/>
              <w:t>62</w:t>
            </w:r>
          </w:p>
        </w:tc>
        <w:tc>
          <w:tcPr>
            <w:tcW w:w="1809" w:type="dxa"/>
            <w:vMerge w:val="restart"/>
            <w:tcBorders>
              <w:top w:val="single" w:sz="4" w:space="0" w:color="auto"/>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lastRenderedPageBreak/>
              <w:t>„Хоризонт 2020“</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vMerge/>
            <w:tcBorders>
              <w:top w:val="single" w:sz="4" w:space="0" w:color="auto"/>
              <w:left w:val="single" w:sz="4" w:space="0" w:color="auto"/>
              <w:bottom w:val="nil"/>
              <w:right w:val="single" w:sz="4" w:space="0" w:color="auto"/>
            </w:tcBorders>
            <w:vAlign w:val="center"/>
            <w:hideMark/>
          </w:tcPr>
          <w:p w:rsidR="00763157" w:rsidRDefault="00763157">
            <w:pPr>
              <w:rPr>
                <w:noProof/>
                <w:color w:val="000000"/>
                <w:sz w:val="18"/>
                <w:szCs w:val="18"/>
                <w:lang w:val="en-US" w:eastAsia="en-US"/>
              </w:rPr>
            </w:pPr>
          </w:p>
        </w:tc>
        <w:tc>
          <w:tcPr>
            <w:tcW w:w="1925" w:type="dxa"/>
            <w:vMerge/>
            <w:tcBorders>
              <w:top w:val="single" w:sz="4" w:space="0" w:color="auto"/>
              <w:left w:val="single" w:sz="4" w:space="0" w:color="auto"/>
              <w:bottom w:val="nil"/>
              <w:right w:val="single" w:sz="4" w:space="0" w:color="auto"/>
            </w:tcBorders>
            <w:vAlign w:val="center"/>
            <w:hideMark/>
          </w:tcPr>
          <w:p w:rsidR="00763157" w:rsidRDefault="00763157">
            <w:pPr>
              <w:rPr>
                <w:noProof/>
                <w:color w:val="000000"/>
                <w:sz w:val="16"/>
                <w:szCs w:val="16"/>
                <w:lang w:val="en-US" w:eastAsia="en-US"/>
              </w:rPr>
            </w:pPr>
          </w:p>
        </w:tc>
        <w:tc>
          <w:tcPr>
            <w:tcW w:w="1066" w:type="dxa"/>
            <w:vMerge/>
            <w:tcBorders>
              <w:top w:val="nil"/>
              <w:left w:val="nil"/>
              <w:bottom w:val="single" w:sz="4" w:space="0" w:color="000000"/>
              <w:right w:val="nil"/>
            </w:tcBorders>
            <w:vAlign w:val="center"/>
            <w:hideMark/>
          </w:tcPr>
          <w:p w:rsidR="00763157" w:rsidRDefault="00763157">
            <w:pPr>
              <w:rPr>
                <w:noProof/>
                <w:color w:val="000000"/>
                <w:sz w:val="18"/>
                <w:szCs w:val="18"/>
                <w:lang w:val="en-US" w:eastAsia="en-US"/>
              </w:rPr>
            </w:pPr>
          </w:p>
        </w:tc>
        <w:tc>
          <w:tcPr>
            <w:tcW w:w="1094" w:type="dxa"/>
            <w:tcBorders>
              <w:top w:val="nil"/>
              <w:left w:val="single" w:sz="4" w:space="0" w:color="auto"/>
              <w:bottom w:val="nil"/>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EASME</w:t>
            </w:r>
          </w:p>
        </w:tc>
        <w:tc>
          <w:tcPr>
            <w:tcW w:w="1166"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01 01 01 63</w:t>
            </w:r>
          </w:p>
        </w:tc>
        <w:tc>
          <w:tcPr>
            <w:tcW w:w="1809" w:type="dxa"/>
            <w:vMerge/>
            <w:tcBorders>
              <w:top w:val="single" w:sz="4" w:space="0" w:color="auto"/>
              <w:left w:val="single" w:sz="4" w:space="0" w:color="auto"/>
              <w:bottom w:val="nil"/>
              <w:right w:val="single" w:sz="4" w:space="0" w:color="auto"/>
            </w:tcBorders>
            <w:vAlign w:val="center"/>
            <w:hideMark/>
          </w:tcPr>
          <w:p w:rsidR="00763157" w:rsidRDefault="00763157">
            <w:pPr>
              <w:rPr>
                <w:noProof/>
                <w:color w:val="000000"/>
                <w:sz w:val="16"/>
                <w:szCs w:val="16"/>
                <w:lang w:val="en-US" w:eastAsia="en-US"/>
              </w:rPr>
            </w:pP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tcBorders>
              <w:top w:val="nil"/>
              <w:left w:val="single" w:sz="4" w:space="0" w:color="auto"/>
              <w:bottom w:val="nil"/>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20 03 14 72</w:t>
            </w:r>
          </w:p>
        </w:tc>
        <w:tc>
          <w:tcPr>
            <w:tcW w:w="192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Централна служба за подкрепа</w:t>
            </w:r>
          </w:p>
        </w:tc>
        <w:tc>
          <w:tcPr>
            <w:tcW w:w="1066" w:type="dxa"/>
            <w:vMerge/>
            <w:tcBorders>
              <w:top w:val="nil"/>
              <w:left w:val="nil"/>
              <w:bottom w:val="single" w:sz="4" w:space="0" w:color="000000"/>
              <w:right w:val="nil"/>
            </w:tcBorders>
            <w:vAlign w:val="center"/>
            <w:hideMark/>
          </w:tcPr>
          <w:p w:rsidR="00763157" w:rsidRDefault="00763157">
            <w:pPr>
              <w:rPr>
                <w:noProof/>
                <w:color w:val="000000"/>
                <w:sz w:val="18"/>
                <w:szCs w:val="18"/>
                <w:lang w:val="en-US" w:eastAsia="en-US"/>
              </w:rPr>
            </w:pPr>
          </w:p>
        </w:tc>
        <w:tc>
          <w:tcPr>
            <w:tcW w:w="1094" w:type="dxa"/>
            <w:tcBorders>
              <w:top w:val="nil"/>
              <w:left w:val="single" w:sz="4" w:space="0" w:color="auto"/>
              <w:bottom w:val="nil"/>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REA</w:t>
            </w:r>
          </w:p>
        </w:tc>
        <w:tc>
          <w:tcPr>
            <w:tcW w:w="1166"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20 03 14 62</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Централна служба за подкрепа</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tcBorders>
              <w:top w:val="nil"/>
              <w:left w:val="single" w:sz="4" w:space="0" w:color="auto"/>
              <w:bottom w:val="nil"/>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08 01 01 72</w:t>
            </w:r>
          </w:p>
        </w:tc>
        <w:tc>
          <w:tcPr>
            <w:tcW w:w="192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Европейски фонд за гарантиране на</w:t>
            </w:r>
            <w:r>
              <w:rPr>
                <w:noProof/>
                <w:color w:val="000000"/>
                <w:sz w:val="16"/>
                <w:szCs w:val="16"/>
              </w:rPr>
              <w:t xml:space="preserve"> земеделието</w:t>
            </w:r>
          </w:p>
        </w:tc>
        <w:tc>
          <w:tcPr>
            <w:tcW w:w="1066" w:type="dxa"/>
            <w:vMerge/>
            <w:tcBorders>
              <w:top w:val="nil"/>
              <w:left w:val="nil"/>
              <w:bottom w:val="single" w:sz="4" w:space="0" w:color="000000"/>
              <w:right w:val="nil"/>
            </w:tcBorders>
            <w:vAlign w:val="center"/>
            <w:hideMark/>
          </w:tcPr>
          <w:p w:rsidR="00763157" w:rsidRDefault="00763157">
            <w:pPr>
              <w:rPr>
                <w:noProof/>
                <w:color w:val="000000"/>
                <w:sz w:val="18"/>
                <w:szCs w:val="18"/>
                <w:lang w:eastAsia="en-US"/>
              </w:rPr>
            </w:pPr>
          </w:p>
        </w:tc>
        <w:tc>
          <w:tcPr>
            <w:tcW w:w="1094" w:type="dxa"/>
            <w:tcBorders>
              <w:top w:val="nil"/>
              <w:left w:val="single" w:sz="4" w:space="0" w:color="auto"/>
              <w:bottom w:val="nil"/>
              <w:right w:val="nil"/>
            </w:tcBorders>
            <w:shd w:val="clear" w:color="auto" w:fill="auto"/>
            <w:vAlign w:val="center"/>
            <w:hideMark/>
          </w:tcPr>
          <w:p w:rsidR="00763157" w:rsidRDefault="00E45FF1">
            <w:pPr>
              <w:jc w:val="center"/>
              <w:rPr>
                <w:iCs/>
                <w:noProof/>
                <w:color w:val="000000"/>
                <w:sz w:val="18"/>
                <w:szCs w:val="18"/>
              </w:rPr>
            </w:pPr>
            <w:r>
              <w:rPr>
                <w:iCs/>
                <w:noProof/>
                <w:color w:val="000000"/>
                <w:sz w:val="18"/>
                <w:szCs w:val="18"/>
              </w:rPr>
              <w:t>CHAFEA</w:t>
            </w:r>
          </w:p>
        </w:tc>
        <w:tc>
          <w:tcPr>
            <w:tcW w:w="1166"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08 01 01 66</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Европейски фонд за гарантиране на земеделието</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eastAsia="en-US"/>
              </w:rPr>
            </w:pPr>
          </w:p>
        </w:tc>
        <w:tc>
          <w:tcPr>
            <w:tcW w:w="1075" w:type="dxa"/>
            <w:tcBorders>
              <w:top w:val="nil"/>
              <w:left w:val="single" w:sz="4" w:space="0" w:color="auto"/>
              <w:bottom w:val="single" w:sz="4" w:space="0" w:color="auto"/>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20 03 14 72</w:t>
            </w:r>
          </w:p>
        </w:tc>
        <w:tc>
          <w:tcPr>
            <w:tcW w:w="192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Научноизследователска програма на Европейската общност за въглища и стомана</w:t>
            </w:r>
          </w:p>
        </w:tc>
        <w:tc>
          <w:tcPr>
            <w:tcW w:w="1066" w:type="dxa"/>
            <w:vMerge/>
            <w:tcBorders>
              <w:top w:val="nil"/>
              <w:left w:val="nil"/>
              <w:bottom w:val="single" w:sz="4" w:space="0" w:color="000000"/>
              <w:right w:val="nil"/>
            </w:tcBorders>
            <w:vAlign w:val="center"/>
            <w:hideMark/>
          </w:tcPr>
          <w:p w:rsidR="00763157" w:rsidRDefault="00763157">
            <w:pPr>
              <w:rPr>
                <w:noProof/>
                <w:color w:val="000000"/>
                <w:sz w:val="18"/>
                <w:szCs w:val="18"/>
                <w:lang w:eastAsia="en-US"/>
              </w:rPr>
            </w:pPr>
          </w:p>
        </w:tc>
        <w:tc>
          <w:tcPr>
            <w:tcW w:w="1094" w:type="dxa"/>
            <w:tcBorders>
              <w:top w:val="nil"/>
              <w:left w:val="single" w:sz="4" w:space="0" w:color="auto"/>
              <w:bottom w:val="single" w:sz="4" w:space="0" w:color="auto"/>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REA</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w:t>
            </w:r>
          </w:p>
        </w:tc>
        <w:tc>
          <w:tcPr>
            <w:tcW w:w="1809"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w:t>
            </w:r>
          </w:p>
        </w:tc>
      </w:tr>
      <w:tr w:rsidR="00763157">
        <w:trPr>
          <w:trHeight w:val="240"/>
        </w:trPr>
        <w:tc>
          <w:tcPr>
            <w:tcW w:w="1675" w:type="dxa"/>
            <w:vMerge w:val="restart"/>
            <w:tcBorders>
              <w:top w:val="nil"/>
              <w:left w:val="single" w:sz="4" w:space="0" w:color="auto"/>
              <w:bottom w:val="single" w:sz="4" w:space="0" w:color="000000"/>
              <w:right w:val="single" w:sz="4" w:space="0" w:color="auto"/>
            </w:tcBorders>
            <w:shd w:val="clear" w:color="auto" w:fill="auto"/>
            <w:vAlign w:val="center"/>
            <w:hideMark/>
          </w:tcPr>
          <w:p w:rsidR="00763157" w:rsidRDefault="00E45FF1">
            <w:pPr>
              <w:rPr>
                <w:noProof/>
                <w:color w:val="000000"/>
                <w:sz w:val="18"/>
                <w:szCs w:val="18"/>
              </w:rPr>
            </w:pPr>
            <w:r>
              <w:rPr>
                <w:noProof/>
                <w:color w:val="000000"/>
                <w:sz w:val="18"/>
                <w:szCs w:val="18"/>
              </w:rPr>
              <w:t>Европейска изпълнителна агенция за здравеопазването и цифровизацията</w:t>
            </w:r>
          </w:p>
        </w:tc>
        <w:tc>
          <w:tcPr>
            <w:tcW w:w="1075"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w:t>
            </w:r>
            <w:r>
              <w:rPr>
                <w:noProof/>
                <w:color w:val="000000"/>
                <w:sz w:val="18"/>
                <w:szCs w:val="18"/>
              </w:rPr>
              <w:t xml:space="preserve"> 73</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„Хоризонт Европа“</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rsidR="00763157" w:rsidRDefault="00E45FF1">
            <w:pPr>
              <w:jc w:val="center"/>
              <w:rPr>
                <w:i/>
                <w:iCs/>
                <w:noProof/>
                <w:color w:val="000000"/>
                <w:sz w:val="18"/>
                <w:szCs w:val="18"/>
              </w:rPr>
            </w:pPr>
            <w:r>
              <w:rPr>
                <w:i/>
                <w:iCs/>
                <w:noProof/>
                <w:color w:val="000000"/>
                <w:sz w:val="18"/>
                <w:szCs w:val="18"/>
              </w:rPr>
              <w:t>Нова</w:t>
            </w:r>
          </w:p>
        </w:tc>
        <w:tc>
          <w:tcPr>
            <w:tcW w:w="1094" w:type="dxa"/>
            <w:tcBorders>
              <w:top w:val="nil"/>
              <w:left w:val="nil"/>
              <w:bottom w:val="nil"/>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REA</w:t>
            </w:r>
          </w:p>
        </w:tc>
        <w:tc>
          <w:tcPr>
            <w:tcW w:w="1166"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01 01 01 62</w:t>
            </w:r>
          </w:p>
        </w:tc>
        <w:tc>
          <w:tcPr>
            <w:tcW w:w="1809" w:type="dxa"/>
            <w:vMerge w:val="restart"/>
            <w:tcBorders>
              <w:top w:val="nil"/>
              <w:left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„Хоризонт 2020“</w:t>
            </w:r>
          </w:p>
        </w:tc>
      </w:tr>
      <w:tr w:rsidR="00763157">
        <w:trPr>
          <w:trHeight w:val="240"/>
        </w:trPr>
        <w:tc>
          <w:tcPr>
            <w:tcW w:w="1675"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rsidR="00763157" w:rsidRDefault="00763157">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i/>
                <w:iCs/>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EASME</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01 01 01 63</w:t>
            </w:r>
          </w:p>
        </w:tc>
        <w:tc>
          <w:tcPr>
            <w:tcW w:w="1809" w:type="dxa"/>
            <w:vMerge/>
            <w:tcBorders>
              <w:left w:val="nil"/>
              <w:bottom w:val="nil"/>
              <w:right w:val="single" w:sz="4" w:space="0" w:color="auto"/>
            </w:tcBorders>
            <w:shd w:val="clear" w:color="auto" w:fill="auto"/>
            <w:vAlign w:val="center"/>
            <w:hideMark/>
          </w:tcPr>
          <w:p w:rsidR="00763157" w:rsidRDefault="00763157">
            <w:pPr>
              <w:jc w:val="center"/>
              <w:rPr>
                <w:noProof/>
                <w:color w:val="000000"/>
                <w:sz w:val="16"/>
                <w:szCs w:val="16"/>
                <w:lang w:val="en-US" w:eastAsia="en-US"/>
              </w:rPr>
            </w:pPr>
          </w:p>
        </w:tc>
      </w:tr>
      <w:tr w:rsidR="00763157">
        <w:trPr>
          <w:trHeight w:val="240"/>
        </w:trPr>
        <w:tc>
          <w:tcPr>
            <w:tcW w:w="1675"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7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02 01 23 73</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Механизъм за свързване на Европа — Цифрови технологии</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i/>
                <w:iCs/>
                <w:noProof/>
                <w:color w:val="000000"/>
                <w:sz w:val="18"/>
                <w:szCs w:val="18"/>
                <w:lang w:eastAsia="en-US"/>
              </w:rPr>
            </w:pP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INEA</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02 01 21 64</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Механизъм за свързване на Европа</w:t>
            </w:r>
          </w:p>
        </w:tc>
      </w:tr>
      <w:tr w:rsidR="00763157">
        <w:trPr>
          <w:trHeight w:val="240"/>
        </w:trPr>
        <w:tc>
          <w:tcPr>
            <w:tcW w:w="1675"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7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02 01 30 73</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Програма „Цифрова Европа“</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i/>
                <w:iCs/>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w:t>
            </w:r>
          </w:p>
        </w:tc>
      </w:tr>
      <w:tr w:rsidR="00763157">
        <w:trPr>
          <w:trHeight w:val="240"/>
        </w:trPr>
        <w:tc>
          <w:tcPr>
            <w:tcW w:w="1675"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7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03 01</w:t>
            </w:r>
            <w:r>
              <w:rPr>
                <w:noProof/>
                <w:color w:val="000000"/>
                <w:sz w:val="18"/>
                <w:szCs w:val="18"/>
              </w:rPr>
              <w:t xml:space="preserve"> 01 73</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Програма за единния пазар</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i/>
                <w:iCs/>
                <w:noProof/>
                <w:color w:val="000000"/>
                <w:sz w:val="18"/>
                <w:szCs w:val="18"/>
                <w:lang w:val="en-US" w:eastAsia="en-US"/>
              </w:rPr>
            </w:pP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rsidR="00763157" w:rsidRDefault="00E45FF1">
            <w:pPr>
              <w:jc w:val="center"/>
              <w:rPr>
                <w:iCs/>
                <w:noProof/>
                <w:color w:val="000000"/>
                <w:sz w:val="18"/>
                <w:szCs w:val="18"/>
              </w:rPr>
            </w:pPr>
            <w:r>
              <w:rPr>
                <w:iCs/>
                <w:noProof/>
                <w:color w:val="000000"/>
                <w:sz w:val="18"/>
                <w:szCs w:val="18"/>
              </w:rPr>
              <w:t>CHAFEA</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03 01 01 66</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Безопасност на храните и фуражите, здраве на животните и хуманно отношение към тях, растителна защита</w:t>
            </w:r>
          </w:p>
        </w:tc>
      </w:tr>
      <w:tr w:rsidR="00763157">
        <w:trPr>
          <w:trHeight w:val="240"/>
        </w:trPr>
        <w:tc>
          <w:tcPr>
            <w:tcW w:w="1675"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7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06 01 05 73</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EU4HEALTH</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i/>
                <w:iCs/>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763157" w:rsidRDefault="00763157">
            <w:pPr>
              <w:rPr>
                <w:i/>
                <w:iCs/>
                <w:noProof/>
                <w:color w:val="000000"/>
                <w:sz w:val="18"/>
                <w:szCs w:val="18"/>
                <w:lang w:val="en-US" w:eastAsia="en-US"/>
              </w:rPr>
            </w:pP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06 01 05 66</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Здраве</w:t>
            </w:r>
          </w:p>
        </w:tc>
      </w:tr>
      <w:tr w:rsidR="00763157">
        <w:trPr>
          <w:trHeight w:val="240"/>
        </w:trPr>
        <w:tc>
          <w:tcPr>
            <w:tcW w:w="1675" w:type="dxa"/>
            <w:vMerge w:val="restart"/>
            <w:tcBorders>
              <w:top w:val="nil"/>
              <w:left w:val="single" w:sz="4" w:space="0" w:color="auto"/>
              <w:bottom w:val="single" w:sz="4" w:space="0" w:color="000000"/>
              <w:right w:val="nil"/>
            </w:tcBorders>
            <w:shd w:val="clear" w:color="auto" w:fill="auto"/>
            <w:vAlign w:val="center"/>
            <w:hideMark/>
          </w:tcPr>
          <w:p w:rsidR="00763157" w:rsidRDefault="00E45FF1">
            <w:pPr>
              <w:rPr>
                <w:noProof/>
                <w:color w:val="000000"/>
                <w:sz w:val="18"/>
                <w:szCs w:val="18"/>
              </w:rPr>
            </w:pPr>
            <w:r>
              <w:rPr>
                <w:noProof/>
                <w:color w:val="000000"/>
                <w:sz w:val="18"/>
                <w:szCs w:val="18"/>
              </w:rPr>
              <w:t xml:space="preserve">Европейска изпълнителна агенция за климата, </w:t>
            </w:r>
            <w:r>
              <w:rPr>
                <w:noProof/>
                <w:color w:val="000000"/>
                <w:sz w:val="18"/>
                <w:szCs w:val="18"/>
              </w:rPr>
              <w:t>инфраструктурата и околната среда</w:t>
            </w:r>
          </w:p>
        </w:tc>
        <w:tc>
          <w:tcPr>
            <w:tcW w:w="1075" w:type="dxa"/>
            <w:vMerge w:val="restart"/>
            <w:tcBorders>
              <w:top w:val="single" w:sz="4" w:space="0" w:color="auto"/>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01 01 01 74</w:t>
            </w:r>
          </w:p>
        </w:tc>
        <w:tc>
          <w:tcPr>
            <w:tcW w:w="1925" w:type="dxa"/>
            <w:vMerge w:val="restart"/>
            <w:tcBorders>
              <w:top w:val="single" w:sz="4" w:space="0" w:color="auto"/>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„Хоризонт Европа“</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INEA</w:t>
            </w: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EASME</w:t>
            </w:r>
          </w:p>
        </w:tc>
        <w:tc>
          <w:tcPr>
            <w:tcW w:w="1166" w:type="dxa"/>
            <w:tcBorders>
              <w:top w:val="single" w:sz="4" w:space="0" w:color="auto"/>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01 01 01 63</w:t>
            </w:r>
          </w:p>
        </w:tc>
        <w:tc>
          <w:tcPr>
            <w:tcW w:w="1809" w:type="dxa"/>
            <w:vMerge w:val="restart"/>
            <w:tcBorders>
              <w:top w:val="single" w:sz="4" w:space="0" w:color="auto"/>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„Хоризонт 2020“</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vMerge/>
            <w:tcBorders>
              <w:top w:val="single" w:sz="4" w:space="0" w:color="auto"/>
              <w:left w:val="single" w:sz="4" w:space="0" w:color="auto"/>
              <w:bottom w:val="nil"/>
              <w:right w:val="single" w:sz="4" w:space="0" w:color="auto"/>
            </w:tcBorders>
            <w:vAlign w:val="center"/>
            <w:hideMark/>
          </w:tcPr>
          <w:p w:rsidR="00763157" w:rsidRDefault="00763157">
            <w:pPr>
              <w:rPr>
                <w:noProof/>
                <w:color w:val="000000"/>
                <w:sz w:val="18"/>
                <w:szCs w:val="18"/>
                <w:lang w:val="en-US" w:eastAsia="en-US"/>
              </w:rPr>
            </w:pPr>
          </w:p>
        </w:tc>
        <w:tc>
          <w:tcPr>
            <w:tcW w:w="1925" w:type="dxa"/>
            <w:vMerge/>
            <w:tcBorders>
              <w:top w:val="single" w:sz="4" w:space="0" w:color="auto"/>
              <w:left w:val="single" w:sz="4" w:space="0" w:color="auto"/>
              <w:bottom w:val="nil"/>
              <w:right w:val="single" w:sz="4" w:space="0" w:color="auto"/>
            </w:tcBorders>
            <w:vAlign w:val="center"/>
            <w:hideMark/>
          </w:tcPr>
          <w:p w:rsidR="00763157" w:rsidRDefault="00763157">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INEA</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01 01 01 64</w:t>
            </w:r>
          </w:p>
        </w:tc>
        <w:tc>
          <w:tcPr>
            <w:tcW w:w="1809" w:type="dxa"/>
            <w:vMerge/>
            <w:tcBorders>
              <w:top w:val="single" w:sz="4" w:space="0" w:color="auto"/>
              <w:left w:val="single" w:sz="4" w:space="0" w:color="auto"/>
              <w:bottom w:val="nil"/>
              <w:right w:val="single" w:sz="4" w:space="0" w:color="auto"/>
            </w:tcBorders>
            <w:vAlign w:val="center"/>
            <w:hideMark/>
          </w:tcPr>
          <w:p w:rsidR="00763157" w:rsidRDefault="00763157">
            <w:pPr>
              <w:rPr>
                <w:noProof/>
                <w:color w:val="000000"/>
                <w:sz w:val="16"/>
                <w:szCs w:val="16"/>
                <w:lang w:val="en-US" w:eastAsia="en-US"/>
              </w:rPr>
            </w:pP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02 01 21 74</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Механизъм за свързване на Европа — Транспорт</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94"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INEA</w:t>
            </w:r>
          </w:p>
        </w:tc>
        <w:tc>
          <w:tcPr>
            <w:tcW w:w="1166"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02 01 21 64</w:t>
            </w:r>
          </w:p>
        </w:tc>
        <w:tc>
          <w:tcPr>
            <w:tcW w:w="1809" w:type="dxa"/>
            <w:vMerge w:val="restart"/>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Механизъм за свързване на Европа</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eastAsia="en-US"/>
              </w:rPr>
            </w:pP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02 01 22 74</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Механизъм за свързване на Европа — Енергетика</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94"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eastAsia="en-US"/>
              </w:rPr>
            </w:pPr>
          </w:p>
        </w:tc>
        <w:tc>
          <w:tcPr>
            <w:tcW w:w="1166"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eastAsia="en-US"/>
              </w:rPr>
            </w:pPr>
          </w:p>
        </w:tc>
        <w:tc>
          <w:tcPr>
            <w:tcW w:w="1809" w:type="dxa"/>
            <w:vMerge/>
            <w:tcBorders>
              <w:top w:val="nil"/>
              <w:left w:val="nil"/>
              <w:bottom w:val="nil"/>
              <w:right w:val="single" w:sz="4" w:space="0" w:color="auto"/>
            </w:tcBorders>
            <w:vAlign w:val="center"/>
            <w:hideMark/>
          </w:tcPr>
          <w:p w:rsidR="00763157" w:rsidRDefault="00763157">
            <w:pPr>
              <w:rPr>
                <w:noProof/>
                <w:color w:val="000000"/>
                <w:sz w:val="16"/>
                <w:szCs w:val="16"/>
                <w:lang w:eastAsia="en-US"/>
              </w:rPr>
            </w:pP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eastAsia="en-US"/>
              </w:rPr>
            </w:pP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02 01 40 74</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Механизъм за финансиране на енергията от възобновяеми източници</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05 01 02 74</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Кохезионен фонд (финансов принос за Механизма за свързване на Европа)</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INEA</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05 01 02 64</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 xml:space="preserve">Кохезионен фонд </w:t>
            </w:r>
            <w:r>
              <w:rPr>
                <w:noProof/>
                <w:color w:val="000000"/>
                <w:sz w:val="16"/>
                <w:szCs w:val="16"/>
              </w:rPr>
              <w:t>(финансов принос за Механизма за свързване на Европа)</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eastAsia="en-US"/>
              </w:rPr>
            </w:pP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08 01 03 74</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Европейски фонд за морско дело и рибарство</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94"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EASME</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08 01 03 63</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Европейски фонд за морско дело и рибарство</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eastAsia="en-US"/>
              </w:rPr>
            </w:pP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09 01 01 74</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 xml:space="preserve">Инструмент на ЕС за финансиране в областта на околната среда и </w:t>
            </w:r>
            <w:r>
              <w:rPr>
                <w:noProof/>
                <w:color w:val="000000"/>
                <w:sz w:val="16"/>
                <w:szCs w:val="16"/>
              </w:rPr>
              <w:t>климата (LIFE)</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94"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eastAsia="en-US"/>
              </w:rPr>
            </w:pP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09 01 01 63</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Инструмент на ЕС за финансиране в областта на околната среда и климата (LIFE)</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eastAsia="en-US"/>
              </w:rPr>
            </w:pP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09 01 03 74</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Механизъм за отпускане на заеми в публичния сектор в рамките на Механизма за справедлив преход</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13 01 03 74</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Военна мобилност</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17 01 02 74</w:t>
            </w:r>
          </w:p>
        </w:tc>
        <w:tc>
          <w:tcPr>
            <w:tcW w:w="1925"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Фонд за иновации</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94"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INEA</w:t>
            </w: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17 01 02 64</w:t>
            </w:r>
          </w:p>
        </w:tc>
        <w:tc>
          <w:tcPr>
            <w:tcW w:w="1809"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Фонд за иновации</w:t>
            </w:r>
          </w:p>
        </w:tc>
      </w:tr>
      <w:tr w:rsidR="00763157">
        <w:trPr>
          <w:trHeight w:val="240"/>
        </w:trPr>
        <w:tc>
          <w:tcPr>
            <w:tcW w:w="1675" w:type="dxa"/>
            <w:vMerge w:val="restart"/>
            <w:tcBorders>
              <w:top w:val="nil"/>
              <w:left w:val="single" w:sz="4" w:space="0" w:color="auto"/>
              <w:bottom w:val="single" w:sz="4" w:space="0" w:color="000000"/>
              <w:right w:val="nil"/>
            </w:tcBorders>
            <w:shd w:val="clear" w:color="auto" w:fill="auto"/>
            <w:vAlign w:val="center"/>
            <w:hideMark/>
          </w:tcPr>
          <w:p w:rsidR="00763157" w:rsidRDefault="00E45FF1">
            <w:pPr>
              <w:rPr>
                <w:noProof/>
                <w:color w:val="000000"/>
                <w:sz w:val="18"/>
                <w:szCs w:val="18"/>
              </w:rPr>
            </w:pPr>
            <w:r>
              <w:rPr>
                <w:noProof/>
                <w:color w:val="000000"/>
                <w:sz w:val="18"/>
                <w:szCs w:val="18"/>
              </w:rPr>
              <w:t>Европейска изпълнителна агенция за образование и култура</w:t>
            </w: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07 01 02 75</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„Еразъм+“</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EACEA</w:t>
            </w: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EACEA</w:t>
            </w: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07 01 02 65</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„Еразъм+“</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07 01 03 75</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Европейски корпус за солидарност</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166"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07 01 03 65</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Европейски</w:t>
            </w:r>
            <w:r>
              <w:rPr>
                <w:noProof/>
                <w:color w:val="000000"/>
                <w:sz w:val="16"/>
                <w:szCs w:val="16"/>
              </w:rPr>
              <w:t xml:space="preserve"> корпус за солидарност</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rsidR="00763157" w:rsidRDefault="00763157">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166"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val="en-US" w:eastAsia="en-US"/>
              </w:rPr>
            </w:pP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„Доброволци на ЕС за хуманитарна помощ“</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07 01 04 75</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„Творческа Европа“</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07 01 04 65</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„Творческа Европа“</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 xml:space="preserve">07 01 05 </w:t>
            </w:r>
            <w:r>
              <w:rPr>
                <w:noProof/>
                <w:color w:val="000000"/>
                <w:sz w:val="18"/>
                <w:szCs w:val="18"/>
              </w:rPr>
              <w:lastRenderedPageBreak/>
              <w:t>75</w:t>
            </w:r>
          </w:p>
        </w:tc>
        <w:tc>
          <w:tcPr>
            <w:tcW w:w="1925"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lastRenderedPageBreak/>
              <w:t>„Права и ценности“</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166"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 xml:space="preserve">07 01 05 </w:t>
            </w:r>
            <w:r>
              <w:rPr>
                <w:noProof/>
                <w:color w:val="000000"/>
                <w:sz w:val="18"/>
                <w:szCs w:val="18"/>
              </w:rPr>
              <w:lastRenderedPageBreak/>
              <w:t>65</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lastRenderedPageBreak/>
              <w:t xml:space="preserve">„Европа за </w:t>
            </w:r>
            <w:r>
              <w:rPr>
                <w:noProof/>
                <w:color w:val="000000"/>
                <w:sz w:val="16"/>
                <w:szCs w:val="16"/>
              </w:rPr>
              <w:lastRenderedPageBreak/>
              <w:t>гражданите“</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15 01 01 75</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 xml:space="preserve">Инструмент за съседство, </w:t>
            </w:r>
            <w:r>
              <w:rPr>
                <w:noProof/>
                <w:color w:val="000000"/>
                <w:sz w:val="16"/>
                <w:szCs w:val="16"/>
              </w:rPr>
              <w:t>сътрудничество за развитие и международно сътрудничество</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166"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15 01 01 65</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Инструмент за партньорство</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rsidR="00763157" w:rsidRDefault="00763157">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166"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val="en-US" w:eastAsia="en-US"/>
              </w:rPr>
            </w:pP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Инструмент за сътрудничество за развитие</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rsidR="00763157" w:rsidRDefault="00763157">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166"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val="en-US" w:eastAsia="en-US"/>
              </w:rPr>
            </w:pP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Европейски инструмент за съседство</w:t>
            </w:r>
          </w:p>
        </w:tc>
      </w:tr>
      <w:tr w:rsidR="00763157">
        <w:trPr>
          <w:trHeight w:val="240"/>
        </w:trPr>
        <w:tc>
          <w:tcPr>
            <w:tcW w:w="1675" w:type="dxa"/>
            <w:vMerge/>
            <w:tcBorders>
              <w:top w:val="nil"/>
              <w:left w:val="single" w:sz="4" w:space="0" w:color="auto"/>
              <w:bottom w:val="single" w:sz="4" w:space="0" w:color="000000"/>
              <w:right w:val="nil"/>
            </w:tcBorders>
            <w:vAlign w:val="center"/>
            <w:hideMark/>
          </w:tcPr>
          <w:p w:rsidR="00763157" w:rsidRDefault="00763157">
            <w:pPr>
              <w:rPr>
                <w:noProof/>
                <w:color w:val="000000"/>
                <w:sz w:val="18"/>
                <w:szCs w:val="18"/>
                <w:lang w:val="en-US" w:eastAsia="en-US"/>
              </w:rPr>
            </w:pPr>
          </w:p>
        </w:tc>
        <w:tc>
          <w:tcPr>
            <w:tcW w:w="1075"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16 01 01 75</w:t>
            </w:r>
          </w:p>
        </w:tc>
        <w:tc>
          <w:tcPr>
            <w:tcW w:w="1925"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Инструмент за предприсъединителна помощ III</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16 01 01</w:t>
            </w:r>
            <w:r>
              <w:rPr>
                <w:noProof/>
                <w:color w:val="000000"/>
                <w:sz w:val="18"/>
                <w:szCs w:val="18"/>
              </w:rPr>
              <w:t xml:space="preserve"> 65</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Инструмент за предприсъединителна помощ II</w:t>
            </w:r>
          </w:p>
        </w:tc>
      </w:tr>
      <w:tr w:rsidR="00763157">
        <w:trPr>
          <w:trHeight w:val="240"/>
        </w:trPr>
        <w:tc>
          <w:tcPr>
            <w:tcW w:w="1675" w:type="dxa"/>
            <w:vMerge w:val="restart"/>
            <w:tcBorders>
              <w:top w:val="nil"/>
              <w:left w:val="single" w:sz="4" w:space="0" w:color="auto"/>
              <w:bottom w:val="single" w:sz="4" w:space="0" w:color="000000"/>
              <w:right w:val="single" w:sz="4" w:space="0" w:color="auto"/>
            </w:tcBorders>
            <w:shd w:val="clear" w:color="auto" w:fill="auto"/>
            <w:vAlign w:val="center"/>
            <w:hideMark/>
          </w:tcPr>
          <w:p w:rsidR="00763157" w:rsidRDefault="00E45FF1">
            <w:pPr>
              <w:rPr>
                <w:noProof/>
                <w:color w:val="000000"/>
                <w:sz w:val="18"/>
                <w:szCs w:val="18"/>
              </w:rPr>
            </w:pPr>
            <w:r>
              <w:rPr>
                <w:noProof/>
                <w:color w:val="000000"/>
                <w:sz w:val="18"/>
                <w:szCs w:val="18"/>
              </w:rPr>
              <w:t>Изпълнителна агенция за Европейския съвет по иновациите и за МСП</w:t>
            </w:r>
          </w:p>
        </w:tc>
        <w:tc>
          <w:tcPr>
            <w:tcW w:w="1075"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01 01 01 76</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„Хоризонт Европа“</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EASME</w:t>
            </w: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REA</w:t>
            </w:r>
          </w:p>
        </w:tc>
        <w:tc>
          <w:tcPr>
            <w:tcW w:w="1166" w:type="dxa"/>
            <w:tcBorders>
              <w:top w:val="nil"/>
              <w:left w:val="nil"/>
              <w:bottom w:val="nil"/>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01 01 01 62</w:t>
            </w:r>
          </w:p>
        </w:tc>
        <w:tc>
          <w:tcPr>
            <w:tcW w:w="1809" w:type="dxa"/>
            <w:vMerge w:val="restart"/>
            <w:tcBorders>
              <w:top w:val="single" w:sz="4" w:space="0" w:color="auto"/>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„Хоризонт 2020“</w:t>
            </w:r>
          </w:p>
        </w:tc>
      </w:tr>
      <w:tr w:rsidR="00763157">
        <w:trPr>
          <w:trHeight w:val="240"/>
        </w:trPr>
        <w:tc>
          <w:tcPr>
            <w:tcW w:w="1675"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rsidR="00763157" w:rsidRDefault="00763157">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94"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EASME</w:t>
            </w:r>
          </w:p>
        </w:tc>
        <w:tc>
          <w:tcPr>
            <w:tcW w:w="1166" w:type="dxa"/>
            <w:tcBorders>
              <w:top w:val="nil"/>
              <w:left w:val="nil"/>
              <w:bottom w:val="nil"/>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01 01 01 63</w:t>
            </w:r>
          </w:p>
        </w:tc>
        <w:tc>
          <w:tcPr>
            <w:tcW w:w="1809" w:type="dxa"/>
            <w:vMerge/>
            <w:tcBorders>
              <w:top w:val="single" w:sz="4" w:space="0" w:color="auto"/>
              <w:left w:val="single" w:sz="4" w:space="0" w:color="auto"/>
              <w:bottom w:val="nil"/>
              <w:right w:val="single" w:sz="4" w:space="0" w:color="auto"/>
            </w:tcBorders>
            <w:vAlign w:val="center"/>
            <w:hideMark/>
          </w:tcPr>
          <w:p w:rsidR="00763157" w:rsidRDefault="00763157">
            <w:pPr>
              <w:rPr>
                <w:noProof/>
                <w:color w:val="000000"/>
                <w:sz w:val="16"/>
                <w:szCs w:val="16"/>
                <w:lang w:val="en-US" w:eastAsia="en-US"/>
              </w:rPr>
            </w:pPr>
          </w:p>
        </w:tc>
      </w:tr>
      <w:tr w:rsidR="00763157">
        <w:trPr>
          <w:trHeight w:val="240"/>
        </w:trPr>
        <w:tc>
          <w:tcPr>
            <w:tcW w:w="1675"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75"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03 01 01 76</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Програма за единния пазар</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94"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val="en-US" w:eastAsia="en-US"/>
              </w:rPr>
            </w:pPr>
          </w:p>
        </w:tc>
        <w:tc>
          <w:tcPr>
            <w:tcW w:w="1166" w:type="dxa"/>
            <w:tcBorders>
              <w:top w:val="nil"/>
              <w:left w:val="nil"/>
              <w:bottom w:val="nil"/>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 xml:space="preserve">03 01 01 </w:t>
            </w:r>
            <w:r>
              <w:rPr>
                <w:noProof/>
                <w:color w:val="000000"/>
                <w:sz w:val="18"/>
                <w:szCs w:val="18"/>
              </w:rPr>
              <w:t>63</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Програма за конкурентоспособност на предприятията и МСП (COSME)</w:t>
            </w:r>
          </w:p>
        </w:tc>
      </w:tr>
      <w:tr w:rsidR="00763157">
        <w:trPr>
          <w:trHeight w:val="240"/>
        </w:trPr>
        <w:tc>
          <w:tcPr>
            <w:tcW w:w="1675"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75" w:type="dxa"/>
            <w:vMerge/>
            <w:tcBorders>
              <w:top w:val="nil"/>
              <w:left w:val="single" w:sz="4" w:space="0" w:color="auto"/>
              <w:bottom w:val="nil"/>
              <w:right w:val="single" w:sz="4" w:space="0" w:color="auto"/>
            </w:tcBorders>
            <w:vAlign w:val="center"/>
            <w:hideMark/>
          </w:tcPr>
          <w:p w:rsidR="00763157" w:rsidRDefault="00763157">
            <w:pPr>
              <w:rPr>
                <w:noProof/>
                <w:color w:val="000000"/>
                <w:sz w:val="18"/>
                <w:szCs w:val="18"/>
                <w:lang w:eastAsia="en-US"/>
              </w:rPr>
            </w:pPr>
          </w:p>
        </w:tc>
        <w:tc>
          <w:tcPr>
            <w:tcW w:w="1925" w:type="dxa"/>
            <w:vMerge/>
            <w:tcBorders>
              <w:top w:val="nil"/>
              <w:left w:val="single" w:sz="4" w:space="0" w:color="auto"/>
              <w:bottom w:val="nil"/>
              <w:right w:val="single" w:sz="4" w:space="0" w:color="auto"/>
            </w:tcBorders>
            <w:vAlign w:val="center"/>
            <w:hideMark/>
          </w:tcPr>
          <w:p w:rsidR="00763157" w:rsidRDefault="00763157">
            <w:pPr>
              <w:rPr>
                <w:noProof/>
                <w:color w:val="000000"/>
                <w:sz w:val="16"/>
                <w:szCs w:val="16"/>
                <w:lang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94" w:type="dxa"/>
            <w:tcBorders>
              <w:top w:val="nil"/>
              <w:left w:val="nil"/>
              <w:bottom w:val="nil"/>
              <w:right w:val="single" w:sz="4" w:space="0" w:color="auto"/>
            </w:tcBorders>
            <w:shd w:val="clear" w:color="auto" w:fill="auto"/>
            <w:vAlign w:val="center"/>
            <w:hideMark/>
          </w:tcPr>
          <w:p w:rsidR="00763157" w:rsidRDefault="00E45FF1">
            <w:pPr>
              <w:jc w:val="center"/>
              <w:rPr>
                <w:iCs/>
                <w:noProof/>
                <w:color w:val="000000"/>
                <w:sz w:val="18"/>
                <w:szCs w:val="18"/>
              </w:rPr>
            </w:pPr>
            <w:r>
              <w:rPr>
                <w:iCs/>
                <w:noProof/>
                <w:color w:val="000000"/>
                <w:sz w:val="18"/>
                <w:szCs w:val="18"/>
              </w:rPr>
              <w:t>CHAFEA</w:t>
            </w:r>
          </w:p>
        </w:tc>
        <w:tc>
          <w:tcPr>
            <w:tcW w:w="1166" w:type="dxa"/>
            <w:tcBorders>
              <w:top w:val="nil"/>
              <w:left w:val="nil"/>
              <w:bottom w:val="nil"/>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03 01 01 66</w:t>
            </w:r>
          </w:p>
        </w:tc>
        <w:tc>
          <w:tcPr>
            <w:tcW w:w="1809" w:type="dxa"/>
            <w:tcBorders>
              <w:top w:val="nil"/>
              <w:left w:val="nil"/>
              <w:bottom w:val="nil"/>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„Потребители“</w:t>
            </w:r>
          </w:p>
        </w:tc>
      </w:tr>
      <w:tr w:rsidR="00763157">
        <w:trPr>
          <w:trHeight w:val="240"/>
        </w:trPr>
        <w:tc>
          <w:tcPr>
            <w:tcW w:w="1675"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val="en-US" w:eastAsia="en-US"/>
              </w:rPr>
            </w:pPr>
          </w:p>
        </w:tc>
        <w:tc>
          <w:tcPr>
            <w:tcW w:w="1075"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05 01 01 76</w:t>
            </w:r>
          </w:p>
        </w:tc>
        <w:tc>
          <w:tcPr>
            <w:tcW w:w="1925"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Европейски фонд за регионално развитие (междурегионални инвестиции в иновации)</w:t>
            </w:r>
          </w:p>
        </w:tc>
        <w:tc>
          <w:tcPr>
            <w:tcW w:w="1066" w:type="dxa"/>
            <w:vMerge/>
            <w:tcBorders>
              <w:top w:val="nil"/>
              <w:left w:val="single" w:sz="4" w:space="0" w:color="auto"/>
              <w:bottom w:val="single" w:sz="4" w:space="0" w:color="000000"/>
              <w:right w:val="single" w:sz="4" w:space="0" w:color="auto"/>
            </w:tcBorders>
            <w:vAlign w:val="center"/>
            <w:hideMark/>
          </w:tcPr>
          <w:p w:rsidR="00763157" w:rsidRDefault="00763157">
            <w:pPr>
              <w:rPr>
                <w:noProof/>
                <w:color w:val="000000"/>
                <w:sz w:val="18"/>
                <w:szCs w:val="18"/>
                <w:lang w:eastAsia="en-US"/>
              </w:rPr>
            </w:pPr>
          </w:p>
        </w:tc>
        <w:tc>
          <w:tcPr>
            <w:tcW w:w="1094"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8"/>
                <w:szCs w:val="18"/>
              </w:rPr>
            </w:pPr>
            <w:r>
              <w:rPr>
                <w:noProof/>
                <w:color w:val="000000"/>
                <w:sz w:val="18"/>
                <w:szCs w:val="18"/>
              </w:rPr>
              <w:t>-</w:t>
            </w:r>
          </w:p>
        </w:tc>
        <w:tc>
          <w:tcPr>
            <w:tcW w:w="1166" w:type="dxa"/>
            <w:tcBorders>
              <w:top w:val="nil"/>
              <w:left w:val="nil"/>
              <w:bottom w:val="single" w:sz="4" w:space="0" w:color="auto"/>
              <w:right w:val="nil"/>
            </w:tcBorders>
            <w:shd w:val="clear" w:color="auto" w:fill="auto"/>
            <w:vAlign w:val="center"/>
            <w:hideMark/>
          </w:tcPr>
          <w:p w:rsidR="00763157" w:rsidRDefault="00E45FF1">
            <w:pPr>
              <w:jc w:val="center"/>
              <w:rPr>
                <w:noProof/>
                <w:color w:val="000000"/>
                <w:sz w:val="18"/>
                <w:szCs w:val="18"/>
              </w:rPr>
            </w:pPr>
            <w:r>
              <w:rPr>
                <w:noProof/>
                <w:color w:val="000000"/>
                <w:sz w:val="18"/>
                <w:szCs w:val="18"/>
              </w:rPr>
              <w:t>-</w:t>
            </w:r>
          </w:p>
        </w:tc>
        <w:tc>
          <w:tcPr>
            <w:tcW w:w="1809" w:type="dxa"/>
            <w:tcBorders>
              <w:top w:val="nil"/>
              <w:left w:val="nil"/>
              <w:bottom w:val="single" w:sz="4" w:space="0" w:color="auto"/>
              <w:right w:val="single" w:sz="4" w:space="0" w:color="auto"/>
            </w:tcBorders>
            <w:shd w:val="clear" w:color="auto" w:fill="auto"/>
            <w:vAlign w:val="center"/>
            <w:hideMark/>
          </w:tcPr>
          <w:p w:rsidR="00763157" w:rsidRDefault="00E45FF1">
            <w:pPr>
              <w:jc w:val="center"/>
              <w:rPr>
                <w:noProof/>
                <w:color w:val="000000"/>
                <w:sz w:val="16"/>
                <w:szCs w:val="16"/>
              </w:rPr>
            </w:pPr>
            <w:r>
              <w:rPr>
                <w:noProof/>
                <w:color w:val="000000"/>
                <w:sz w:val="16"/>
                <w:szCs w:val="16"/>
              </w:rPr>
              <w:t>-</w:t>
            </w:r>
          </w:p>
        </w:tc>
      </w:tr>
    </w:tbl>
    <w:p w:rsidR="00763157" w:rsidRDefault="00E45FF1">
      <w:pPr>
        <w:spacing w:before="120" w:after="120"/>
        <w:jc w:val="both"/>
        <w:rPr>
          <w:noProof/>
        </w:rPr>
      </w:pPr>
      <w:bookmarkStart w:id="124" w:name="_Toc54770327"/>
      <w:r>
        <w:rPr>
          <w:noProof/>
        </w:rPr>
        <w:t xml:space="preserve">Бюджетните кредити, съответстващи на субсидията, </w:t>
      </w:r>
      <w:r>
        <w:rPr>
          <w:noProof/>
        </w:rPr>
        <w:t>предвидена за всяка нова агенция през 2021 г. в пакета за делегиране, временно ще бъдат записани по наследените редове за субсидии и ще бъдат ограничени до равнището на бюджетните кредити, включени в бюджета за 2020 г., ако последните са по-ниски (разликат</w:t>
      </w:r>
      <w:r>
        <w:rPr>
          <w:noProof/>
        </w:rPr>
        <w:t>а ще бъде записана по новия ред за субсидии, когато е приложимо).</w:t>
      </w:r>
    </w:p>
    <w:p w:rsidR="00763157" w:rsidRDefault="00E45FF1">
      <w:pPr>
        <w:spacing w:before="120" w:after="120"/>
        <w:jc w:val="both"/>
        <w:rPr>
          <w:noProof/>
        </w:rPr>
      </w:pPr>
      <w:r>
        <w:rPr>
          <w:noProof/>
        </w:rPr>
        <w:t xml:space="preserve">Същият „паралелизъм“ е приложен по отношение на щатните разписания: предлага се да бъдат създадени шест нови щатни разписания за шестте нови изпълнителни агенции в допълнение към щатните </w:t>
      </w:r>
      <w:r>
        <w:rPr>
          <w:noProof/>
        </w:rPr>
        <w:t>разписания, включени в ПБ за 2021 г., за настоящите „наследени“ агенции. За 2021 г. не е приложено намаляване на щатните разписания на Комисията.</w:t>
      </w:r>
    </w:p>
    <w:p w:rsidR="00763157" w:rsidRDefault="00E45FF1">
      <w:pPr>
        <w:spacing w:before="120" w:after="120"/>
        <w:jc w:val="both"/>
        <w:rPr>
          <w:noProof/>
        </w:rPr>
      </w:pPr>
      <w:r>
        <w:rPr>
          <w:noProof/>
        </w:rPr>
        <w:t>„Наследените“ бюджетни редове за субсидии и щатните разписания на настоящите изпълнителни агенции ще бъдат обе</w:t>
      </w:r>
      <w:r>
        <w:rPr>
          <w:noProof/>
        </w:rPr>
        <w:t>динени с новите в коригиращ бюджет през 2021 г. или в рамките на бюджетната процедура за 2022 г.</w:t>
      </w:r>
    </w:p>
    <w:p w:rsidR="00763157" w:rsidRDefault="00E45FF1">
      <w:pPr>
        <w:pStyle w:val="ManualHeading1"/>
        <w:spacing w:before="240"/>
        <w:rPr>
          <w:noProof/>
        </w:rPr>
      </w:pPr>
      <w:bookmarkStart w:id="125" w:name="_Toc55807137"/>
      <w:bookmarkStart w:id="126" w:name="_Toc56247314"/>
      <w:r>
        <w:rPr>
          <w:noProof/>
        </w:rPr>
        <w:t>6.</w:t>
      </w:r>
      <w:r>
        <w:rPr>
          <w:noProof/>
        </w:rPr>
        <w:tab/>
        <w:t>Децентрализирани агенции</w:t>
      </w:r>
      <w:bookmarkEnd w:id="124"/>
      <w:bookmarkEnd w:id="125"/>
      <w:bookmarkEnd w:id="126"/>
    </w:p>
    <w:p w:rsidR="00763157" w:rsidRDefault="00E45FF1">
      <w:pPr>
        <w:keepNext/>
        <w:tabs>
          <w:tab w:val="left" w:pos="850"/>
        </w:tabs>
        <w:spacing w:before="360" w:after="120"/>
        <w:ind w:left="357" w:hanging="357"/>
        <w:jc w:val="both"/>
        <w:outlineLvl w:val="1"/>
        <w:rPr>
          <w:rFonts w:eastAsia="Calibri"/>
          <w:b/>
          <w:noProof/>
        </w:rPr>
      </w:pPr>
      <w:bookmarkStart w:id="127" w:name="_Toc54770328"/>
      <w:bookmarkStart w:id="128" w:name="_Toc55807138"/>
      <w:bookmarkStart w:id="129" w:name="_Toc56247315"/>
      <w:r>
        <w:rPr>
          <w:b/>
          <w:noProof/>
        </w:rPr>
        <w:t xml:space="preserve">6.1 </w:t>
      </w:r>
      <w:r>
        <w:rPr>
          <w:b/>
          <w:noProof/>
        </w:rPr>
        <w:tab/>
      </w:r>
      <w:bookmarkEnd w:id="105"/>
      <w:r>
        <w:rPr>
          <w:b/>
          <w:noProof/>
        </w:rPr>
        <w:t>Европейска агенция по лекарствата (EMA)</w:t>
      </w:r>
      <w:bookmarkEnd w:id="127"/>
      <w:bookmarkEnd w:id="128"/>
      <w:bookmarkEnd w:id="129"/>
    </w:p>
    <w:p w:rsidR="00763157" w:rsidRDefault="00E45FF1">
      <w:pPr>
        <w:spacing w:before="120" w:after="120"/>
        <w:jc w:val="both"/>
        <w:rPr>
          <w:noProof/>
        </w:rPr>
      </w:pPr>
      <w:r>
        <w:rPr>
          <w:noProof/>
        </w:rPr>
        <w:t xml:space="preserve">Медицинската промишленост разработва многобройни продукти в отговор на пандемията от </w:t>
      </w:r>
      <w:r>
        <w:rPr>
          <w:noProof/>
        </w:rPr>
        <w:t>COVID-19. Европейската агенция по лекарствата (EMA) ще трябва да оцени и разреши лекарствата и ваксините, които в момента се разработват и които се предлага да бъдат пуснати на пазара. Това създава временен пик в научната дейност на EMA, както и в ролята ѝ</w:t>
      </w:r>
      <w:r>
        <w:rPr>
          <w:noProof/>
        </w:rPr>
        <w:t xml:space="preserve"> на координатор. Поради това, считано от 2021 г., е оправдано броят на срочно наетите служители да бъде увеличен в продължение на две години с 40 срочно наети лица. Финансовите последици ще бъдат покрити чрез други приходи (такси) и няма да повлияят на фин</w:t>
      </w:r>
      <w:r>
        <w:rPr>
          <w:noProof/>
        </w:rPr>
        <w:t>ансовия принос от Съюза.</w:t>
      </w:r>
    </w:p>
    <w:p w:rsidR="00763157" w:rsidRDefault="00E45FF1">
      <w:pPr>
        <w:pStyle w:val="Default"/>
        <w:jc w:val="both"/>
        <w:rPr>
          <w:rFonts w:eastAsia="Calibri"/>
          <w:b/>
          <w:noProof/>
        </w:rPr>
      </w:pPr>
      <w:r>
        <w:rPr>
          <w:noProof/>
        </w:rPr>
        <w:t xml:space="preserve">Освен това, след приемането на есенния пакет от мерки за здравеопазването на 11 ноември 2020 г., се предлага ролята на ЕМА да бъде допълнително засилена, включително в структурен аспект. Тази инициатива има за цел да се гарантира, </w:t>
      </w:r>
      <w:r>
        <w:rPr>
          <w:noProof/>
        </w:rPr>
        <w:t>че в целия Съюз ще бъде избегнато възникването на критичен недостиг на лекарствени продукти и медицински изделия в случай на извънредна ситуация, свързана със здравето. Допълнителният персонал ще позволи също на EMA да създаде постоянна работна група, коят</w:t>
      </w:r>
      <w:r>
        <w:rPr>
          <w:noProof/>
        </w:rPr>
        <w:t xml:space="preserve">о да предоставя съвети относно лекарствата по време на кризи, и ще предостави възможност на Агенцията да използва повторно здравните </w:t>
      </w:r>
      <w:r>
        <w:rPr>
          <w:noProof/>
        </w:rPr>
        <w:lastRenderedPageBreak/>
        <w:t xml:space="preserve">данни за регулаторни цели в контекста на европейското пространство за здравни данни. За засилването на ролята на ЕМА ще са </w:t>
      </w:r>
      <w:r>
        <w:rPr>
          <w:noProof/>
        </w:rPr>
        <w:t>нужни увеличение на финансовия принос от Съюза с 28 милиона евро и 29 допълнителни човешки ресурса за 2021 г. (21 срочно наети служители и 8 договорно наети служители).</w:t>
      </w:r>
      <w:bookmarkStart w:id="130" w:name="_Toc54770329"/>
    </w:p>
    <w:p w:rsidR="00763157" w:rsidRDefault="00E45FF1">
      <w:pPr>
        <w:keepNext/>
        <w:tabs>
          <w:tab w:val="left" w:pos="850"/>
        </w:tabs>
        <w:spacing w:before="360" w:after="120"/>
        <w:ind w:left="357" w:hanging="357"/>
        <w:jc w:val="both"/>
        <w:outlineLvl w:val="1"/>
        <w:rPr>
          <w:rFonts w:eastAsia="Calibri"/>
          <w:b/>
          <w:noProof/>
        </w:rPr>
      </w:pPr>
      <w:bookmarkStart w:id="131" w:name="_Toc55807139"/>
      <w:bookmarkStart w:id="132" w:name="_Toc56247316"/>
      <w:r>
        <w:rPr>
          <w:b/>
          <w:noProof/>
        </w:rPr>
        <w:t>6.2</w:t>
      </w:r>
      <w:r>
        <w:rPr>
          <w:b/>
          <w:noProof/>
        </w:rPr>
        <w:tab/>
      </w:r>
      <w:r>
        <w:rPr>
          <w:b/>
          <w:noProof/>
        </w:rPr>
        <w:tab/>
        <w:t>Европейски център за профилактика и контрол върху заболяванията (ECDC)</w:t>
      </w:r>
      <w:bookmarkEnd w:id="130"/>
      <w:bookmarkEnd w:id="131"/>
      <w:bookmarkEnd w:id="132"/>
    </w:p>
    <w:p w:rsidR="00763157" w:rsidRDefault="00E45FF1">
      <w:pPr>
        <w:spacing w:before="120" w:after="120"/>
        <w:jc w:val="both"/>
        <w:rPr>
          <w:noProof/>
        </w:rPr>
      </w:pPr>
      <w:r>
        <w:rPr>
          <w:noProof/>
        </w:rPr>
        <w:t>Европейския</w:t>
      </w:r>
      <w:r>
        <w:rPr>
          <w:noProof/>
        </w:rPr>
        <w:t>т център за профилактика и контрол върху заболяванията (ECDC) постоянно оценява и съобщава настоящите и възникващите заплахи за човешкото здраве, произтичащи от заразни болести, и формулира препоръки за ответни действия на равнището на Съюза и на националн</w:t>
      </w:r>
      <w:r>
        <w:rPr>
          <w:noProof/>
        </w:rPr>
        <w:t>о равнище. Настоящата пандемия доказа, че силният ECDC е съществен елемент в Европейския здравен съюз. Споменатият по-горе есенен пакет от мерки за здравеопазването включваше и законодателно предложение, насочено към засилване на ролята на агенцията, което</w:t>
      </w:r>
      <w:r>
        <w:rPr>
          <w:noProof/>
        </w:rPr>
        <w:t xml:space="preserve"> ще ѝ позволи да увеличи подкрепата, която оказва на държавите членки посредством подготовка за готовност и бързи намеси в случай на здравна криза. Финансовото отражение на предложението налага увеличаване на финансовия принос от Съюза с 16 милиона евро и </w:t>
      </w:r>
      <w:r>
        <w:rPr>
          <w:noProof/>
        </w:rPr>
        <w:t xml:space="preserve">подсилване на човешките ресурси за 2021 г. (с 18 срочно наети служители и 13 договорно наети служители). </w:t>
      </w:r>
    </w:p>
    <w:p w:rsidR="00763157" w:rsidRDefault="00E45FF1">
      <w:pPr>
        <w:keepNext/>
        <w:tabs>
          <w:tab w:val="left" w:pos="850"/>
        </w:tabs>
        <w:spacing w:before="360" w:after="120"/>
        <w:ind w:left="357" w:hanging="357"/>
        <w:jc w:val="both"/>
        <w:outlineLvl w:val="1"/>
        <w:rPr>
          <w:rFonts w:eastAsia="Calibri"/>
          <w:b/>
          <w:noProof/>
        </w:rPr>
      </w:pPr>
      <w:bookmarkStart w:id="133" w:name="_Toc54770330"/>
      <w:bookmarkStart w:id="134" w:name="_Toc55807140"/>
      <w:bookmarkStart w:id="135" w:name="_Toc56247317"/>
      <w:bookmarkStart w:id="136" w:name="_Toc526753788"/>
      <w:r>
        <w:rPr>
          <w:b/>
          <w:noProof/>
        </w:rPr>
        <w:t xml:space="preserve">6.3 </w:t>
      </w:r>
      <w:r>
        <w:rPr>
          <w:b/>
          <w:noProof/>
        </w:rPr>
        <w:tab/>
        <w:t>Европейска агенция за околната среда (ЕАОС):</w:t>
      </w:r>
      <w:bookmarkEnd w:id="133"/>
      <w:bookmarkEnd w:id="134"/>
      <w:bookmarkEnd w:id="135"/>
    </w:p>
    <w:p w:rsidR="00763157" w:rsidRDefault="00E45FF1">
      <w:pPr>
        <w:spacing w:before="120" w:after="120"/>
        <w:jc w:val="both"/>
        <w:rPr>
          <w:noProof/>
        </w:rPr>
      </w:pPr>
      <w:r>
        <w:rPr>
          <w:noProof/>
        </w:rPr>
        <w:t>След като Регламентът за таксономията</w:t>
      </w:r>
      <w:r>
        <w:rPr>
          <w:rStyle w:val="FootnoteReference"/>
          <w:noProof/>
          <w:lang w:val="en-IE"/>
        </w:rPr>
        <w:footnoteReference w:id="26"/>
      </w:r>
      <w:r>
        <w:rPr>
          <w:noProof/>
        </w:rPr>
        <w:t xml:space="preserve"> бе приет от Съвета и Парламента на 18 юни 2020 г., трябва да </w:t>
      </w:r>
      <w:r>
        <w:rPr>
          <w:noProof/>
        </w:rPr>
        <w:t>бъде добавен още един срочно нает служител в сравнение с щатното разписание, включено в ПБ за 2021 г.</w:t>
      </w:r>
    </w:p>
    <w:p w:rsidR="00763157" w:rsidRDefault="00E45FF1">
      <w:pPr>
        <w:spacing w:before="120" w:after="120"/>
        <w:jc w:val="both"/>
        <w:rPr>
          <w:noProof/>
        </w:rPr>
      </w:pPr>
      <w:r>
        <w:rPr>
          <w:noProof/>
        </w:rPr>
        <w:t>Освен това на Агенцията са възложени допълнителни задачи по линия на 8-ата програма за действие за околната среда, за които са нужни 9 срочно наети служит</w:t>
      </w:r>
      <w:r>
        <w:rPr>
          <w:noProof/>
        </w:rPr>
        <w:t>ели и 6 договорно наети служители, както и увеличение на финансовия принос от ЕС в размер на 3,2 милиона евро. Това увеличение се компенсира от съответно по размер намаление на бюджета на програмата LIFE.</w:t>
      </w:r>
    </w:p>
    <w:p w:rsidR="00763157" w:rsidRDefault="00E45FF1">
      <w:pPr>
        <w:keepNext/>
        <w:tabs>
          <w:tab w:val="left" w:pos="850"/>
        </w:tabs>
        <w:spacing w:before="360" w:after="120"/>
        <w:ind w:left="357" w:hanging="357"/>
        <w:jc w:val="both"/>
        <w:outlineLvl w:val="1"/>
        <w:rPr>
          <w:rFonts w:eastAsia="Calibri"/>
          <w:b/>
          <w:noProof/>
        </w:rPr>
      </w:pPr>
      <w:bookmarkStart w:id="137" w:name="_Toc54770331"/>
      <w:bookmarkStart w:id="138" w:name="_Toc55807141"/>
      <w:bookmarkStart w:id="139" w:name="_Toc56247318"/>
      <w:r>
        <w:rPr>
          <w:b/>
          <w:noProof/>
        </w:rPr>
        <w:t xml:space="preserve">6.4 </w:t>
      </w:r>
      <w:r>
        <w:rPr>
          <w:b/>
          <w:noProof/>
        </w:rPr>
        <w:tab/>
        <w:t>Европейска агенция по химикали (ЕСНА)</w:t>
      </w:r>
      <w:bookmarkEnd w:id="137"/>
      <w:bookmarkEnd w:id="138"/>
      <w:bookmarkEnd w:id="139"/>
    </w:p>
    <w:p w:rsidR="00763157" w:rsidRDefault="00E45FF1">
      <w:pPr>
        <w:spacing w:before="120" w:after="120"/>
        <w:jc w:val="both"/>
        <w:rPr>
          <w:noProof/>
        </w:rPr>
      </w:pPr>
      <w:r>
        <w:rPr>
          <w:noProof/>
        </w:rPr>
        <w:t>Европейс</w:t>
      </w:r>
      <w:r>
        <w:rPr>
          <w:noProof/>
        </w:rPr>
        <w:t>ката агенция по химикали (ECHA) отчете рязък спад на приходите от такси през 2020 г. за дейностите си в областта на законодателството за биоцидите. Произтичащият недостиг на средства трябва да бъде компенсиран чрез увеличаване на финансовия принос от Съюза</w:t>
      </w:r>
      <w:r>
        <w:rPr>
          <w:noProof/>
        </w:rPr>
        <w:t xml:space="preserve"> в размер на 3,2 милиона евро. </w:t>
      </w:r>
    </w:p>
    <w:p w:rsidR="00763157" w:rsidRDefault="00E45FF1">
      <w:pPr>
        <w:spacing w:before="120" w:after="120"/>
        <w:jc w:val="both"/>
        <w:rPr>
          <w:noProof/>
        </w:rPr>
      </w:pPr>
      <w:r>
        <w:rPr>
          <w:noProof/>
        </w:rPr>
        <w:t>На Агенцията са възложени също така допълнителни задачи в сферата на опасните химикали по линия на 8-ата програма за действие за околната среда, за които са нужни 1 срочно нает служител и 1 договорно нает служител, както и у</w:t>
      </w:r>
      <w:r>
        <w:rPr>
          <w:noProof/>
        </w:rPr>
        <w:t>величение на финансовия принос от Съюза в размер на 0,3 милиона евро. Това увеличение се компенсира от съответно по размер намаление на бюджета на програмата LIFE.</w:t>
      </w:r>
    </w:p>
    <w:p w:rsidR="00763157" w:rsidRDefault="00E45FF1">
      <w:pPr>
        <w:keepNext/>
        <w:tabs>
          <w:tab w:val="left" w:pos="850"/>
        </w:tabs>
        <w:spacing w:before="360" w:after="120"/>
        <w:ind w:left="357" w:hanging="357"/>
        <w:jc w:val="both"/>
        <w:outlineLvl w:val="1"/>
        <w:rPr>
          <w:rFonts w:eastAsia="Calibri"/>
          <w:b/>
          <w:noProof/>
        </w:rPr>
      </w:pPr>
      <w:bookmarkStart w:id="140" w:name="_Toc54770332"/>
      <w:bookmarkStart w:id="141" w:name="_Toc55807142"/>
      <w:bookmarkStart w:id="142" w:name="_Toc56247319"/>
      <w:r>
        <w:rPr>
          <w:b/>
          <w:noProof/>
        </w:rPr>
        <w:t xml:space="preserve">6.5 </w:t>
      </w:r>
      <w:r>
        <w:rPr>
          <w:b/>
          <w:noProof/>
        </w:rPr>
        <w:tab/>
        <w:t>Европейски банков орган (ЕБО)</w:t>
      </w:r>
      <w:bookmarkEnd w:id="140"/>
      <w:bookmarkEnd w:id="141"/>
      <w:bookmarkEnd w:id="142"/>
    </w:p>
    <w:p w:rsidR="00763157" w:rsidRDefault="00E45FF1">
      <w:pPr>
        <w:jc w:val="both"/>
        <w:rPr>
          <w:noProof/>
        </w:rPr>
      </w:pPr>
      <w:r>
        <w:rPr>
          <w:noProof/>
        </w:rPr>
        <w:t xml:space="preserve">Европейският банков орган (ЕБО) коригира разпределението </w:t>
      </w:r>
      <w:r>
        <w:rPr>
          <w:noProof/>
        </w:rPr>
        <w:t>на възстановяването на излишъка на ЕБО от 2019 г., което доведе до по-висок дял за Съюза. Увеличените целеви приходи намаляват нуждата от нови бюджетни кредити през 2021 г. (-276 639 EUR).</w:t>
      </w:r>
    </w:p>
    <w:p w:rsidR="00763157" w:rsidRDefault="00E45FF1">
      <w:pPr>
        <w:keepNext/>
        <w:tabs>
          <w:tab w:val="left" w:pos="850"/>
        </w:tabs>
        <w:spacing w:before="360" w:after="120"/>
        <w:ind w:left="357" w:hanging="357"/>
        <w:jc w:val="both"/>
        <w:outlineLvl w:val="1"/>
        <w:rPr>
          <w:rFonts w:eastAsia="Calibri"/>
          <w:b/>
          <w:noProof/>
        </w:rPr>
      </w:pPr>
      <w:bookmarkStart w:id="143" w:name="_Toc54770333"/>
      <w:bookmarkStart w:id="144" w:name="_Toc55807143"/>
      <w:bookmarkStart w:id="145" w:name="_Toc56247320"/>
      <w:r>
        <w:rPr>
          <w:b/>
          <w:noProof/>
        </w:rPr>
        <w:t xml:space="preserve">6.6 </w:t>
      </w:r>
      <w:r>
        <w:rPr>
          <w:b/>
          <w:noProof/>
        </w:rPr>
        <w:tab/>
        <w:t>Европейска служба за подкрепа в областта на убежището (EASO)</w:t>
      </w:r>
      <w:bookmarkEnd w:id="143"/>
      <w:bookmarkEnd w:id="144"/>
      <w:bookmarkEnd w:id="145"/>
    </w:p>
    <w:p w:rsidR="00763157" w:rsidRDefault="00E45FF1">
      <w:pPr>
        <w:jc w:val="both"/>
        <w:rPr>
          <w:b/>
          <w:smallCaps/>
          <w:noProof/>
        </w:rPr>
      </w:pPr>
      <w:r>
        <w:rPr>
          <w:noProof/>
        </w:rPr>
        <w:t>П</w:t>
      </w:r>
      <w:r>
        <w:rPr>
          <w:noProof/>
        </w:rPr>
        <w:t>оради структурната липса на командироване на национални експерти от държавите членки Европейската служба за подкрепа в областта на убежището (EASO) трябваше да изпълни част от мисиите си посредством временни работници. Тъй като обаче техните договори не мо</w:t>
      </w:r>
      <w:r>
        <w:rPr>
          <w:noProof/>
        </w:rPr>
        <w:t xml:space="preserve">гат да </w:t>
      </w:r>
      <w:r>
        <w:rPr>
          <w:noProof/>
        </w:rPr>
        <w:lastRenderedPageBreak/>
        <w:t>бъдат продължавани постоянно, EASO информира Комисията за намерението си временно да замени 58 временни работници с договорно наети служители с договор с максимална продължителност от 1 година. Предложеното заместване на временни работници с договор</w:t>
      </w:r>
      <w:r>
        <w:rPr>
          <w:noProof/>
        </w:rPr>
        <w:t>но наети служители няма да се отрази на бюджетните кредити, предвидени за агенцията в ПБ за 2021 г. Заедно с Комисията EASO ще използва годината за намиране на структурно решение за липсата на национални експерти, изпратени от държавите членки в EASO.</w:t>
      </w:r>
      <w:bookmarkStart w:id="146" w:name="_Toc54770334"/>
      <w:bookmarkStart w:id="147" w:name="_Toc526753789"/>
      <w:bookmarkEnd w:id="136"/>
    </w:p>
    <w:p w:rsidR="00763157" w:rsidRDefault="00E45FF1">
      <w:pPr>
        <w:pStyle w:val="ManualHeading1"/>
        <w:spacing w:before="240"/>
        <w:rPr>
          <w:noProof/>
        </w:rPr>
      </w:pPr>
      <w:bookmarkStart w:id="148" w:name="_Toc55807144"/>
      <w:bookmarkStart w:id="149" w:name="_Toc56247321"/>
      <w:r>
        <w:rPr>
          <w:noProof/>
        </w:rPr>
        <w:t>7.</w:t>
      </w:r>
      <w:r>
        <w:rPr>
          <w:noProof/>
        </w:rPr>
        <w:tab/>
        <w:t>К</w:t>
      </w:r>
      <w:r>
        <w:rPr>
          <w:noProof/>
        </w:rPr>
        <w:t>орекции във функция 7 „Европейска публична администрация“</w:t>
      </w:r>
      <w:bookmarkEnd w:id="146"/>
      <w:bookmarkEnd w:id="148"/>
      <w:bookmarkEnd w:id="149"/>
    </w:p>
    <w:p w:rsidR="00763157" w:rsidRDefault="00E45FF1">
      <w:pPr>
        <w:keepNext/>
        <w:tabs>
          <w:tab w:val="left" w:pos="850"/>
        </w:tabs>
        <w:spacing w:before="360" w:after="120"/>
        <w:ind w:left="357" w:hanging="357"/>
        <w:jc w:val="both"/>
        <w:outlineLvl w:val="1"/>
        <w:rPr>
          <w:rFonts w:eastAsia="Calibri"/>
          <w:b/>
          <w:noProof/>
        </w:rPr>
      </w:pPr>
      <w:bookmarkStart w:id="150" w:name="_Toc54770335"/>
      <w:bookmarkStart w:id="151" w:name="_Toc55807145"/>
      <w:bookmarkStart w:id="152" w:name="_Toc56247322"/>
      <w:r>
        <w:rPr>
          <w:b/>
          <w:noProof/>
        </w:rPr>
        <w:t>7.1</w:t>
      </w:r>
      <w:r>
        <w:rPr>
          <w:b/>
          <w:noProof/>
        </w:rPr>
        <w:tab/>
      </w:r>
      <w:r>
        <w:rPr>
          <w:b/>
          <w:noProof/>
        </w:rPr>
        <w:tab/>
        <w:t>Индексация на заплатите, считано от 1 юли 2020 г.</w:t>
      </w:r>
      <w:bookmarkEnd w:id="150"/>
      <w:bookmarkEnd w:id="151"/>
      <w:bookmarkEnd w:id="152"/>
    </w:p>
    <w:p w:rsidR="00763157" w:rsidRDefault="00E45FF1">
      <w:pPr>
        <w:autoSpaceDE w:val="0"/>
        <w:autoSpaceDN w:val="0"/>
        <w:adjustRightInd w:val="0"/>
        <w:spacing w:before="120" w:after="120"/>
        <w:jc w:val="both"/>
        <w:rPr>
          <w:noProof/>
        </w:rPr>
      </w:pPr>
      <w:r>
        <w:rPr>
          <w:noProof/>
        </w:rPr>
        <w:t>В съответствие с членове 64 и 65 от Правилника за длъжностните лица</w:t>
      </w:r>
      <w:r>
        <w:rPr>
          <w:rStyle w:val="FootnoteReference"/>
          <w:noProof/>
        </w:rPr>
        <w:footnoteReference w:id="27"/>
      </w:r>
      <w:r>
        <w:rPr>
          <w:noProof/>
        </w:rPr>
        <w:t xml:space="preserve"> възнаграждението на длъжностните лица и на другите служители на Европейски</w:t>
      </w:r>
      <w:r>
        <w:rPr>
          <w:noProof/>
        </w:rPr>
        <w:t xml:space="preserve">я съюз се актуализира ежегодно съгласно доклад на Комисията, който се изготвя въз основа на статистически данни, подготвени от Евростат със съгласието на националните статистически служби на държавите членки и отразяващи положението в държавите членки към </w:t>
      </w:r>
      <w:r>
        <w:rPr>
          <w:noProof/>
        </w:rPr>
        <w:t>1 юли.</w:t>
      </w:r>
    </w:p>
    <w:p w:rsidR="00763157" w:rsidRDefault="00E45FF1">
      <w:pPr>
        <w:autoSpaceDE w:val="0"/>
        <w:autoSpaceDN w:val="0"/>
        <w:adjustRightInd w:val="0"/>
        <w:spacing w:before="120" w:after="120"/>
        <w:jc w:val="both"/>
        <w:rPr>
          <w:noProof/>
        </w:rPr>
      </w:pPr>
      <w:r>
        <w:rPr>
          <w:noProof/>
        </w:rPr>
        <w:t>Изчисляването на актуализацията се базира на принципа на паралелност между изменението на реалните (без инфлация) възнаграждения на длъжностните лица на Съюза и тези на националните държавни служители на държавите членки. То отразява общото въздейст</w:t>
      </w:r>
      <w:r>
        <w:rPr>
          <w:noProof/>
        </w:rPr>
        <w:t>вие на две основни променливи:</w:t>
      </w:r>
    </w:p>
    <w:p w:rsidR="00763157" w:rsidRDefault="00E45FF1">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специфичния показател, който отразява промените в покупателната способност на заплатите на националните държавни служители в централните правителства на извадка от 11 държави членки, представляващи над 75 % от БВП на Съюза;</w:t>
      </w:r>
    </w:p>
    <w:p w:rsidR="00763157" w:rsidRDefault="00E45FF1">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общия индекс (ОИ), който отразява годишната инфлация в Брюксел и Люксембург, изчислена чрез претегляне на инфлацията на националните потребителски цени, измерена с ХИПЦ за Белгия</w:t>
      </w:r>
      <w:r>
        <w:rPr>
          <w:rStyle w:val="FootnoteReference"/>
          <w:rFonts w:ascii="Times New Roman" w:eastAsia="Times New Roman" w:hAnsi="Times New Roman"/>
          <w:noProof/>
          <w:sz w:val="24"/>
          <w:szCs w:val="24"/>
          <w:lang w:val="en-GB" w:eastAsia="en-GB"/>
        </w:rPr>
        <w:footnoteReference w:id="28"/>
      </w:r>
      <w:r>
        <w:rPr>
          <w:rFonts w:ascii="Times New Roman" w:hAnsi="Times New Roman"/>
          <w:noProof/>
          <w:sz w:val="24"/>
          <w:szCs w:val="24"/>
        </w:rPr>
        <w:t xml:space="preserve"> и ИПЦ за Люксембург</w:t>
      </w:r>
      <w:r>
        <w:rPr>
          <w:rStyle w:val="FootnoteReference"/>
          <w:rFonts w:ascii="Times New Roman" w:eastAsia="Times New Roman" w:hAnsi="Times New Roman"/>
          <w:noProof/>
          <w:sz w:val="24"/>
          <w:szCs w:val="24"/>
          <w:lang w:val="en-GB" w:eastAsia="en-GB"/>
        </w:rPr>
        <w:footnoteReference w:id="29"/>
      </w:r>
      <w:r>
        <w:rPr>
          <w:rFonts w:ascii="Times New Roman" w:hAnsi="Times New Roman"/>
          <w:noProof/>
          <w:sz w:val="24"/>
          <w:szCs w:val="24"/>
        </w:rPr>
        <w:t>, в съответствие с разпределението на персонала на Съюза</w:t>
      </w:r>
      <w:r>
        <w:rPr>
          <w:rFonts w:ascii="Times New Roman" w:hAnsi="Times New Roman"/>
          <w:noProof/>
          <w:sz w:val="24"/>
          <w:szCs w:val="24"/>
        </w:rPr>
        <w:t>, който работи в тези държави членки.</w:t>
      </w:r>
    </w:p>
    <w:p w:rsidR="00763157" w:rsidRDefault="00E45FF1">
      <w:pPr>
        <w:autoSpaceDE w:val="0"/>
        <w:autoSpaceDN w:val="0"/>
        <w:adjustRightInd w:val="0"/>
        <w:spacing w:before="120" w:after="120"/>
        <w:jc w:val="both"/>
        <w:rPr>
          <w:noProof/>
        </w:rPr>
      </w:pPr>
      <w:r>
        <w:rPr>
          <w:noProof/>
        </w:rPr>
        <w:t>Тези два елемента се умножават, за да се получи ставката на актуализацията.</w:t>
      </w:r>
    </w:p>
    <w:p w:rsidR="00763157" w:rsidRDefault="00E45FF1">
      <w:pPr>
        <w:autoSpaceDE w:val="0"/>
        <w:autoSpaceDN w:val="0"/>
        <w:adjustRightInd w:val="0"/>
        <w:spacing w:before="120" w:after="120"/>
        <w:jc w:val="both"/>
        <w:rPr>
          <w:noProof/>
        </w:rPr>
      </w:pPr>
      <w:r>
        <w:rPr>
          <w:noProof/>
        </w:rPr>
        <w:t>Както е посочено в член 11 от приложение XI към Правилника за длъжностните лица („клауза за изключване“), когато според прогнозите на Комисият</w:t>
      </w:r>
      <w:r>
        <w:rPr>
          <w:noProof/>
        </w:rPr>
        <w:t>а е налице намаляване на реалния БВП на Съюза за текущата година и специфичният показател е положителен, за изчисляване на размера на актуализацията се използва само част от специфичния показател. В случай на намаляване на БВП с над 3 % специфичният показа</w:t>
      </w:r>
      <w:r>
        <w:rPr>
          <w:noProof/>
        </w:rPr>
        <w:t>тел ще бъде определен на 0 % за 2020 г. Стойността на специфичния показател, която не е използвана за актуализиране на възнагражденията и пенсиите през 2020 г., ще представлява основата за изчисляването на бъдеща актуализация, след като кумулативното увели</w:t>
      </w:r>
      <w:r>
        <w:rPr>
          <w:noProof/>
        </w:rPr>
        <w:t>чаване на БВП на Съюза стане положително.</w:t>
      </w:r>
    </w:p>
    <w:p w:rsidR="00763157" w:rsidRDefault="00E45FF1">
      <w:pPr>
        <w:autoSpaceDE w:val="0"/>
        <w:autoSpaceDN w:val="0"/>
        <w:adjustRightInd w:val="0"/>
        <w:spacing w:before="120" w:after="120"/>
        <w:jc w:val="both"/>
        <w:rPr>
          <w:noProof/>
        </w:rPr>
      </w:pPr>
      <w:r>
        <w:rPr>
          <w:noProof/>
        </w:rPr>
        <w:t>Според последната прогноза на Комисията вследствие на кризата с COVID-19 се очаква реалният БВП на ЕС през календарната 2020 г. да намалее с 8,3 %. Следователно клаузата за изключване ще бъде задействана и специфич</w:t>
      </w:r>
      <w:r>
        <w:rPr>
          <w:noProof/>
        </w:rPr>
        <w:t>ният показател ще бъде 0 %, а актуализацията на заплатите на 1 юли 2020 г. ще съответства единствено на промяната на ОИ за периода юли 2019 г. — юли 2020 г.</w:t>
      </w:r>
    </w:p>
    <w:p w:rsidR="00763157" w:rsidRDefault="00E45FF1">
      <w:pPr>
        <w:autoSpaceDE w:val="0"/>
        <w:autoSpaceDN w:val="0"/>
        <w:adjustRightInd w:val="0"/>
        <w:spacing w:before="120" w:after="120"/>
        <w:jc w:val="both"/>
        <w:rPr>
          <w:noProof/>
        </w:rPr>
      </w:pPr>
      <w:r>
        <w:rPr>
          <w:noProof/>
        </w:rPr>
        <w:t>Евростат потвърди, че този ОИ възлиза на 0,7 %, в доклада за годишната актуализация на възнагражден</w:t>
      </w:r>
      <w:r>
        <w:rPr>
          <w:noProof/>
        </w:rPr>
        <w:t>ията и пенсиите, публикуван на 31 октомври 2020 г., в съответствие с разпоредбите на приложение XI към Правилника за длъжностните лица, докато преразгледаната прогнозна ставка за актуализация на заплатите към 1 юли 2020 г., използвана при изготвянето на ПБ</w:t>
      </w:r>
      <w:r>
        <w:rPr>
          <w:noProof/>
        </w:rPr>
        <w:t xml:space="preserve"> за 2021 г. (отражение през цялата година), бе 0,9 %.</w:t>
      </w:r>
    </w:p>
    <w:p w:rsidR="00763157" w:rsidRDefault="00E45FF1">
      <w:pPr>
        <w:autoSpaceDE w:val="0"/>
        <w:autoSpaceDN w:val="0"/>
        <w:adjustRightInd w:val="0"/>
        <w:spacing w:before="120" w:after="120"/>
        <w:jc w:val="both"/>
        <w:rPr>
          <w:rFonts w:eastAsia="Calibri"/>
          <w:b/>
          <w:noProof/>
        </w:rPr>
      </w:pPr>
      <w:r>
        <w:rPr>
          <w:noProof/>
        </w:rPr>
        <w:lastRenderedPageBreak/>
        <w:t>Поради това бюджетните кредити по функция 7 „Администрация“ от МФР следва да бъдат намалени с 22,0 милиона евро за 2021 г., от които 5,9 милиона евро за Комисията, 4,4 милиона евро за пенсиите на всички</w:t>
      </w:r>
      <w:r>
        <w:rPr>
          <w:noProof/>
        </w:rPr>
        <w:t xml:space="preserve"> институции и 4,8 милиона евро за всички останали институции. Оставащото намаление в размер на 7,0 милиона евро се отнася до Европейските училища, за които бюджетното искане в ПБ за 2021 г. съответства на ставка за актуализация на заплатите от 3,1 %, т.е. </w:t>
      </w:r>
      <w:r>
        <w:rPr>
          <w:noProof/>
        </w:rPr>
        <w:t>първоначалната прогнозна ставка, използвана от Комисията през пролетта на 2020 г.</w:t>
      </w:r>
      <w:r>
        <w:rPr>
          <w:rStyle w:val="FootnoteReference"/>
          <w:noProof/>
        </w:rPr>
        <w:footnoteReference w:id="30"/>
      </w:r>
      <w:bookmarkStart w:id="153" w:name="_Toc54770336"/>
    </w:p>
    <w:p w:rsidR="00763157" w:rsidRDefault="00E45FF1">
      <w:pPr>
        <w:keepNext/>
        <w:tabs>
          <w:tab w:val="left" w:pos="850"/>
        </w:tabs>
        <w:spacing w:before="360" w:after="120"/>
        <w:ind w:left="357" w:hanging="357"/>
        <w:jc w:val="both"/>
        <w:outlineLvl w:val="1"/>
        <w:rPr>
          <w:rFonts w:eastAsia="Calibri"/>
          <w:b/>
          <w:noProof/>
        </w:rPr>
      </w:pPr>
      <w:bookmarkStart w:id="154" w:name="_Toc55807146"/>
      <w:bookmarkStart w:id="155" w:name="_Toc56247323"/>
      <w:r>
        <w:rPr>
          <w:b/>
          <w:noProof/>
        </w:rPr>
        <w:t>7.2</w:t>
      </w:r>
      <w:r>
        <w:rPr>
          <w:b/>
          <w:noProof/>
        </w:rPr>
        <w:tab/>
      </w:r>
      <w:r>
        <w:rPr>
          <w:b/>
          <w:noProof/>
        </w:rPr>
        <w:tab/>
        <w:t>Увеличаване на средствата за Европейския парламент</w:t>
      </w:r>
      <w:bookmarkEnd w:id="153"/>
      <w:bookmarkEnd w:id="154"/>
      <w:bookmarkEnd w:id="155"/>
    </w:p>
    <w:p w:rsidR="00763157" w:rsidRDefault="00E45FF1">
      <w:pPr>
        <w:autoSpaceDE w:val="0"/>
        <w:autoSpaceDN w:val="0"/>
        <w:adjustRightInd w:val="0"/>
        <w:spacing w:before="120" w:after="120"/>
        <w:jc w:val="both"/>
        <w:rPr>
          <w:noProof/>
        </w:rPr>
      </w:pPr>
      <w:r>
        <w:rPr>
          <w:noProof/>
        </w:rPr>
        <w:t>Европейският парламент поиска увеличение в размер на общо 4,6 милиона евро, предназначени за следното:</w:t>
      </w:r>
    </w:p>
    <w:p w:rsidR="00763157" w:rsidRDefault="00E45FF1">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noProof/>
          <w:sz w:val="24"/>
          <w:szCs w:val="24"/>
        </w:rPr>
      </w:pPr>
      <w:r>
        <w:rPr>
          <w:rFonts w:ascii="Times New Roman" w:hAnsi="Times New Roman"/>
          <w:noProof/>
          <w:sz w:val="24"/>
          <w:szCs w:val="24"/>
        </w:rPr>
        <w:t xml:space="preserve">oставащите </w:t>
      </w:r>
      <w:r>
        <w:rPr>
          <w:rFonts w:ascii="Times New Roman" w:hAnsi="Times New Roman"/>
          <w:noProof/>
          <w:sz w:val="24"/>
          <w:szCs w:val="24"/>
        </w:rPr>
        <w:t>разходи за строителство на сгради, предвидени за 2021 г., на стойност 2,1 милиона евро (строителни работи, консултантски хонорари, първоначални дейности и доставки, свързани с оборудването на сградите, с цел привеждането им в състояние за експлоатация, как</w:t>
      </w:r>
      <w:r>
        <w:rPr>
          <w:rFonts w:ascii="Times New Roman" w:hAnsi="Times New Roman"/>
          <w:noProof/>
          <w:sz w:val="24"/>
          <w:szCs w:val="24"/>
        </w:rPr>
        <w:t>то и всички свързани с това други разходи), както и разходите за оборудване и свързаните с това други разходи, и по-специално хонорарите на архитекти и инженери, съгласно прогнозите на Европейския парламент;</w:t>
      </w:r>
    </w:p>
    <w:p w:rsidR="00763157" w:rsidRDefault="00E45FF1">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iCs/>
          <w:noProof/>
          <w:sz w:val="24"/>
          <w:szCs w:val="24"/>
        </w:rPr>
      </w:pPr>
      <w:r>
        <w:rPr>
          <w:rFonts w:ascii="Times New Roman" w:hAnsi="Times New Roman"/>
          <w:noProof/>
          <w:sz w:val="24"/>
          <w:szCs w:val="24"/>
        </w:rPr>
        <w:t>увеличаването на резерва за непредвидени разходи</w:t>
      </w:r>
      <w:r>
        <w:rPr>
          <w:rFonts w:ascii="Times New Roman" w:hAnsi="Times New Roman"/>
          <w:noProof/>
          <w:sz w:val="24"/>
          <w:szCs w:val="24"/>
        </w:rPr>
        <w:t xml:space="preserve"> в размер на 2,6 милиона евро с цел покриване на допълнителните разходи, произтичащи от бюджетни решения, взети през финансовата година, включително тези, свързани с продължаващата криза с COVID-19.</w:t>
      </w:r>
    </w:p>
    <w:p w:rsidR="00763157" w:rsidRDefault="00E45FF1">
      <w:pPr>
        <w:keepNext/>
        <w:tabs>
          <w:tab w:val="left" w:pos="850"/>
        </w:tabs>
        <w:spacing w:before="360" w:after="120"/>
        <w:ind w:left="357" w:hanging="357"/>
        <w:jc w:val="both"/>
        <w:outlineLvl w:val="1"/>
        <w:rPr>
          <w:b/>
          <w:noProof/>
        </w:rPr>
      </w:pPr>
      <w:bookmarkStart w:id="156" w:name="_Toc54770337"/>
      <w:bookmarkStart w:id="157" w:name="_Toc55807147"/>
      <w:r>
        <w:rPr>
          <w:b/>
          <w:noProof/>
        </w:rPr>
        <w:t>7.3</w:t>
      </w:r>
      <w:r>
        <w:rPr>
          <w:b/>
          <w:noProof/>
        </w:rPr>
        <w:tab/>
      </w:r>
      <w:r>
        <w:rPr>
          <w:b/>
          <w:noProof/>
        </w:rPr>
        <w:tab/>
        <w:t xml:space="preserve">Увеличаване на средствата за Европейската служба за </w:t>
      </w:r>
      <w:r>
        <w:rPr>
          <w:b/>
          <w:noProof/>
        </w:rPr>
        <w:t>външна дейност (ЕСВД)</w:t>
      </w:r>
      <w:bookmarkEnd w:id="156"/>
      <w:bookmarkEnd w:id="157"/>
    </w:p>
    <w:p w:rsidR="00763157" w:rsidRDefault="00E45FF1">
      <w:pPr>
        <w:tabs>
          <w:tab w:val="left" w:pos="851"/>
        </w:tabs>
        <w:spacing w:before="240" w:after="120"/>
        <w:jc w:val="both"/>
        <w:rPr>
          <w:bCs/>
          <w:noProof/>
        </w:rPr>
      </w:pPr>
      <w:r>
        <w:rPr>
          <w:i/>
          <w:noProof/>
        </w:rPr>
        <w:t xml:space="preserve">7.3.1 </w:t>
      </w:r>
      <w:r>
        <w:rPr>
          <w:i/>
          <w:noProof/>
        </w:rPr>
        <w:tab/>
        <w:t>Допълнителни ресурси за Европейския механизъм за подкрепа на мира (ЕМПМ)</w:t>
      </w:r>
    </w:p>
    <w:p w:rsidR="00763157" w:rsidRDefault="00E45FF1">
      <w:pPr>
        <w:autoSpaceDE w:val="0"/>
        <w:autoSpaceDN w:val="0"/>
        <w:adjustRightInd w:val="0"/>
        <w:spacing w:before="120" w:after="120"/>
        <w:jc w:val="both"/>
        <w:rPr>
          <w:noProof/>
        </w:rPr>
      </w:pPr>
      <w:r>
        <w:rPr>
          <w:noProof/>
        </w:rPr>
        <w:t xml:space="preserve">Предложението относно ЕМПМ, който е извънбюджетен фонд на стойност 5,7 милиарда евро през следващата МФР, възлага отговорността за редица нови функции на </w:t>
      </w:r>
      <w:r>
        <w:rPr>
          <w:noProof/>
        </w:rPr>
        <w:t>ЕСВД. Тя ще трябва по-конкретно да подготви, проведе пилотно и проследи определени елементи на мерките за помощ, които ще бъдат финансирани по линия на ЕМПМ, като обхване техните политически, оперативни и финансови аспекти в концептуални бележки, предложен</w:t>
      </w:r>
      <w:r>
        <w:rPr>
          <w:noProof/>
        </w:rPr>
        <w:t>ия за мерки за помощ, договорености с бенефициерите и други последващи действия.</w:t>
      </w:r>
    </w:p>
    <w:p w:rsidR="00763157" w:rsidRDefault="00E45FF1">
      <w:pPr>
        <w:autoSpaceDE w:val="0"/>
        <w:autoSpaceDN w:val="0"/>
        <w:adjustRightInd w:val="0"/>
        <w:spacing w:before="120" w:after="120"/>
        <w:jc w:val="both"/>
        <w:rPr>
          <w:noProof/>
        </w:rPr>
      </w:pPr>
      <w:r>
        <w:rPr>
          <w:noProof/>
        </w:rPr>
        <w:t>Действията могат да обхващат финансова подкрепа за трета страна, предоставяне на военно оборудване и инфраструктура или интегрирани пакети, включващи предоставяне на военно об</w:t>
      </w:r>
      <w:r>
        <w:rPr>
          <w:noProof/>
        </w:rPr>
        <w:t>орудване и инфраструктура с военно обучение чрез мисия на ЕС за обучение, както и последващи мерки за смекчаване и контрол.</w:t>
      </w:r>
    </w:p>
    <w:p w:rsidR="00763157" w:rsidRDefault="00E45FF1">
      <w:pPr>
        <w:autoSpaceDE w:val="0"/>
        <w:autoSpaceDN w:val="0"/>
        <w:adjustRightInd w:val="0"/>
        <w:spacing w:before="120" w:after="120"/>
        <w:jc w:val="both"/>
        <w:rPr>
          <w:noProof/>
        </w:rPr>
      </w:pPr>
      <w:r>
        <w:rPr>
          <w:noProof/>
        </w:rPr>
        <w:t>Предложенията на ЕСВД за действия трябва да следват методика за риска и гаранциите, включваща анализ на чувствителността към конфлик</w:t>
      </w:r>
      <w:r>
        <w:rPr>
          <w:noProof/>
        </w:rPr>
        <w:t>ти и на контекста, оценки на риска и на въздействието, евентуални смекчаващи мерки и механизми за мониторинг и оценка, когато е необходимо, за да се гарантира спазването на принципите и законодателството на ЕС, както и на международното право, по-специално</w:t>
      </w:r>
      <w:r>
        <w:rPr>
          <w:noProof/>
        </w:rPr>
        <w:t xml:space="preserve"> правото в областта на правата на човека и международното хуманитарно право.</w:t>
      </w:r>
    </w:p>
    <w:p w:rsidR="00763157" w:rsidRDefault="00E45FF1">
      <w:pPr>
        <w:autoSpaceDE w:val="0"/>
        <w:autoSpaceDN w:val="0"/>
        <w:adjustRightInd w:val="0"/>
        <w:spacing w:before="120" w:after="120"/>
        <w:jc w:val="both"/>
        <w:rPr>
          <w:noProof/>
        </w:rPr>
      </w:pPr>
      <w:r>
        <w:rPr>
          <w:noProof/>
        </w:rPr>
        <w:t xml:space="preserve">Когато мярка за помощ включва предоставяне на оборудване и/или инфраструктура, концептуалната бележка ще трябва да намери израз в хода на процеса на вземане на решение в подробни </w:t>
      </w:r>
      <w:r>
        <w:rPr>
          <w:noProof/>
        </w:rPr>
        <w:t>списъци и технически спецификации на военното оборудване и/или инфраструктурата с прогнози за разходите.</w:t>
      </w:r>
    </w:p>
    <w:p w:rsidR="00763157" w:rsidRDefault="00E45FF1">
      <w:pPr>
        <w:autoSpaceDE w:val="0"/>
        <w:autoSpaceDN w:val="0"/>
        <w:adjustRightInd w:val="0"/>
        <w:spacing w:before="120" w:after="120"/>
        <w:jc w:val="both"/>
        <w:rPr>
          <w:noProof/>
        </w:rPr>
      </w:pPr>
      <w:r>
        <w:rPr>
          <w:noProof/>
        </w:rPr>
        <w:t>ЕСВД ще трябва също да поддържа връзка с администраторите на ЕМПМ по финансовите въпроси. Тя следва също така да участва в постигането на всяко необход</w:t>
      </w:r>
      <w:r>
        <w:rPr>
          <w:noProof/>
        </w:rPr>
        <w:t xml:space="preserve">имо политическо и </w:t>
      </w:r>
      <w:r>
        <w:rPr>
          <w:noProof/>
        </w:rPr>
        <w:lastRenderedPageBreak/>
        <w:t>техническо споразумение с бенефициера (партньорска държава, международна или регионална организация), в координацията с държавата износител (съгласуваност на изискванията за лицензиране), а след доставката — да проследява описа и посещени</w:t>
      </w:r>
      <w:r>
        <w:rPr>
          <w:noProof/>
        </w:rPr>
        <w:t>ята на място и физическата инспекция на военното оборудване и инфраструктурата във военна среда.</w:t>
      </w:r>
    </w:p>
    <w:p w:rsidR="00763157" w:rsidRDefault="00E45FF1">
      <w:pPr>
        <w:autoSpaceDE w:val="0"/>
        <w:autoSpaceDN w:val="0"/>
        <w:adjustRightInd w:val="0"/>
        <w:spacing w:before="120" w:after="120"/>
        <w:jc w:val="both"/>
        <w:rPr>
          <w:noProof/>
        </w:rPr>
      </w:pPr>
      <w:r>
        <w:rPr>
          <w:noProof/>
        </w:rPr>
        <w:t>Според ЕСВД тя се нуждае от 16 ЕПРВ (1 длъжностно лице със степен AD 13 (началник на отдел), 1 AD 11, 2 AD 10 и 1 AD 7 + 5 договорно наети служители + 6 команд</w:t>
      </w:r>
      <w:r>
        <w:rPr>
          <w:noProof/>
        </w:rPr>
        <w:t>ировани национални експерти), за да изпълни тези нови задачи, които са ѝ възложени от законодателя, като първоначалният разход в бюджета за 2021 г. възлиза на 1 362 500 EUR.</w:t>
      </w:r>
    </w:p>
    <w:p w:rsidR="00763157" w:rsidRDefault="00E45FF1">
      <w:pPr>
        <w:tabs>
          <w:tab w:val="left" w:pos="851"/>
        </w:tabs>
        <w:spacing w:before="240" w:after="120"/>
        <w:jc w:val="both"/>
        <w:rPr>
          <w:bCs/>
          <w:noProof/>
        </w:rPr>
      </w:pPr>
      <w:r>
        <w:rPr>
          <w:i/>
          <w:noProof/>
        </w:rPr>
        <w:t xml:space="preserve">7.3.1 </w:t>
      </w:r>
      <w:r>
        <w:rPr>
          <w:i/>
          <w:noProof/>
        </w:rPr>
        <w:tab/>
        <w:t>Допълнителни ресурси за консулските служби</w:t>
      </w:r>
    </w:p>
    <w:p w:rsidR="00763157" w:rsidRDefault="00E45FF1">
      <w:pPr>
        <w:autoSpaceDE w:val="0"/>
        <w:autoSpaceDN w:val="0"/>
        <w:adjustRightInd w:val="0"/>
        <w:spacing w:before="120" w:after="120"/>
        <w:jc w:val="both"/>
        <w:rPr>
          <w:noProof/>
        </w:rPr>
      </w:pPr>
      <w:r>
        <w:rPr>
          <w:noProof/>
        </w:rPr>
        <w:t>Пандемията от COVID-19 предизвика извънредна ситуация за консулските служби в световен мащаб поради много строгите ограничения в сферата на транспорта, което доведе до необходимост от спешно репатриране между март и юни 2020 г. на над половин милион гражда</w:t>
      </w:r>
      <w:r>
        <w:rPr>
          <w:noProof/>
        </w:rPr>
        <w:t>ни на ЕС, блокирани в трети държави. Въпреки че правомощията на ЕС са ограничени до подпомагане на координацията на консулската помощ, държавите членки, гражданите и партньорите се обърнаха към институциите на ЕС, като поискаха от тях да участват активно в</w:t>
      </w:r>
      <w:r>
        <w:rPr>
          <w:noProof/>
        </w:rPr>
        <w:t xml:space="preserve"> борбата с тази извънредна ситуация. </w:t>
      </w:r>
    </w:p>
    <w:p w:rsidR="00763157" w:rsidRDefault="00E45FF1">
      <w:pPr>
        <w:autoSpaceDE w:val="0"/>
        <w:autoSpaceDN w:val="0"/>
        <w:adjustRightInd w:val="0"/>
        <w:spacing w:before="120" w:after="120"/>
        <w:jc w:val="both"/>
        <w:rPr>
          <w:noProof/>
        </w:rPr>
      </w:pPr>
      <w:r>
        <w:rPr>
          <w:noProof/>
        </w:rPr>
        <w:t>При несъмнения успех на тази мащабна операция на ЕС за репатриране, в контекст, в който много държави членки намалиха действията на консулските си служби, ролята на ЕС бе открито призната и приветствана от държавите чл</w:t>
      </w:r>
      <w:r>
        <w:rPr>
          <w:noProof/>
        </w:rPr>
        <w:t>енки. По-малките държави членки разчитат почти изцяло на координацията от ЕС, докато по-големите държави членки осъзнават, че и те се нуждаят все повече от действия от страна на ЕС. Това на практика доведе до прехвърляне на допълнителни отговорности на дел</w:t>
      </w:r>
      <w:r>
        <w:rPr>
          <w:noProof/>
        </w:rPr>
        <w:t>егациите на ЕС във връзка с консулските въпроси.</w:t>
      </w:r>
    </w:p>
    <w:p w:rsidR="00763157" w:rsidRDefault="00E45FF1">
      <w:pPr>
        <w:autoSpaceDE w:val="0"/>
        <w:autoSpaceDN w:val="0"/>
        <w:adjustRightInd w:val="0"/>
        <w:spacing w:before="120" w:after="120"/>
        <w:jc w:val="both"/>
        <w:rPr>
          <w:noProof/>
        </w:rPr>
      </w:pPr>
      <w:r>
        <w:rPr>
          <w:noProof/>
        </w:rPr>
        <w:t>За да отговори на ясните очаквания на държавите членки ЕСВД да играе по-голяма роля в координирането на консулската помощ и за да подсили ролята и имиджа на ЕС в трети държави, ЕСВД иска да подсили своя отде</w:t>
      </w:r>
      <w:r>
        <w:rPr>
          <w:noProof/>
        </w:rPr>
        <w:t xml:space="preserve">л, отговарящ за консулските въпроси. </w:t>
      </w:r>
    </w:p>
    <w:p w:rsidR="00763157" w:rsidRDefault="00E45FF1">
      <w:pPr>
        <w:autoSpaceDE w:val="0"/>
        <w:autoSpaceDN w:val="0"/>
        <w:adjustRightInd w:val="0"/>
        <w:spacing w:before="120" w:after="120"/>
        <w:jc w:val="both"/>
        <w:rPr>
          <w:noProof/>
        </w:rPr>
      </w:pPr>
      <w:r>
        <w:rPr>
          <w:noProof/>
        </w:rPr>
        <w:t>Това ще позволи на ЕСВД да започне бързо процес на извличане на поуки, като предостави задълбочен анализ на консулската криза с конкретни подробности за всяка от нейните фази, механизмите, използвани за улесняване на р</w:t>
      </w:r>
      <w:r>
        <w:rPr>
          <w:noProof/>
        </w:rPr>
        <w:t xml:space="preserve">епатрирането, преглед на най-добрите практики, наблюдавани на място, и очертаване на основните предизвикателства и възможности. </w:t>
      </w:r>
    </w:p>
    <w:p w:rsidR="00763157" w:rsidRDefault="00E45FF1">
      <w:pPr>
        <w:autoSpaceDE w:val="0"/>
        <w:autoSpaceDN w:val="0"/>
        <w:adjustRightInd w:val="0"/>
        <w:spacing w:before="120" w:after="120"/>
        <w:jc w:val="both"/>
        <w:rPr>
          <w:noProof/>
        </w:rPr>
      </w:pPr>
      <w:r>
        <w:rPr>
          <w:noProof/>
        </w:rPr>
        <w:t>Това ще подготви също така почвата за преразглеждане на нормативната уредба и институционалната организация на ЕС на капацитета</w:t>
      </w:r>
      <w:r>
        <w:rPr>
          <w:noProof/>
        </w:rPr>
        <w:t xml:space="preserve"> за управление на кризи при консулските служби. </w:t>
      </w:r>
    </w:p>
    <w:p w:rsidR="00763157" w:rsidRDefault="00E45FF1">
      <w:pPr>
        <w:autoSpaceDE w:val="0"/>
        <w:autoSpaceDN w:val="0"/>
        <w:adjustRightInd w:val="0"/>
        <w:spacing w:before="120" w:after="120"/>
        <w:jc w:val="both"/>
        <w:rPr>
          <w:rFonts w:eastAsia="Calibri"/>
          <w:i/>
          <w:noProof/>
        </w:rPr>
      </w:pPr>
      <w:r>
        <w:rPr>
          <w:noProof/>
        </w:rPr>
        <w:t>Поисканото увеличение с 1 длъжностно лице със степен AD 11, 1 длъжностно лице със степен AD 7 и 1 договорно нает служител налага първоначално увеличение на бюджета на ЕСВД с 303 800 EUR.</w:t>
      </w:r>
    </w:p>
    <w:p w:rsidR="00763157" w:rsidRDefault="00E45FF1">
      <w:pPr>
        <w:keepNext/>
        <w:tabs>
          <w:tab w:val="left" w:pos="850"/>
        </w:tabs>
        <w:spacing w:before="360" w:after="120"/>
        <w:ind w:left="720" w:hanging="720"/>
        <w:jc w:val="both"/>
        <w:outlineLvl w:val="1"/>
        <w:rPr>
          <w:rFonts w:eastAsia="Calibri"/>
          <w:b/>
          <w:noProof/>
        </w:rPr>
      </w:pPr>
      <w:bookmarkStart w:id="158" w:name="_Toc54770338"/>
      <w:bookmarkStart w:id="159" w:name="_Toc55807148"/>
      <w:bookmarkStart w:id="160" w:name="_Toc56247324"/>
      <w:r>
        <w:rPr>
          <w:b/>
          <w:noProof/>
        </w:rPr>
        <w:t xml:space="preserve">7.4 </w:t>
      </w:r>
      <w:r>
        <w:rPr>
          <w:b/>
          <w:noProof/>
        </w:rPr>
        <w:tab/>
        <w:t xml:space="preserve">Прехвърляне на </w:t>
      </w:r>
      <w:r>
        <w:rPr>
          <w:b/>
          <w:noProof/>
        </w:rPr>
        <w:t>определен персонал в делегациите на Съюза от Комисията в ЕСВД</w:t>
      </w:r>
      <w:bookmarkEnd w:id="158"/>
      <w:bookmarkEnd w:id="159"/>
      <w:bookmarkEnd w:id="160"/>
    </w:p>
    <w:p w:rsidR="00763157" w:rsidRDefault="00E45FF1">
      <w:pPr>
        <w:widowControl w:val="0"/>
        <w:spacing w:after="240"/>
        <w:jc w:val="both"/>
        <w:rPr>
          <w:noProof/>
        </w:rPr>
      </w:pPr>
      <w:r>
        <w:rPr>
          <w:noProof/>
        </w:rPr>
        <w:t xml:space="preserve">Съгласно споразумението за нивото на обслужване, сключено между Комисията и Европейската служба за външна дейност (ЕСВД) през декември 2010 г., Комисията продължи да финансира част от персонала </w:t>
      </w:r>
      <w:r>
        <w:rPr>
          <w:noProof/>
        </w:rPr>
        <w:t>на административните отдели на делегациите на Съюза, управлявани от ЕСВД, като принос към общите административни задачи. Съответният персонал включва предимно местни служители (МС), но и ограничен брой договорно наети служители (ДНС), които отговарят основ</w:t>
      </w:r>
      <w:r>
        <w:rPr>
          <w:noProof/>
        </w:rPr>
        <w:t xml:space="preserve">но за поддръжката на информационните технологии (т.нар. регионални служители, отговарящи за информационните технологии, или RITO). </w:t>
      </w:r>
    </w:p>
    <w:p w:rsidR="00763157" w:rsidRDefault="00E45FF1">
      <w:pPr>
        <w:widowControl w:val="0"/>
        <w:spacing w:after="240"/>
        <w:jc w:val="both"/>
        <w:rPr>
          <w:noProof/>
        </w:rPr>
      </w:pPr>
      <w:r>
        <w:rPr>
          <w:noProof/>
        </w:rPr>
        <w:t xml:space="preserve">В резултат на това служителите на Комисията, които работят в административните отдели на делегациите на Съюза, са официално </w:t>
      </w:r>
      <w:r>
        <w:rPr>
          <w:noProof/>
        </w:rPr>
        <w:t>разпределени към всяка от допринасящите генерални дирекции (ГД „Международно сътрудничество и развитие“, ГД „Политика за съседство и преговори за разширяване“ и Службата за инструментите в областта на външната политика). Тази ситуация доведе до неефективно</w:t>
      </w:r>
      <w:r>
        <w:rPr>
          <w:noProof/>
        </w:rPr>
        <w:t xml:space="preserve">ст, включително дублиране на работното натоварване на </w:t>
      </w:r>
      <w:r>
        <w:rPr>
          <w:noProof/>
        </w:rPr>
        <w:lastRenderedPageBreak/>
        <w:t xml:space="preserve">различни равнища за тези служби на Комисията (умножаване на административните актове), без да има никаква добавена стойност, както и до паралелни административни и финансови процеси. </w:t>
      </w:r>
    </w:p>
    <w:p w:rsidR="00763157" w:rsidRDefault="00E45FF1">
      <w:pPr>
        <w:widowControl w:val="0"/>
        <w:spacing w:after="240"/>
        <w:jc w:val="both"/>
        <w:rPr>
          <w:noProof/>
        </w:rPr>
      </w:pPr>
      <w:r>
        <w:rPr>
          <w:noProof/>
        </w:rPr>
        <w:t xml:space="preserve">Със съгласието на </w:t>
      </w:r>
      <w:r>
        <w:rPr>
          <w:noProof/>
        </w:rPr>
        <w:t>ЕСВД Комисията предлага персоналът на Комисията, работещ в административните отдели на делегациите на Съюза, да бъде прехвърлен в ЕСВД. По този начин ще се опростят и рационализират техните административни и финансови процеси и съответният персонал ще може</w:t>
      </w:r>
      <w:r>
        <w:rPr>
          <w:noProof/>
        </w:rPr>
        <w:t xml:space="preserve"> да бъде управляван по-ефикасно.</w:t>
      </w:r>
    </w:p>
    <w:p w:rsidR="00763157" w:rsidRDefault="00E45FF1">
      <w:pPr>
        <w:spacing w:after="200" w:line="276" w:lineRule="auto"/>
        <w:jc w:val="both"/>
        <w:rPr>
          <w:rFonts w:eastAsiaTheme="minorHAnsi"/>
          <w:noProof/>
          <w:color w:val="000000"/>
        </w:rPr>
      </w:pPr>
      <w:r>
        <w:rPr>
          <w:noProof/>
        </w:rPr>
        <w:t>По-голямата част от ДНС, които трябва да бъдат прехвърлени (18 от общо 19 лица), са RITO, извършващи много специализирани ИТ дейности в делегациите на Съюза под отговорността на ЕСВД. Те са разположени в 12 регионални центъ</w:t>
      </w:r>
      <w:r>
        <w:rPr>
          <w:noProof/>
        </w:rPr>
        <w:t>ра. Обединяването им под отговорността на една служба ще опрости управлението на тази група служители. Очаква се да бъдат постигнати многобройни ползи, опростяване и повишаване на ефективността както за RITO, така и за администрацията от гледна точка на ор</w:t>
      </w:r>
      <w:r>
        <w:rPr>
          <w:noProof/>
        </w:rPr>
        <w:t>ганизацията на регионалните центрове, управлението на договорите, мобилността на служители, оценяването и повишенията, както и управлението на разходите за командировки.</w:t>
      </w:r>
    </w:p>
    <w:p w:rsidR="00763157" w:rsidRDefault="00E45FF1">
      <w:pPr>
        <w:widowControl w:val="0"/>
        <w:spacing w:after="240"/>
        <w:jc w:val="both"/>
        <w:rPr>
          <w:noProof/>
        </w:rPr>
      </w:pPr>
      <w:r>
        <w:rPr>
          <w:noProof/>
        </w:rPr>
        <w:t xml:space="preserve">Що се отнася до местните служители, прехвърлянето им в ЕСВД ще осигури по-съгласувано </w:t>
      </w:r>
      <w:r>
        <w:rPr>
          <w:noProof/>
        </w:rPr>
        <w:t>и по-последователно прилагане на съответната политика по заетостта на ЕСВД. Комисията е делегирала на ЕСВД своите правомощия, свързани с някои области на управлението на местните служители, но решенията по определени въпроси, като например разрешаването на</w:t>
      </w:r>
      <w:r>
        <w:rPr>
          <w:noProof/>
        </w:rPr>
        <w:t xml:space="preserve"> длъжности, годишната оценка, повишенията, разрешаването на външни дейности и прекратяването на трудовите правоотношения, се вземат от Комисията. Благодарение на прехвърлянето ЕСВД ще стане по-автономна при управлението на тези длъжности, включително публи</w:t>
      </w:r>
      <w:r>
        <w:rPr>
          <w:noProof/>
        </w:rPr>
        <w:t>куването, подбора и набирането на персонал, както и закриването или преместването на тези длъжности. Процедурите за обжалване по време на оценяването и повишаването на местните служители също ще бъдат подобрени.</w:t>
      </w:r>
    </w:p>
    <w:p w:rsidR="00763157" w:rsidRDefault="00E45FF1">
      <w:pPr>
        <w:spacing w:after="240"/>
        <w:jc w:val="both"/>
        <w:rPr>
          <w:noProof/>
        </w:rPr>
      </w:pPr>
      <w:r>
        <w:rPr>
          <w:noProof/>
        </w:rPr>
        <w:t xml:space="preserve">Предложеното прехвърляне ще позволи на ЕСВД </w:t>
      </w:r>
      <w:r>
        <w:rPr>
          <w:noProof/>
        </w:rPr>
        <w:t>да получи допълнителна управленска автономност за общо 546 служители под формата на еквиваленти на пълно работно време (ЕПРВ), включващи 527 МС и 19 ДНС, разпределени към административните отдели в делегациите на Съюза.</w:t>
      </w:r>
    </w:p>
    <w:p w:rsidR="00763157" w:rsidRDefault="00E45FF1">
      <w:pPr>
        <w:spacing w:after="240"/>
        <w:jc w:val="both"/>
        <w:rPr>
          <w:noProof/>
        </w:rPr>
      </w:pPr>
      <w:r>
        <w:rPr>
          <w:noProof/>
        </w:rPr>
        <w:t xml:space="preserve">Що се отнася до бюджетните кредити, </w:t>
      </w:r>
      <w:r>
        <w:rPr>
          <w:noProof/>
        </w:rPr>
        <w:t>предлага се ежегодно да бъдат прехвърляни 18,1 милиона евро от външните инструменти (във функция 6) ИССРМС и ИПП III (съответно 16,0 милиона евро и 2,1 милиона евро) към раздела за ЕСВД (във функция 7). За да се спази цялостната бюджетна неутралност на тоз</w:t>
      </w:r>
      <w:r>
        <w:rPr>
          <w:noProof/>
        </w:rPr>
        <w:t>и трансфер, се предлага съответният финансов пакет на двата засегнати инструмента да бъде намален в съответната степен. В резултат на това увеличеният марж за поетите задължения по функция 6 ще бъде компенсиран от съответно по размер намаляване на маржа за</w:t>
      </w:r>
      <w:r>
        <w:rPr>
          <w:noProof/>
        </w:rPr>
        <w:t xml:space="preserve"> поетите задължения по функция 7</w:t>
      </w:r>
      <w:r>
        <w:rPr>
          <w:rStyle w:val="FootnoteReference"/>
          <w:noProof/>
          <w:lang w:val="en-IE" w:eastAsia="en-US"/>
        </w:rPr>
        <w:footnoteReference w:id="31"/>
      </w:r>
      <w:r>
        <w:rPr>
          <w:noProof/>
        </w:rPr>
        <w:t>.</w:t>
      </w:r>
    </w:p>
    <w:p w:rsidR="00763157" w:rsidRDefault="00E45FF1">
      <w:pPr>
        <w:keepNext/>
        <w:tabs>
          <w:tab w:val="left" w:pos="850"/>
        </w:tabs>
        <w:spacing w:before="360" w:after="120"/>
        <w:ind w:left="720" w:hanging="720"/>
        <w:jc w:val="both"/>
        <w:outlineLvl w:val="1"/>
        <w:rPr>
          <w:rFonts w:eastAsia="Calibri"/>
          <w:b/>
          <w:noProof/>
        </w:rPr>
      </w:pPr>
      <w:bookmarkStart w:id="161" w:name="_Toc526753791"/>
      <w:bookmarkStart w:id="162" w:name="_Toc54770339"/>
      <w:bookmarkStart w:id="163" w:name="_Toc55807149"/>
      <w:bookmarkStart w:id="164" w:name="_Toc56247325"/>
      <w:r>
        <w:rPr>
          <w:b/>
          <w:noProof/>
        </w:rPr>
        <w:t xml:space="preserve">7.5 </w:t>
      </w:r>
      <w:r>
        <w:rPr>
          <w:b/>
          <w:noProof/>
        </w:rPr>
        <w:tab/>
      </w:r>
      <w:bookmarkEnd w:id="161"/>
      <w:r>
        <w:rPr>
          <w:b/>
          <w:noProof/>
        </w:rPr>
        <w:t>Прехвърляне на централната библиотека от Комисията в Службата за публикации</w:t>
      </w:r>
      <w:bookmarkEnd w:id="162"/>
      <w:bookmarkEnd w:id="163"/>
      <w:bookmarkEnd w:id="164"/>
    </w:p>
    <w:p w:rsidR="00763157" w:rsidRDefault="00E45FF1">
      <w:pPr>
        <w:spacing w:before="120" w:after="120"/>
        <w:jc w:val="both"/>
        <w:rPr>
          <w:rFonts w:eastAsia="Calibri"/>
          <w:noProof/>
        </w:rPr>
      </w:pPr>
      <w:r>
        <w:rPr>
          <w:noProof/>
        </w:rPr>
        <w:t>В рамките на прегледа на синергиите и на ефективността Комисията реши да прехвърли управлението на централната библиотека на Комисията на Сл</w:t>
      </w:r>
      <w:r>
        <w:rPr>
          <w:noProof/>
        </w:rPr>
        <w:t>ужбата за публикации (OP), считано от януари 2021 г., което ще има общо отражение върху размера на бюджетните кредити на стойност до 7 888 EUR за 2021 г. Това прехвърляне включва и прехвърлянето на персонала и ИТ ресурсите.</w:t>
      </w:r>
    </w:p>
    <w:p w:rsidR="00763157" w:rsidRDefault="00E45FF1">
      <w:pPr>
        <w:spacing w:before="120" w:after="120"/>
        <w:jc w:val="both"/>
        <w:rPr>
          <w:rFonts w:eastAsia="Calibri"/>
          <w:noProof/>
        </w:rPr>
      </w:pPr>
      <w:r>
        <w:rPr>
          <w:noProof/>
        </w:rPr>
        <w:lastRenderedPageBreak/>
        <w:t>Очаква се програмата за модерниз</w:t>
      </w:r>
      <w:r>
        <w:rPr>
          <w:noProof/>
        </w:rPr>
        <w:t>иране на библиотеката, която стартира през последните години (около 80 % от покупките са в електронна форма), да се ускори с прехвърлянето и да доведе до допълнителни синергии и допълване със съществуващите дейности на OP в същата област на управление на п</w:t>
      </w:r>
      <w:r>
        <w:rPr>
          <w:noProof/>
        </w:rPr>
        <w:t>убликациите и информацията.</w:t>
      </w:r>
    </w:p>
    <w:p w:rsidR="00763157" w:rsidRDefault="00E45FF1">
      <w:pPr>
        <w:keepNext/>
        <w:tabs>
          <w:tab w:val="left" w:pos="850"/>
        </w:tabs>
        <w:spacing w:before="360" w:after="120"/>
        <w:ind w:left="840" w:hanging="840"/>
        <w:jc w:val="both"/>
        <w:outlineLvl w:val="1"/>
        <w:rPr>
          <w:rFonts w:eastAsia="Calibri"/>
          <w:b/>
          <w:noProof/>
        </w:rPr>
      </w:pPr>
      <w:bookmarkStart w:id="165" w:name="_Toc54770340"/>
      <w:bookmarkStart w:id="166" w:name="_Toc55807150"/>
      <w:bookmarkStart w:id="167" w:name="_Toc56247326"/>
      <w:r>
        <w:rPr>
          <w:b/>
          <w:noProof/>
        </w:rPr>
        <w:t xml:space="preserve">7.6 </w:t>
      </w:r>
      <w:r>
        <w:rPr>
          <w:b/>
          <w:noProof/>
        </w:rPr>
        <w:tab/>
        <w:t>Прехвърляне на 2 длъжности в щатното разписание от Европейския парламент на Комисията</w:t>
      </w:r>
      <w:bookmarkEnd w:id="165"/>
      <w:bookmarkEnd w:id="166"/>
      <w:bookmarkEnd w:id="167"/>
    </w:p>
    <w:p w:rsidR="00763157" w:rsidRDefault="00E45FF1">
      <w:pPr>
        <w:spacing w:before="120" w:after="120"/>
        <w:jc w:val="both"/>
        <w:rPr>
          <w:rFonts w:eastAsia="Calibri"/>
          <w:noProof/>
        </w:rPr>
      </w:pPr>
      <w:r>
        <w:rPr>
          <w:noProof/>
        </w:rPr>
        <w:t>В съответствие с Междуинституционалното споразумение относно CERT-EU (екип за незабавно реагиране при компютърни инциденти)</w:t>
      </w:r>
      <w:r>
        <w:rPr>
          <w:rStyle w:val="FootnoteReference"/>
          <w:rFonts w:eastAsia="Calibri"/>
          <w:noProof/>
          <w:lang w:eastAsia="en-US"/>
        </w:rPr>
        <w:footnoteReference w:id="32"/>
      </w:r>
      <w:r>
        <w:rPr>
          <w:noProof/>
        </w:rPr>
        <w:t xml:space="preserve"> две длъжности в щатното разписание се прехвърлят от Европейския парламент (ЕП) на Европейската комисия с цел подпомагане на дейностите на CERT-EU.</w:t>
      </w:r>
    </w:p>
    <w:p w:rsidR="00763157" w:rsidRDefault="00E45FF1">
      <w:pPr>
        <w:spacing w:before="120" w:after="120"/>
        <w:jc w:val="both"/>
        <w:rPr>
          <w:rFonts w:eastAsia="Calibri"/>
          <w:noProof/>
        </w:rPr>
      </w:pPr>
      <w:r>
        <w:rPr>
          <w:noProof/>
        </w:rPr>
        <w:t>Тази операция води до намаляване с 2 длъжности (AD 5) на щатното разписание на ЕП и прехвърлянето им в щатно</w:t>
      </w:r>
      <w:r>
        <w:rPr>
          <w:noProof/>
        </w:rPr>
        <w:t>то разписание на Комисията заедно със съответните бюджетни кредити (с нетно отражение в размер на 39 000 EUR).</w:t>
      </w:r>
    </w:p>
    <w:p w:rsidR="00763157" w:rsidRDefault="00E45FF1">
      <w:pPr>
        <w:keepNext/>
        <w:tabs>
          <w:tab w:val="left" w:pos="850"/>
        </w:tabs>
        <w:spacing w:before="360" w:after="120"/>
        <w:ind w:left="840" w:hanging="840"/>
        <w:jc w:val="both"/>
        <w:outlineLvl w:val="1"/>
        <w:rPr>
          <w:rFonts w:eastAsia="Calibri"/>
          <w:b/>
          <w:noProof/>
        </w:rPr>
      </w:pPr>
      <w:bookmarkStart w:id="168" w:name="_Toc54770341"/>
      <w:bookmarkStart w:id="169" w:name="_Toc55807151"/>
      <w:bookmarkStart w:id="170" w:name="_Toc56247327"/>
      <w:r>
        <w:rPr>
          <w:b/>
          <w:noProof/>
        </w:rPr>
        <w:t>7.7</w:t>
      </w:r>
      <w:r>
        <w:rPr>
          <w:b/>
          <w:noProof/>
        </w:rPr>
        <w:tab/>
        <w:t>Финансов принос на ЕСВД за предоставянето на основни услуги от Службата за управление и плащане по индивидуални права (PMO)</w:t>
      </w:r>
      <w:bookmarkEnd w:id="168"/>
      <w:bookmarkEnd w:id="169"/>
      <w:bookmarkEnd w:id="170"/>
    </w:p>
    <w:p w:rsidR="00763157" w:rsidRDefault="00E45FF1">
      <w:pPr>
        <w:tabs>
          <w:tab w:val="left" w:pos="850"/>
        </w:tabs>
        <w:spacing w:before="240" w:after="120"/>
        <w:jc w:val="both"/>
        <w:rPr>
          <w:bCs/>
          <w:noProof/>
        </w:rPr>
      </w:pPr>
      <w:r>
        <w:rPr>
          <w:noProof/>
        </w:rPr>
        <w:t>Считано от 2021 г</w:t>
      </w:r>
      <w:r>
        <w:rPr>
          <w:noProof/>
        </w:rPr>
        <w:t>., разходите за основни услуги (включително изчисляване и изплащане на заплати и пенсии, определяне на индивидуални права и командировъчни разходи, възстановяване на разходи на експерти и т.н.) вече няма да се начисляват от Службата за управление и плащане</w:t>
      </w:r>
      <w:r>
        <w:rPr>
          <w:noProof/>
        </w:rPr>
        <w:t xml:space="preserve"> по индивидуални права (PMO) на другите институции. Съответният бюджет бе поискан в бюджетния раздел за Комисията, а бюджетното искане на другите институции бе намалено в съответната степен.</w:t>
      </w:r>
    </w:p>
    <w:p w:rsidR="00763157" w:rsidRDefault="00E45FF1">
      <w:pPr>
        <w:tabs>
          <w:tab w:val="left" w:pos="850"/>
        </w:tabs>
        <w:spacing w:before="240" w:after="120"/>
        <w:jc w:val="both"/>
        <w:rPr>
          <w:bCs/>
          <w:noProof/>
        </w:rPr>
      </w:pPr>
      <w:r>
        <w:rPr>
          <w:noProof/>
        </w:rPr>
        <w:t>В очакване да бъде подписано ново споразумение за нивото на обслу</w:t>
      </w:r>
      <w:r>
        <w:rPr>
          <w:noProof/>
        </w:rPr>
        <w:t>жване между PMO и ЕСВД обаче ЕСВД не е намалила съответната сума в бюджетното си искане за 2021 г. Поради това, за да се избегне двойно бюджетиране, в раздела за Комисията е включено намаляване от 1,2 милиона евро.</w:t>
      </w:r>
    </w:p>
    <w:p w:rsidR="00763157" w:rsidRDefault="00E45FF1">
      <w:pPr>
        <w:keepNext/>
        <w:tabs>
          <w:tab w:val="left" w:pos="850"/>
        </w:tabs>
        <w:spacing w:before="360" w:after="120"/>
        <w:ind w:left="840" w:hanging="840"/>
        <w:jc w:val="both"/>
        <w:outlineLvl w:val="1"/>
        <w:rPr>
          <w:rFonts w:eastAsia="Calibri"/>
          <w:b/>
          <w:noProof/>
        </w:rPr>
      </w:pPr>
      <w:bookmarkStart w:id="171" w:name="_Toc55807152"/>
      <w:bookmarkStart w:id="172" w:name="_Toc56247328"/>
      <w:bookmarkStart w:id="173" w:name="_Toc54770342"/>
      <w:r>
        <w:rPr>
          <w:b/>
          <w:noProof/>
        </w:rPr>
        <w:t>7.8</w:t>
      </w:r>
      <w:r>
        <w:rPr>
          <w:b/>
          <w:noProof/>
        </w:rPr>
        <w:tab/>
        <w:t>Отражение на пандемията от COVID-19 в</w:t>
      </w:r>
      <w:r>
        <w:rPr>
          <w:b/>
          <w:noProof/>
        </w:rPr>
        <w:t>ърху бюджета на Европейските училища</w:t>
      </w:r>
      <w:bookmarkEnd w:id="171"/>
      <w:bookmarkEnd w:id="172"/>
    </w:p>
    <w:p w:rsidR="00763157" w:rsidRDefault="00E45FF1">
      <w:pPr>
        <w:spacing w:after="240"/>
        <w:jc w:val="both"/>
        <w:rPr>
          <w:noProof/>
          <w:sz w:val="22"/>
          <w:szCs w:val="22"/>
        </w:rPr>
      </w:pPr>
      <w:r>
        <w:rPr>
          <w:noProof/>
        </w:rPr>
        <w:t>Пандемията от COVID-19 принуждава Европейските училища да се подготвят за допълнителни периоди на дистанционно обучение през 2021 г. и да закупят необходимите за целта материали. Освен това може да се наложи да бъдат ан</w:t>
      </w:r>
      <w:r>
        <w:rPr>
          <w:noProof/>
        </w:rPr>
        <w:t>гажирани допълнителни преподаватели в зависимост от развитието на ситуацията в определени класове и с определени преподаватели. Допълнителните бюджетни нужди бяха оценени до края на 2020/2021 учебна година, т.е. обхващат първите 8 месеца на 2021 г.</w:t>
      </w:r>
    </w:p>
    <w:p w:rsidR="00763157" w:rsidRDefault="00E45FF1">
      <w:pPr>
        <w:spacing w:after="240"/>
        <w:jc w:val="both"/>
        <w:rPr>
          <w:noProof/>
        </w:rPr>
      </w:pPr>
      <w:r>
        <w:rPr>
          <w:noProof/>
        </w:rPr>
        <w:t>В същия</w:t>
      </w:r>
      <w:r>
        <w:rPr>
          <w:noProof/>
        </w:rPr>
        <w:t xml:space="preserve"> контекст бюджетното искане на Кабинетa на генералния секретар на Европейските училища беше намалено, за да се вземе под внимание фактът, че няма да бъдат необходими бюджетните кредити, първоначално предвидени за организиране на срещи и за командировки, ор</w:t>
      </w:r>
      <w:r>
        <w:rPr>
          <w:noProof/>
        </w:rPr>
        <w:t xml:space="preserve">ганизирани в полза на системата на Европейските училища като цяло. </w:t>
      </w:r>
    </w:p>
    <w:p w:rsidR="00763157" w:rsidRDefault="00E45FF1">
      <w:pPr>
        <w:spacing w:after="240"/>
        <w:jc w:val="both"/>
        <w:rPr>
          <w:noProof/>
        </w:rPr>
      </w:pPr>
      <w:r>
        <w:rPr>
          <w:noProof/>
        </w:rPr>
        <w:t>Въз основа на горепосочените елементи се искат 4 898 380 EUR допълнителни бюджетни кредити за Европейските училища.</w:t>
      </w:r>
    </w:p>
    <w:p w:rsidR="00763157" w:rsidRDefault="00E45FF1">
      <w:pPr>
        <w:keepNext/>
        <w:tabs>
          <w:tab w:val="left" w:pos="850"/>
        </w:tabs>
        <w:spacing w:before="360" w:after="120"/>
        <w:ind w:left="840" w:hanging="840"/>
        <w:jc w:val="both"/>
        <w:outlineLvl w:val="1"/>
        <w:rPr>
          <w:rFonts w:eastAsia="Calibri"/>
          <w:b/>
          <w:noProof/>
        </w:rPr>
      </w:pPr>
      <w:bookmarkStart w:id="174" w:name="_Toc55807153"/>
      <w:bookmarkStart w:id="175" w:name="_Toc56247329"/>
      <w:r>
        <w:rPr>
          <w:b/>
          <w:noProof/>
        </w:rPr>
        <w:lastRenderedPageBreak/>
        <w:t xml:space="preserve">7.9 </w:t>
      </w:r>
      <w:r>
        <w:rPr>
          <w:b/>
          <w:noProof/>
        </w:rPr>
        <w:tab/>
        <w:t>Отражение на преместването на службата на Омбудсмана, намираща се в</w:t>
      </w:r>
      <w:r>
        <w:rPr>
          <w:b/>
          <w:noProof/>
        </w:rPr>
        <w:t xml:space="preserve"> Брюксел</w:t>
      </w:r>
      <w:bookmarkEnd w:id="173"/>
      <w:bookmarkEnd w:id="174"/>
      <w:bookmarkEnd w:id="175"/>
    </w:p>
    <w:p w:rsidR="00763157" w:rsidRDefault="00E45FF1">
      <w:pPr>
        <w:autoSpaceDE w:val="0"/>
        <w:autoSpaceDN w:val="0"/>
        <w:adjustRightInd w:val="0"/>
        <w:spacing w:before="120" w:after="120"/>
        <w:jc w:val="both"/>
        <w:rPr>
          <w:noProof/>
        </w:rPr>
      </w:pPr>
      <w:r>
        <w:rPr>
          <w:noProof/>
        </w:rPr>
        <w:t>Европейският омбудсман поиска допълнителни бюджетни кредити за финансиране на разходите, свързани с преместването на намиращата се в Брюксел служба на Омбудсмана. Информацията, довела до това искане, не беше налична в момента на представяне на про</w:t>
      </w:r>
      <w:r>
        <w:rPr>
          <w:noProof/>
        </w:rPr>
        <w:t>гнозите за бюджета за 2021 г. през март 2020 г.</w:t>
      </w:r>
    </w:p>
    <w:p w:rsidR="00763157" w:rsidRDefault="00E45FF1">
      <w:pPr>
        <w:autoSpaceDE w:val="0"/>
        <w:autoSpaceDN w:val="0"/>
        <w:adjustRightInd w:val="0"/>
        <w:spacing w:before="120" w:after="120"/>
        <w:jc w:val="both"/>
        <w:rPr>
          <w:noProof/>
        </w:rPr>
      </w:pPr>
      <w:r>
        <w:rPr>
          <w:noProof/>
        </w:rPr>
        <w:t>Въз основа на информацията, налична от началото на септември, допълнителните нужди в бюджета на Oмбудсмана възлизат на 416 000 EUR.</w:t>
      </w:r>
    </w:p>
    <w:p w:rsidR="00763157" w:rsidRDefault="00E45FF1">
      <w:pPr>
        <w:pStyle w:val="ManualHeading1"/>
        <w:spacing w:before="240"/>
        <w:rPr>
          <w:noProof/>
        </w:rPr>
      </w:pPr>
      <w:bookmarkStart w:id="176" w:name="_Toc54770343"/>
      <w:bookmarkStart w:id="177" w:name="_Toc55807154"/>
      <w:bookmarkStart w:id="178" w:name="_Toc56247330"/>
      <w:r>
        <w:rPr>
          <w:noProof/>
        </w:rPr>
        <w:t>8.</w:t>
      </w:r>
      <w:r>
        <w:rPr>
          <w:noProof/>
        </w:rPr>
        <w:tab/>
        <w:t>Други корекции</w:t>
      </w:r>
      <w:bookmarkEnd w:id="176"/>
      <w:bookmarkEnd w:id="177"/>
      <w:bookmarkEnd w:id="178"/>
    </w:p>
    <w:p w:rsidR="00763157" w:rsidRDefault="00E45FF1">
      <w:pPr>
        <w:keepNext/>
        <w:tabs>
          <w:tab w:val="left" w:pos="850"/>
        </w:tabs>
        <w:spacing w:before="360" w:after="120"/>
        <w:ind w:left="840" w:hanging="840"/>
        <w:jc w:val="both"/>
        <w:outlineLvl w:val="1"/>
        <w:rPr>
          <w:rFonts w:eastAsia="Calibri"/>
          <w:b/>
          <w:noProof/>
        </w:rPr>
      </w:pPr>
      <w:bookmarkStart w:id="179" w:name="_Toc55807155"/>
      <w:bookmarkStart w:id="180" w:name="_Toc56247331"/>
      <w:bookmarkStart w:id="181" w:name="_Toc54770344"/>
      <w:r>
        <w:rPr>
          <w:b/>
          <w:noProof/>
        </w:rPr>
        <w:t xml:space="preserve">8.1 </w:t>
      </w:r>
      <w:r>
        <w:rPr>
          <w:b/>
          <w:noProof/>
        </w:rPr>
        <w:tab/>
        <w:t>Целенасочени увеличения на средствата</w:t>
      </w:r>
      <w:bookmarkEnd w:id="179"/>
      <w:bookmarkEnd w:id="180"/>
    </w:p>
    <w:p w:rsidR="00763157" w:rsidRDefault="00E45FF1">
      <w:pPr>
        <w:keepNext/>
        <w:tabs>
          <w:tab w:val="left" w:pos="851"/>
        </w:tabs>
        <w:spacing w:before="240" w:after="120"/>
        <w:ind w:left="850" w:hanging="850"/>
        <w:jc w:val="both"/>
        <w:outlineLvl w:val="1"/>
        <w:rPr>
          <w:rFonts w:eastAsia="Calibri"/>
          <w:i/>
          <w:noProof/>
        </w:rPr>
      </w:pPr>
      <w:bookmarkStart w:id="182" w:name="_Toc55807156"/>
      <w:bookmarkStart w:id="183" w:name="_Toc56247332"/>
      <w:r>
        <w:rPr>
          <w:i/>
          <w:noProof/>
        </w:rPr>
        <w:t xml:space="preserve">8.1.1 </w:t>
      </w:r>
      <w:r>
        <w:rPr>
          <w:i/>
          <w:noProof/>
        </w:rPr>
        <w:tab/>
        <w:t>Подкрепа</w:t>
      </w:r>
      <w:r>
        <w:rPr>
          <w:i/>
          <w:noProof/>
        </w:rPr>
        <w:t xml:space="preserve"> за общността на кипърските турци</w:t>
      </w:r>
      <w:bookmarkEnd w:id="182"/>
      <w:bookmarkEnd w:id="183"/>
    </w:p>
    <w:p w:rsidR="00763157" w:rsidRDefault="00E45FF1">
      <w:pPr>
        <w:autoSpaceDE w:val="0"/>
        <w:autoSpaceDN w:val="0"/>
        <w:adjustRightInd w:val="0"/>
        <w:spacing w:before="120" w:after="120"/>
        <w:jc w:val="both"/>
        <w:rPr>
          <w:noProof/>
        </w:rPr>
      </w:pPr>
      <w:r>
        <w:rPr>
          <w:noProof/>
        </w:rPr>
        <w:t xml:space="preserve">Съюзът остава ангажиран по отношение на уреждането на кипърския въпрос и общността на кипърските турци. На фона на нарасналото напрежение в региона е нужно бюджетът да се увеличи с 6 милиона евро бюджетни кредити за поети </w:t>
      </w:r>
      <w:r>
        <w:rPr>
          <w:noProof/>
        </w:rPr>
        <w:t>задължения в сравнение с равнището, предложено в ПБ за 2021 г.</w:t>
      </w:r>
    </w:p>
    <w:p w:rsidR="00763157" w:rsidRDefault="00E45FF1">
      <w:pPr>
        <w:autoSpaceDE w:val="0"/>
        <w:autoSpaceDN w:val="0"/>
        <w:adjustRightInd w:val="0"/>
        <w:spacing w:before="120" w:after="120"/>
        <w:jc w:val="both"/>
        <w:rPr>
          <w:noProof/>
        </w:rPr>
      </w:pPr>
      <w:r>
        <w:rPr>
          <w:noProof/>
        </w:rPr>
        <w:t>Подкрепата на Съюза е необходима за намиране на решение в рамките на добре известните параметри на ООН за двузонална, двуобщностна федерация — в още по-голяма степен след избирането на лидер на</w:t>
      </w:r>
      <w:r>
        <w:rPr>
          <w:noProof/>
        </w:rPr>
        <w:t xml:space="preserve"> кипърските турци, който за съжаление подкрепя модел с две държави. Поради това изключително важно е Съюзът да продължи да разполага с достатъчно средства, за да може програмата за помощ да продължи усилията за подпомагане на социално-икономическото развит</w:t>
      </w:r>
      <w:r>
        <w:rPr>
          <w:noProof/>
        </w:rPr>
        <w:t>ие на общността на кипърските турци и за обединяване на двете общности по конкретни инициативи за сътрудничество.</w:t>
      </w:r>
    </w:p>
    <w:p w:rsidR="00763157" w:rsidRDefault="00E45FF1">
      <w:pPr>
        <w:keepNext/>
        <w:tabs>
          <w:tab w:val="left" w:pos="851"/>
        </w:tabs>
        <w:spacing w:before="240" w:after="120"/>
        <w:ind w:left="850" w:hanging="850"/>
        <w:jc w:val="both"/>
        <w:outlineLvl w:val="1"/>
        <w:rPr>
          <w:rFonts w:eastAsia="Calibri"/>
          <w:i/>
          <w:noProof/>
        </w:rPr>
      </w:pPr>
      <w:bookmarkStart w:id="184" w:name="_Toc55807157"/>
      <w:bookmarkStart w:id="185" w:name="_Toc56247333"/>
      <w:r>
        <w:rPr>
          <w:i/>
          <w:noProof/>
        </w:rPr>
        <w:t xml:space="preserve">8.1.2 </w:t>
      </w:r>
      <w:r>
        <w:rPr>
          <w:i/>
          <w:noProof/>
        </w:rPr>
        <w:tab/>
        <w:t>Социален диалог</w:t>
      </w:r>
      <w:bookmarkEnd w:id="184"/>
      <w:bookmarkEnd w:id="185"/>
    </w:p>
    <w:p w:rsidR="00763157" w:rsidRDefault="00E45FF1">
      <w:pPr>
        <w:autoSpaceDE w:val="0"/>
        <w:autoSpaceDN w:val="0"/>
        <w:adjustRightInd w:val="0"/>
        <w:spacing w:before="120" w:after="120"/>
        <w:jc w:val="both"/>
        <w:rPr>
          <w:noProof/>
        </w:rPr>
      </w:pPr>
      <w:r>
        <w:rPr>
          <w:noProof/>
        </w:rPr>
        <w:t>Социалните партньори играят ключова роля в разработването и прилагането на мерките, въвеждани на равнището на държавите</w:t>
      </w:r>
      <w:r>
        <w:rPr>
          <w:noProof/>
        </w:rPr>
        <w:t xml:space="preserve"> членки с цел смекчаване на последиците от пандемията от COVID-19 за работниците и предприятията. Социално-икономическите последици от пандемията за работодателите и работниците се отразиха обаче значително и на националните организации на социалните партн</w:t>
      </w:r>
      <w:r>
        <w:rPr>
          <w:noProof/>
        </w:rPr>
        <w:t>ьори.</w:t>
      </w:r>
    </w:p>
    <w:p w:rsidR="00763157" w:rsidRDefault="00E45FF1">
      <w:pPr>
        <w:autoSpaceDE w:val="0"/>
        <w:autoSpaceDN w:val="0"/>
        <w:adjustRightInd w:val="0"/>
        <w:spacing w:before="120" w:after="120"/>
        <w:jc w:val="both"/>
        <w:rPr>
          <w:noProof/>
        </w:rPr>
      </w:pPr>
      <w:r>
        <w:rPr>
          <w:noProof/>
        </w:rPr>
        <w:t>Поради това е необходимо да се предостави допълнителна подкрепа, насочена към европейските и националните междуотраслови и секторни организации на работодателите и синдикати, и по-специално към онези, които са най-силно засегнати от кризата с COVID-1</w:t>
      </w:r>
      <w:r>
        <w:rPr>
          <w:noProof/>
        </w:rPr>
        <w:t>9 и са в най-уязвимо положение, за да се гарантират техните дейности и да се преодолеят последиците за заетостта и социалните последици от кризата с COVID-19, както и за да се подобри устойчивостта на организациите на работниците и на работодателите в конт</w:t>
      </w:r>
      <w:r>
        <w:rPr>
          <w:noProof/>
        </w:rPr>
        <w:t>екста на COVID-19.</w:t>
      </w:r>
    </w:p>
    <w:p w:rsidR="00763157" w:rsidRDefault="00E45FF1">
      <w:pPr>
        <w:autoSpaceDE w:val="0"/>
        <w:autoSpaceDN w:val="0"/>
        <w:adjustRightInd w:val="0"/>
        <w:spacing w:before="120" w:after="120"/>
        <w:jc w:val="both"/>
        <w:rPr>
          <w:noProof/>
        </w:rPr>
      </w:pPr>
      <w:r>
        <w:rPr>
          <w:noProof/>
        </w:rPr>
        <w:t xml:space="preserve">Вследствие на това към бюджетен ред 07 20 04 06 </w:t>
      </w:r>
      <w:r>
        <w:rPr>
          <w:i/>
          <w:noProof/>
        </w:rPr>
        <w:t>Специфични компетенции в областта на социалната политика, включително социалния диалог</w:t>
      </w:r>
      <w:r>
        <w:rPr>
          <w:noProof/>
        </w:rPr>
        <w:t xml:space="preserve"> се добавят 5 милиона евро бюджетни кредити за поети задължения (и 4,4 милиона евро бюджетни кредити за</w:t>
      </w:r>
      <w:r>
        <w:rPr>
          <w:noProof/>
        </w:rPr>
        <w:t xml:space="preserve"> плащания).</w:t>
      </w:r>
    </w:p>
    <w:p w:rsidR="00763157" w:rsidRDefault="00E45FF1">
      <w:pPr>
        <w:keepNext/>
        <w:tabs>
          <w:tab w:val="left" w:pos="850"/>
        </w:tabs>
        <w:spacing w:before="360" w:after="120"/>
        <w:ind w:left="840" w:hanging="840"/>
        <w:jc w:val="both"/>
        <w:outlineLvl w:val="1"/>
        <w:rPr>
          <w:rFonts w:eastAsia="Calibri"/>
          <w:b/>
          <w:noProof/>
        </w:rPr>
      </w:pPr>
      <w:bookmarkStart w:id="186" w:name="_Toc55807158"/>
      <w:bookmarkStart w:id="187" w:name="_Toc56247334"/>
      <w:r>
        <w:rPr>
          <w:b/>
          <w:noProof/>
        </w:rPr>
        <w:t xml:space="preserve">8.2 </w:t>
      </w:r>
      <w:r>
        <w:rPr>
          <w:b/>
          <w:noProof/>
        </w:rPr>
        <w:tab/>
        <w:t>Адаптиране на номенклатурата</w:t>
      </w:r>
      <w:bookmarkEnd w:id="181"/>
      <w:bookmarkEnd w:id="186"/>
      <w:bookmarkEnd w:id="187"/>
    </w:p>
    <w:p w:rsidR="00763157" w:rsidRDefault="00E45FF1">
      <w:pPr>
        <w:autoSpaceDE w:val="0"/>
        <w:autoSpaceDN w:val="0"/>
        <w:adjustRightInd w:val="0"/>
        <w:spacing w:before="120" w:after="120"/>
        <w:jc w:val="both"/>
        <w:rPr>
          <w:noProof/>
        </w:rPr>
      </w:pPr>
      <w:r>
        <w:rPr>
          <w:noProof/>
        </w:rPr>
        <w:t>Освен промените на номенклатурата, описани в предходните точки, ПВК 1/2021 включва и посочените по-долу адаптации.</w:t>
      </w:r>
      <w:bookmarkStart w:id="188" w:name="_Toc54770346"/>
    </w:p>
    <w:p w:rsidR="00763157" w:rsidRDefault="00E45FF1">
      <w:pPr>
        <w:autoSpaceDE w:val="0"/>
        <w:autoSpaceDN w:val="0"/>
        <w:adjustRightInd w:val="0"/>
        <w:spacing w:before="120" w:after="120"/>
        <w:jc w:val="both"/>
        <w:rPr>
          <w:rFonts w:eastAsia="Calibri"/>
          <w:i/>
          <w:noProof/>
        </w:rPr>
      </w:pPr>
      <w:bookmarkStart w:id="189" w:name="_Toc55807159"/>
      <w:r>
        <w:rPr>
          <w:i/>
          <w:noProof/>
        </w:rPr>
        <w:t xml:space="preserve">8.2.1 </w:t>
      </w:r>
      <w:r>
        <w:rPr>
          <w:i/>
          <w:noProof/>
        </w:rPr>
        <w:tab/>
        <w:t xml:space="preserve">Инструмент за съседство, сътрудничество за развитие и международно сътрудничество </w:t>
      </w:r>
      <w:r>
        <w:rPr>
          <w:i/>
          <w:noProof/>
        </w:rPr>
        <w:t>(ИССРМС)</w:t>
      </w:r>
      <w:bookmarkEnd w:id="188"/>
      <w:bookmarkEnd w:id="189"/>
    </w:p>
    <w:p w:rsidR="00763157" w:rsidRDefault="00E45FF1">
      <w:pPr>
        <w:autoSpaceDE w:val="0"/>
        <w:autoSpaceDN w:val="0"/>
        <w:adjustRightInd w:val="0"/>
        <w:spacing w:before="120" w:after="120"/>
        <w:jc w:val="both"/>
        <w:rPr>
          <w:noProof/>
        </w:rPr>
      </w:pPr>
      <w:r>
        <w:rPr>
          <w:noProof/>
        </w:rPr>
        <w:t xml:space="preserve">ПБ за 2021 г. съдържаше една бюджетна позиция в географската програма за съседните на ЕС държави, Субсахарска Африка, Азия и Тихоокеанския басейн, както и Северна и Южна Америка и Карибския басейн. Беше включена и една-единствена бюджетна позиция </w:t>
      </w:r>
      <w:r>
        <w:rPr>
          <w:noProof/>
        </w:rPr>
        <w:t xml:space="preserve">за </w:t>
      </w:r>
      <w:r>
        <w:rPr>
          <w:noProof/>
        </w:rPr>
        <w:lastRenderedPageBreak/>
        <w:t>тематичните бюджетни редове, предназначени за глобалните предизвикателства и за правата на човека и демокрацията. Предлага се всеки от тези бюджетни редове да бъде допълнително разделен, за да се повиши още видимостта на разходите, предвидени за всеки о</w:t>
      </w:r>
      <w:r>
        <w:rPr>
          <w:noProof/>
        </w:rPr>
        <w:t>т съответните подрегиони или компоненти.</w:t>
      </w:r>
    </w:p>
    <w:p w:rsidR="00763157" w:rsidRDefault="00E45FF1">
      <w:pPr>
        <w:spacing w:after="200" w:line="276" w:lineRule="auto"/>
        <w:rPr>
          <w:noProof/>
        </w:rPr>
      </w:pPr>
      <w:r>
        <w:rPr>
          <w:noProof/>
        </w:rPr>
        <w:t>Таблицата по-долу съдържа промените за този инструмент в сравнение с ПБ за 2021 г.:</w:t>
      </w:r>
    </w:p>
    <w:tbl>
      <w:tblPr>
        <w:tblW w:w="9844" w:type="dxa"/>
        <w:tblInd w:w="113" w:type="dxa"/>
        <w:tblLook w:val="04A0" w:firstRow="1" w:lastRow="0" w:firstColumn="1" w:lastColumn="0" w:noHBand="0" w:noVBand="1"/>
      </w:tblPr>
      <w:tblGrid>
        <w:gridCol w:w="953"/>
        <w:gridCol w:w="1922"/>
        <w:gridCol w:w="1166"/>
        <w:gridCol w:w="2045"/>
        <w:gridCol w:w="1200"/>
        <w:gridCol w:w="2558"/>
      </w:tblGrid>
      <w:tr w:rsidR="00763157">
        <w:trPr>
          <w:trHeight w:val="260"/>
          <w:tblHeader/>
        </w:trPr>
        <w:tc>
          <w:tcPr>
            <w:tcW w:w="608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763157" w:rsidRDefault="00E45FF1">
            <w:pPr>
              <w:jc w:val="center"/>
              <w:rPr>
                <w:b/>
                <w:bCs/>
                <w:noProof/>
                <w:sz w:val="18"/>
                <w:szCs w:val="18"/>
              </w:rPr>
            </w:pPr>
            <w:r>
              <w:rPr>
                <w:b/>
                <w:bCs/>
                <w:noProof/>
                <w:sz w:val="18"/>
                <w:szCs w:val="18"/>
              </w:rPr>
              <w:t>Номенклатура в ПБ за 2021 г.</w:t>
            </w:r>
          </w:p>
        </w:tc>
        <w:tc>
          <w:tcPr>
            <w:tcW w:w="3758" w:type="dxa"/>
            <w:gridSpan w:val="2"/>
            <w:tcBorders>
              <w:top w:val="single" w:sz="4" w:space="0" w:color="auto"/>
              <w:left w:val="nil"/>
              <w:bottom w:val="single" w:sz="4" w:space="0" w:color="auto"/>
              <w:right w:val="single" w:sz="4" w:space="0" w:color="000000"/>
            </w:tcBorders>
            <w:shd w:val="clear" w:color="000000" w:fill="D9D9D9"/>
            <w:vAlign w:val="center"/>
            <w:hideMark/>
          </w:tcPr>
          <w:p w:rsidR="00763157" w:rsidRDefault="00E45FF1">
            <w:pPr>
              <w:jc w:val="center"/>
              <w:rPr>
                <w:b/>
                <w:bCs/>
                <w:noProof/>
                <w:sz w:val="18"/>
                <w:szCs w:val="18"/>
              </w:rPr>
            </w:pPr>
            <w:r>
              <w:rPr>
                <w:b/>
                <w:bCs/>
                <w:noProof/>
                <w:sz w:val="18"/>
                <w:szCs w:val="18"/>
              </w:rPr>
              <w:t>Номенклатура в ПВК 1/2021</w:t>
            </w:r>
          </w:p>
        </w:tc>
      </w:tr>
      <w:tr w:rsidR="00763157">
        <w:trPr>
          <w:trHeight w:val="302"/>
        </w:trPr>
        <w:tc>
          <w:tcPr>
            <w:tcW w:w="953"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sz w:val="18"/>
                <w:szCs w:val="18"/>
              </w:rPr>
            </w:pPr>
            <w:r>
              <w:rPr>
                <w:noProof/>
                <w:sz w:val="18"/>
                <w:szCs w:val="18"/>
              </w:rPr>
              <w:t>15 02 01</w:t>
            </w:r>
          </w:p>
        </w:tc>
        <w:tc>
          <w:tcPr>
            <w:tcW w:w="1922" w:type="dxa"/>
            <w:vMerge w:val="restart"/>
            <w:tcBorders>
              <w:top w:val="nil"/>
              <w:left w:val="single" w:sz="4" w:space="0" w:color="auto"/>
              <w:bottom w:val="nil"/>
              <w:right w:val="single" w:sz="4" w:space="0" w:color="auto"/>
            </w:tcBorders>
            <w:shd w:val="clear" w:color="auto" w:fill="auto"/>
            <w:vAlign w:val="center"/>
            <w:hideMark/>
          </w:tcPr>
          <w:p w:rsidR="00763157" w:rsidRDefault="00E45FF1">
            <w:pPr>
              <w:jc w:val="center"/>
              <w:rPr>
                <w:noProof/>
                <w:sz w:val="18"/>
                <w:szCs w:val="18"/>
              </w:rPr>
            </w:pPr>
            <w:r>
              <w:rPr>
                <w:noProof/>
                <w:sz w:val="18"/>
                <w:szCs w:val="18"/>
              </w:rPr>
              <w:t>Географски програми</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15 02 01 01</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Европейска политика за съседство</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15 02 01 10</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Южно съседство</w:t>
            </w:r>
          </w:p>
        </w:tc>
      </w:tr>
      <w:tr w:rsidR="00763157">
        <w:trPr>
          <w:trHeight w:val="362"/>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15 02 01 11</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Източно съседство</w:t>
            </w:r>
          </w:p>
        </w:tc>
      </w:tr>
      <w:tr w:rsidR="00763157">
        <w:trPr>
          <w:trHeight w:val="686"/>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15 02 01 12</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Съседство — трансгранично и териториално сътрудничество и мерки за подкрепа</w:t>
            </w:r>
          </w:p>
        </w:tc>
      </w:tr>
      <w:tr w:rsidR="00763157">
        <w:trPr>
          <w:trHeight w:val="182"/>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eastAsia="en-US"/>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15 02 01 02</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Субсахарска Африка</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15 02 01 20</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Западна Африка</w:t>
            </w:r>
          </w:p>
        </w:tc>
      </w:tr>
      <w:tr w:rsidR="00763157">
        <w:trPr>
          <w:trHeight w:val="206"/>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15 02 01 21</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Източна и Централна Африка</w:t>
            </w:r>
          </w:p>
        </w:tc>
      </w:tr>
      <w:tr w:rsidR="00763157">
        <w:trPr>
          <w:trHeight w:val="110"/>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15 02 01 22</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Южната част на африканския континент и Индийският океан</w:t>
            </w:r>
          </w:p>
        </w:tc>
      </w:tr>
      <w:tr w:rsidR="00763157">
        <w:trPr>
          <w:trHeight w:val="48"/>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eastAsia="en-US"/>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15 02 01 03</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Азия и Тихоокеанският басейн</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15 02 01 30</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Близкият изток и Централна Азия</w:t>
            </w:r>
          </w:p>
        </w:tc>
      </w:tr>
      <w:tr w:rsidR="00763157">
        <w:trPr>
          <w:trHeight w:val="62"/>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eastAsia="en-US"/>
              </w:rPr>
            </w:pPr>
          </w:p>
        </w:tc>
        <w:tc>
          <w:tcPr>
            <w:tcW w:w="1166"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eastAsia="en-US"/>
              </w:rPr>
            </w:pPr>
          </w:p>
        </w:tc>
        <w:tc>
          <w:tcPr>
            <w:tcW w:w="2045"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15 02 01 31</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Южна и Източна Азия</w:t>
            </w:r>
          </w:p>
        </w:tc>
      </w:tr>
      <w:tr w:rsidR="00763157">
        <w:trPr>
          <w:trHeight w:val="86"/>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15 02 01 32</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Тихоокеанският басейн</w:t>
            </w:r>
          </w:p>
        </w:tc>
      </w:tr>
      <w:tr w:rsidR="00763157">
        <w:trPr>
          <w:trHeight w:val="48"/>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15 02 01 04</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Северна и Южна Америка и Карибският басейн</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15 02 01 40</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Северна и Южна Америка</w:t>
            </w:r>
          </w:p>
        </w:tc>
      </w:tr>
      <w:tr w:rsidR="00763157">
        <w:trPr>
          <w:trHeight w:val="48"/>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15 02 01 41</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Карибският басейн</w:t>
            </w:r>
          </w:p>
        </w:tc>
      </w:tr>
      <w:tr w:rsidR="00763157">
        <w:trPr>
          <w:trHeight w:val="278"/>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15 02 01 05</w:t>
            </w:r>
          </w:p>
        </w:tc>
        <w:tc>
          <w:tcPr>
            <w:tcW w:w="2045"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„Еразъм+“ — вноска от ИССРМС</w:t>
            </w:r>
          </w:p>
        </w:tc>
        <w:tc>
          <w:tcPr>
            <w:tcW w:w="1200"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15 02 01 50</w:t>
            </w:r>
          </w:p>
        </w:tc>
        <w:tc>
          <w:tcPr>
            <w:tcW w:w="2558"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 xml:space="preserve">„Еразъм+“ — вноска </w:t>
            </w:r>
            <w:r>
              <w:rPr>
                <w:noProof/>
                <w:sz w:val="18"/>
                <w:szCs w:val="18"/>
              </w:rPr>
              <w:t>от ИССРМС</w:t>
            </w:r>
          </w:p>
        </w:tc>
      </w:tr>
      <w:tr w:rsidR="00763157">
        <w:trPr>
          <w:trHeight w:val="338"/>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15 02 01 08</w:t>
            </w:r>
          </w:p>
        </w:tc>
        <w:tc>
          <w:tcPr>
            <w:tcW w:w="2045"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 xml:space="preserve">Европейски фонд за развитие — обратни постъпления от Инвестиционния инструмент за АКТБ </w:t>
            </w:r>
          </w:p>
        </w:tc>
        <w:tc>
          <w:tcPr>
            <w:tcW w:w="1200"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15 02 01 60</w:t>
            </w:r>
          </w:p>
        </w:tc>
        <w:tc>
          <w:tcPr>
            <w:tcW w:w="2558"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 xml:space="preserve">Европейски фонд за развитие — обратни постъпления от Инвестиционния инструмент за АКТБ </w:t>
            </w:r>
          </w:p>
        </w:tc>
      </w:tr>
      <w:tr w:rsidR="00763157">
        <w:trPr>
          <w:trHeight w:val="422"/>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eastAsia="en-US"/>
              </w:rPr>
            </w:pP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15 02 01 06</w:t>
            </w:r>
          </w:p>
        </w:tc>
        <w:tc>
          <w:tcPr>
            <w:tcW w:w="2045"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 xml:space="preserve">ИССРМС — обезпечаване на общия фонд „Провизии“ </w:t>
            </w:r>
          </w:p>
        </w:tc>
        <w:tc>
          <w:tcPr>
            <w:tcW w:w="1200"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15 02 01 70</w:t>
            </w:r>
          </w:p>
        </w:tc>
        <w:tc>
          <w:tcPr>
            <w:tcW w:w="2558"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 xml:space="preserve">ИССРМС — обезпечаване на общия фонд „Провизии“ </w:t>
            </w:r>
          </w:p>
        </w:tc>
      </w:tr>
      <w:tr w:rsidR="00763157">
        <w:trPr>
          <w:trHeight w:val="710"/>
        </w:trPr>
        <w:tc>
          <w:tcPr>
            <w:tcW w:w="953" w:type="dxa"/>
            <w:vMerge/>
            <w:tcBorders>
              <w:top w:val="nil"/>
              <w:left w:val="single" w:sz="4" w:space="0" w:color="auto"/>
              <w:bottom w:val="nil"/>
              <w:right w:val="single" w:sz="4" w:space="0" w:color="auto"/>
            </w:tcBorders>
            <w:vAlign w:val="center"/>
            <w:hideMark/>
          </w:tcPr>
          <w:p w:rsidR="00763157" w:rsidRDefault="00763157">
            <w:pPr>
              <w:rPr>
                <w:noProof/>
                <w:sz w:val="18"/>
                <w:szCs w:val="18"/>
                <w:lang w:eastAsia="en-US"/>
              </w:rPr>
            </w:pPr>
          </w:p>
        </w:tc>
        <w:tc>
          <w:tcPr>
            <w:tcW w:w="1922" w:type="dxa"/>
            <w:vMerge/>
            <w:tcBorders>
              <w:top w:val="nil"/>
              <w:left w:val="single" w:sz="4" w:space="0" w:color="auto"/>
              <w:bottom w:val="nil"/>
              <w:right w:val="single" w:sz="4" w:space="0" w:color="auto"/>
            </w:tcBorders>
            <w:vAlign w:val="center"/>
            <w:hideMark/>
          </w:tcPr>
          <w:p w:rsidR="00763157" w:rsidRDefault="00763157">
            <w:pPr>
              <w:rPr>
                <w:noProof/>
                <w:sz w:val="18"/>
                <w:szCs w:val="18"/>
                <w:lang w:eastAsia="en-US"/>
              </w:rPr>
            </w:pP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15 02 01 07</w:t>
            </w:r>
          </w:p>
        </w:tc>
        <w:tc>
          <w:tcPr>
            <w:tcW w:w="2045"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 xml:space="preserve"> Инструмент на Европейския съюз за възстановяване (ИЕСВ) — обезпечаване на общия фонд „Провизии“</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заличен</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w:t>
            </w:r>
          </w:p>
        </w:tc>
      </w:tr>
      <w:tr w:rsidR="00763157">
        <w:trPr>
          <w:trHeight w:val="230"/>
        </w:trPr>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15 02 02</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 xml:space="preserve">Тематични </w:t>
            </w:r>
            <w:r>
              <w:rPr>
                <w:noProof/>
                <w:sz w:val="18"/>
                <w:szCs w:val="18"/>
              </w:rPr>
              <w:t>програми</w:t>
            </w:r>
          </w:p>
        </w:tc>
        <w:tc>
          <w:tcPr>
            <w:tcW w:w="1166" w:type="dxa"/>
            <w:vMerge w:val="restart"/>
            <w:tcBorders>
              <w:top w:val="nil"/>
              <w:left w:val="nil"/>
              <w:right w:val="single" w:sz="4" w:space="0" w:color="auto"/>
            </w:tcBorders>
            <w:shd w:val="clear" w:color="auto" w:fill="auto"/>
            <w:vAlign w:val="center"/>
            <w:hideMark/>
          </w:tcPr>
          <w:p w:rsidR="00763157" w:rsidRDefault="00E45FF1">
            <w:pPr>
              <w:rPr>
                <w:noProof/>
                <w:sz w:val="18"/>
                <w:szCs w:val="18"/>
              </w:rPr>
            </w:pPr>
            <w:r>
              <w:rPr>
                <w:noProof/>
                <w:sz w:val="18"/>
                <w:szCs w:val="18"/>
              </w:rPr>
              <w:t>15 02 02 01</w:t>
            </w:r>
          </w:p>
        </w:tc>
        <w:tc>
          <w:tcPr>
            <w:tcW w:w="2045" w:type="dxa"/>
            <w:vMerge w:val="restart"/>
            <w:tcBorders>
              <w:top w:val="nil"/>
              <w:left w:val="nil"/>
              <w:right w:val="single" w:sz="4" w:space="0" w:color="auto"/>
            </w:tcBorders>
            <w:shd w:val="clear" w:color="auto" w:fill="auto"/>
            <w:vAlign w:val="center"/>
            <w:hideMark/>
          </w:tcPr>
          <w:p w:rsidR="00763157" w:rsidRDefault="00E45FF1">
            <w:pPr>
              <w:rPr>
                <w:noProof/>
                <w:sz w:val="18"/>
                <w:szCs w:val="18"/>
              </w:rPr>
            </w:pPr>
            <w:r>
              <w:rPr>
                <w:noProof/>
                <w:sz w:val="18"/>
                <w:szCs w:val="18"/>
              </w:rPr>
              <w:t>Права на човека и демокрация</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15 02 02 10</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Мисии за наблюдение на избори — права на човека и демокрация</w:t>
            </w:r>
          </w:p>
        </w:tc>
      </w:tr>
      <w:tr w:rsidR="00763157">
        <w:trPr>
          <w:trHeight w:val="230"/>
        </w:trPr>
        <w:tc>
          <w:tcPr>
            <w:tcW w:w="953" w:type="dxa"/>
            <w:vMerge/>
            <w:tcBorders>
              <w:top w:val="nil"/>
              <w:left w:val="single" w:sz="4" w:space="0" w:color="auto"/>
              <w:bottom w:val="single" w:sz="4" w:space="0" w:color="auto"/>
              <w:right w:val="single" w:sz="4" w:space="0" w:color="auto"/>
            </w:tcBorders>
            <w:shd w:val="clear" w:color="auto" w:fill="auto"/>
            <w:vAlign w:val="center"/>
          </w:tcPr>
          <w:p w:rsidR="00763157" w:rsidRDefault="00763157">
            <w:pPr>
              <w:rPr>
                <w:noProof/>
                <w:sz w:val="18"/>
                <w:szCs w:val="18"/>
                <w:lang w:eastAsia="en-US"/>
              </w:rPr>
            </w:pPr>
          </w:p>
        </w:tc>
        <w:tc>
          <w:tcPr>
            <w:tcW w:w="1922" w:type="dxa"/>
            <w:vMerge/>
            <w:tcBorders>
              <w:top w:val="nil"/>
              <w:left w:val="single" w:sz="4" w:space="0" w:color="auto"/>
              <w:bottom w:val="single" w:sz="4" w:space="0" w:color="auto"/>
              <w:right w:val="single" w:sz="4" w:space="0" w:color="auto"/>
            </w:tcBorders>
            <w:shd w:val="clear" w:color="auto" w:fill="auto"/>
            <w:vAlign w:val="center"/>
          </w:tcPr>
          <w:p w:rsidR="00763157" w:rsidRDefault="00763157">
            <w:pPr>
              <w:rPr>
                <w:noProof/>
                <w:sz w:val="18"/>
                <w:szCs w:val="18"/>
                <w:lang w:eastAsia="en-US"/>
              </w:rPr>
            </w:pPr>
          </w:p>
        </w:tc>
        <w:tc>
          <w:tcPr>
            <w:tcW w:w="1166" w:type="dxa"/>
            <w:vMerge/>
            <w:tcBorders>
              <w:left w:val="nil"/>
              <w:bottom w:val="single" w:sz="4" w:space="0" w:color="auto"/>
              <w:right w:val="single" w:sz="4" w:space="0" w:color="auto"/>
            </w:tcBorders>
            <w:shd w:val="clear" w:color="auto" w:fill="auto"/>
            <w:vAlign w:val="center"/>
          </w:tcPr>
          <w:p w:rsidR="00763157" w:rsidRDefault="00763157">
            <w:pPr>
              <w:rPr>
                <w:noProof/>
                <w:sz w:val="18"/>
                <w:szCs w:val="18"/>
                <w:lang w:eastAsia="en-US"/>
              </w:rPr>
            </w:pPr>
          </w:p>
        </w:tc>
        <w:tc>
          <w:tcPr>
            <w:tcW w:w="2045" w:type="dxa"/>
            <w:vMerge/>
            <w:tcBorders>
              <w:left w:val="nil"/>
              <w:bottom w:val="single" w:sz="4" w:space="0" w:color="auto"/>
              <w:right w:val="single" w:sz="4" w:space="0" w:color="auto"/>
            </w:tcBorders>
            <w:shd w:val="clear" w:color="auto" w:fill="auto"/>
            <w:vAlign w:val="center"/>
          </w:tcPr>
          <w:p w:rsidR="00763157" w:rsidRDefault="00763157">
            <w:pPr>
              <w:rPr>
                <w:noProof/>
                <w:sz w:val="18"/>
                <w:szCs w:val="18"/>
                <w:lang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tcPr>
          <w:p w:rsidR="00763157" w:rsidRDefault="00E45FF1">
            <w:pPr>
              <w:rPr>
                <w:i/>
                <w:noProof/>
                <w:sz w:val="18"/>
                <w:szCs w:val="18"/>
              </w:rPr>
            </w:pPr>
            <w:r>
              <w:rPr>
                <w:i/>
                <w:noProof/>
                <w:sz w:val="18"/>
                <w:szCs w:val="18"/>
              </w:rPr>
              <w:t>15 02 02 11</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tcPr>
          <w:p w:rsidR="00763157" w:rsidRDefault="00E45FF1">
            <w:pPr>
              <w:rPr>
                <w:i/>
                <w:noProof/>
                <w:sz w:val="18"/>
                <w:szCs w:val="18"/>
              </w:rPr>
            </w:pPr>
            <w:r>
              <w:rPr>
                <w:i/>
                <w:noProof/>
                <w:sz w:val="18"/>
                <w:szCs w:val="18"/>
              </w:rPr>
              <w:t>Основни права и свободи — права на човека и демокрация</w:t>
            </w:r>
          </w:p>
        </w:tc>
      </w:tr>
      <w:tr w:rsidR="00763157">
        <w:trPr>
          <w:trHeight w:val="170"/>
        </w:trPr>
        <w:tc>
          <w:tcPr>
            <w:tcW w:w="953"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eastAsia="en-US"/>
              </w:rPr>
            </w:pPr>
          </w:p>
        </w:tc>
        <w:tc>
          <w:tcPr>
            <w:tcW w:w="1922"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eastAsia="en-US"/>
              </w:rPr>
            </w:pP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15 02 02 02</w:t>
            </w:r>
          </w:p>
        </w:tc>
        <w:tc>
          <w:tcPr>
            <w:tcW w:w="2045"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 xml:space="preserve">Организации на гражданското </w:t>
            </w:r>
            <w:r>
              <w:rPr>
                <w:noProof/>
                <w:sz w:val="18"/>
                <w:szCs w:val="18"/>
              </w:rPr>
              <w:t>общество</w:t>
            </w:r>
          </w:p>
        </w:tc>
        <w:tc>
          <w:tcPr>
            <w:tcW w:w="1200"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15 02 02 20</w:t>
            </w:r>
          </w:p>
        </w:tc>
        <w:tc>
          <w:tcPr>
            <w:tcW w:w="2558"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Организации на гражданското общество</w:t>
            </w:r>
          </w:p>
        </w:tc>
      </w:tr>
      <w:tr w:rsidR="00763157">
        <w:trPr>
          <w:trHeight w:val="194"/>
        </w:trPr>
        <w:tc>
          <w:tcPr>
            <w:tcW w:w="953"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15 02 02 03</w:t>
            </w:r>
          </w:p>
        </w:tc>
        <w:tc>
          <w:tcPr>
            <w:tcW w:w="2045"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Стабилност и мир</w:t>
            </w:r>
          </w:p>
        </w:tc>
        <w:tc>
          <w:tcPr>
            <w:tcW w:w="1200"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15 02 02 30</w:t>
            </w:r>
          </w:p>
        </w:tc>
        <w:tc>
          <w:tcPr>
            <w:tcW w:w="2558"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Стабилност и мир</w:t>
            </w:r>
          </w:p>
        </w:tc>
      </w:tr>
      <w:tr w:rsidR="00763157">
        <w:trPr>
          <w:trHeight w:val="86"/>
        </w:trPr>
        <w:tc>
          <w:tcPr>
            <w:tcW w:w="953"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763157" w:rsidRDefault="00E45FF1">
            <w:pPr>
              <w:jc w:val="center"/>
              <w:rPr>
                <w:noProof/>
                <w:sz w:val="18"/>
                <w:szCs w:val="18"/>
              </w:rPr>
            </w:pPr>
            <w:r>
              <w:rPr>
                <w:noProof/>
                <w:sz w:val="18"/>
                <w:szCs w:val="18"/>
              </w:rPr>
              <w:t>15 02 02 04</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763157" w:rsidRDefault="00E45FF1">
            <w:pPr>
              <w:rPr>
                <w:noProof/>
                <w:sz w:val="18"/>
                <w:szCs w:val="18"/>
              </w:rPr>
            </w:pPr>
            <w:r>
              <w:rPr>
                <w:noProof/>
                <w:sz w:val="18"/>
                <w:szCs w:val="18"/>
              </w:rPr>
              <w:t>Глобални предизвикателства</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15 02 02 40</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Хора — глобални предизвикателства</w:t>
            </w:r>
          </w:p>
        </w:tc>
      </w:tr>
      <w:tr w:rsidR="00763157">
        <w:trPr>
          <w:trHeight w:val="122"/>
        </w:trPr>
        <w:tc>
          <w:tcPr>
            <w:tcW w:w="953"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166" w:type="dxa"/>
            <w:vMerge/>
            <w:tcBorders>
              <w:top w:val="nil"/>
              <w:left w:val="single" w:sz="4" w:space="0" w:color="auto"/>
              <w:bottom w:val="single" w:sz="4" w:space="0" w:color="000000"/>
              <w:right w:val="single" w:sz="4" w:space="0" w:color="auto"/>
            </w:tcBorders>
            <w:vAlign w:val="center"/>
            <w:hideMark/>
          </w:tcPr>
          <w:p w:rsidR="00763157" w:rsidRDefault="00763157">
            <w:pPr>
              <w:rPr>
                <w:noProof/>
                <w:sz w:val="18"/>
                <w:szCs w:val="18"/>
                <w:lang w:val="en-US" w:eastAsia="en-US"/>
              </w:rPr>
            </w:pPr>
          </w:p>
        </w:tc>
        <w:tc>
          <w:tcPr>
            <w:tcW w:w="2045" w:type="dxa"/>
            <w:vMerge/>
            <w:tcBorders>
              <w:top w:val="nil"/>
              <w:left w:val="single" w:sz="4" w:space="0" w:color="auto"/>
              <w:bottom w:val="single" w:sz="4" w:space="0" w:color="000000"/>
              <w:right w:val="single" w:sz="4" w:space="0" w:color="auto"/>
            </w:tcBorders>
            <w:vAlign w:val="center"/>
            <w:hideMark/>
          </w:tcPr>
          <w:p w:rsidR="00763157" w:rsidRDefault="00763157">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15 02 02 41</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 xml:space="preserve">Планета — глобални </w:t>
            </w:r>
            <w:r>
              <w:rPr>
                <w:i/>
                <w:noProof/>
                <w:sz w:val="18"/>
                <w:szCs w:val="18"/>
              </w:rPr>
              <w:t>предизвикателства</w:t>
            </w:r>
          </w:p>
        </w:tc>
      </w:tr>
      <w:tr w:rsidR="00763157">
        <w:trPr>
          <w:trHeight w:val="48"/>
        </w:trPr>
        <w:tc>
          <w:tcPr>
            <w:tcW w:w="953"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166" w:type="dxa"/>
            <w:vMerge/>
            <w:tcBorders>
              <w:top w:val="nil"/>
              <w:left w:val="single" w:sz="4" w:space="0" w:color="auto"/>
              <w:bottom w:val="single" w:sz="4" w:space="0" w:color="000000"/>
              <w:right w:val="single" w:sz="4" w:space="0" w:color="auto"/>
            </w:tcBorders>
            <w:vAlign w:val="center"/>
            <w:hideMark/>
          </w:tcPr>
          <w:p w:rsidR="00763157" w:rsidRDefault="00763157">
            <w:pPr>
              <w:rPr>
                <w:noProof/>
                <w:sz w:val="18"/>
                <w:szCs w:val="18"/>
                <w:lang w:val="en-US" w:eastAsia="en-US"/>
              </w:rPr>
            </w:pPr>
          </w:p>
        </w:tc>
        <w:tc>
          <w:tcPr>
            <w:tcW w:w="2045" w:type="dxa"/>
            <w:vMerge/>
            <w:tcBorders>
              <w:top w:val="nil"/>
              <w:left w:val="single" w:sz="4" w:space="0" w:color="auto"/>
              <w:bottom w:val="single" w:sz="4" w:space="0" w:color="000000"/>
              <w:right w:val="single" w:sz="4" w:space="0" w:color="auto"/>
            </w:tcBorders>
            <w:vAlign w:val="center"/>
            <w:hideMark/>
          </w:tcPr>
          <w:p w:rsidR="00763157" w:rsidRDefault="00763157">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15 02 02 42</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Просперитет — глобални предизвикателства</w:t>
            </w:r>
          </w:p>
        </w:tc>
      </w:tr>
      <w:tr w:rsidR="00763157">
        <w:trPr>
          <w:trHeight w:val="260"/>
        </w:trPr>
        <w:tc>
          <w:tcPr>
            <w:tcW w:w="953"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166" w:type="dxa"/>
            <w:vMerge/>
            <w:tcBorders>
              <w:top w:val="nil"/>
              <w:left w:val="single" w:sz="4" w:space="0" w:color="auto"/>
              <w:bottom w:val="single" w:sz="4" w:space="0" w:color="000000"/>
              <w:right w:val="single" w:sz="4" w:space="0" w:color="auto"/>
            </w:tcBorders>
            <w:vAlign w:val="center"/>
            <w:hideMark/>
          </w:tcPr>
          <w:p w:rsidR="00763157" w:rsidRDefault="00763157">
            <w:pPr>
              <w:rPr>
                <w:noProof/>
                <w:sz w:val="18"/>
                <w:szCs w:val="18"/>
                <w:lang w:val="en-US" w:eastAsia="en-US"/>
              </w:rPr>
            </w:pPr>
          </w:p>
        </w:tc>
        <w:tc>
          <w:tcPr>
            <w:tcW w:w="2045" w:type="dxa"/>
            <w:vMerge/>
            <w:tcBorders>
              <w:top w:val="nil"/>
              <w:left w:val="single" w:sz="4" w:space="0" w:color="auto"/>
              <w:bottom w:val="single" w:sz="4" w:space="0" w:color="000000"/>
              <w:right w:val="single" w:sz="4" w:space="0" w:color="auto"/>
            </w:tcBorders>
            <w:vAlign w:val="center"/>
            <w:hideMark/>
          </w:tcPr>
          <w:p w:rsidR="00763157" w:rsidRDefault="00763157">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15 02 02 43</w:t>
            </w:r>
          </w:p>
          <w:p w:rsidR="00763157" w:rsidRDefault="00E45FF1">
            <w:pPr>
              <w:rPr>
                <w:i/>
                <w:noProof/>
                <w:sz w:val="18"/>
                <w:szCs w:val="18"/>
              </w:rPr>
            </w:pPr>
            <w:r>
              <w:rPr>
                <w:i/>
                <w:noProof/>
                <w:sz w:val="18"/>
                <w:szCs w:val="18"/>
              </w:rPr>
              <w:t>(нов)</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Партньорства — глобални предизвикателства</w:t>
            </w:r>
          </w:p>
        </w:tc>
      </w:tr>
      <w:tr w:rsidR="00763157">
        <w:trPr>
          <w:trHeight w:val="48"/>
        </w:trPr>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15 02 03</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Действия за бързо реагиране</w:t>
            </w: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15 02 03 01</w:t>
            </w:r>
          </w:p>
        </w:tc>
        <w:tc>
          <w:tcPr>
            <w:tcW w:w="2045"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Реакция при кризи</w:t>
            </w:r>
          </w:p>
        </w:tc>
        <w:tc>
          <w:tcPr>
            <w:tcW w:w="1200"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15 02 03 10</w:t>
            </w:r>
          </w:p>
        </w:tc>
        <w:tc>
          <w:tcPr>
            <w:tcW w:w="2558"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Реакция при кризи</w:t>
            </w:r>
          </w:p>
        </w:tc>
      </w:tr>
      <w:tr w:rsidR="00763157">
        <w:trPr>
          <w:trHeight w:val="122"/>
        </w:trPr>
        <w:tc>
          <w:tcPr>
            <w:tcW w:w="953"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15 02 03</w:t>
            </w:r>
            <w:r>
              <w:rPr>
                <w:noProof/>
                <w:sz w:val="18"/>
                <w:szCs w:val="18"/>
              </w:rPr>
              <w:t xml:space="preserve"> 02</w:t>
            </w:r>
          </w:p>
        </w:tc>
        <w:tc>
          <w:tcPr>
            <w:tcW w:w="2045"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Устойчивост</w:t>
            </w:r>
          </w:p>
        </w:tc>
        <w:tc>
          <w:tcPr>
            <w:tcW w:w="1200"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15 02 03 20</w:t>
            </w:r>
          </w:p>
        </w:tc>
        <w:tc>
          <w:tcPr>
            <w:tcW w:w="2558"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Устойчивост</w:t>
            </w:r>
          </w:p>
        </w:tc>
      </w:tr>
      <w:tr w:rsidR="00763157">
        <w:trPr>
          <w:trHeight w:val="48"/>
        </w:trPr>
        <w:tc>
          <w:tcPr>
            <w:tcW w:w="953"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15 02 03 03</w:t>
            </w:r>
          </w:p>
        </w:tc>
        <w:tc>
          <w:tcPr>
            <w:tcW w:w="2045"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Нужди на външната политика</w:t>
            </w:r>
          </w:p>
        </w:tc>
        <w:tc>
          <w:tcPr>
            <w:tcW w:w="1200"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15 02 03 30</w:t>
            </w:r>
          </w:p>
        </w:tc>
        <w:tc>
          <w:tcPr>
            <w:tcW w:w="2558"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Нужди на външната политика</w:t>
            </w:r>
          </w:p>
        </w:tc>
      </w:tr>
      <w:tr w:rsidR="00763157">
        <w:trPr>
          <w:trHeight w:val="410"/>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lastRenderedPageBreak/>
              <w:t>15 02 04</w:t>
            </w:r>
          </w:p>
        </w:tc>
        <w:tc>
          <w:tcPr>
            <w:tcW w:w="1922"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Резерв за нововъзникващи предизвикателства и приоритети</w:t>
            </w:r>
          </w:p>
        </w:tc>
        <w:tc>
          <w:tcPr>
            <w:tcW w:w="1166"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15 02 04</w:t>
            </w:r>
          </w:p>
        </w:tc>
        <w:tc>
          <w:tcPr>
            <w:tcW w:w="2045"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Резерв за нововъзникващи предизвикателства и приоритети</w:t>
            </w:r>
          </w:p>
        </w:tc>
        <w:tc>
          <w:tcPr>
            <w:tcW w:w="1200"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 xml:space="preserve">15 </w:t>
            </w:r>
            <w:r>
              <w:rPr>
                <w:noProof/>
                <w:sz w:val="18"/>
                <w:szCs w:val="18"/>
              </w:rPr>
              <w:t>02 04</w:t>
            </w:r>
          </w:p>
        </w:tc>
        <w:tc>
          <w:tcPr>
            <w:tcW w:w="2558"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Резерв за нововъзникващи предизвикателства и приоритети</w:t>
            </w:r>
          </w:p>
        </w:tc>
      </w:tr>
    </w:tbl>
    <w:p w:rsidR="00763157" w:rsidRDefault="00E45FF1">
      <w:pPr>
        <w:keepNext/>
        <w:tabs>
          <w:tab w:val="left" w:pos="851"/>
        </w:tabs>
        <w:spacing w:before="240" w:after="120"/>
        <w:ind w:left="850" w:hanging="850"/>
        <w:jc w:val="both"/>
        <w:outlineLvl w:val="1"/>
        <w:rPr>
          <w:rFonts w:eastAsia="Calibri"/>
          <w:i/>
          <w:noProof/>
        </w:rPr>
      </w:pPr>
      <w:bookmarkStart w:id="190" w:name="_Toc55807160"/>
      <w:bookmarkStart w:id="191" w:name="_Toc56247335"/>
      <w:bookmarkStart w:id="192" w:name="_Toc54770347"/>
      <w:r>
        <w:rPr>
          <w:i/>
          <w:noProof/>
        </w:rPr>
        <w:t xml:space="preserve">8.2.2 </w:t>
      </w:r>
      <w:r>
        <w:rPr>
          <w:i/>
          <w:noProof/>
        </w:rPr>
        <w:tab/>
        <w:t>Програма за единния пазар</w:t>
      </w:r>
      <w:bookmarkEnd w:id="190"/>
      <w:bookmarkEnd w:id="191"/>
    </w:p>
    <w:p w:rsidR="00763157" w:rsidRDefault="00E45FF1">
      <w:pPr>
        <w:autoSpaceDE w:val="0"/>
        <w:autoSpaceDN w:val="0"/>
        <w:adjustRightInd w:val="0"/>
        <w:spacing w:before="120" w:after="120"/>
        <w:jc w:val="both"/>
        <w:rPr>
          <w:noProof/>
        </w:rPr>
      </w:pPr>
      <w:r>
        <w:rPr>
          <w:noProof/>
        </w:rPr>
        <w:t xml:space="preserve">В контекста на постигнатото неотдавна споразумение между съзаконодателите относно целите на Програмата за единния пазар се предлага да бъде създадена нова специална бюджетна позиция, озаглавена „Надзор на пазара“, в рамките на статия 03 02 01 </w:t>
      </w:r>
      <w:r>
        <w:rPr>
          <w:i/>
          <w:noProof/>
        </w:rPr>
        <w:t>Повишаване на</w:t>
      </w:r>
      <w:r>
        <w:rPr>
          <w:i/>
          <w:noProof/>
        </w:rPr>
        <w:t xml:space="preserve"> ефективността на вътрешния пазар</w:t>
      </w:r>
      <w:r>
        <w:rPr>
          <w:noProof/>
        </w:rPr>
        <w:t>.</w:t>
      </w:r>
    </w:p>
    <w:p w:rsidR="00763157" w:rsidRDefault="00E45FF1">
      <w:pPr>
        <w:keepNext/>
        <w:tabs>
          <w:tab w:val="left" w:pos="851"/>
        </w:tabs>
        <w:spacing w:before="240" w:after="120"/>
        <w:ind w:left="850" w:hanging="850"/>
        <w:jc w:val="both"/>
        <w:outlineLvl w:val="1"/>
        <w:rPr>
          <w:rFonts w:eastAsia="Calibri"/>
          <w:i/>
          <w:noProof/>
        </w:rPr>
      </w:pPr>
      <w:bookmarkStart w:id="193" w:name="_Toc55807161"/>
      <w:bookmarkStart w:id="194" w:name="_Toc56247336"/>
      <w:r>
        <w:rPr>
          <w:i/>
          <w:noProof/>
        </w:rPr>
        <w:t xml:space="preserve">8.2.3 </w:t>
      </w:r>
      <w:r>
        <w:rPr>
          <w:i/>
          <w:noProof/>
        </w:rPr>
        <w:tab/>
        <w:t>Социална политика (включително социалният диалог)</w:t>
      </w:r>
      <w:bookmarkEnd w:id="192"/>
      <w:bookmarkEnd w:id="193"/>
      <w:bookmarkEnd w:id="194"/>
    </w:p>
    <w:p w:rsidR="00763157" w:rsidRDefault="00E45FF1">
      <w:pPr>
        <w:autoSpaceDE w:val="0"/>
        <w:autoSpaceDN w:val="0"/>
        <w:adjustRightInd w:val="0"/>
        <w:spacing w:before="120" w:after="120"/>
        <w:jc w:val="both"/>
        <w:rPr>
          <w:noProof/>
        </w:rPr>
      </w:pPr>
      <w:r>
        <w:rPr>
          <w:noProof/>
        </w:rPr>
        <w:t>Предлага се бюджетният ред (и свързаните с него бюджетни кредити), покриващ разходите за социалната политика (включително социалния диалог), да бъде разделен, за да</w:t>
      </w:r>
      <w:r>
        <w:rPr>
          <w:noProof/>
        </w:rPr>
        <w:t xml:space="preserve"> се създаде нов бюджетен ред, изцяло предназначен за проучвания или за безвъзмездни средства за научноизследователски организации.</w:t>
      </w:r>
    </w:p>
    <w:p w:rsidR="00763157" w:rsidRDefault="00E45FF1">
      <w:pPr>
        <w:autoSpaceDE w:val="0"/>
        <w:autoSpaceDN w:val="0"/>
        <w:adjustRightInd w:val="0"/>
        <w:spacing w:before="120" w:after="120"/>
        <w:jc w:val="both"/>
        <w:rPr>
          <w:noProof/>
        </w:rPr>
      </w:pPr>
      <w:r>
        <w:rPr>
          <w:noProof/>
        </w:rPr>
        <w:t>Таблицата по-долу съдържа промяната в сравнение с ПБ за 2021 г.:</w:t>
      </w:r>
    </w:p>
    <w:tbl>
      <w:tblPr>
        <w:tblW w:w="9835" w:type="dxa"/>
        <w:tblInd w:w="113" w:type="dxa"/>
        <w:tblLook w:val="04A0" w:firstRow="1" w:lastRow="0" w:firstColumn="1" w:lastColumn="0" w:noHBand="0" w:noVBand="1"/>
      </w:tblPr>
      <w:tblGrid>
        <w:gridCol w:w="951"/>
        <w:gridCol w:w="1924"/>
        <w:gridCol w:w="1153"/>
        <w:gridCol w:w="2087"/>
        <w:gridCol w:w="1153"/>
        <w:gridCol w:w="2567"/>
      </w:tblGrid>
      <w:tr w:rsidR="00763157">
        <w:trPr>
          <w:trHeight w:val="245"/>
        </w:trPr>
        <w:tc>
          <w:tcPr>
            <w:tcW w:w="6115"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763157" w:rsidRDefault="00E45FF1">
            <w:pPr>
              <w:jc w:val="center"/>
              <w:rPr>
                <w:b/>
                <w:bCs/>
                <w:noProof/>
                <w:sz w:val="18"/>
                <w:szCs w:val="18"/>
              </w:rPr>
            </w:pPr>
            <w:r>
              <w:rPr>
                <w:b/>
                <w:bCs/>
                <w:noProof/>
                <w:sz w:val="18"/>
                <w:szCs w:val="18"/>
              </w:rPr>
              <w:t>Номенклатура в ПБ за 2021 г.</w:t>
            </w:r>
          </w:p>
        </w:tc>
        <w:tc>
          <w:tcPr>
            <w:tcW w:w="3720" w:type="dxa"/>
            <w:gridSpan w:val="2"/>
            <w:tcBorders>
              <w:top w:val="single" w:sz="4" w:space="0" w:color="auto"/>
              <w:left w:val="nil"/>
              <w:bottom w:val="single" w:sz="4" w:space="0" w:color="auto"/>
              <w:right w:val="single" w:sz="4" w:space="0" w:color="000000"/>
            </w:tcBorders>
            <w:shd w:val="clear" w:color="000000" w:fill="D9D9D9"/>
            <w:vAlign w:val="center"/>
            <w:hideMark/>
          </w:tcPr>
          <w:p w:rsidR="00763157" w:rsidRDefault="00E45FF1">
            <w:pPr>
              <w:jc w:val="center"/>
              <w:rPr>
                <w:b/>
                <w:bCs/>
                <w:noProof/>
                <w:sz w:val="18"/>
                <w:szCs w:val="18"/>
              </w:rPr>
            </w:pPr>
            <w:r>
              <w:rPr>
                <w:b/>
                <w:bCs/>
                <w:noProof/>
                <w:sz w:val="18"/>
                <w:szCs w:val="18"/>
              </w:rPr>
              <w:t>Номенклатура в ПВК 1/2021</w:t>
            </w:r>
          </w:p>
        </w:tc>
      </w:tr>
      <w:tr w:rsidR="00763157">
        <w:trPr>
          <w:trHeight w:val="650"/>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jc w:val="center"/>
              <w:rPr>
                <w:noProof/>
                <w:sz w:val="18"/>
                <w:szCs w:val="18"/>
              </w:rPr>
            </w:pPr>
            <w:r>
              <w:rPr>
                <w:noProof/>
                <w:sz w:val="18"/>
                <w:szCs w:val="18"/>
              </w:rPr>
              <w:t xml:space="preserve">07 </w:t>
            </w:r>
            <w:r>
              <w:rPr>
                <w:noProof/>
                <w:sz w:val="18"/>
                <w:szCs w:val="18"/>
              </w:rPr>
              <w:t>20 04</w:t>
            </w:r>
          </w:p>
        </w:tc>
        <w:tc>
          <w:tcPr>
            <w:tcW w:w="1924"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Действия, финансирани съгласно прерогативите на Комисията и специфичните правомощия, предоставени на Комисията</w:t>
            </w:r>
          </w:p>
        </w:tc>
        <w:tc>
          <w:tcPr>
            <w:tcW w:w="1153"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jc w:val="center"/>
              <w:rPr>
                <w:noProof/>
                <w:sz w:val="18"/>
                <w:szCs w:val="18"/>
              </w:rPr>
            </w:pPr>
            <w:r>
              <w:rPr>
                <w:noProof/>
                <w:sz w:val="18"/>
                <w:szCs w:val="18"/>
              </w:rPr>
              <w:t>07 20 04 06</w:t>
            </w:r>
          </w:p>
        </w:tc>
        <w:tc>
          <w:tcPr>
            <w:tcW w:w="2087" w:type="dxa"/>
            <w:vMerge w:val="restart"/>
            <w:tcBorders>
              <w:top w:val="nil"/>
              <w:left w:val="single" w:sz="4" w:space="0" w:color="auto"/>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Специфични компетенции в областта на социалната политика, включително социалния диалог</w:t>
            </w:r>
          </w:p>
        </w:tc>
        <w:tc>
          <w:tcPr>
            <w:tcW w:w="1153"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07 20 04 06</w:t>
            </w:r>
          </w:p>
        </w:tc>
        <w:tc>
          <w:tcPr>
            <w:tcW w:w="2567" w:type="dxa"/>
            <w:tcBorders>
              <w:top w:val="nil"/>
              <w:left w:val="nil"/>
              <w:bottom w:val="single" w:sz="4" w:space="0" w:color="auto"/>
              <w:right w:val="single" w:sz="4" w:space="0" w:color="auto"/>
            </w:tcBorders>
            <w:shd w:val="clear" w:color="auto" w:fill="auto"/>
            <w:vAlign w:val="center"/>
            <w:hideMark/>
          </w:tcPr>
          <w:p w:rsidR="00763157" w:rsidRDefault="00E45FF1">
            <w:pPr>
              <w:rPr>
                <w:noProof/>
                <w:sz w:val="18"/>
                <w:szCs w:val="18"/>
              </w:rPr>
            </w:pPr>
            <w:r>
              <w:rPr>
                <w:noProof/>
                <w:sz w:val="18"/>
                <w:szCs w:val="18"/>
              </w:rPr>
              <w:t>Специфични компетенции в обл</w:t>
            </w:r>
            <w:r>
              <w:rPr>
                <w:noProof/>
                <w:sz w:val="18"/>
                <w:szCs w:val="18"/>
              </w:rPr>
              <w:t>астта на социалната политика, включително социалния диалог</w:t>
            </w:r>
          </w:p>
        </w:tc>
      </w:tr>
      <w:tr w:rsidR="00763157">
        <w:trPr>
          <w:trHeight w:val="482"/>
        </w:trPr>
        <w:tc>
          <w:tcPr>
            <w:tcW w:w="951"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eastAsia="en-US"/>
              </w:rPr>
            </w:pPr>
          </w:p>
        </w:tc>
        <w:tc>
          <w:tcPr>
            <w:tcW w:w="1924"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eastAsia="en-US"/>
              </w:rPr>
            </w:pPr>
          </w:p>
        </w:tc>
        <w:tc>
          <w:tcPr>
            <w:tcW w:w="1153"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763157" w:rsidRDefault="00763157">
            <w:pPr>
              <w:rPr>
                <w:noProof/>
                <w:sz w:val="18"/>
                <w:szCs w:val="18"/>
                <w:lang w:eastAsia="en-US"/>
              </w:rPr>
            </w:pPr>
          </w:p>
        </w:tc>
        <w:tc>
          <w:tcPr>
            <w:tcW w:w="1153"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07 20 04 08</w:t>
            </w:r>
          </w:p>
          <w:p w:rsidR="00763157" w:rsidRDefault="00E45FF1">
            <w:pPr>
              <w:rPr>
                <w:i/>
                <w:noProof/>
                <w:sz w:val="18"/>
                <w:szCs w:val="18"/>
              </w:rPr>
            </w:pPr>
            <w:r>
              <w:rPr>
                <w:i/>
                <w:noProof/>
                <w:sz w:val="18"/>
                <w:szCs w:val="18"/>
              </w:rPr>
              <w:t>(нов)</w:t>
            </w:r>
          </w:p>
        </w:tc>
        <w:tc>
          <w:tcPr>
            <w:tcW w:w="2567" w:type="dxa"/>
            <w:tcBorders>
              <w:top w:val="nil"/>
              <w:left w:val="nil"/>
              <w:bottom w:val="single" w:sz="4" w:space="0" w:color="auto"/>
              <w:right w:val="single" w:sz="4" w:space="0" w:color="auto"/>
            </w:tcBorders>
            <w:shd w:val="clear" w:color="auto" w:fill="F2F2F2" w:themeFill="background1" w:themeFillShade="F2"/>
            <w:vAlign w:val="center"/>
            <w:hideMark/>
          </w:tcPr>
          <w:p w:rsidR="00763157" w:rsidRDefault="00E45FF1">
            <w:pPr>
              <w:rPr>
                <w:i/>
                <w:noProof/>
                <w:sz w:val="18"/>
                <w:szCs w:val="18"/>
              </w:rPr>
            </w:pPr>
            <w:r>
              <w:rPr>
                <w:i/>
                <w:noProof/>
                <w:sz w:val="18"/>
                <w:szCs w:val="18"/>
              </w:rPr>
              <w:t xml:space="preserve">Анализ и проучвания на социалното положение, демографските данни и семейството </w:t>
            </w:r>
          </w:p>
        </w:tc>
      </w:tr>
    </w:tbl>
    <w:p w:rsidR="00763157" w:rsidRDefault="00E45FF1">
      <w:pPr>
        <w:keepNext/>
        <w:tabs>
          <w:tab w:val="left" w:pos="850"/>
        </w:tabs>
        <w:spacing w:before="240" w:after="120"/>
        <w:ind w:left="850" w:hanging="850"/>
        <w:jc w:val="both"/>
        <w:outlineLvl w:val="1"/>
        <w:rPr>
          <w:rFonts w:eastAsia="Calibri"/>
          <w:i/>
          <w:noProof/>
        </w:rPr>
      </w:pPr>
      <w:bookmarkStart w:id="195" w:name="_Toc54770348"/>
      <w:bookmarkStart w:id="196" w:name="_Toc55807162"/>
      <w:bookmarkStart w:id="197" w:name="_Toc56247337"/>
      <w:r>
        <w:rPr>
          <w:i/>
          <w:noProof/>
        </w:rPr>
        <w:t>8.2.4</w:t>
      </w:r>
      <w:r>
        <w:rPr>
          <w:i/>
          <w:noProof/>
        </w:rPr>
        <w:tab/>
        <w:t xml:space="preserve">Удължаване на срока на действие на Съвместното предприятие за европейски </w:t>
      </w:r>
      <w:r>
        <w:rPr>
          <w:i/>
          <w:noProof/>
        </w:rPr>
        <w:t>високопроизводителни изчислителни технологии (EuroHPC)</w:t>
      </w:r>
      <w:bookmarkEnd w:id="195"/>
      <w:bookmarkEnd w:id="196"/>
      <w:bookmarkEnd w:id="197"/>
    </w:p>
    <w:p w:rsidR="00763157" w:rsidRDefault="00E45FF1">
      <w:pPr>
        <w:jc w:val="both"/>
        <w:rPr>
          <w:noProof/>
        </w:rPr>
      </w:pPr>
      <w:r>
        <w:rPr>
          <w:noProof/>
        </w:rPr>
        <w:t>През септември Комисията прие предложение за Регламент на Съвета за създаване на Съвместно предприятие за европейски високопроизводителни изчислителни технологии</w:t>
      </w:r>
      <w:r>
        <w:rPr>
          <w:rStyle w:val="FootnoteReference"/>
          <w:noProof/>
        </w:rPr>
        <w:footnoteReference w:id="33"/>
      </w:r>
      <w:r>
        <w:rPr>
          <w:noProof/>
        </w:rPr>
        <w:t xml:space="preserve"> в рамките на следващата МФР въз основа</w:t>
      </w:r>
      <w:r>
        <w:rPr>
          <w:noProof/>
        </w:rPr>
        <w:t xml:space="preserve"> на съществуващото EuroHPC, което бе създадено през октомври 2018 г.</w:t>
      </w:r>
    </w:p>
    <w:p w:rsidR="00763157" w:rsidRDefault="00E45FF1">
      <w:pPr>
        <w:spacing w:before="120" w:after="120"/>
        <w:jc w:val="both"/>
        <w:rPr>
          <w:noProof/>
        </w:rPr>
      </w:pPr>
      <w:r>
        <w:rPr>
          <w:noProof/>
        </w:rPr>
        <w:t xml:space="preserve">Вследствие на това решение в ПВК 1/2021 бяха включени съответните бюджетни редове за финансовия принос от „Хоризонт Европа“, от програмата „Цифрова Европа“ и от Механизма за свързване на </w:t>
      </w:r>
      <w:r>
        <w:rPr>
          <w:noProof/>
        </w:rPr>
        <w:t>Европа (МСЕ). На този етап по тези нови редове не са записани бюджетни кредити, тъй като точният финансов принос от трите програми предстои да бъде определен по време на тяхното стратегическо планиране и програмиране.</w:t>
      </w:r>
    </w:p>
    <w:p w:rsidR="00763157" w:rsidRDefault="00E45FF1">
      <w:pPr>
        <w:keepNext/>
        <w:tabs>
          <w:tab w:val="left" w:pos="850"/>
        </w:tabs>
        <w:spacing w:before="240" w:after="120"/>
        <w:ind w:left="850" w:hanging="850"/>
        <w:jc w:val="both"/>
        <w:outlineLvl w:val="1"/>
        <w:rPr>
          <w:rFonts w:eastAsia="Calibri"/>
          <w:i/>
          <w:noProof/>
        </w:rPr>
      </w:pPr>
      <w:bookmarkStart w:id="198" w:name="_Toc55807163"/>
      <w:bookmarkStart w:id="199" w:name="_Toc56247338"/>
      <w:bookmarkStart w:id="200" w:name="_Toc54770349"/>
      <w:bookmarkEnd w:id="147"/>
      <w:r>
        <w:rPr>
          <w:i/>
          <w:noProof/>
        </w:rPr>
        <w:t xml:space="preserve">8.2.5 </w:t>
      </w:r>
      <w:r>
        <w:rPr>
          <w:i/>
          <w:noProof/>
        </w:rPr>
        <w:tab/>
        <w:t>Създаване на нови бюджетни редо</w:t>
      </w:r>
      <w:r>
        <w:rPr>
          <w:i/>
          <w:noProof/>
        </w:rPr>
        <w:t>ве за двата консултативни органа</w:t>
      </w:r>
      <w:bookmarkEnd w:id="198"/>
      <w:bookmarkEnd w:id="199"/>
    </w:p>
    <w:p w:rsidR="00763157" w:rsidRDefault="00E45FF1">
      <w:pPr>
        <w:autoSpaceDE w:val="0"/>
        <w:autoSpaceDN w:val="0"/>
        <w:adjustRightInd w:val="0"/>
        <w:spacing w:before="120" w:after="120"/>
        <w:jc w:val="both"/>
        <w:rPr>
          <w:noProof/>
        </w:rPr>
      </w:pPr>
      <w:r>
        <w:rPr>
          <w:noProof/>
        </w:rPr>
        <w:t>През пролетта на 2020 г. двата консултативни органа — Европейският икономически и социален комитет и Европейският комитет на регионите — постигнаха споразумение относно определянето на цел за намаляване на въглеродните емис</w:t>
      </w:r>
      <w:r>
        <w:rPr>
          <w:noProof/>
        </w:rPr>
        <w:t>ии и съответните срокове. Наред с други препоръки във връзка с изпълнението на тази цел комитетите поискаха да бъде създаден в съответния им раздел нов бюджетен ред без бюджетни кредити, предназначен за компенсирането на CO2 като подготвителна мярка.</w:t>
      </w:r>
    </w:p>
    <w:p w:rsidR="00763157" w:rsidRDefault="00E45FF1">
      <w:pPr>
        <w:autoSpaceDE w:val="0"/>
        <w:autoSpaceDN w:val="0"/>
        <w:adjustRightInd w:val="0"/>
        <w:spacing w:before="120" w:after="120"/>
        <w:jc w:val="both"/>
        <w:rPr>
          <w:noProof/>
        </w:rPr>
      </w:pPr>
      <w:r>
        <w:rPr>
          <w:noProof/>
        </w:rPr>
        <w:t>Поради момента на вземане на политическото решение за въвеждане на схема за въглеродните емисии комитетите не можаха да поискат в ПБ за 2021 г. новите бюджетни редове (без бюджетни кредити) за компенсирането на CO2.</w:t>
      </w:r>
    </w:p>
    <w:p w:rsidR="00763157" w:rsidRDefault="00E45FF1">
      <w:pPr>
        <w:keepNext/>
        <w:tabs>
          <w:tab w:val="left" w:pos="850"/>
        </w:tabs>
        <w:spacing w:before="240" w:after="120"/>
        <w:ind w:left="850" w:hanging="850"/>
        <w:jc w:val="both"/>
        <w:outlineLvl w:val="1"/>
        <w:rPr>
          <w:rFonts w:eastAsia="Calibri"/>
          <w:i/>
          <w:noProof/>
        </w:rPr>
      </w:pPr>
      <w:bookmarkStart w:id="201" w:name="_Toc55807164"/>
      <w:bookmarkStart w:id="202" w:name="_Toc56247339"/>
      <w:r>
        <w:rPr>
          <w:i/>
          <w:noProof/>
        </w:rPr>
        <w:lastRenderedPageBreak/>
        <w:t xml:space="preserve">8.2.6 </w:t>
      </w:r>
      <w:r>
        <w:rPr>
          <w:i/>
          <w:noProof/>
        </w:rPr>
        <w:tab/>
        <w:t>Заличаване на бюджетни редове в р</w:t>
      </w:r>
      <w:r>
        <w:rPr>
          <w:i/>
          <w:noProof/>
        </w:rPr>
        <w:t>аздела за Европейския надзорен орган по защита на данните</w:t>
      </w:r>
      <w:bookmarkEnd w:id="201"/>
      <w:bookmarkEnd w:id="202"/>
    </w:p>
    <w:p w:rsidR="00763157" w:rsidRDefault="00E45FF1">
      <w:pPr>
        <w:autoSpaceDE w:val="0"/>
        <w:autoSpaceDN w:val="0"/>
        <w:adjustRightInd w:val="0"/>
        <w:spacing w:before="120" w:after="120"/>
        <w:jc w:val="both"/>
        <w:rPr>
          <w:rFonts w:eastAsia="Calibri"/>
          <w:i/>
          <w:noProof/>
        </w:rPr>
      </w:pPr>
      <w:r>
        <w:rPr>
          <w:noProof/>
        </w:rPr>
        <w:t>ПВК 1/2021 включва заличаването на три реда в дял 3 от раздела за Европейския надзорен орган по защита на данните.</w:t>
      </w:r>
    </w:p>
    <w:p w:rsidR="00763157" w:rsidRDefault="00E45FF1">
      <w:pPr>
        <w:keepNext/>
        <w:tabs>
          <w:tab w:val="left" w:pos="850"/>
        </w:tabs>
        <w:spacing w:before="360" w:after="120"/>
        <w:ind w:left="840" w:hanging="840"/>
        <w:jc w:val="both"/>
        <w:outlineLvl w:val="1"/>
        <w:rPr>
          <w:rFonts w:eastAsia="Calibri"/>
          <w:b/>
          <w:noProof/>
        </w:rPr>
      </w:pPr>
      <w:bookmarkStart w:id="203" w:name="_Toc55807165"/>
      <w:bookmarkStart w:id="204" w:name="_Toc56247340"/>
      <w:r>
        <w:rPr>
          <w:b/>
          <w:noProof/>
        </w:rPr>
        <w:t xml:space="preserve">8.3 </w:t>
      </w:r>
      <w:r>
        <w:rPr>
          <w:b/>
          <w:noProof/>
        </w:rPr>
        <w:tab/>
        <w:t>Технически актуализации</w:t>
      </w:r>
      <w:bookmarkEnd w:id="200"/>
      <w:bookmarkEnd w:id="203"/>
      <w:bookmarkEnd w:id="204"/>
    </w:p>
    <w:p w:rsidR="00763157" w:rsidRDefault="00E45FF1">
      <w:pPr>
        <w:keepNext/>
        <w:tabs>
          <w:tab w:val="left" w:pos="850"/>
        </w:tabs>
        <w:spacing w:before="240" w:after="120"/>
        <w:ind w:left="850" w:hanging="850"/>
        <w:jc w:val="both"/>
        <w:outlineLvl w:val="1"/>
        <w:rPr>
          <w:rFonts w:eastAsia="Calibri"/>
          <w:i/>
          <w:noProof/>
        </w:rPr>
      </w:pPr>
      <w:bookmarkStart w:id="205" w:name="_Toc54770350"/>
      <w:bookmarkStart w:id="206" w:name="_Toc55807166"/>
      <w:bookmarkStart w:id="207" w:name="_Toc56247341"/>
      <w:r>
        <w:rPr>
          <w:i/>
          <w:noProof/>
        </w:rPr>
        <w:t xml:space="preserve">8.3.1 </w:t>
      </w:r>
      <w:r>
        <w:rPr>
          <w:i/>
          <w:noProof/>
        </w:rPr>
        <w:tab/>
        <w:t>Изменение на щатните разписания във връзка с пр</w:t>
      </w:r>
      <w:r>
        <w:rPr>
          <w:i/>
          <w:noProof/>
        </w:rPr>
        <w:t>ибягването до член 53, параграф 1 от Финансовия регламент</w:t>
      </w:r>
      <w:bookmarkEnd w:id="205"/>
      <w:bookmarkEnd w:id="206"/>
      <w:bookmarkEnd w:id="207"/>
    </w:p>
    <w:p w:rsidR="00763157" w:rsidRDefault="00E45FF1">
      <w:pPr>
        <w:autoSpaceDE w:val="0"/>
        <w:autoSpaceDN w:val="0"/>
        <w:adjustRightInd w:val="0"/>
        <w:spacing w:before="120" w:after="120"/>
        <w:jc w:val="both"/>
        <w:rPr>
          <w:noProof/>
        </w:rPr>
      </w:pPr>
      <w:r>
        <w:rPr>
          <w:noProof/>
        </w:rPr>
        <w:t xml:space="preserve">През 2020 г. Европейският комитет на регионите и Европейският надзорен орган по защита на данните (ЕНОЗД) измениха съответните си щатни разписания съгласно условията, посочени в член 53, параграф 1 </w:t>
      </w:r>
      <w:r>
        <w:rPr>
          <w:noProof/>
        </w:rPr>
        <w:t>от Финансовия регламент.</w:t>
      </w:r>
    </w:p>
    <w:p w:rsidR="00763157" w:rsidRDefault="00E45FF1">
      <w:pPr>
        <w:autoSpaceDE w:val="0"/>
        <w:autoSpaceDN w:val="0"/>
        <w:adjustRightInd w:val="0"/>
        <w:spacing w:before="120" w:after="120"/>
        <w:jc w:val="both"/>
        <w:rPr>
          <w:noProof/>
        </w:rPr>
      </w:pPr>
      <w:r>
        <w:rPr>
          <w:noProof/>
        </w:rPr>
        <w:t>За Комитета на регионите тази операция включваше преобразуването на една постоянна длъжност AD 9 в една временна длъжност AD 9, както и преобразуването на една длъжност AST 4 в една длъжност AST/SC 5, докато за ЕНОЗД тя включваше п</w:t>
      </w:r>
      <w:r>
        <w:rPr>
          <w:noProof/>
        </w:rPr>
        <w:t>реобразуването, в рамките на щатното разписание на Европейския комитет по защита на данните, на една длъжност AST 1 в една длъжност AST/SC 2.</w:t>
      </w:r>
    </w:p>
    <w:p w:rsidR="00763157" w:rsidRDefault="00E45FF1">
      <w:pPr>
        <w:autoSpaceDE w:val="0"/>
        <w:autoSpaceDN w:val="0"/>
        <w:adjustRightInd w:val="0"/>
        <w:spacing w:before="120" w:after="120"/>
        <w:jc w:val="both"/>
        <w:rPr>
          <w:noProof/>
        </w:rPr>
      </w:pPr>
      <w:r>
        <w:rPr>
          <w:noProof/>
        </w:rPr>
        <w:t>Всяко от тези преобразувания налага да бъдат изменени съответните щатни разписания за 2021 г. За Комитета това вод</w:t>
      </w:r>
      <w:r>
        <w:rPr>
          <w:noProof/>
        </w:rPr>
        <w:t>и и до неголямо намаляване на бюджетните кредити (-2 705 EUR).</w:t>
      </w:r>
    </w:p>
    <w:p w:rsidR="00763157" w:rsidRDefault="00E45FF1">
      <w:pPr>
        <w:keepNext/>
        <w:tabs>
          <w:tab w:val="left" w:pos="850"/>
        </w:tabs>
        <w:spacing w:before="240" w:after="120"/>
        <w:ind w:left="850" w:hanging="850"/>
        <w:jc w:val="both"/>
        <w:outlineLvl w:val="1"/>
        <w:rPr>
          <w:rFonts w:eastAsia="Calibri"/>
          <w:i/>
          <w:noProof/>
        </w:rPr>
      </w:pPr>
      <w:bookmarkStart w:id="208" w:name="_Toc54770353"/>
      <w:bookmarkStart w:id="209" w:name="_Toc55807167"/>
      <w:bookmarkStart w:id="210" w:name="_Toc56247342"/>
      <w:r>
        <w:rPr>
          <w:i/>
          <w:noProof/>
        </w:rPr>
        <w:t>8.3.1</w:t>
      </w:r>
      <w:r>
        <w:rPr>
          <w:i/>
          <w:noProof/>
        </w:rPr>
        <w:tab/>
        <w:t>Изменение на текста на някои бюджетни забележки</w:t>
      </w:r>
      <w:bookmarkEnd w:id="208"/>
      <w:bookmarkEnd w:id="209"/>
      <w:bookmarkEnd w:id="210"/>
    </w:p>
    <w:p w:rsidR="00763157" w:rsidRDefault="00E45FF1">
      <w:pPr>
        <w:autoSpaceDE w:val="0"/>
        <w:autoSpaceDN w:val="0"/>
        <w:adjustRightInd w:val="0"/>
        <w:spacing w:before="120" w:after="120"/>
        <w:jc w:val="both"/>
        <w:rPr>
          <w:rFonts w:eastAsia="Calibri"/>
          <w:i/>
          <w:noProof/>
        </w:rPr>
      </w:pPr>
      <w:r>
        <w:rPr>
          <w:noProof/>
        </w:rPr>
        <w:t>В допълнение към адаптациите, свързани с финансовия принос от NGEU (вж. точка 2.5 по-горе), ПВК 1/2021 включва също технически изменения на</w:t>
      </w:r>
      <w:r>
        <w:rPr>
          <w:noProof/>
        </w:rPr>
        <w:t xml:space="preserve"> някои бюджетни забележки, които са посочени в бюджетното приложение.</w:t>
      </w:r>
    </w:p>
    <w:p w:rsidR="00763157" w:rsidRDefault="00E45FF1">
      <w:pPr>
        <w:jc w:val="both"/>
        <w:rPr>
          <w:rFonts w:eastAsia="Calibri"/>
          <w:b/>
          <w:noProof/>
        </w:rPr>
      </w:pPr>
      <w:r>
        <w:rPr>
          <w:noProof/>
        </w:rPr>
        <w:br w:type="page"/>
      </w:r>
    </w:p>
    <w:p w:rsidR="00763157" w:rsidRDefault="00E45FF1">
      <w:pPr>
        <w:pStyle w:val="ManualHeading1"/>
        <w:spacing w:before="240"/>
        <w:rPr>
          <w:noProof/>
        </w:rPr>
      </w:pPr>
      <w:bookmarkStart w:id="211" w:name="_Toc526753799"/>
      <w:bookmarkStart w:id="212" w:name="_Toc54770354"/>
      <w:bookmarkStart w:id="213" w:name="_Toc55807168"/>
      <w:bookmarkStart w:id="214" w:name="_Toc56247343"/>
      <w:r>
        <w:rPr>
          <w:noProof/>
        </w:rPr>
        <w:lastRenderedPageBreak/>
        <w:t>9.</w:t>
      </w:r>
      <w:r>
        <w:rPr>
          <w:noProof/>
        </w:rPr>
        <w:tab/>
        <w:t>Обобщаваща таблица по функции от МФР</w:t>
      </w:r>
      <w:bookmarkEnd w:id="211"/>
      <w:bookmarkEnd w:id="212"/>
      <w:bookmarkEnd w:id="213"/>
      <w:bookmarkEnd w:id="214"/>
    </w:p>
    <w:tbl>
      <w:tblPr>
        <w:tblW w:w="10502" w:type="dxa"/>
        <w:jc w:val="center"/>
        <w:tblLook w:val="04A0" w:firstRow="1" w:lastRow="0" w:firstColumn="1" w:lastColumn="0" w:noHBand="0" w:noVBand="1"/>
      </w:tblPr>
      <w:tblGrid>
        <w:gridCol w:w="358"/>
        <w:gridCol w:w="2311"/>
        <w:gridCol w:w="1302"/>
        <w:gridCol w:w="1292"/>
        <w:gridCol w:w="1297"/>
        <w:gridCol w:w="1332"/>
        <w:gridCol w:w="1292"/>
        <w:gridCol w:w="1294"/>
        <w:gridCol w:w="24"/>
      </w:tblGrid>
      <w:tr w:rsidR="00763157">
        <w:trPr>
          <w:trHeight w:val="260"/>
          <w:jc w:val="center"/>
        </w:trPr>
        <w:tc>
          <w:tcPr>
            <w:tcW w:w="10502" w:type="dxa"/>
            <w:gridSpan w:val="9"/>
            <w:tcBorders>
              <w:top w:val="nil"/>
              <w:left w:val="nil"/>
              <w:bottom w:val="single" w:sz="4" w:space="0" w:color="auto"/>
              <w:right w:val="nil"/>
            </w:tcBorders>
            <w:shd w:val="clear" w:color="auto" w:fill="auto"/>
            <w:noWrap/>
            <w:vAlign w:val="bottom"/>
            <w:hideMark/>
          </w:tcPr>
          <w:p w:rsidR="00763157" w:rsidRDefault="00E45FF1">
            <w:pPr>
              <w:jc w:val="right"/>
              <w:rPr>
                <w:i/>
                <w:iCs/>
                <w:noProof/>
                <w:color w:val="000000"/>
                <w:sz w:val="14"/>
                <w:szCs w:val="14"/>
              </w:rPr>
            </w:pPr>
            <w:r>
              <w:rPr>
                <w:i/>
                <w:iCs/>
                <w:noProof/>
                <w:color w:val="000000"/>
                <w:sz w:val="14"/>
                <w:szCs w:val="14"/>
              </w:rPr>
              <w:t>В EUR</w:t>
            </w:r>
          </w:p>
        </w:tc>
      </w:tr>
      <w:tr w:rsidR="00763157">
        <w:trPr>
          <w:gridAfter w:val="1"/>
          <w:wAfter w:w="24" w:type="dxa"/>
          <w:trHeight w:val="260"/>
          <w:jc w:val="center"/>
        </w:trPr>
        <w:tc>
          <w:tcPr>
            <w:tcW w:w="2667"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763157" w:rsidRDefault="00E45FF1">
            <w:pPr>
              <w:jc w:val="center"/>
              <w:rPr>
                <w:b/>
                <w:bCs/>
                <w:noProof/>
                <w:color w:val="000000"/>
                <w:sz w:val="14"/>
                <w:szCs w:val="14"/>
              </w:rPr>
            </w:pPr>
            <w:r>
              <w:rPr>
                <w:b/>
                <w:bCs/>
                <w:noProof/>
                <w:color w:val="000000"/>
                <w:sz w:val="14"/>
                <w:szCs w:val="14"/>
              </w:rPr>
              <w:t>Функция</w:t>
            </w:r>
          </w:p>
        </w:tc>
        <w:tc>
          <w:tcPr>
            <w:tcW w:w="2594"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763157" w:rsidRDefault="00E45FF1">
            <w:pPr>
              <w:jc w:val="center"/>
              <w:rPr>
                <w:b/>
                <w:bCs/>
                <w:noProof/>
                <w:color w:val="000000"/>
                <w:sz w:val="14"/>
                <w:szCs w:val="14"/>
              </w:rPr>
            </w:pPr>
            <w:r>
              <w:rPr>
                <w:b/>
                <w:bCs/>
                <w:noProof/>
                <w:color w:val="000000"/>
                <w:sz w:val="14"/>
                <w:szCs w:val="14"/>
              </w:rPr>
              <w:t>Проектобюджет за 2021 г.</w:t>
            </w:r>
          </w:p>
        </w:tc>
        <w:tc>
          <w:tcPr>
            <w:tcW w:w="262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763157" w:rsidRDefault="00E45FF1">
            <w:pPr>
              <w:jc w:val="center"/>
              <w:rPr>
                <w:b/>
                <w:bCs/>
                <w:noProof/>
                <w:color w:val="000000"/>
                <w:sz w:val="14"/>
                <w:szCs w:val="14"/>
              </w:rPr>
            </w:pPr>
            <w:r>
              <w:rPr>
                <w:b/>
                <w:bCs/>
                <w:noProof/>
                <w:color w:val="000000"/>
                <w:sz w:val="14"/>
                <w:szCs w:val="14"/>
              </w:rPr>
              <w:t>Писмо за внасяне на корекции № 1/2021</w:t>
            </w:r>
          </w:p>
        </w:tc>
        <w:tc>
          <w:tcPr>
            <w:tcW w:w="2588" w:type="dxa"/>
            <w:gridSpan w:val="2"/>
            <w:tcBorders>
              <w:top w:val="single" w:sz="4" w:space="0" w:color="auto"/>
              <w:left w:val="nil"/>
              <w:bottom w:val="nil"/>
              <w:right w:val="single" w:sz="4" w:space="0" w:color="000000"/>
            </w:tcBorders>
            <w:shd w:val="clear" w:color="000000" w:fill="D9D9D9"/>
            <w:vAlign w:val="center"/>
            <w:hideMark/>
          </w:tcPr>
          <w:p w:rsidR="00763157" w:rsidRDefault="00E45FF1">
            <w:pPr>
              <w:jc w:val="center"/>
              <w:rPr>
                <w:b/>
                <w:bCs/>
                <w:noProof/>
                <w:color w:val="000000"/>
                <w:sz w:val="14"/>
                <w:szCs w:val="14"/>
              </w:rPr>
            </w:pPr>
            <w:r>
              <w:rPr>
                <w:b/>
                <w:bCs/>
                <w:noProof/>
                <w:color w:val="000000"/>
                <w:sz w:val="14"/>
                <w:szCs w:val="14"/>
              </w:rPr>
              <w:t>Проектобюджет за 2021 г.</w:t>
            </w:r>
          </w:p>
        </w:tc>
      </w:tr>
      <w:tr w:rsidR="00763157">
        <w:trPr>
          <w:gridAfter w:val="1"/>
          <w:wAfter w:w="24" w:type="dxa"/>
          <w:trHeight w:val="260"/>
          <w:jc w:val="center"/>
        </w:trPr>
        <w:tc>
          <w:tcPr>
            <w:tcW w:w="2667" w:type="dxa"/>
            <w:gridSpan w:val="2"/>
            <w:vMerge/>
            <w:tcBorders>
              <w:top w:val="single" w:sz="4" w:space="0" w:color="auto"/>
              <w:left w:val="single" w:sz="4" w:space="0" w:color="auto"/>
              <w:bottom w:val="nil"/>
              <w:right w:val="single" w:sz="4" w:space="0" w:color="000000"/>
            </w:tcBorders>
            <w:vAlign w:val="center"/>
            <w:hideMark/>
          </w:tcPr>
          <w:p w:rsidR="00763157" w:rsidRDefault="00763157">
            <w:pPr>
              <w:rPr>
                <w:b/>
                <w:bCs/>
                <w:noProof/>
                <w:color w:val="000000"/>
                <w:sz w:val="14"/>
                <w:szCs w:val="14"/>
                <w:lang w:val="en-US" w:eastAsia="en-US"/>
              </w:rPr>
            </w:pPr>
          </w:p>
        </w:tc>
        <w:tc>
          <w:tcPr>
            <w:tcW w:w="2594" w:type="dxa"/>
            <w:gridSpan w:val="2"/>
            <w:vMerge/>
            <w:tcBorders>
              <w:top w:val="single" w:sz="4" w:space="0" w:color="auto"/>
              <w:left w:val="single" w:sz="4" w:space="0" w:color="auto"/>
              <w:bottom w:val="single" w:sz="4" w:space="0" w:color="000000"/>
              <w:right w:val="single" w:sz="4" w:space="0" w:color="000000"/>
            </w:tcBorders>
            <w:vAlign w:val="center"/>
            <w:hideMark/>
          </w:tcPr>
          <w:p w:rsidR="00763157" w:rsidRDefault="00763157">
            <w:pPr>
              <w:rPr>
                <w:b/>
                <w:bCs/>
                <w:noProof/>
                <w:color w:val="000000"/>
                <w:sz w:val="14"/>
                <w:szCs w:val="14"/>
                <w:lang w:val="en-US" w:eastAsia="en-US"/>
              </w:rPr>
            </w:pPr>
          </w:p>
        </w:tc>
        <w:tc>
          <w:tcPr>
            <w:tcW w:w="2629" w:type="dxa"/>
            <w:gridSpan w:val="2"/>
            <w:vMerge/>
            <w:tcBorders>
              <w:top w:val="single" w:sz="4" w:space="0" w:color="auto"/>
              <w:left w:val="single" w:sz="4" w:space="0" w:color="auto"/>
              <w:bottom w:val="single" w:sz="4" w:space="0" w:color="000000"/>
              <w:right w:val="single" w:sz="4" w:space="0" w:color="000000"/>
            </w:tcBorders>
            <w:vAlign w:val="center"/>
            <w:hideMark/>
          </w:tcPr>
          <w:p w:rsidR="00763157" w:rsidRDefault="00763157">
            <w:pPr>
              <w:rPr>
                <w:b/>
                <w:bCs/>
                <w:noProof/>
                <w:color w:val="000000"/>
                <w:sz w:val="14"/>
                <w:szCs w:val="14"/>
                <w:lang w:val="en-US" w:eastAsia="en-US"/>
              </w:rPr>
            </w:pPr>
          </w:p>
        </w:tc>
        <w:tc>
          <w:tcPr>
            <w:tcW w:w="2588" w:type="dxa"/>
            <w:gridSpan w:val="2"/>
            <w:tcBorders>
              <w:top w:val="nil"/>
              <w:left w:val="nil"/>
              <w:bottom w:val="single" w:sz="4" w:space="0" w:color="auto"/>
              <w:right w:val="single" w:sz="4" w:space="0" w:color="000000"/>
            </w:tcBorders>
            <w:shd w:val="clear" w:color="000000" w:fill="D9D9D9"/>
            <w:vAlign w:val="center"/>
            <w:hideMark/>
          </w:tcPr>
          <w:p w:rsidR="00763157" w:rsidRDefault="00E45FF1">
            <w:pPr>
              <w:jc w:val="center"/>
              <w:rPr>
                <w:b/>
                <w:bCs/>
                <w:noProof/>
                <w:color w:val="000000"/>
                <w:sz w:val="14"/>
                <w:szCs w:val="14"/>
              </w:rPr>
            </w:pPr>
            <w:r>
              <w:rPr>
                <w:b/>
                <w:bCs/>
                <w:noProof/>
                <w:color w:val="000000"/>
                <w:sz w:val="14"/>
                <w:szCs w:val="14"/>
              </w:rPr>
              <w:t>(вкл. ПВК 1/2021)</w:t>
            </w:r>
          </w:p>
        </w:tc>
      </w:tr>
      <w:tr w:rsidR="00763157">
        <w:trPr>
          <w:gridAfter w:val="1"/>
          <w:wAfter w:w="24" w:type="dxa"/>
          <w:trHeight w:val="260"/>
          <w:jc w:val="center"/>
        </w:trPr>
        <w:tc>
          <w:tcPr>
            <w:tcW w:w="2667" w:type="dxa"/>
            <w:gridSpan w:val="2"/>
            <w:vMerge/>
            <w:tcBorders>
              <w:top w:val="single" w:sz="4" w:space="0" w:color="auto"/>
              <w:left w:val="single" w:sz="4" w:space="0" w:color="auto"/>
              <w:bottom w:val="nil"/>
              <w:right w:val="single" w:sz="4" w:space="0" w:color="000000"/>
            </w:tcBorders>
            <w:vAlign w:val="center"/>
            <w:hideMark/>
          </w:tcPr>
          <w:p w:rsidR="00763157" w:rsidRDefault="00763157">
            <w:pPr>
              <w:rPr>
                <w:b/>
                <w:bCs/>
                <w:noProof/>
                <w:color w:val="000000"/>
                <w:sz w:val="14"/>
                <w:szCs w:val="14"/>
                <w:lang w:val="en-US" w:eastAsia="en-US"/>
              </w:rPr>
            </w:pPr>
          </w:p>
        </w:tc>
        <w:tc>
          <w:tcPr>
            <w:tcW w:w="1302" w:type="dxa"/>
            <w:tcBorders>
              <w:top w:val="nil"/>
              <w:left w:val="nil"/>
              <w:bottom w:val="nil"/>
              <w:right w:val="single" w:sz="4" w:space="0" w:color="auto"/>
            </w:tcBorders>
            <w:shd w:val="clear" w:color="000000" w:fill="D9D9D9"/>
            <w:vAlign w:val="center"/>
            <w:hideMark/>
          </w:tcPr>
          <w:p w:rsidR="00763157" w:rsidRDefault="00E45FF1">
            <w:pPr>
              <w:jc w:val="center"/>
              <w:rPr>
                <w:b/>
                <w:bCs/>
                <w:noProof/>
                <w:color w:val="000000"/>
                <w:sz w:val="14"/>
                <w:szCs w:val="14"/>
              </w:rPr>
            </w:pPr>
            <w:r>
              <w:rPr>
                <w:b/>
                <w:bCs/>
                <w:noProof/>
                <w:color w:val="000000"/>
                <w:sz w:val="14"/>
                <w:szCs w:val="14"/>
              </w:rPr>
              <w:t>БКПЗ</w:t>
            </w:r>
          </w:p>
        </w:tc>
        <w:tc>
          <w:tcPr>
            <w:tcW w:w="1292"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4"/>
                <w:szCs w:val="14"/>
              </w:rPr>
            </w:pPr>
            <w:r>
              <w:rPr>
                <w:b/>
                <w:bCs/>
                <w:noProof/>
                <w:color w:val="000000"/>
                <w:sz w:val="14"/>
                <w:szCs w:val="14"/>
              </w:rPr>
              <w:t>БКП</w:t>
            </w:r>
          </w:p>
        </w:tc>
        <w:tc>
          <w:tcPr>
            <w:tcW w:w="1297"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4"/>
                <w:szCs w:val="14"/>
              </w:rPr>
            </w:pPr>
            <w:r>
              <w:rPr>
                <w:b/>
                <w:bCs/>
                <w:noProof/>
                <w:color w:val="000000"/>
                <w:sz w:val="14"/>
                <w:szCs w:val="14"/>
              </w:rPr>
              <w:t>БКПЗ</w:t>
            </w:r>
          </w:p>
        </w:tc>
        <w:tc>
          <w:tcPr>
            <w:tcW w:w="1332"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4"/>
                <w:szCs w:val="14"/>
              </w:rPr>
            </w:pPr>
            <w:r>
              <w:rPr>
                <w:b/>
                <w:bCs/>
                <w:noProof/>
                <w:color w:val="000000"/>
                <w:sz w:val="14"/>
                <w:szCs w:val="14"/>
              </w:rPr>
              <w:t>БКП</w:t>
            </w:r>
          </w:p>
        </w:tc>
        <w:tc>
          <w:tcPr>
            <w:tcW w:w="1292"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4"/>
                <w:szCs w:val="14"/>
              </w:rPr>
            </w:pPr>
            <w:r>
              <w:rPr>
                <w:b/>
                <w:bCs/>
                <w:noProof/>
                <w:color w:val="000000"/>
                <w:sz w:val="14"/>
                <w:szCs w:val="14"/>
              </w:rPr>
              <w:t>БКПЗ</w:t>
            </w:r>
          </w:p>
        </w:tc>
        <w:tc>
          <w:tcPr>
            <w:tcW w:w="1296" w:type="dxa"/>
            <w:tcBorders>
              <w:top w:val="nil"/>
              <w:left w:val="nil"/>
              <w:bottom w:val="single" w:sz="4" w:space="0" w:color="auto"/>
              <w:right w:val="single" w:sz="4" w:space="0" w:color="auto"/>
            </w:tcBorders>
            <w:shd w:val="clear" w:color="000000" w:fill="D9D9D9"/>
            <w:vAlign w:val="center"/>
            <w:hideMark/>
          </w:tcPr>
          <w:p w:rsidR="00763157" w:rsidRDefault="00E45FF1">
            <w:pPr>
              <w:jc w:val="center"/>
              <w:rPr>
                <w:b/>
                <w:bCs/>
                <w:noProof/>
                <w:color w:val="000000"/>
                <w:sz w:val="14"/>
                <w:szCs w:val="14"/>
              </w:rPr>
            </w:pPr>
            <w:r>
              <w:rPr>
                <w:b/>
                <w:bCs/>
                <w:noProof/>
                <w:color w:val="000000"/>
                <w:sz w:val="14"/>
                <w:szCs w:val="14"/>
              </w:rPr>
              <w:t>БКП</w:t>
            </w:r>
          </w:p>
        </w:tc>
      </w:tr>
      <w:tr w:rsidR="00763157">
        <w:trPr>
          <w:gridAfter w:val="1"/>
          <w:wAfter w:w="24" w:type="dxa"/>
          <w:trHeight w:val="260"/>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rsidR="00763157" w:rsidRDefault="00E45FF1">
            <w:pPr>
              <w:rPr>
                <w:b/>
                <w:bCs/>
                <w:noProof/>
                <w:color w:val="000000"/>
                <w:sz w:val="14"/>
                <w:szCs w:val="14"/>
              </w:rPr>
            </w:pPr>
            <w:r>
              <w:rPr>
                <w:b/>
                <w:bCs/>
                <w:noProof/>
                <w:color w:val="000000"/>
                <w:sz w:val="14"/>
                <w:szCs w:val="14"/>
              </w:rPr>
              <w:t>1.</w:t>
            </w:r>
          </w:p>
        </w:tc>
        <w:tc>
          <w:tcPr>
            <w:tcW w:w="2311" w:type="dxa"/>
            <w:tcBorders>
              <w:top w:val="single" w:sz="4" w:space="0" w:color="auto"/>
              <w:left w:val="nil"/>
              <w:bottom w:val="dotted" w:sz="4" w:space="0" w:color="auto"/>
              <w:right w:val="single" w:sz="4" w:space="0" w:color="auto"/>
            </w:tcBorders>
            <w:shd w:val="clear" w:color="auto" w:fill="auto"/>
            <w:noWrap/>
            <w:vAlign w:val="center"/>
            <w:hideMark/>
          </w:tcPr>
          <w:p w:rsidR="00763157" w:rsidRDefault="00E45FF1">
            <w:pPr>
              <w:rPr>
                <w:b/>
                <w:bCs/>
                <w:noProof/>
                <w:color w:val="000000"/>
                <w:sz w:val="14"/>
                <w:szCs w:val="14"/>
              </w:rPr>
            </w:pPr>
            <w:r>
              <w:rPr>
                <w:b/>
                <w:bCs/>
                <w:noProof/>
                <w:color w:val="000000"/>
                <w:sz w:val="14"/>
                <w:szCs w:val="14"/>
              </w:rPr>
              <w:t>Единен пазар, иновации и цифрова сфера</w:t>
            </w:r>
          </w:p>
        </w:tc>
        <w:tc>
          <w:tcPr>
            <w:tcW w:w="1302" w:type="dxa"/>
            <w:tcBorders>
              <w:top w:val="single" w:sz="4" w:space="0" w:color="auto"/>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21 359 970 100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17 573 316 806</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- 665 439 753</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- 404 704 406</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20 694 530 347</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17 168 612 400</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Таван </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21 805 000 000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- 886 000 000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20 919 000 000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Марж</w:t>
            </w:r>
          </w:p>
        </w:tc>
        <w:tc>
          <w:tcPr>
            <w:tcW w:w="130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445 029 900</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- 220 560 247</w:t>
            </w:r>
          </w:p>
        </w:tc>
        <w:tc>
          <w:tcPr>
            <w:tcW w:w="133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224 469 653</w:t>
            </w:r>
          </w:p>
        </w:tc>
        <w:tc>
          <w:tcPr>
            <w:tcW w:w="1296"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rsidR="00763157" w:rsidRDefault="00E45FF1">
            <w:pPr>
              <w:rPr>
                <w:b/>
                <w:bCs/>
                <w:noProof/>
                <w:color w:val="000000"/>
                <w:sz w:val="14"/>
                <w:szCs w:val="14"/>
              </w:rPr>
            </w:pPr>
            <w:r>
              <w:rPr>
                <w:b/>
                <w:bCs/>
                <w:noProof/>
                <w:color w:val="000000"/>
                <w:sz w:val="14"/>
                <w:szCs w:val="14"/>
              </w:rPr>
              <w:t>2.</w:t>
            </w:r>
          </w:p>
        </w:tc>
        <w:tc>
          <w:tcPr>
            <w:tcW w:w="2311" w:type="dxa"/>
            <w:tcBorders>
              <w:top w:val="single" w:sz="4" w:space="0" w:color="auto"/>
              <w:left w:val="nil"/>
              <w:bottom w:val="dotted" w:sz="4" w:space="0" w:color="auto"/>
              <w:right w:val="single" w:sz="4" w:space="0" w:color="auto"/>
            </w:tcBorders>
            <w:shd w:val="clear" w:color="auto" w:fill="auto"/>
            <w:vAlign w:val="center"/>
            <w:hideMark/>
          </w:tcPr>
          <w:p w:rsidR="00763157" w:rsidRDefault="00E45FF1">
            <w:pPr>
              <w:rPr>
                <w:b/>
                <w:bCs/>
                <w:noProof/>
                <w:color w:val="000000"/>
                <w:sz w:val="14"/>
                <w:szCs w:val="14"/>
              </w:rPr>
            </w:pPr>
            <w:r>
              <w:rPr>
                <w:b/>
                <w:bCs/>
                <w:noProof/>
                <w:color w:val="000000"/>
                <w:sz w:val="14"/>
                <w:szCs w:val="14"/>
              </w:rPr>
              <w:t>Сближаване, устойчивост и ценности</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51 487 150 161</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62 625 181 841</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1 396 134 087</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3 579 956 198</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52 883 284 248</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66 205 138 039</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Таван </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51 730 000 000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1 056 000 000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52 786 000 000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От които по Инструмента за гъвкавост</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 97 768 248</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 97 768 248</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Марж</w:t>
            </w:r>
          </w:p>
        </w:tc>
        <w:tc>
          <w:tcPr>
            <w:tcW w:w="130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242 849 839</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- 242 365 839</w:t>
            </w:r>
          </w:p>
        </w:tc>
        <w:tc>
          <w:tcPr>
            <w:tcW w:w="133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484 000</w:t>
            </w:r>
          </w:p>
        </w:tc>
        <w:tc>
          <w:tcPr>
            <w:tcW w:w="1296"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763157" w:rsidRDefault="00E45FF1">
            <w:pPr>
              <w:rPr>
                <w:noProof/>
                <w:color w:val="000000"/>
                <w:sz w:val="14"/>
                <w:szCs w:val="14"/>
              </w:rPr>
            </w:pPr>
            <w:r>
              <w:rPr>
                <w:noProof/>
                <w:color w:val="000000"/>
                <w:sz w:val="14"/>
                <w:szCs w:val="14"/>
              </w:rPr>
              <w:t>2а</w:t>
            </w:r>
          </w:p>
        </w:tc>
        <w:tc>
          <w:tcPr>
            <w:tcW w:w="2311" w:type="dxa"/>
            <w:tcBorders>
              <w:top w:val="nil"/>
              <w:left w:val="nil"/>
              <w:bottom w:val="dotted" w:sz="4" w:space="0" w:color="auto"/>
              <w:right w:val="single" w:sz="4" w:space="0" w:color="auto"/>
            </w:tcBorders>
            <w:shd w:val="clear" w:color="auto" w:fill="auto"/>
            <w:vAlign w:val="center"/>
            <w:hideMark/>
          </w:tcPr>
          <w:p w:rsidR="00763157" w:rsidRDefault="00E45FF1">
            <w:pPr>
              <w:rPr>
                <w:noProof/>
                <w:color w:val="000000"/>
                <w:sz w:val="14"/>
                <w:szCs w:val="14"/>
              </w:rPr>
            </w:pPr>
            <w:r>
              <w:rPr>
                <w:noProof/>
                <w:color w:val="000000"/>
                <w:sz w:val="14"/>
                <w:szCs w:val="14"/>
              </w:rPr>
              <w:t>Икономическо, социално и териториално сближаване</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noProof/>
                <w:color w:val="000000"/>
                <w:sz w:val="14"/>
                <w:szCs w:val="14"/>
              </w:rPr>
            </w:pPr>
            <w:r>
              <w:rPr>
                <w:noProof/>
                <w:color w:val="000000"/>
                <w:sz w:val="14"/>
                <w:szCs w:val="14"/>
              </w:rPr>
              <w:t>47 149 471 441</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noProof/>
                <w:color w:val="000000"/>
                <w:sz w:val="14"/>
                <w:szCs w:val="14"/>
              </w:rPr>
            </w:pPr>
            <w:r>
              <w:rPr>
                <w:noProof/>
                <w:color w:val="000000"/>
                <w:sz w:val="14"/>
                <w:szCs w:val="14"/>
              </w:rPr>
              <w:t>58 687 290 538</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1 041 044 559</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3 180 607 007</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48 190 516 000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61 867 897 545</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Таван</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47 150 000 000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1 041 000 000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48 191 000 000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Марж</w:t>
            </w:r>
          </w:p>
        </w:tc>
        <w:tc>
          <w:tcPr>
            <w:tcW w:w="130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528 559</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44 559</w:t>
            </w:r>
          </w:p>
        </w:tc>
        <w:tc>
          <w:tcPr>
            <w:tcW w:w="133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484 000</w:t>
            </w:r>
          </w:p>
        </w:tc>
        <w:tc>
          <w:tcPr>
            <w:tcW w:w="1296"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763157" w:rsidRDefault="00E45FF1">
            <w:pPr>
              <w:rPr>
                <w:noProof/>
                <w:color w:val="000000"/>
                <w:sz w:val="14"/>
                <w:szCs w:val="14"/>
              </w:rPr>
            </w:pPr>
            <w:r>
              <w:rPr>
                <w:noProof/>
                <w:color w:val="000000"/>
                <w:sz w:val="14"/>
                <w:szCs w:val="14"/>
              </w:rPr>
              <w:t xml:space="preserve">2б </w:t>
            </w:r>
          </w:p>
        </w:tc>
        <w:tc>
          <w:tcPr>
            <w:tcW w:w="2311" w:type="dxa"/>
            <w:tcBorders>
              <w:top w:val="nil"/>
              <w:left w:val="nil"/>
              <w:bottom w:val="dotted" w:sz="4" w:space="0" w:color="auto"/>
              <w:right w:val="single" w:sz="4" w:space="0" w:color="auto"/>
            </w:tcBorders>
            <w:shd w:val="clear" w:color="auto" w:fill="auto"/>
            <w:vAlign w:val="center"/>
            <w:hideMark/>
          </w:tcPr>
          <w:p w:rsidR="00763157" w:rsidRDefault="00E45FF1">
            <w:pPr>
              <w:rPr>
                <w:noProof/>
                <w:color w:val="000000"/>
                <w:sz w:val="14"/>
                <w:szCs w:val="14"/>
              </w:rPr>
            </w:pPr>
            <w:r>
              <w:rPr>
                <w:noProof/>
                <w:color w:val="000000"/>
                <w:sz w:val="14"/>
                <w:szCs w:val="14"/>
              </w:rPr>
              <w:t>Устойчивост и ценности</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noProof/>
                <w:color w:val="000000"/>
                <w:sz w:val="14"/>
                <w:szCs w:val="14"/>
              </w:rPr>
            </w:pPr>
            <w:r>
              <w:rPr>
                <w:noProof/>
                <w:color w:val="000000"/>
                <w:sz w:val="14"/>
                <w:szCs w:val="14"/>
              </w:rPr>
              <w:t>4 337 678 720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noProof/>
                <w:color w:val="000000"/>
                <w:sz w:val="14"/>
                <w:szCs w:val="14"/>
              </w:rPr>
            </w:pPr>
            <w:r>
              <w:rPr>
                <w:noProof/>
                <w:color w:val="000000"/>
                <w:sz w:val="14"/>
                <w:szCs w:val="14"/>
              </w:rPr>
              <w:t>3 937 891 303</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 xml:space="preserve"> 355 089 528</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 xml:space="preserve"> 399 349 191</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4 692 768 248</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4 337 240 494</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Таван</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4 580 000 000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 15 000 000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4 595 000 000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От които по Инструмента за гъвкавост</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 97 768 248</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 97 768 248</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Марж</w:t>
            </w:r>
          </w:p>
        </w:tc>
        <w:tc>
          <w:tcPr>
            <w:tcW w:w="130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242 321 280</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- 242 321 280</w:t>
            </w:r>
          </w:p>
        </w:tc>
        <w:tc>
          <w:tcPr>
            <w:tcW w:w="133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763157" w:rsidRDefault="00E45FF1">
            <w:pPr>
              <w:rPr>
                <w:b/>
                <w:bCs/>
                <w:noProof/>
                <w:color w:val="000000"/>
                <w:sz w:val="14"/>
                <w:szCs w:val="14"/>
              </w:rPr>
            </w:pPr>
            <w:r>
              <w:rPr>
                <w:b/>
                <w:bCs/>
                <w:noProof/>
                <w:color w:val="000000"/>
                <w:sz w:val="14"/>
                <w:szCs w:val="14"/>
              </w:rPr>
              <w:t>3.</w:t>
            </w:r>
          </w:p>
        </w:tc>
        <w:tc>
          <w:tcPr>
            <w:tcW w:w="2311" w:type="dxa"/>
            <w:tcBorders>
              <w:top w:val="nil"/>
              <w:left w:val="nil"/>
              <w:bottom w:val="dotted" w:sz="4" w:space="0" w:color="auto"/>
              <w:right w:val="single" w:sz="4" w:space="0" w:color="auto"/>
            </w:tcBorders>
            <w:shd w:val="clear" w:color="auto" w:fill="auto"/>
            <w:vAlign w:val="center"/>
            <w:hideMark/>
          </w:tcPr>
          <w:p w:rsidR="00763157" w:rsidRDefault="00E45FF1">
            <w:pPr>
              <w:rPr>
                <w:b/>
                <w:bCs/>
                <w:noProof/>
                <w:color w:val="000000"/>
                <w:sz w:val="14"/>
                <w:szCs w:val="14"/>
              </w:rPr>
            </w:pPr>
            <w:r>
              <w:rPr>
                <w:b/>
                <w:bCs/>
                <w:noProof/>
                <w:color w:val="000000"/>
                <w:sz w:val="14"/>
                <w:szCs w:val="14"/>
              </w:rPr>
              <w:t>Природни ресурси и околна среда</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58 441 127 005</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56 249 546 448</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xml:space="preserve"> 81 685 531</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xml:space="preserve"> 552 385 050</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58 522 812 536</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56 801 931 498</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Таван</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58 656 000 000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- 32 000 000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58 624 000 000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Марж</w:t>
            </w:r>
          </w:p>
        </w:tc>
        <w:tc>
          <w:tcPr>
            <w:tcW w:w="130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214 872 995</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- 113 685 531</w:t>
            </w:r>
          </w:p>
        </w:tc>
        <w:tc>
          <w:tcPr>
            <w:tcW w:w="133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101 187 464</w:t>
            </w:r>
          </w:p>
        </w:tc>
        <w:tc>
          <w:tcPr>
            <w:tcW w:w="1296"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rPr>
                <w:noProof/>
                <w:color w:val="000000"/>
                <w:sz w:val="14"/>
                <w:szCs w:val="14"/>
              </w:rPr>
            </w:pPr>
            <w:r>
              <w:rPr>
                <w:noProof/>
                <w:color w:val="000000"/>
                <w:sz w:val="14"/>
                <w:szCs w:val="14"/>
              </w:rPr>
              <w:t>От които: Европейски фонд за гарантиране на земеделието (ЕФГЗ) — Разходи, свързани с пазара, и преки плащания</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noProof/>
                <w:color w:val="000000"/>
                <w:sz w:val="14"/>
                <w:szCs w:val="14"/>
              </w:rPr>
            </w:pPr>
            <w:r>
              <w:rPr>
                <w:noProof/>
                <w:color w:val="000000"/>
                <w:sz w:val="14"/>
                <w:szCs w:val="14"/>
              </w:rPr>
              <w:t>40 179 072 000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noProof/>
                <w:color w:val="000000"/>
                <w:sz w:val="14"/>
                <w:szCs w:val="14"/>
              </w:rPr>
            </w:pPr>
            <w:r>
              <w:rPr>
                <w:noProof/>
                <w:color w:val="000000"/>
                <w:sz w:val="14"/>
                <w:szCs w:val="14"/>
              </w:rPr>
              <w:t>40 164 860 883</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 xml:space="preserve"> 188 882 000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 xml:space="preserve"> 188 882 000</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40 367 954 000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40 353 742 883</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Подтаван</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40 932 000 000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w:t>
            </w:r>
            <w:r>
              <w:rPr>
                <w:i/>
                <w:iCs/>
                <w:noProof/>
                <w:color w:val="000000"/>
                <w:sz w:val="14"/>
                <w:szCs w:val="14"/>
              </w:rPr>
              <w:t xml:space="preserve"> 7 000 000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40 925 000 000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Трансфери между стълбовете</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- 753 928 000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 196 882 000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- 557 046 000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Разлика от закръгляне, изключена от изчислението на маржа</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1 000 000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- 1 000 000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   </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Марж за ЕФГЗ</w:t>
            </w:r>
          </w:p>
        </w:tc>
        <w:tc>
          <w:tcPr>
            <w:tcW w:w="130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   </w:t>
            </w:r>
          </w:p>
        </w:tc>
        <w:tc>
          <w:tcPr>
            <w:tcW w:w="133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763157" w:rsidRDefault="00E45FF1">
            <w:pPr>
              <w:rPr>
                <w:b/>
                <w:bCs/>
                <w:noProof/>
                <w:color w:val="000000"/>
                <w:sz w:val="14"/>
                <w:szCs w:val="14"/>
              </w:rPr>
            </w:pPr>
            <w:r>
              <w:rPr>
                <w:b/>
                <w:bCs/>
                <w:noProof/>
                <w:color w:val="000000"/>
                <w:sz w:val="14"/>
                <w:szCs w:val="14"/>
              </w:rPr>
              <w:t>4.</w:t>
            </w:r>
          </w:p>
        </w:tc>
        <w:tc>
          <w:tcPr>
            <w:tcW w:w="2311" w:type="dxa"/>
            <w:tcBorders>
              <w:top w:val="nil"/>
              <w:left w:val="nil"/>
              <w:bottom w:val="dotted" w:sz="4" w:space="0" w:color="auto"/>
              <w:right w:val="single" w:sz="4" w:space="0" w:color="auto"/>
            </w:tcBorders>
            <w:shd w:val="clear" w:color="auto" w:fill="auto"/>
            <w:noWrap/>
            <w:vAlign w:val="center"/>
            <w:hideMark/>
          </w:tcPr>
          <w:p w:rsidR="00763157" w:rsidRDefault="00E45FF1">
            <w:pPr>
              <w:rPr>
                <w:b/>
                <w:bCs/>
                <w:noProof/>
                <w:color w:val="000000"/>
                <w:sz w:val="14"/>
                <w:szCs w:val="14"/>
              </w:rPr>
            </w:pPr>
            <w:r>
              <w:rPr>
                <w:b/>
                <w:bCs/>
                <w:noProof/>
                <w:color w:val="000000"/>
                <w:sz w:val="14"/>
                <w:szCs w:val="14"/>
              </w:rPr>
              <w:t xml:space="preserve">Миграция и управление </w:t>
            </w:r>
            <w:r>
              <w:rPr>
                <w:b/>
                <w:bCs/>
                <w:noProof/>
                <w:color w:val="000000"/>
                <w:sz w:val="14"/>
                <w:szCs w:val="14"/>
              </w:rPr>
              <w:t>на границите</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3 060 813 759</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2 723 483 549</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- 721 484 000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xml:space="preserve"> 23 262 429</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2 339 329 759</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2 746 745 978</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Таван</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3 287 000 000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- 820 000 000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2 467 000 000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Марж</w:t>
            </w:r>
          </w:p>
        </w:tc>
        <w:tc>
          <w:tcPr>
            <w:tcW w:w="130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226 186 241</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- 98 516 000</w:t>
            </w:r>
          </w:p>
        </w:tc>
        <w:tc>
          <w:tcPr>
            <w:tcW w:w="133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127 670 241</w:t>
            </w:r>
          </w:p>
        </w:tc>
        <w:tc>
          <w:tcPr>
            <w:tcW w:w="1296"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763157" w:rsidRDefault="00E45FF1">
            <w:pPr>
              <w:rPr>
                <w:b/>
                <w:bCs/>
                <w:noProof/>
                <w:color w:val="000000"/>
                <w:sz w:val="14"/>
                <w:szCs w:val="14"/>
              </w:rPr>
            </w:pPr>
            <w:r>
              <w:rPr>
                <w:b/>
                <w:bCs/>
                <w:noProof/>
                <w:color w:val="000000"/>
                <w:sz w:val="14"/>
                <w:szCs w:val="14"/>
              </w:rPr>
              <w:t>5.</w:t>
            </w:r>
          </w:p>
        </w:tc>
        <w:tc>
          <w:tcPr>
            <w:tcW w:w="2311" w:type="dxa"/>
            <w:tcBorders>
              <w:top w:val="nil"/>
              <w:left w:val="nil"/>
              <w:bottom w:val="dotted" w:sz="4" w:space="0" w:color="auto"/>
              <w:right w:val="single" w:sz="4" w:space="0" w:color="auto"/>
            </w:tcBorders>
            <w:shd w:val="clear" w:color="auto" w:fill="auto"/>
            <w:vAlign w:val="center"/>
            <w:hideMark/>
          </w:tcPr>
          <w:p w:rsidR="00763157" w:rsidRDefault="00E45FF1">
            <w:pPr>
              <w:rPr>
                <w:b/>
                <w:bCs/>
                <w:noProof/>
                <w:color w:val="000000"/>
                <w:sz w:val="14"/>
                <w:szCs w:val="14"/>
              </w:rPr>
            </w:pPr>
            <w:r>
              <w:rPr>
                <w:b/>
                <w:bCs/>
                <w:noProof/>
                <w:color w:val="000000"/>
                <w:sz w:val="14"/>
                <w:szCs w:val="14"/>
              </w:rPr>
              <w:t>Сигурност и отбрана</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2 189 025 780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1 810 456 628</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xml:space="preserve">- </w:t>
            </w:r>
            <w:r>
              <w:rPr>
                <w:b/>
                <w:bCs/>
                <w:noProof/>
                <w:color w:val="000000"/>
                <w:sz w:val="14"/>
                <w:szCs w:val="14"/>
              </w:rPr>
              <w:t>479 764 339</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-1 139 828 385</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1 709 261 441</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xml:space="preserve"> 670 628 243</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Таван</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2 359 000 000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- 554 000 000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1 805 000 000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Марж</w:t>
            </w:r>
          </w:p>
        </w:tc>
        <w:tc>
          <w:tcPr>
            <w:tcW w:w="130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169 974 220</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- 74 235 661</w:t>
            </w:r>
          </w:p>
        </w:tc>
        <w:tc>
          <w:tcPr>
            <w:tcW w:w="133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95 738 559</w:t>
            </w:r>
          </w:p>
        </w:tc>
        <w:tc>
          <w:tcPr>
            <w:tcW w:w="1296"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763157" w:rsidRDefault="00E45FF1">
            <w:pPr>
              <w:rPr>
                <w:b/>
                <w:bCs/>
                <w:noProof/>
                <w:color w:val="000000"/>
                <w:sz w:val="14"/>
                <w:szCs w:val="14"/>
              </w:rPr>
            </w:pPr>
            <w:r>
              <w:rPr>
                <w:b/>
                <w:bCs/>
                <w:noProof/>
                <w:color w:val="000000"/>
                <w:sz w:val="14"/>
                <w:szCs w:val="14"/>
              </w:rPr>
              <w:t>6.</w:t>
            </w:r>
          </w:p>
        </w:tc>
        <w:tc>
          <w:tcPr>
            <w:tcW w:w="2311" w:type="dxa"/>
            <w:tcBorders>
              <w:top w:val="nil"/>
              <w:left w:val="nil"/>
              <w:bottom w:val="dotted" w:sz="4" w:space="0" w:color="auto"/>
              <w:right w:val="single" w:sz="4" w:space="0" w:color="auto"/>
            </w:tcBorders>
            <w:shd w:val="clear" w:color="auto" w:fill="auto"/>
            <w:vAlign w:val="center"/>
            <w:hideMark/>
          </w:tcPr>
          <w:p w:rsidR="00763157" w:rsidRDefault="00E45FF1">
            <w:pPr>
              <w:rPr>
                <w:b/>
                <w:bCs/>
                <w:noProof/>
                <w:color w:val="000000"/>
                <w:sz w:val="14"/>
                <w:szCs w:val="14"/>
              </w:rPr>
            </w:pPr>
            <w:r>
              <w:rPr>
                <w:b/>
                <w:bCs/>
                <w:noProof/>
                <w:color w:val="000000"/>
                <w:sz w:val="14"/>
                <w:szCs w:val="14"/>
              </w:rPr>
              <w:t>Съседните региони и светът</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16 113 620 000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10 418 805 355</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- 53 405 718</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xml:space="preserve"> 360 653 839</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16 060 214</w:t>
            </w:r>
            <w:r>
              <w:rPr>
                <w:b/>
                <w:bCs/>
                <w:noProof/>
                <w:color w:val="000000"/>
                <w:sz w:val="14"/>
                <w:szCs w:val="14"/>
              </w:rPr>
              <w:t xml:space="preserve"> 282</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10 779 459 194</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Таван</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16 179 000 000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 68 000 000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16 247 000 000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Марж</w:t>
            </w:r>
          </w:p>
        </w:tc>
        <w:tc>
          <w:tcPr>
            <w:tcW w:w="130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65 380 000</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xml:space="preserve"> 121 405 718</w:t>
            </w:r>
          </w:p>
        </w:tc>
        <w:tc>
          <w:tcPr>
            <w:tcW w:w="133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186 785 718</w:t>
            </w:r>
          </w:p>
        </w:tc>
        <w:tc>
          <w:tcPr>
            <w:tcW w:w="1296"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763157" w:rsidRDefault="00E45FF1">
            <w:pPr>
              <w:rPr>
                <w:b/>
                <w:bCs/>
                <w:noProof/>
                <w:color w:val="000000"/>
                <w:sz w:val="14"/>
                <w:szCs w:val="14"/>
              </w:rPr>
            </w:pPr>
            <w:r>
              <w:rPr>
                <w:b/>
                <w:bCs/>
                <w:noProof/>
                <w:color w:val="000000"/>
                <w:sz w:val="14"/>
                <w:szCs w:val="14"/>
              </w:rPr>
              <w:t>7.</w:t>
            </w:r>
          </w:p>
        </w:tc>
        <w:tc>
          <w:tcPr>
            <w:tcW w:w="2311" w:type="dxa"/>
            <w:tcBorders>
              <w:top w:val="nil"/>
              <w:left w:val="nil"/>
              <w:bottom w:val="dotted" w:sz="4" w:space="0" w:color="auto"/>
              <w:right w:val="single" w:sz="4" w:space="0" w:color="auto"/>
            </w:tcBorders>
            <w:shd w:val="clear" w:color="auto" w:fill="auto"/>
            <w:vAlign w:val="center"/>
            <w:hideMark/>
          </w:tcPr>
          <w:p w:rsidR="00763157" w:rsidRDefault="00E45FF1">
            <w:pPr>
              <w:rPr>
                <w:b/>
                <w:bCs/>
                <w:noProof/>
                <w:color w:val="000000"/>
                <w:sz w:val="14"/>
                <w:szCs w:val="14"/>
              </w:rPr>
            </w:pPr>
            <w:r>
              <w:rPr>
                <w:b/>
                <w:bCs/>
                <w:noProof/>
                <w:color w:val="000000"/>
                <w:sz w:val="14"/>
                <w:szCs w:val="14"/>
              </w:rPr>
              <w:t>Европейска публична администрация</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10 451 225 171</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10 452 500 260</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xml:space="preserve"> 5 912 740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xml:space="preserve"> 5 912 740</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10 457 137 911</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10 458 413 000</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Таван</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10 </w:t>
            </w:r>
            <w:r>
              <w:rPr>
                <w:i/>
                <w:iCs/>
                <w:noProof/>
                <w:color w:val="000000"/>
                <w:sz w:val="14"/>
                <w:szCs w:val="14"/>
              </w:rPr>
              <w:t>875 000 000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- 240 000 000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10 635 000 000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Марж</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423 774 829</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- 245 912 740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177 862 089</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rPr>
                <w:noProof/>
                <w:color w:val="000000"/>
                <w:sz w:val="14"/>
                <w:szCs w:val="14"/>
              </w:rPr>
            </w:pPr>
            <w:r>
              <w:rPr>
                <w:noProof/>
                <w:color w:val="000000"/>
                <w:sz w:val="14"/>
                <w:szCs w:val="14"/>
              </w:rPr>
              <w:t>От които: Административни разходи на институциите</w:t>
            </w:r>
          </w:p>
        </w:tc>
        <w:tc>
          <w:tcPr>
            <w:tcW w:w="1302" w:type="dxa"/>
            <w:tcBorders>
              <w:top w:val="single" w:sz="4" w:space="0" w:color="auto"/>
              <w:left w:val="nil"/>
              <w:bottom w:val="dotted" w:sz="4" w:space="0" w:color="auto"/>
              <w:right w:val="single" w:sz="4" w:space="0" w:color="auto"/>
            </w:tcBorders>
            <w:shd w:val="clear" w:color="000000" w:fill="FFFFFF"/>
            <w:vAlign w:val="center"/>
            <w:hideMark/>
          </w:tcPr>
          <w:p w:rsidR="00763157" w:rsidRDefault="00E45FF1">
            <w:pPr>
              <w:jc w:val="right"/>
              <w:rPr>
                <w:noProof/>
                <w:color w:val="000000"/>
                <w:sz w:val="14"/>
                <w:szCs w:val="14"/>
              </w:rPr>
            </w:pPr>
            <w:r>
              <w:rPr>
                <w:noProof/>
                <w:color w:val="000000"/>
                <w:sz w:val="14"/>
                <w:szCs w:val="14"/>
              </w:rPr>
              <w:t>8 032 227 818</w:t>
            </w:r>
          </w:p>
        </w:tc>
        <w:tc>
          <w:tcPr>
            <w:tcW w:w="1292" w:type="dxa"/>
            <w:tcBorders>
              <w:top w:val="single" w:sz="4" w:space="0" w:color="auto"/>
              <w:left w:val="nil"/>
              <w:bottom w:val="dotted" w:sz="4" w:space="0" w:color="auto"/>
              <w:right w:val="single" w:sz="4" w:space="0" w:color="auto"/>
            </w:tcBorders>
            <w:shd w:val="clear" w:color="000000" w:fill="FFFFFF"/>
            <w:vAlign w:val="center"/>
            <w:hideMark/>
          </w:tcPr>
          <w:p w:rsidR="00763157" w:rsidRDefault="00E45FF1">
            <w:pPr>
              <w:jc w:val="right"/>
              <w:rPr>
                <w:noProof/>
                <w:color w:val="000000"/>
                <w:sz w:val="14"/>
                <w:szCs w:val="14"/>
              </w:rPr>
            </w:pPr>
            <w:r>
              <w:rPr>
                <w:noProof/>
                <w:color w:val="000000"/>
                <w:sz w:val="14"/>
                <w:szCs w:val="14"/>
              </w:rPr>
              <w:t>8 033 502 907</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 xml:space="preserve"> 12 421 811</w:t>
            </w:r>
          </w:p>
        </w:tc>
        <w:tc>
          <w:tcPr>
            <w:tcW w:w="1332" w:type="dxa"/>
            <w:tcBorders>
              <w:top w:val="single" w:sz="4" w:space="0" w:color="auto"/>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 xml:space="preserve"> 12 421 811</w:t>
            </w:r>
          </w:p>
        </w:tc>
        <w:tc>
          <w:tcPr>
            <w:tcW w:w="1292" w:type="dxa"/>
            <w:tcBorders>
              <w:top w:val="single" w:sz="4" w:space="0" w:color="auto"/>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8 044 649 629</w:t>
            </w:r>
          </w:p>
        </w:tc>
        <w:tc>
          <w:tcPr>
            <w:tcW w:w="1296" w:type="dxa"/>
            <w:tcBorders>
              <w:top w:val="single" w:sz="4" w:space="0" w:color="auto"/>
              <w:left w:val="nil"/>
              <w:bottom w:val="dotted" w:sz="4" w:space="0" w:color="auto"/>
              <w:right w:val="single" w:sz="4" w:space="0" w:color="auto"/>
            </w:tcBorders>
            <w:shd w:val="clear" w:color="auto" w:fill="auto"/>
            <w:vAlign w:val="center"/>
            <w:hideMark/>
          </w:tcPr>
          <w:p w:rsidR="00763157" w:rsidRDefault="00E45FF1">
            <w:pPr>
              <w:jc w:val="right"/>
              <w:rPr>
                <w:noProof/>
                <w:color w:val="000000"/>
                <w:sz w:val="14"/>
                <w:szCs w:val="14"/>
              </w:rPr>
            </w:pPr>
            <w:r>
              <w:rPr>
                <w:noProof/>
                <w:color w:val="000000"/>
                <w:sz w:val="14"/>
                <w:szCs w:val="14"/>
              </w:rPr>
              <w:t>8 045 924 718</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Подтаван</w:t>
            </w:r>
          </w:p>
        </w:tc>
        <w:tc>
          <w:tcPr>
            <w:tcW w:w="130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8 467 000 000</w:t>
            </w:r>
          </w:p>
        </w:tc>
        <w:tc>
          <w:tcPr>
            <w:tcW w:w="1292" w:type="dxa"/>
            <w:tcBorders>
              <w:top w:val="nil"/>
              <w:left w:val="nil"/>
              <w:bottom w:val="dotted"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- 250 000 000</w:t>
            </w:r>
          </w:p>
        </w:tc>
        <w:tc>
          <w:tcPr>
            <w:tcW w:w="133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8 217 000 000</w:t>
            </w:r>
          </w:p>
        </w:tc>
        <w:tc>
          <w:tcPr>
            <w:tcW w:w="1296"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Марж</w:t>
            </w:r>
          </w:p>
        </w:tc>
        <w:tc>
          <w:tcPr>
            <w:tcW w:w="130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434 772 182</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w:t>
            </w:r>
          </w:p>
        </w:tc>
        <w:tc>
          <w:tcPr>
            <w:tcW w:w="1297" w:type="dxa"/>
            <w:tcBorders>
              <w:top w:val="nil"/>
              <w:left w:val="nil"/>
              <w:bottom w:val="dotted"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- 262 421 811</w:t>
            </w:r>
          </w:p>
        </w:tc>
        <w:tc>
          <w:tcPr>
            <w:tcW w:w="133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i/>
                <w:iCs/>
                <w:noProof/>
                <w:color w:val="000000"/>
                <w:sz w:val="14"/>
                <w:szCs w:val="14"/>
              </w:rPr>
            </w:pPr>
            <w:r>
              <w:rPr>
                <w:i/>
                <w:iCs/>
                <w:noProof/>
                <w:color w:val="000000"/>
                <w:sz w:val="14"/>
                <w:szCs w:val="14"/>
              </w:rPr>
              <w:t xml:space="preserve"> 172 350 371</w:t>
            </w:r>
          </w:p>
        </w:tc>
        <w:tc>
          <w:tcPr>
            <w:tcW w:w="1296"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i/>
                <w:iCs/>
                <w:noProof/>
                <w:color w:val="000000"/>
                <w:sz w:val="14"/>
                <w:szCs w:val="14"/>
              </w:rPr>
            </w:pPr>
            <w:r>
              <w:rPr>
                <w:i/>
                <w:iCs/>
                <w:noProof/>
                <w:color w:val="000000"/>
                <w:sz w:val="14"/>
                <w:szCs w:val="14"/>
              </w:rPr>
              <w:t> </w:t>
            </w:r>
          </w:p>
        </w:tc>
      </w:tr>
      <w:tr w:rsidR="00763157">
        <w:trPr>
          <w:gridAfter w:val="1"/>
          <w:wAfter w:w="24" w:type="dxa"/>
          <w:trHeight w:val="260"/>
          <w:jc w:val="center"/>
        </w:trPr>
        <w:tc>
          <w:tcPr>
            <w:tcW w:w="2667"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Общо</w:t>
            </w:r>
          </w:p>
        </w:tc>
        <w:tc>
          <w:tcPr>
            <w:tcW w:w="130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163 102 931 976</w:t>
            </w:r>
          </w:p>
        </w:tc>
        <w:tc>
          <w:tcPr>
            <w:tcW w:w="129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161 853 290 887</w:t>
            </w:r>
          </w:p>
        </w:tc>
        <w:tc>
          <w:tcPr>
            <w:tcW w:w="1297" w:type="dxa"/>
            <w:tcBorders>
              <w:top w:val="single" w:sz="4" w:space="0" w:color="auto"/>
              <w:left w:val="nil"/>
              <w:bottom w:val="dotted"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- 436 361 452</w:t>
            </w:r>
          </w:p>
        </w:tc>
        <w:tc>
          <w:tcPr>
            <w:tcW w:w="133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2 977 637 465</w:t>
            </w:r>
          </w:p>
        </w:tc>
        <w:tc>
          <w:tcPr>
            <w:tcW w:w="129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162 666 570 524</w:t>
            </w:r>
          </w:p>
        </w:tc>
        <w:tc>
          <w:tcPr>
            <w:tcW w:w="1296"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164 830 928 352</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Таван</w:t>
            </w:r>
          </w:p>
        </w:tc>
        <w:tc>
          <w:tcPr>
            <w:tcW w:w="130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164 891 000 000</w:t>
            </w:r>
          </w:p>
        </w:tc>
        <w:tc>
          <w:tcPr>
            <w:tcW w:w="129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165 599 000 000</w:t>
            </w:r>
          </w:p>
        </w:tc>
        <w:tc>
          <w:tcPr>
            <w:tcW w:w="1297"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-1 408 000 000</w:t>
            </w:r>
          </w:p>
        </w:tc>
        <w:tc>
          <w:tcPr>
            <w:tcW w:w="133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 xml:space="preserve"> 541 000 000</w:t>
            </w:r>
          </w:p>
        </w:tc>
        <w:tc>
          <w:tcPr>
            <w:tcW w:w="129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163 483</w:t>
            </w:r>
            <w:r>
              <w:rPr>
                <w:b/>
                <w:bCs/>
                <w:i/>
                <w:iCs/>
                <w:noProof/>
                <w:color w:val="000000"/>
                <w:sz w:val="14"/>
                <w:szCs w:val="14"/>
              </w:rPr>
              <w:t xml:space="preserve"> 000 000</w:t>
            </w:r>
          </w:p>
        </w:tc>
        <w:tc>
          <w:tcPr>
            <w:tcW w:w="1296"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166 140 000 000</w:t>
            </w:r>
          </w:p>
        </w:tc>
      </w:tr>
      <w:tr w:rsidR="00763157">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От които по Инструмента за гъвкавост</w:t>
            </w:r>
          </w:p>
        </w:tc>
        <w:tc>
          <w:tcPr>
            <w:tcW w:w="130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 </w:t>
            </w:r>
          </w:p>
        </w:tc>
        <w:tc>
          <w:tcPr>
            <w:tcW w:w="129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 xml:space="preserve"> 582 907 835</w:t>
            </w:r>
          </w:p>
        </w:tc>
        <w:tc>
          <w:tcPr>
            <w:tcW w:w="1297"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 </w:t>
            </w:r>
          </w:p>
        </w:tc>
        <w:tc>
          <w:tcPr>
            <w:tcW w:w="133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 </w:t>
            </w:r>
          </w:p>
        </w:tc>
        <w:tc>
          <w:tcPr>
            <w:tcW w:w="1292"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 xml:space="preserve"> 97 768 248</w:t>
            </w:r>
          </w:p>
        </w:tc>
        <w:tc>
          <w:tcPr>
            <w:tcW w:w="1296" w:type="dxa"/>
            <w:tcBorders>
              <w:top w:val="nil"/>
              <w:left w:val="nil"/>
              <w:bottom w:val="dotted"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 xml:space="preserve"> 641 077 815</w:t>
            </w:r>
          </w:p>
        </w:tc>
      </w:tr>
      <w:tr w:rsidR="00763157">
        <w:trPr>
          <w:gridAfter w:val="1"/>
          <w:wAfter w:w="24" w:type="dxa"/>
          <w:trHeight w:val="260"/>
          <w:jc w:val="center"/>
        </w:trPr>
        <w:tc>
          <w:tcPr>
            <w:tcW w:w="2667" w:type="dxa"/>
            <w:gridSpan w:val="2"/>
            <w:tcBorders>
              <w:top w:val="dotted" w:sz="4" w:space="0" w:color="auto"/>
              <w:left w:val="single" w:sz="4" w:space="0" w:color="auto"/>
              <w:bottom w:val="nil"/>
              <w:right w:val="single" w:sz="4" w:space="0" w:color="000000"/>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Марж</w:t>
            </w:r>
          </w:p>
        </w:tc>
        <w:tc>
          <w:tcPr>
            <w:tcW w:w="1302"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1 788 068 024</w:t>
            </w:r>
          </w:p>
        </w:tc>
        <w:tc>
          <w:tcPr>
            <w:tcW w:w="1292"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4 328 616 948</w:t>
            </w:r>
          </w:p>
        </w:tc>
        <w:tc>
          <w:tcPr>
            <w:tcW w:w="1297"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- 873 870 300</w:t>
            </w:r>
          </w:p>
        </w:tc>
        <w:tc>
          <w:tcPr>
            <w:tcW w:w="1332"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-2 378 467 485</w:t>
            </w:r>
          </w:p>
        </w:tc>
        <w:tc>
          <w:tcPr>
            <w:tcW w:w="1292"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 xml:space="preserve"> 914 197 724</w:t>
            </w:r>
          </w:p>
        </w:tc>
        <w:tc>
          <w:tcPr>
            <w:tcW w:w="1296"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i/>
                <w:iCs/>
                <w:noProof/>
                <w:color w:val="000000"/>
                <w:sz w:val="14"/>
                <w:szCs w:val="14"/>
              </w:rPr>
            </w:pPr>
            <w:r>
              <w:rPr>
                <w:b/>
                <w:bCs/>
                <w:i/>
                <w:iCs/>
                <w:noProof/>
                <w:color w:val="000000"/>
                <w:sz w:val="14"/>
                <w:szCs w:val="14"/>
              </w:rPr>
              <w:t>1 950 149 463</w:t>
            </w:r>
          </w:p>
        </w:tc>
      </w:tr>
      <w:tr w:rsidR="00763157">
        <w:trPr>
          <w:gridAfter w:val="1"/>
          <w:wAfter w:w="24" w:type="dxa"/>
          <w:trHeight w:val="260"/>
          <w:jc w:val="center"/>
        </w:trPr>
        <w:tc>
          <w:tcPr>
            <w:tcW w:w="356" w:type="dxa"/>
            <w:tcBorders>
              <w:top w:val="single" w:sz="4" w:space="0" w:color="auto"/>
              <w:left w:val="single" w:sz="4" w:space="0" w:color="auto"/>
              <w:bottom w:val="single" w:sz="4" w:space="0" w:color="auto"/>
              <w:right w:val="nil"/>
            </w:tcBorders>
            <w:shd w:val="clear" w:color="auto" w:fill="auto"/>
            <w:vAlign w:val="center"/>
            <w:hideMark/>
          </w:tcPr>
          <w:p w:rsidR="00763157" w:rsidRDefault="00E45FF1">
            <w:pPr>
              <w:rPr>
                <w:b/>
                <w:bCs/>
                <w:noProof/>
                <w:color w:val="000000"/>
                <w:sz w:val="14"/>
                <w:szCs w:val="14"/>
              </w:rPr>
            </w:pPr>
            <w:r>
              <w:rPr>
                <w:b/>
                <w:bCs/>
                <w:noProof/>
                <w:color w:val="000000"/>
                <w:sz w:val="14"/>
                <w:szCs w:val="14"/>
              </w:rPr>
              <w:t> </w:t>
            </w:r>
          </w:p>
        </w:tc>
        <w:tc>
          <w:tcPr>
            <w:tcW w:w="2311" w:type="dxa"/>
            <w:tcBorders>
              <w:top w:val="single" w:sz="4" w:space="0" w:color="auto"/>
              <w:left w:val="nil"/>
              <w:bottom w:val="single" w:sz="4" w:space="0" w:color="auto"/>
              <w:right w:val="single" w:sz="4" w:space="0" w:color="auto"/>
            </w:tcBorders>
            <w:shd w:val="clear" w:color="000000" w:fill="FFFFFF"/>
            <w:vAlign w:val="center"/>
            <w:hideMark/>
          </w:tcPr>
          <w:p w:rsidR="00763157" w:rsidRDefault="00E45FF1">
            <w:pPr>
              <w:rPr>
                <w:b/>
                <w:bCs/>
                <w:noProof/>
                <w:color w:val="000000"/>
                <w:sz w:val="14"/>
                <w:szCs w:val="14"/>
              </w:rPr>
            </w:pPr>
            <w:r>
              <w:rPr>
                <w:b/>
                <w:bCs/>
                <w:noProof/>
                <w:color w:val="000000"/>
                <w:sz w:val="14"/>
                <w:szCs w:val="14"/>
              </w:rPr>
              <w:t>Други специални инструменти</w:t>
            </w:r>
          </w:p>
        </w:tc>
        <w:tc>
          <w:tcPr>
            <w:tcW w:w="130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3 643 250 000</w:t>
            </w:r>
          </w:p>
        </w:tc>
        <w:tc>
          <w:tcPr>
            <w:tcW w:w="1292" w:type="dxa"/>
            <w:tcBorders>
              <w:top w:val="nil"/>
              <w:left w:val="nil"/>
              <w:bottom w:val="single" w:sz="4" w:space="0" w:color="auto"/>
              <w:right w:val="single" w:sz="4" w:space="0" w:color="auto"/>
            </w:tcBorders>
            <w:shd w:val="clear" w:color="000000" w:fill="FFFFFF"/>
            <w:vAlign w:val="center"/>
            <w:hideMark/>
          </w:tcPr>
          <w:p w:rsidR="00763157" w:rsidRDefault="00E45FF1">
            <w:pPr>
              <w:jc w:val="right"/>
              <w:rPr>
                <w:b/>
                <w:bCs/>
                <w:noProof/>
                <w:color w:val="000000"/>
                <w:sz w:val="14"/>
                <w:szCs w:val="14"/>
              </w:rPr>
            </w:pPr>
            <w:r>
              <w:rPr>
                <w:b/>
                <w:bCs/>
                <w:noProof/>
                <w:color w:val="000000"/>
                <w:sz w:val="14"/>
                <w:szCs w:val="14"/>
              </w:rPr>
              <w:t>1 661 812 000</w:t>
            </w:r>
          </w:p>
        </w:tc>
        <w:tc>
          <w:tcPr>
            <w:tcW w:w="1297"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-2 172 415 000</w:t>
            </w:r>
          </w:p>
        </w:tc>
        <w:tc>
          <w:tcPr>
            <w:tcW w:w="133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- 368 362 000</w:t>
            </w:r>
          </w:p>
        </w:tc>
        <w:tc>
          <w:tcPr>
            <w:tcW w:w="1292"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1 470 835 000</w:t>
            </w:r>
          </w:p>
        </w:tc>
        <w:tc>
          <w:tcPr>
            <w:tcW w:w="1296" w:type="dxa"/>
            <w:tcBorders>
              <w:top w:val="nil"/>
              <w:left w:val="nil"/>
              <w:bottom w:val="single" w:sz="4" w:space="0" w:color="auto"/>
              <w:right w:val="single" w:sz="4" w:space="0" w:color="auto"/>
            </w:tcBorders>
            <w:shd w:val="clear" w:color="auto" w:fill="auto"/>
            <w:vAlign w:val="center"/>
            <w:hideMark/>
          </w:tcPr>
          <w:p w:rsidR="00763157" w:rsidRDefault="00E45FF1">
            <w:pPr>
              <w:jc w:val="right"/>
              <w:rPr>
                <w:b/>
                <w:bCs/>
                <w:noProof/>
                <w:color w:val="000000"/>
                <w:sz w:val="14"/>
                <w:szCs w:val="14"/>
              </w:rPr>
            </w:pPr>
            <w:r>
              <w:rPr>
                <w:b/>
                <w:bCs/>
                <w:noProof/>
                <w:color w:val="000000"/>
                <w:sz w:val="14"/>
                <w:szCs w:val="14"/>
              </w:rPr>
              <w:t>1 293 450 000</w:t>
            </w:r>
          </w:p>
        </w:tc>
      </w:tr>
      <w:tr w:rsidR="00763157">
        <w:trPr>
          <w:gridAfter w:val="1"/>
          <w:wAfter w:w="24" w:type="dxa"/>
          <w:trHeight w:val="260"/>
          <w:jc w:val="center"/>
        </w:trPr>
        <w:tc>
          <w:tcPr>
            <w:tcW w:w="2667" w:type="dxa"/>
            <w:gridSpan w:val="2"/>
            <w:tcBorders>
              <w:top w:val="nil"/>
              <w:left w:val="single" w:sz="4" w:space="0" w:color="auto"/>
              <w:bottom w:val="single" w:sz="4" w:space="0" w:color="auto"/>
              <w:right w:val="single" w:sz="4" w:space="0" w:color="000000"/>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Общо всичко</w:t>
            </w:r>
          </w:p>
        </w:tc>
        <w:tc>
          <w:tcPr>
            <w:tcW w:w="1302"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166 746 181 976</w:t>
            </w:r>
          </w:p>
        </w:tc>
        <w:tc>
          <w:tcPr>
            <w:tcW w:w="1292"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163 515 102 887</w:t>
            </w:r>
          </w:p>
        </w:tc>
        <w:tc>
          <w:tcPr>
            <w:tcW w:w="1297"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-2 608 776 452</w:t>
            </w:r>
          </w:p>
        </w:tc>
        <w:tc>
          <w:tcPr>
            <w:tcW w:w="1332"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2 609 275 465</w:t>
            </w:r>
          </w:p>
        </w:tc>
        <w:tc>
          <w:tcPr>
            <w:tcW w:w="1292"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164 137 405 524</w:t>
            </w:r>
          </w:p>
        </w:tc>
        <w:tc>
          <w:tcPr>
            <w:tcW w:w="1296" w:type="dxa"/>
            <w:tcBorders>
              <w:top w:val="nil"/>
              <w:left w:val="nil"/>
              <w:bottom w:val="single" w:sz="4" w:space="0" w:color="auto"/>
              <w:right w:val="single" w:sz="4" w:space="0" w:color="auto"/>
            </w:tcBorders>
            <w:shd w:val="clear" w:color="000000" w:fill="D9D9D9"/>
            <w:vAlign w:val="center"/>
            <w:hideMark/>
          </w:tcPr>
          <w:p w:rsidR="00763157" w:rsidRDefault="00E45FF1">
            <w:pPr>
              <w:jc w:val="right"/>
              <w:rPr>
                <w:b/>
                <w:bCs/>
                <w:noProof/>
                <w:color w:val="000000"/>
                <w:sz w:val="14"/>
                <w:szCs w:val="14"/>
              </w:rPr>
            </w:pPr>
            <w:r>
              <w:rPr>
                <w:b/>
                <w:bCs/>
                <w:noProof/>
                <w:color w:val="000000"/>
                <w:sz w:val="14"/>
                <w:szCs w:val="14"/>
              </w:rPr>
              <w:t>166 124 378 352</w:t>
            </w:r>
          </w:p>
        </w:tc>
      </w:tr>
    </w:tbl>
    <w:p w:rsidR="00763157" w:rsidRDefault="00763157">
      <w:pPr>
        <w:rPr>
          <w:noProof/>
        </w:rPr>
      </w:pPr>
    </w:p>
    <w:p w:rsidR="00763157" w:rsidRDefault="00763157">
      <w:pPr>
        <w:rPr>
          <w:noProof/>
        </w:rPr>
      </w:pPr>
    </w:p>
    <w:p w:rsidR="00763157" w:rsidRDefault="00763157">
      <w:pPr>
        <w:rPr>
          <w:noProof/>
        </w:rPr>
      </w:pPr>
    </w:p>
    <w:p w:rsidR="00763157" w:rsidRDefault="00763157">
      <w:pPr>
        <w:rPr>
          <w:noProof/>
        </w:rPr>
      </w:pPr>
    </w:p>
    <w:sectPr w:rsidR="00763157">
      <w:headerReference w:type="even" r:id="rId29"/>
      <w:headerReference w:type="default" r:id="rId30"/>
      <w:footerReference w:type="even" r:id="rId31"/>
      <w:footerReference w:type="default" r:id="rId32"/>
      <w:headerReference w:type="first" r:id="rId33"/>
      <w:footerReference w:type="first" r:id="rId34"/>
      <w:pgSz w:w="11907" w:h="16839"/>
      <w:pgMar w:top="720" w:right="1021" w:bottom="600" w:left="1021" w:header="280"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57" w:rsidRDefault="00E45FF1">
      <w:r>
        <w:separator/>
      </w:r>
    </w:p>
  </w:endnote>
  <w:endnote w:type="continuationSeparator" w:id="0">
    <w:p w:rsidR="00763157" w:rsidRDefault="00E45FF1">
      <w:r>
        <w:continuationSeparator/>
      </w:r>
    </w:p>
  </w:endnote>
  <w:endnote w:type="continuationNotice" w:id="1">
    <w:p w:rsidR="00763157" w:rsidRDefault="00763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1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F1" w:rsidRPr="00E45FF1" w:rsidRDefault="00E45FF1" w:rsidP="00E45FF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E45FF1">
    <w:pPr>
      <w:pStyle w:val="Footer"/>
      <w:tabs>
        <w:tab w:val="clear" w:pos="4535"/>
        <w:tab w:val="center" w:pos="5040"/>
      </w:tabs>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21</w:t>
    </w:r>
    <w:r>
      <w:fldChar w:fldCharType="end"/>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F1" w:rsidRPr="00E45FF1" w:rsidRDefault="00E45FF1" w:rsidP="00E45FF1">
    <w:pPr>
      <w:pStyle w:val="FooterCoverPage"/>
      <w:rPr>
        <w:rFonts w:ascii="Arial" w:hAnsi="Arial" w:cs="Arial"/>
        <w:b/>
        <w:sz w:val="48"/>
      </w:rPr>
    </w:pPr>
    <w:r w:rsidRPr="00E45FF1">
      <w:rPr>
        <w:rFonts w:ascii="Arial" w:hAnsi="Arial" w:cs="Arial"/>
        <w:b/>
        <w:sz w:val="48"/>
      </w:rPr>
      <w:t>BG</w:t>
    </w:r>
    <w:r w:rsidRPr="00E45FF1">
      <w:rPr>
        <w:rFonts w:ascii="Arial" w:hAnsi="Arial" w:cs="Arial"/>
        <w:b/>
        <w:sz w:val="48"/>
      </w:rPr>
      <w:tab/>
    </w:r>
    <w:r w:rsidRPr="00E45FF1">
      <w:rPr>
        <w:rFonts w:ascii="Arial" w:hAnsi="Arial" w:cs="Arial"/>
        <w:b/>
        <w:sz w:val="48"/>
      </w:rPr>
      <w:tab/>
    </w:r>
    <w:r w:rsidRPr="00E45FF1">
      <w:tab/>
    </w:r>
    <w:r w:rsidRPr="00E45FF1">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F1" w:rsidRPr="00E45FF1" w:rsidRDefault="00E45FF1" w:rsidP="00E45FF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E45FF1">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E45FF1">
    <w:pPr>
      <w:pStyle w:val="Footer"/>
      <w:spacing w:before="0"/>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57" w:rsidRDefault="00E45FF1">
      <w:r>
        <w:separator/>
      </w:r>
    </w:p>
  </w:footnote>
  <w:footnote w:type="continuationSeparator" w:id="0">
    <w:p w:rsidR="00763157" w:rsidRDefault="00E45FF1">
      <w:r>
        <w:continuationSeparator/>
      </w:r>
    </w:p>
  </w:footnote>
  <w:footnote w:type="continuationNotice" w:id="1">
    <w:p w:rsidR="00763157" w:rsidRDefault="00763157"/>
  </w:footnote>
  <w:footnote w:id="2">
    <w:p w:rsidR="00763157" w:rsidRDefault="00E45FF1">
      <w:pPr>
        <w:pStyle w:val="FootnoteText"/>
      </w:pPr>
      <w:r>
        <w:rPr>
          <w:rStyle w:val="FootnoteReference"/>
        </w:rPr>
        <w:footnoteRef/>
      </w:r>
      <w:r>
        <w:tab/>
        <w:t>OB L 193, 30.7.2018 г., стр. 1.</w:t>
      </w:r>
    </w:p>
  </w:footnote>
  <w:footnote w:id="3">
    <w:p w:rsidR="00763157" w:rsidRDefault="00E45FF1">
      <w:pPr>
        <w:pStyle w:val="FootnoteText"/>
      </w:pPr>
      <w:r>
        <w:rPr>
          <w:rStyle w:val="FootnoteReference"/>
        </w:rPr>
        <w:footnoteRef/>
      </w:r>
      <w:r>
        <w:tab/>
        <w:t xml:space="preserve">COM(2020) </w:t>
      </w:r>
      <w:r>
        <w:t>300 final, 27.7.2020 г.</w:t>
      </w:r>
    </w:p>
  </w:footnote>
  <w:footnote w:id="4">
    <w:p w:rsidR="00763157" w:rsidRDefault="00E45FF1">
      <w:pPr>
        <w:pStyle w:val="FootnoteText"/>
      </w:pPr>
      <w:r>
        <w:rPr>
          <w:rStyle w:val="FootnoteReference"/>
        </w:rPr>
        <w:footnoteRef/>
      </w:r>
      <w:r>
        <w:t xml:space="preserve"> </w:t>
      </w:r>
      <w:r>
        <w:tab/>
        <w:t>EUCO 10/20, 21.7.2020 г.</w:t>
      </w:r>
    </w:p>
  </w:footnote>
  <w:footnote w:id="5">
    <w:p w:rsidR="00763157" w:rsidRDefault="00E45FF1">
      <w:pPr>
        <w:pStyle w:val="FootnoteText"/>
      </w:pPr>
      <w:r>
        <w:rPr>
          <w:rStyle w:val="FootnoteReference"/>
        </w:rPr>
        <w:footnoteRef/>
      </w:r>
      <w:r>
        <w:tab/>
        <w:t>Регламент (ЕО) № 58/2003 на Съвета от 19 декември 2002 г. относно установяването на статута на изпълнителните агенции, отговарящи за някои задачи по управлението на програмите на Общността (ОВ</w:t>
      </w:r>
      <w:r>
        <w:rPr>
          <w:lang w:val="en-GB"/>
        </w:rPr>
        <w:t> </w:t>
      </w:r>
      <w:r>
        <w:t>L 11, 16.</w:t>
      </w:r>
      <w:r>
        <w:t>1.2003 г., стр. 1).</w:t>
      </w:r>
    </w:p>
  </w:footnote>
  <w:footnote w:id="6">
    <w:p w:rsidR="00763157" w:rsidRDefault="00E45FF1">
      <w:pPr>
        <w:pStyle w:val="FootnoteText"/>
      </w:pPr>
      <w:r>
        <w:rPr>
          <w:rStyle w:val="FootnoteReference"/>
        </w:rPr>
        <w:footnoteRef/>
      </w:r>
      <w:r>
        <w:tab/>
        <w:t>Необходимият размер на бюджетните кредити за редовете за административна подкрепа бе преразгледан конкретно за всяка програма, в резултат на което не бе включен систематично в пропорционалните корекции.</w:t>
      </w:r>
    </w:p>
  </w:footnote>
  <w:footnote w:id="7">
    <w:p w:rsidR="00763157" w:rsidRDefault="00E45FF1">
      <w:pPr>
        <w:pStyle w:val="FootnoteText"/>
      </w:pPr>
      <w:r>
        <w:rPr>
          <w:rStyle w:val="FootnoteReference"/>
        </w:rPr>
        <w:footnoteRef/>
      </w:r>
      <w:r>
        <w:tab/>
        <w:t>Регламент (ЕС) 2020/872 на Ев</w:t>
      </w:r>
      <w:r>
        <w:t xml:space="preserve">ропейския парламент и на Съвета от 24 юни 2020 г. за изменение на Регламент (ЕС) № 1305/2013 във връзка със специална мярка за предоставяне на извънредно временно подпомагане от Европейския земеделски фонд за развитие на селските райони (ЕЗФРСР) в отговор </w:t>
      </w:r>
      <w:r>
        <w:t>на избухването на COVID-19.</w:t>
      </w:r>
    </w:p>
  </w:footnote>
  <w:footnote w:id="8">
    <w:p w:rsidR="00763157" w:rsidRDefault="00E45FF1">
      <w:pPr>
        <w:pStyle w:val="FootnoteText"/>
      </w:pPr>
      <w:r>
        <w:rPr>
          <w:rStyle w:val="FootnoteReference"/>
        </w:rPr>
        <w:footnoteRef/>
      </w:r>
      <w:r>
        <w:tab/>
        <w:t>Намаляванията на бюджетните кредити за поети задължения се компенсират в рамките на програмите ИПП и ИССРМС (географския стълб).</w:t>
      </w:r>
    </w:p>
  </w:footnote>
  <w:footnote w:id="9">
    <w:p w:rsidR="00763157" w:rsidRDefault="00E45FF1">
      <w:pPr>
        <w:pStyle w:val="FootnoteText"/>
      </w:pPr>
      <w:r>
        <w:rPr>
          <w:rStyle w:val="FootnoteReference"/>
        </w:rPr>
        <w:footnoteRef/>
      </w:r>
      <w:r>
        <w:tab/>
        <w:t>Увеличаването на бюджетните кредити за поети задължения се компенсира от съответно по размер на</w:t>
      </w:r>
      <w:r>
        <w:t>маляване на провизиите за ЕФУР+ през 2021 г., което ще бъде компенсирано от увеличаване на провизиите за ЕФУР+ през периода 2022—2027 г.</w:t>
      </w:r>
    </w:p>
  </w:footnote>
  <w:footnote w:id="10">
    <w:p w:rsidR="00763157" w:rsidRDefault="00E45FF1">
      <w:pPr>
        <w:pStyle w:val="FootnoteText"/>
      </w:pPr>
      <w:r>
        <w:rPr>
          <w:rStyle w:val="FootnoteReference"/>
        </w:rPr>
        <w:footnoteRef/>
      </w:r>
      <w:r>
        <w:t xml:space="preserve"> </w:t>
      </w:r>
      <w:r>
        <w:tab/>
        <w:t>COM(2020) 423 final, 3.6.2020 г.</w:t>
      </w:r>
    </w:p>
  </w:footnote>
  <w:footnote w:id="11">
    <w:p w:rsidR="00763157" w:rsidRDefault="00E45FF1">
      <w:pPr>
        <w:pStyle w:val="FootnoteText"/>
      </w:pPr>
      <w:r>
        <w:rPr>
          <w:rStyle w:val="FootnoteReference"/>
        </w:rPr>
        <w:footnoteRef/>
      </w:r>
      <w:r>
        <w:tab/>
        <w:t xml:space="preserve">Един бюджетен ред в дял 30 „Резерви“ и един бюджетен ред в дял 17 „Разходи извън </w:t>
      </w:r>
      <w:r>
        <w:t>годишните тавани, определени в многогодишната финансова рамка“ въз основа на модела, вече приложен за ЕФПГ.</w:t>
      </w:r>
    </w:p>
  </w:footnote>
  <w:footnote w:id="12">
    <w:p w:rsidR="00763157" w:rsidRDefault="00E45FF1">
      <w:pPr>
        <w:pStyle w:val="FootnoteText"/>
        <w:rPr>
          <w:sz w:val="18"/>
          <w:szCs w:val="18"/>
        </w:rPr>
      </w:pPr>
      <w:r>
        <w:rPr>
          <w:vertAlign w:val="superscript"/>
          <w:lang w:val="pl-PL"/>
        </w:rPr>
        <w:footnoteRef/>
      </w:r>
      <w:r>
        <w:rPr>
          <w:sz w:val="18"/>
          <w:szCs w:val="18"/>
        </w:rPr>
        <w:t xml:space="preserve"> </w:t>
      </w:r>
      <w:r>
        <w:rPr>
          <w:sz w:val="18"/>
          <w:szCs w:val="18"/>
        </w:rPr>
        <w:tab/>
      </w:r>
      <w:r>
        <w:t>COM(2020) 456 final, 27.5.2020 г.</w:t>
      </w:r>
    </w:p>
  </w:footnote>
  <w:footnote w:id="13">
    <w:p w:rsidR="00763157" w:rsidRDefault="00E45FF1">
      <w:pPr>
        <w:pStyle w:val="FootnoteText"/>
        <w:rPr>
          <w:sz w:val="18"/>
          <w:szCs w:val="18"/>
          <w:highlight w:val="yellow"/>
        </w:rPr>
      </w:pPr>
      <w:r>
        <w:rPr>
          <w:rStyle w:val="FootnoteReference"/>
        </w:rPr>
        <w:footnoteRef/>
      </w:r>
      <w:r>
        <w:tab/>
        <w:t>COM(2020) 446 final, 28.5.2020 г.</w:t>
      </w:r>
    </w:p>
  </w:footnote>
  <w:footnote w:id="14">
    <w:p w:rsidR="00763157" w:rsidRDefault="00E45FF1">
      <w:pPr>
        <w:pStyle w:val="FootnoteText"/>
        <w:rPr>
          <w:sz w:val="18"/>
          <w:szCs w:val="18"/>
        </w:rPr>
      </w:pPr>
      <w:r>
        <w:rPr>
          <w:rStyle w:val="FootnoteReference"/>
        </w:rPr>
        <w:footnoteRef/>
      </w:r>
      <w:r>
        <w:rPr>
          <w:rStyle w:val="FootnoteReference"/>
        </w:rPr>
        <w:t xml:space="preserve"> </w:t>
      </w:r>
      <w:r>
        <w:rPr>
          <w:sz w:val="18"/>
          <w:szCs w:val="18"/>
        </w:rPr>
        <w:tab/>
      </w:r>
      <w:r>
        <w:t>COM(2020) 451 final, 28.5.2020 г.</w:t>
      </w:r>
    </w:p>
  </w:footnote>
  <w:footnote w:id="15">
    <w:p w:rsidR="00763157" w:rsidRDefault="00E45FF1">
      <w:pPr>
        <w:pStyle w:val="FootnoteText"/>
      </w:pPr>
      <w:r>
        <w:rPr>
          <w:rStyle w:val="FootnoteReference"/>
        </w:rPr>
        <w:footnoteRef/>
      </w:r>
      <w:r>
        <w:tab/>
        <w:t xml:space="preserve">Приет от Европейския парламент на </w:t>
      </w:r>
      <w:r>
        <w:t>17 септември 2020 г., но все още не е публикуван в Официален вестник (внесен е като проект на коригиращ бюджет № 8/2020 от Комисията на 28 август 2020 г.).</w:t>
      </w:r>
    </w:p>
  </w:footnote>
  <w:footnote w:id="16">
    <w:p w:rsidR="00763157" w:rsidRDefault="00E45FF1">
      <w:pPr>
        <w:pStyle w:val="FootnoteText"/>
      </w:pPr>
      <w:r>
        <w:rPr>
          <w:rStyle w:val="FootnoteReference"/>
        </w:rPr>
        <w:footnoteRef/>
      </w:r>
      <w:r>
        <w:tab/>
        <w:t>Приет от Европейския парламент на 17 април 2020 г. (ОВ L 126, 21.4.2020 г.).</w:t>
      </w:r>
    </w:p>
  </w:footnote>
  <w:footnote w:id="17">
    <w:p w:rsidR="00763157" w:rsidRDefault="00E45FF1">
      <w:pPr>
        <w:pStyle w:val="FootnoteText"/>
      </w:pPr>
      <w:r>
        <w:rPr>
          <w:rStyle w:val="FootnoteReference"/>
        </w:rPr>
        <w:footnoteRef/>
      </w:r>
      <w:r>
        <w:t xml:space="preserve"> </w:t>
      </w:r>
      <w:r>
        <w:tab/>
        <w:t xml:space="preserve">COM(2018) 614 </w:t>
      </w:r>
      <w:r>
        <w:t>final, 7.9.2018 г.</w:t>
      </w:r>
    </w:p>
  </w:footnote>
  <w:footnote w:id="18">
    <w:p w:rsidR="00763157" w:rsidRDefault="00E45FF1">
      <w:pPr>
        <w:pStyle w:val="FootnoteText"/>
      </w:pPr>
      <w:r>
        <w:rPr>
          <w:rStyle w:val="FootnoteReference"/>
        </w:rPr>
        <w:footnoteRef/>
      </w:r>
      <w:r>
        <w:t xml:space="preserve"> </w:t>
      </w:r>
      <w:r>
        <w:tab/>
        <w:t>JOIN(2020) 11 final, 8.4.2020 г.</w:t>
      </w:r>
    </w:p>
  </w:footnote>
  <w:footnote w:id="19">
    <w:p w:rsidR="00763157" w:rsidRDefault="00E45FF1">
      <w:pPr>
        <w:pStyle w:val="FootnoteText"/>
      </w:pPr>
      <w:r>
        <w:rPr>
          <w:rStyle w:val="FootnoteReference"/>
        </w:rPr>
        <w:footnoteRef/>
      </w:r>
      <w:r>
        <w:tab/>
        <w:t xml:space="preserve">В съответствие с член 7 от Устава на ЕИФ тази сума ще съответства на 20 % от номиналната стойност, която трябва да бъде внесена при записването (в допълнение към плащането на премията от емисията на </w:t>
      </w:r>
      <w:r>
        <w:t xml:space="preserve">акция при закупуването). Останалите 80 % представляват условен пасив с таван за Съюза, свързан с възможността да бъде изискано допълнително плащане на записан, но невнесен капитал. </w:t>
      </w:r>
    </w:p>
  </w:footnote>
  <w:footnote w:id="20">
    <w:p w:rsidR="00763157" w:rsidRDefault="00E45FF1">
      <w:pPr>
        <w:pStyle w:val="FootnoteText"/>
      </w:pPr>
      <w:r>
        <w:rPr>
          <w:rStyle w:val="FootnoteReference"/>
        </w:rPr>
        <w:footnoteRef/>
      </w:r>
      <w:r>
        <w:tab/>
        <w:t>Точният размер на нетното салдо по ЕФГЗ е 40 367,954 милиона евро. Съотв</w:t>
      </w:r>
      <w:r>
        <w:t>етните държави членки уведомиха за допълнителните трансфери в съответствие с член 7, параграф 2, член 11, параграф 6 и член 14, параграфи 1 и 2 от Регламент (ЕС) № 1307/2013, като трансферите от ЕФГЗ към ЕЗФРСР възлизат на 1 157,704 милиона евро, а тези от</w:t>
      </w:r>
      <w:r>
        <w:t xml:space="preserve"> ЕЗФРСР към ЕФГЗ — на 600,658 милиона евро. Полученият нетен трансфер от ЕФГЗ към ЕЗФРСР, т.е. 557,046 милиона евро, се приспада от подтавана за ЕФГЗ за 2021 г. в размер на 40 925 милиона евро съгласно новата МФР за периода 2021—2027 г. и се добавя към съо</w:t>
      </w:r>
      <w:r>
        <w:t>тветните национални финансови пакети за ЕЗФРСР за 2021 г. Като цяло тези трансфери между двата стълба на ОСП нямат отражение върху бюджета, що се отнася до тавана за функция 3.</w:t>
      </w:r>
    </w:p>
  </w:footnote>
  <w:footnote w:id="21">
    <w:p w:rsidR="00763157" w:rsidRDefault="00E45FF1">
      <w:pPr>
        <w:pStyle w:val="FootnoteText"/>
      </w:pPr>
      <w:r>
        <w:rPr>
          <w:rStyle w:val="FootnoteReference"/>
        </w:rPr>
        <w:footnoteRef/>
      </w:r>
      <w:r>
        <w:tab/>
        <w:t>Нуждите възлизат на 40 368,0 милиона евро нови бюджетни кредити плюс 619,0 ми</w:t>
      </w:r>
      <w:r>
        <w:t>лиона евро целеви приходи.</w:t>
      </w:r>
    </w:p>
  </w:footnote>
  <w:footnote w:id="22">
    <w:p w:rsidR="00763157" w:rsidRDefault="00E45FF1">
      <w:pPr>
        <w:pStyle w:val="FootnoteText"/>
      </w:pPr>
      <w:r>
        <w:rPr>
          <w:rStyle w:val="FootnoteReference"/>
        </w:rPr>
        <w:footnoteRef/>
      </w:r>
      <w:r>
        <w:tab/>
        <w:t>Тази прогноза се основава на декларациите за реалните разходи, изпратени от държавите членки, за периода от 1.9.2020 г. до 15.10.2020 г. До края на годината ще бъдат направени малки корекции на тези декларации и на разходите по</w:t>
      </w:r>
      <w:r>
        <w:t>д пряко управление.</w:t>
      </w:r>
    </w:p>
  </w:footnote>
  <w:footnote w:id="23">
    <w:p w:rsidR="00763157" w:rsidRDefault="00E45FF1">
      <w:pPr>
        <w:pStyle w:val="FootnoteText"/>
      </w:pPr>
      <w:r>
        <w:rPr>
          <w:rStyle w:val="FootnoteReference"/>
        </w:rPr>
        <w:footnoteRef/>
      </w:r>
      <w:r>
        <w:tab/>
        <w:t>Ставката на корекцията за преките плащания във връзка с механизма за финансова дисциплина по отношение на календарната 2020 г. е определена в Регламент за изпълнение (ЕС) 2020/862 на Комисията от 19 юни 2020 г. и възлиза на 2,140411 %</w:t>
      </w:r>
      <w:r>
        <w:t xml:space="preserve"> въз основа на ПБ за 2021 г. Комисията ще актуализира съответно тази ставка, като вземе предвид промените, предложени в настоящото ПВК, което ще доведе до малко по-висока ставка в размер на 2,906192 %.</w:t>
      </w:r>
    </w:p>
  </w:footnote>
  <w:footnote w:id="24">
    <w:p w:rsidR="00763157" w:rsidRDefault="00E45FF1">
      <w:pPr>
        <w:pStyle w:val="FootnoteText"/>
      </w:pPr>
      <w:r>
        <w:rPr>
          <w:rStyle w:val="FootnoteReference"/>
        </w:rPr>
        <w:footnoteRef/>
      </w:r>
      <w:r>
        <w:tab/>
        <w:t>Регламент (ЕО) № 58/2003 на Съвета от 19 декември 20</w:t>
      </w:r>
      <w:r>
        <w:t>02 г. относно установяването на статута на изпълнителните агенции, отговарящи за някои задачи по управлението на програмите на Общността (ОВ L 11, 16.1.2003 г., стр. 1—8).</w:t>
      </w:r>
    </w:p>
  </w:footnote>
  <w:footnote w:id="25">
    <w:p w:rsidR="00763157" w:rsidRDefault="00E45FF1">
      <w:pPr>
        <w:pStyle w:val="FootnoteText"/>
      </w:pPr>
      <w:r>
        <w:rPr>
          <w:rStyle w:val="FootnoteReference"/>
        </w:rPr>
        <w:footnoteRef/>
      </w:r>
      <w:r>
        <w:tab/>
        <w:t>Тази таблица не включва бюджетните кредити/персонала, свързани със стълб III на JR</w:t>
      </w:r>
      <w:r>
        <w:t>C — Фонда за иновации и Фонда за енергията от възобновяеми източници. Тя включва броя на персонала и бюджетните кредити, свързани с изпълнението на научноизследователската програма на Европейската общност за въглища и стомана.</w:t>
      </w:r>
    </w:p>
  </w:footnote>
  <w:footnote w:id="26">
    <w:p w:rsidR="00763157" w:rsidRDefault="00E45FF1">
      <w:pPr>
        <w:pStyle w:val="FootnoteText"/>
      </w:pPr>
      <w:r>
        <w:rPr>
          <w:rStyle w:val="FootnoteReference"/>
        </w:rPr>
        <w:footnoteRef/>
      </w:r>
      <w:r>
        <w:tab/>
        <w:t xml:space="preserve">Регламент (ЕС) 2020/852 на </w:t>
      </w:r>
      <w:r>
        <w:t>Европейския парламент и на Съвета от 18 юни 2020 г. за създаване на рамка за улесняване на устойчивите инвестиции и за изменение на Регламент (ЕС) 2019/2088.</w:t>
      </w:r>
    </w:p>
  </w:footnote>
  <w:footnote w:id="27">
    <w:p w:rsidR="00763157" w:rsidRDefault="00E45FF1">
      <w:pPr>
        <w:pStyle w:val="FootnoteText"/>
      </w:pPr>
      <w:r>
        <w:rPr>
          <w:rStyle w:val="FootnoteReference"/>
        </w:rPr>
        <w:footnoteRef/>
      </w:r>
      <w:r>
        <w:tab/>
        <w:t>Регламент № 31 (ЕИО), 11 (ЕОАЕ), установяващ Правилника за длъжностните лица и Условията за рабо</w:t>
      </w:r>
      <w:r>
        <w:t>та на другите служители на Европейската икономическа общност и на Европейската общност за атомна енергия (ОВ P 045, 14.6.1962 г., стр. 1385).</w:t>
      </w:r>
    </w:p>
  </w:footnote>
  <w:footnote w:id="28">
    <w:p w:rsidR="00763157" w:rsidRDefault="00E45FF1">
      <w:pPr>
        <w:pStyle w:val="FootnoteText"/>
      </w:pPr>
      <w:r>
        <w:rPr>
          <w:rStyle w:val="FootnoteReference"/>
        </w:rPr>
        <w:footnoteRef/>
      </w:r>
      <w:r>
        <w:tab/>
        <w:t>Хармонизиран индекс на потребителските цени.</w:t>
      </w:r>
    </w:p>
  </w:footnote>
  <w:footnote w:id="29">
    <w:p w:rsidR="00763157" w:rsidRDefault="00E45FF1">
      <w:pPr>
        <w:pStyle w:val="FootnoteText"/>
      </w:pPr>
      <w:r>
        <w:rPr>
          <w:rStyle w:val="FootnoteReference"/>
        </w:rPr>
        <w:footnoteRef/>
      </w:r>
      <w:r>
        <w:tab/>
        <w:t>Индекс на потребителските цени.</w:t>
      </w:r>
    </w:p>
  </w:footnote>
  <w:footnote w:id="30">
    <w:p w:rsidR="00763157" w:rsidRDefault="00E45FF1">
      <w:pPr>
        <w:pStyle w:val="FootnoteText"/>
      </w:pPr>
      <w:r>
        <w:rPr>
          <w:rStyle w:val="FootnoteReference"/>
        </w:rPr>
        <w:footnoteRef/>
      </w:r>
      <w:r>
        <w:tab/>
        <w:t>Тази ставка се основаваше на пр</w:t>
      </w:r>
      <w:r>
        <w:t>огнозата от есента на 2019 г. и бе използвана при първоначалната вътрешна подготвителна работа по изготвянето на разчетите на Комисията. Тя бе актуализирана през пролетта на 2020 г. за окончателния ПБ за 2021 г. за всички институции с изключение на Европей</w:t>
      </w:r>
      <w:r>
        <w:t>ските училища.</w:t>
      </w:r>
    </w:p>
  </w:footnote>
  <w:footnote w:id="31">
    <w:p w:rsidR="00763157" w:rsidRDefault="00E45FF1">
      <w:pPr>
        <w:tabs>
          <w:tab w:val="left" w:pos="720"/>
        </w:tabs>
        <w:ind w:left="720" w:hanging="720"/>
        <w:jc w:val="both"/>
      </w:pPr>
      <w:r>
        <w:rPr>
          <w:rStyle w:val="FootnoteReference"/>
          <w:sz w:val="20"/>
          <w:szCs w:val="20"/>
          <w:lang w:eastAsia="de-DE"/>
        </w:rPr>
        <w:footnoteRef/>
      </w:r>
      <w:r>
        <w:rPr>
          <w:rStyle w:val="FootnoteReference"/>
          <w:lang w:eastAsia="de-DE"/>
        </w:rPr>
        <w:t xml:space="preserve"> </w:t>
      </w:r>
      <w:r>
        <w:rPr>
          <w:sz w:val="20"/>
          <w:szCs w:val="20"/>
        </w:rPr>
        <w:tab/>
        <w:t>Прехвърлянето включва също общите разходи (свързани със сградите и свързаните с тях разходи за инфраструктурата) за 177 МС, чиито заплати и общи разходи преди това се плащаха от Европейския фонд за развитие (ЕФР). От 2021 г. ЕФР ще бъде ч</w:t>
      </w:r>
      <w:r>
        <w:rPr>
          <w:sz w:val="20"/>
          <w:szCs w:val="20"/>
        </w:rPr>
        <w:t>аст от ИССРМС, поради което годишно ще бъдат прехвърляни и 5,6 милиона евро към ЕСВД за общите разходи за този персонал. Този годишен трансфер обаче няма да повлияе на равнището на „новите“ бюджетни кредити в ИССРМС, тъй като те ще бъдат покрити от оставащ</w:t>
      </w:r>
      <w:r>
        <w:rPr>
          <w:sz w:val="20"/>
          <w:szCs w:val="20"/>
        </w:rPr>
        <w:t>ите целеви приходи на ЕФР в бюджета на Съюза.</w:t>
      </w:r>
    </w:p>
  </w:footnote>
  <w:footnote w:id="32">
    <w:p w:rsidR="00763157" w:rsidRDefault="00E45FF1">
      <w:pPr>
        <w:pStyle w:val="FootnoteText"/>
      </w:pPr>
      <w:r>
        <w:rPr>
          <w:rStyle w:val="FootnoteReference"/>
        </w:rPr>
        <w:footnoteRef/>
      </w:r>
      <w:r>
        <w:t xml:space="preserve"> </w:t>
      </w:r>
      <w:r>
        <w:tab/>
        <w:t>ОВ C 12, 13.1.2018 г., стр. 1, приложение II.</w:t>
      </w:r>
    </w:p>
  </w:footnote>
  <w:footnote w:id="33">
    <w:p w:rsidR="00763157" w:rsidRDefault="00E45FF1">
      <w:pPr>
        <w:pStyle w:val="FootnoteText"/>
      </w:pPr>
      <w:r>
        <w:rPr>
          <w:rStyle w:val="FootnoteReference"/>
        </w:rPr>
        <w:footnoteRef/>
      </w:r>
      <w:r>
        <w:t xml:space="preserve"> </w:t>
      </w:r>
      <w:r>
        <w:tab/>
        <w:t>COM(2020) 569 final, 18.9.2020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F1" w:rsidRPr="00E45FF1" w:rsidRDefault="00E45FF1" w:rsidP="00E45F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F1" w:rsidRPr="00E45FF1" w:rsidRDefault="00E45FF1" w:rsidP="00E45FF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F1" w:rsidRPr="00E45FF1" w:rsidRDefault="00E45FF1" w:rsidP="00E45FF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57" w:rsidRDefault="0076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2" w15:restartNumberingAfterBreak="0">
    <w:nsid w:val="01CA57DC"/>
    <w:multiLevelType w:val="hybridMultilevel"/>
    <w:tmpl w:val="B042469C"/>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319D6"/>
    <w:multiLevelType w:val="hybridMultilevel"/>
    <w:tmpl w:val="96060D4C"/>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085"/>
    <w:multiLevelType w:val="hybridMultilevel"/>
    <w:tmpl w:val="0846A4DA"/>
    <w:lvl w:ilvl="0" w:tplc="8A36BA8C">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 w15:restartNumberingAfterBreak="0">
    <w:nsid w:val="1BC50770"/>
    <w:multiLevelType w:val="hybridMultilevel"/>
    <w:tmpl w:val="1A92C2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CC1F1F"/>
    <w:multiLevelType w:val="hybridMultilevel"/>
    <w:tmpl w:val="19CCF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F911729"/>
    <w:multiLevelType w:val="multilevel"/>
    <w:tmpl w:val="EA30B10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C13EA4"/>
    <w:multiLevelType w:val="hybridMultilevel"/>
    <w:tmpl w:val="9E047E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15:restartNumberingAfterBreak="0">
    <w:nsid w:val="37D64D9A"/>
    <w:multiLevelType w:val="hybridMultilevel"/>
    <w:tmpl w:val="5A2C9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0809000F"/>
    <w:lvl w:ilvl="0">
      <w:start w:val="1"/>
      <w:numFmt w:val="decimal"/>
      <w:pStyle w:val="ManualHeading2"/>
      <w:lvlText w:val="%1."/>
      <w:lvlJc w:val="left"/>
      <w:pPr>
        <w:ind w:left="720" w:hanging="360"/>
      </w:pPr>
    </w:lvl>
  </w:abstractNum>
  <w:abstractNum w:abstractNumId="16" w15:restartNumberingAfterBreak="0">
    <w:nsid w:val="444B45B2"/>
    <w:multiLevelType w:val="hybridMultilevel"/>
    <w:tmpl w:val="82BC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50426"/>
    <w:multiLevelType w:val="hybridMultilevel"/>
    <w:tmpl w:val="A1AA699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43E64"/>
    <w:multiLevelType w:val="hybridMultilevel"/>
    <w:tmpl w:val="B2063506"/>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EC16C19A">
      <w:numFmt w:val="bullet"/>
      <w:lvlText w:val="•"/>
      <w:lvlJc w:val="left"/>
      <w:pPr>
        <w:ind w:left="2340" w:hanging="720"/>
      </w:pPr>
      <w:rPr>
        <w:rFonts w:ascii="Times New Roman" w:eastAsia="Times New Roman" w:hAnsi="Times New Roman" w:cs="Times New Roman" w:hint="default"/>
      </w:rPr>
    </w:lvl>
    <w:lvl w:ilvl="3" w:tplc="AC466752">
      <w:start w:val="19"/>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514B7CB1"/>
    <w:multiLevelType w:val="hybridMultilevel"/>
    <w:tmpl w:val="0712B7FA"/>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567D37AB"/>
    <w:multiLevelType w:val="hybridMultilevel"/>
    <w:tmpl w:val="AF54D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82356"/>
    <w:multiLevelType w:val="hybridMultilevel"/>
    <w:tmpl w:val="9F4E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A2513"/>
    <w:multiLevelType w:val="hybridMultilevel"/>
    <w:tmpl w:val="3C1C7B8A"/>
    <w:lvl w:ilvl="0" w:tplc="48D688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FC72DE3"/>
    <w:multiLevelType w:val="hybridMultilevel"/>
    <w:tmpl w:val="28801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A07CBB"/>
    <w:multiLevelType w:val="hybridMultilevel"/>
    <w:tmpl w:val="D0281760"/>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872AB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9" w15:restartNumberingAfterBreak="0">
    <w:nsid w:val="6DD8544D"/>
    <w:multiLevelType w:val="hybridMultilevel"/>
    <w:tmpl w:val="8952B6A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15:restartNumberingAfterBreak="0">
    <w:nsid w:val="7A5E3354"/>
    <w:multiLevelType w:val="hybridMultilevel"/>
    <w:tmpl w:val="C0200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694F3E"/>
    <w:multiLevelType w:val="hybridMultilevel"/>
    <w:tmpl w:val="66C627DA"/>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D20EB"/>
    <w:multiLevelType w:val="hybridMultilevel"/>
    <w:tmpl w:val="1F8EF210"/>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8"/>
  </w:num>
  <w:num w:numId="5">
    <w:abstractNumId w:val="15"/>
  </w:num>
  <w:num w:numId="6">
    <w:abstractNumId w:val="10"/>
  </w:num>
  <w:num w:numId="7">
    <w:abstractNumId w:val="24"/>
  </w:num>
  <w:num w:numId="8">
    <w:abstractNumId w:val="6"/>
  </w:num>
  <w:num w:numId="9">
    <w:abstractNumId w:val="27"/>
  </w:num>
  <w:num w:numId="10">
    <w:abstractNumId w:val="20"/>
  </w:num>
  <w:num w:numId="11">
    <w:abstractNumId w:val="18"/>
  </w:num>
  <w:num w:numId="12">
    <w:abstractNumId w:val="8"/>
  </w:num>
  <w:num w:numId="13">
    <w:abstractNumId w:val="5"/>
  </w:num>
  <w:num w:numId="14">
    <w:abstractNumId w:val="2"/>
  </w:num>
  <w:num w:numId="15">
    <w:abstractNumId w:val="26"/>
  </w:num>
  <w:num w:numId="16">
    <w:abstractNumId w:val="31"/>
  </w:num>
  <w:num w:numId="17">
    <w:abstractNumId w:val="11"/>
  </w:num>
  <w:num w:numId="18">
    <w:abstractNumId w:val="12"/>
  </w:num>
  <w:num w:numId="19">
    <w:abstractNumId w:val="22"/>
  </w:num>
  <w:num w:numId="20">
    <w:abstractNumId w:val="7"/>
  </w:num>
  <w:num w:numId="21">
    <w:abstractNumId w:val="29"/>
  </w:num>
  <w:num w:numId="22">
    <w:abstractNumId w:val="19"/>
  </w:num>
  <w:num w:numId="23">
    <w:abstractNumId w:val="32"/>
  </w:num>
  <w:num w:numId="24">
    <w:abstractNumId w:val="23"/>
  </w:num>
  <w:num w:numId="25">
    <w:abstractNumId w:val="14"/>
  </w:num>
  <w:num w:numId="26">
    <w:abstractNumId w:val="17"/>
  </w:num>
  <w:num w:numId="27">
    <w:abstractNumId w:val="30"/>
  </w:num>
  <w:num w:numId="28">
    <w:abstractNumId w:val="3"/>
  </w:num>
  <w:num w:numId="29">
    <w:abstractNumId w:val="16"/>
  </w:num>
  <w:num w:numId="30">
    <w:abstractNumId w:val="4"/>
  </w:num>
  <w:num w:numId="31">
    <w:abstractNumId w:val="21"/>
  </w:num>
  <w:num w:numId="32">
    <w:abstractNumId w:val="25"/>
  </w:num>
  <w:num w:numId="33">
    <w:abstractNumId w:val="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1DCE197-2957-47E5-B260-FED49AF10057"/>
    <w:docVar w:name="LW_COVERPAGE_TYPE" w:val="1"/>
    <w:docVar w:name="LW_CROSSREFERENCE" w:val="&lt;UNUSED&gt;"/>
    <w:docVar w:name="LW_DocType" w:val="NORMAL"/>
    <w:docVar w:name="LW_EMISSION" w:val="13.11.2020"/>
    <w:docVar w:name="LW_EMISSION_ISODATE" w:val="2020-11-13"/>
    <w:docVar w:name="LW_EMISSION_LOCATION" w:val="BRX"/>
    <w:docVar w:name="LW_EMISSION_PREFIX" w:val="\u1041?\u1088?\u1102?\u1082?\u1089?\u1077?\u1083?,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BUD"/>
    <w:docVar w:name="LW_REF.II.NEW.CP_NUMBER" w:val="330"/>
    <w:docVar w:name="LW_REF.II.NEW.CP_YEAR" w:val="2020"/>
    <w:docVar w:name="LW_REF.INST.NEW" w:val="COM"/>
    <w:docVar w:name="LW_REF.INST.NEW_ADOPTED" w:val="final"/>
    <w:docVar w:name="LW_REF.INST.NEW_TEXT" w:val="(2020) 7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0?\u1086?\u1088?\u1077?\u1082?\u1094?\u1080?\u1080? \u1074?\u1089?\u1083?\u1077?\u1076?\u1089?\u1090?\u1074?\u1080?\u1077? \u1085?\u1072? \u1085?\u1077?\u1086?\u1090?\u1076?\u1072?\u1074?\u1085?\u1072?\u1096?\u1085?\u1086?\u1090?\u1086? \u1087?\u1086?\u1083?\u1080?\u1090?\u1080?\u1095?\u1077?\u1089?\u1082?\u1086? \u1089?\u1087?\u1086?\u1088?\u1072?\u1079?\u1091?\u1084?\u1077?\u1085?\u1080?\u1077? \u1084?\u1077?\u1078?\u1076?\u1091? \u1045?\u1074?\u1088?\u1086?\u1087?\u1077?\u1081?\u1089?\u1082?\u1080?\u1103? \u1087?\u1072?\u1088?\u1083?\u1072?\u1084?\u1077?\u1085?\u1090? \u1080? \u1057?\u1098?\u1074?\u1077?\u1090?\u1072? \u1079?\u1072? \u1084?\u1085?\u1086?\u1075?\u1086?\u1075?\u1086?\u1076?\u1080?\u1096?\u1085?\u1072?\u1090?\u1072? \u1092?\u1080?\u1085?\u1072?\u1085?\u1089?\u1086?\u1074?\u1072? \u1088?\u1072?\u1084?\u1082?\u1072? \u1079?\u1072? \u1087?\u1077?\u1088?\u1080?\u1086?\u1076?\u1072? 2021\u8212?2027 \u1075?.&lt;/FMT&gt;_x000d__x000d__x000d__x000d__x000d__x000d__x000d__x000d__x000b__x000d_&lt;FMT:Font=Calibri Cyr&gt;\u1040?\u1082?\u1090?\u1091?\u1072?\u1083?\u1080?\u1079?\u1080?\u1088?\u1072?\u1085?\u1080? \u1087?\u1088?\u1086?\u1075?\u1085?\u1086?\u1079?\u1085?\u1080? \u1085?\u1091?\u1078?\u1076?\u1080? \u1074?\u1098?\u1074? \u1074?\u1088?\u1098?\u1079?\u1082?\u1072? \u1089?&lt;/FMT&gt;&lt;FMT:Font=Calibri&gt; &lt;/FMT&gt;&lt;FMT:Font=Calibri Cyr&gt;\u1088?\u1072?\u1079?\u1093?\u1086?\u1076?\u1080?\u1090?\u1077? \u1079?\u1072? \u1089?\u1077?\u1083?\u1089?\u1082?\u1086?\u1090?\u1086? \u1089?\u1090?\u1086?\u1087?\u1072?\u1085?\u1089?\u1090?\u1074?\u1086?&lt;/FMT&gt;_x000d__x000d__x000d__x000d__x000d__x000d__x000d__x000d__x000b__x000d_&lt;FMT:Font=Calibri Cyr&gt;\u1044?\u1088?\u1091?\u1075?\u1080? \u1082?\u1086?\u1088?\u1077?\u1082?\u1094?\u1080?\u1080? \u1080? \u1090?\u1077?\u1093?\u1085?\u1080?\u1095?\u1077?\u1089?\u1082?\u1080? \u1072?\u1082?\u1090?\u1091?\u1072?\u1083?\u1080?\u1079?\u1072?\u1094?\u1080?\u1080?&lt;/FMT&gt;_x000d__x000d__x000d__x000d__x000d__x000d__x000d__x000d__x000d__x000d__x000d__x000d__x000d__x000d__x000d__x000d__x000d__x000d__x000d__x000b__x000d__x000d__x000d__x000d__x000d__x000d__x000d__x000d__x000d__x000d__x000d__x000d__x000d__x000d__x000d__x000d__x000d__x000d__x000d__x000b_"/>
    <w:docVar w:name="LW_TYPE.DOC.CP" w:val="\u1055?\u1048?\u1057?\u1052?\u1054? \u1047?\u1040? \u1042?\u1053?\u1040?\u1057?\u1071?\u1053?\u1045? \u1053?\u1040? \u1050?\u1054?\u1056?\u1045?\u1050?\u1062?\u1048?\u1048? \u8470? 1 \u1050?\u1066?\u1052? \u1055?\u1056?\u1054?\u1045?\u1050?\u1058?\u1040? \u1053?\u1040? \u1054?\u1041?\u1065? \u1041?\u1070?\u1044?\u1046?\u1045?\u1058? \u1047?\u1040? 2021 \u1043?."/>
  </w:docVars>
  <w:rsids>
    <w:rsidRoot w:val="00763157"/>
    <w:rsid w:val="00763157"/>
    <w:rsid w:val="00E4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qFormat/>
    <w:pPr>
      <w:ind w:left="720" w:hanging="720"/>
      <w:jc w:val="both"/>
    </w:pPr>
    <w:rPr>
      <w:sz w:val="20"/>
      <w:szCs w:val="20"/>
      <w:lang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rPr>
      <w:rFonts w:ascii="Times New Roman" w:eastAsia="Times New Roman" w:hAnsi="Times New Roman" w:cs="Times New Roman"/>
      <w:sz w:val="20"/>
      <w:szCs w:val="20"/>
      <w:lang w:val="bg-B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uiPriority w:val="99"/>
    <w:qForma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spacing w:before="20" w:after="20"/>
      <w:ind w:left="709" w:hanging="469"/>
    </w:pPr>
    <w:rPr>
      <w:rFonts w:ascii="Times New Roman Bold" w:hAnsi="Times New Roman Bold"/>
      <w:b/>
      <w:smallCaps/>
      <w:noProof/>
      <w:spacing w:val="-4"/>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bg-BG"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locked/>
    <w:rPr>
      <w:rFonts w:ascii="Calibri" w:eastAsia="MS Mincho" w:hAnsi="Calibri" w:cs="Times New Roman"/>
      <w:szCs w:val="20"/>
      <w:lang w:val="bg-BG"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bg-BG"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 w:type="character" w:customStyle="1" w:styleId="acopre">
    <w:name w:val="acopr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0731">
      <w:bodyDiv w:val="1"/>
      <w:marLeft w:val="0"/>
      <w:marRight w:val="0"/>
      <w:marTop w:val="0"/>
      <w:marBottom w:val="0"/>
      <w:divBdr>
        <w:top w:val="none" w:sz="0" w:space="0" w:color="auto"/>
        <w:left w:val="none" w:sz="0" w:space="0" w:color="auto"/>
        <w:bottom w:val="none" w:sz="0" w:space="0" w:color="auto"/>
        <w:right w:val="none" w:sz="0" w:space="0" w:color="auto"/>
      </w:divBdr>
    </w:div>
    <w:div w:id="100801549">
      <w:bodyDiv w:val="1"/>
      <w:marLeft w:val="0"/>
      <w:marRight w:val="0"/>
      <w:marTop w:val="0"/>
      <w:marBottom w:val="0"/>
      <w:divBdr>
        <w:top w:val="none" w:sz="0" w:space="0" w:color="auto"/>
        <w:left w:val="none" w:sz="0" w:space="0" w:color="auto"/>
        <w:bottom w:val="none" w:sz="0" w:space="0" w:color="auto"/>
        <w:right w:val="none" w:sz="0" w:space="0" w:color="auto"/>
      </w:divBdr>
    </w:div>
    <w:div w:id="118183194">
      <w:bodyDiv w:val="1"/>
      <w:marLeft w:val="0"/>
      <w:marRight w:val="0"/>
      <w:marTop w:val="0"/>
      <w:marBottom w:val="0"/>
      <w:divBdr>
        <w:top w:val="none" w:sz="0" w:space="0" w:color="auto"/>
        <w:left w:val="none" w:sz="0" w:space="0" w:color="auto"/>
        <w:bottom w:val="none" w:sz="0" w:space="0" w:color="auto"/>
        <w:right w:val="none" w:sz="0" w:space="0" w:color="auto"/>
      </w:divBdr>
    </w:div>
    <w:div w:id="144780543">
      <w:bodyDiv w:val="1"/>
      <w:marLeft w:val="0"/>
      <w:marRight w:val="0"/>
      <w:marTop w:val="0"/>
      <w:marBottom w:val="0"/>
      <w:divBdr>
        <w:top w:val="none" w:sz="0" w:space="0" w:color="auto"/>
        <w:left w:val="none" w:sz="0" w:space="0" w:color="auto"/>
        <w:bottom w:val="none" w:sz="0" w:space="0" w:color="auto"/>
        <w:right w:val="none" w:sz="0" w:space="0" w:color="auto"/>
      </w:divBdr>
    </w:div>
    <w:div w:id="146629716">
      <w:bodyDiv w:val="1"/>
      <w:marLeft w:val="0"/>
      <w:marRight w:val="0"/>
      <w:marTop w:val="0"/>
      <w:marBottom w:val="0"/>
      <w:divBdr>
        <w:top w:val="none" w:sz="0" w:space="0" w:color="auto"/>
        <w:left w:val="none" w:sz="0" w:space="0" w:color="auto"/>
        <w:bottom w:val="none" w:sz="0" w:space="0" w:color="auto"/>
        <w:right w:val="none" w:sz="0" w:space="0" w:color="auto"/>
      </w:divBdr>
    </w:div>
    <w:div w:id="161823401">
      <w:bodyDiv w:val="1"/>
      <w:marLeft w:val="0"/>
      <w:marRight w:val="0"/>
      <w:marTop w:val="0"/>
      <w:marBottom w:val="0"/>
      <w:divBdr>
        <w:top w:val="none" w:sz="0" w:space="0" w:color="auto"/>
        <w:left w:val="none" w:sz="0" w:space="0" w:color="auto"/>
        <w:bottom w:val="none" w:sz="0" w:space="0" w:color="auto"/>
        <w:right w:val="none" w:sz="0" w:space="0" w:color="auto"/>
      </w:divBdr>
    </w:div>
    <w:div w:id="170419442">
      <w:bodyDiv w:val="1"/>
      <w:marLeft w:val="0"/>
      <w:marRight w:val="0"/>
      <w:marTop w:val="0"/>
      <w:marBottom w:val="0"/>
      <w:divBdr>
        <w:top w:val="none" w:sz="0" w:space="0" w:color="auto"/>
        <w:left w:val="none" w:sz="0" w:space="0" w:color="auto"/>
        <w:bottom w:val="none" w:sz="0" w:space="0" w:color="auto"/>
        <w:right w:val="none" w:sz="0" w:space="0" w:color="auto"/>
      </w:divBdr>
    </w:div>
    <w:div w:id="172570039">
      <w:bodyDiv w:val="1"/>
      <w:marLeft w:val="0"/>
      <w:marRight w:val="0"/>
      <w:marTop w:val="0"/>
      <w:marBottom w:val="0"/>
      <w:divBdr>
        <w:top w:val="none" w:sz="0" w:space="0" w:color="auto"/>
        <w:left w:val="none" w:sz="0" w:space="0" w:color="auto"/>
        <w:bottom w:val="none" w:sz="0" w:space="0" w:color="auto"/>
        <w:right w:val="none" w:sz="0" w:space="0" w:color="auto"/>
      </w:divBdr>
    </w:div>
    <w:div w:id="230769782">
      <w:bodyDiv w:val="1"/>
      <w:marLeft w:val="0"/>
      <w:marRight w:val="0"/>
      <w:marTop w:val="0"/>
      <w:marBottom w:val="0"/>
      <w:divBdr>
        <w:top w:val="none" w:sz="0" w:space="0" w:color="auto"/>
        <w:left w:val="none" w:sz="0" w:space="0" w:color="auto"/>
        <w:bottom w:val="none" w:sz="0" w:space="0" w:color="auto"/>
        <w:right w:val="none" w:sz="0" w:space="0" w:color="auto"/>
      </w:divBdr>
    </w:div>
    <w:div w:id="251937083">
      <w:bodyDiv w:val="1"/>
      <w:marLeft w:val="0"/>
      <w:marRight w:val="0"/>
      <w:marTop w:val="0"/>
      <w:marBottom w:val="0"/>
      <w:divBdr>
        <w:top w:val="none" w:sz="0" w:space="0" w:color="auto"/>
        <w:left w:val="none" w:sz="0" w:space="0" w:color="auto"/>
        <w:bottom w:val="none" w:sz="0" w:space="0" w:color="auto"/>
        <w:right w:val="none" w:sz="0" w:space="0" w:color="auto"/>
      </w:divBdr>
    </w:div>
    <w:div w:id="258220463">
      <w:bodyDiv w:val="1"/>
      <w:marLeft w:val="0"/>
      <w:marRight w:val="0"/>
      <w:marTop w:val="0"/>
      <w:marBottom w:val="0"/>
      <w:divBdr>
        <w:top w:val="none" w:sz="0" w:space="0" w:color="auto"/>
        <w:left w:val="none" w:sz="0" w:space="0" w:color="auto"/>
        <w:bottom w:val="none" w:sz="0" w:space="0" w:color="auto"/>
        <w:right w:val="none" w:sz="0" w:space="0" w:color="auto"/>
      </w:divBdr>
    </w:div>
    <w:div w:id="263734906">
      <w:bodyDiv w:val="1"/>
      <w:marLeft w:val="0"/>
      <w:marRight w:val="0"/>
      <w:marTop w:val="0"/>
      <w:marBottom w:val="0"/>
      <w:divBdr>
        <w:top w:val="none" w:sz="0" w:space="0" w:color="auto"/>
        <w:left w:val="none" w:sz="0" w:space="0" w:color="auto"/>
        <w:bottom w:val="none" w:sz="0" w:space="0" w:color="auto"/>
        <w:right w:val="none" w:sz="0" w:space="0" w:color="auto"/>
      </w:divBdr>
    </w:div>
    <w:div w:id="302198510">
      <w:bodyDiv w:val="1"/>
      <w:marLeft w:val="0"/>
      <w:marRight w:val="0"/>
      <w:marTop w:val="0"/>
      <w:marBottom w:val="0"/>
      <w:divBdr>
        <w:top w:val="none" w:sz="0" w:space="0" w:color="auto"/>
        <w:left w:val="none" w:sz="0" w:space="0" w:color="auto"/>
        <w:bottom w:val="none" w:sz="0" w:space="0" w:color="auto"/>
        <w:right w:val="none" w:sz="0" w:space="0" w:color="auto"/>
      </w:divBdr>
    </w:div>
    <w:div w:id="352000930">
      <w:bodyDiv w:val="1"/>
      <w:marLeft w:val="0"/>
      <w:marRight w:val="0"/>
      <w:marTop w:val="0"/>
      <w:marBottom w:val="0"/>
      <w:divBdr>
        <w:top w:val="none" w:sz="0" w:space="0" w:color="auto"/>
        <w:left w:val="none" w:sz="0" w:space="0" w:color="auto"/>
        <w:bottom w:val="none" w:sz="0" w:space="0" w:color="auto"/>
        <w:right w:val="none" w:sz="0" w:space="0" w:color="auto"/>
      </w:divBdr>
    </w:div>
    <w:div w:id="354353186">
      <w:bodyDiv w:val="1"/>
      <w:marLeft w:val="0"/>
      <w:marRight w:val="0"/>
      <w:marTop w:val="0"/>
      <w:marBottom w:val="0"/>
      <w:divBdr>
        <w:top w:val="none" w:sz="0" w:space="0" w:color="auto"/>
        <w:left w:val="none" w:sz="0" w:space="0" w:color="auto"/>
        <w:bottom w:val="none" w:sz="0" w:space="0" w:color="auto"/>
        <w:right w:val="none" w:sz="0" w:space="0" w:color="auto"/>
      </w:divBdr>
    </w:div>
    <w:div w:id="361790386">
      <w:bodyDiv w:val="1"/>
      <w:marLeft w:val="0"/>
      <w:marRight w:val="0"/>
      <w:marTop w:val="0"/>
      <w:marBottom w:val="0"/>
      <w:divBdr>
        <w:top w:val="none" w:sz="0" w:space="0" w:color="auto"/>
        <w:left w:val="none" w:sz="0" w:space="0" w:color="auto"/>
        <w:bottom w:val="none" w:sz="0" w:space="0" w:color="auto"/>
        <w:right w:val="none" w:sz="0" w:space="0" w:color="auto"/>
      </w:divBdr>
    </w:div>
    <w:div w:id="367877917">
      <w:bodyDiv w:val="1"/>
      <w:marLeft w:val="0"/>
      <w:marRight w:val="0"/>
      <w:marTop w:val="0"/>
      <w:marBottom w:val="0"/>
      <w:divBdr>
        <w:top w:val="none" w:sz="0" w:space="0" w:color="auto"/>
        <w:left w:val="none" w:sz="0" w:space="0" w:color="auto"/>
        <w:bottom w:val="none" w:sz="0" w:space="0" w:color="auto"/>
        <w:right w:val="none" w:sz="0" w:space="0" w:color="auto"/>
      </w:divBdr>
    </w:div>
    <w:div w:id="380905164">
      <w:bodyDiv w:val="1"/>
      <w:marLeft w:val="0"/>
      <w:marRight w:val="0"/>
      <w:marTop w:val="0"/>
      <w:marBottom w:val="0"/>
      <w:divBdr>
        <w:top w:val="none" w:sz="0" w:space="0" w:color="auto"/>
        <w:left w:val="none" w:sz="0" w:space="0" w:color="auto"/>
        <w:bottom w:val="none" w:sz="0" w:space="0" w:color="auto"/>
        <w:right w:val="none" w:sz="0" w:space="0" w:color="auto"/>
      </w:divBdr>
    </w:div>
    <w:div w:id="381052452">
      <w:bodyDiv w:val="1"/>
      <w:marLeft w:val="0"/>
      <w:marRight w:val="0"/>
      <w:marTop w:val="0"/>
      <w:marBottom w:val="0"/>
      <w:divBdr>
        <w:top w:val="none" w:sz="0" w:space="0" w:color="auto"/>
        <w:left w:val="none" w:sz="0" w:space="0" w:color="auto"/>
        <w:bottom w:val="none" w:sz="0" w:space="0" w:color="auto"/>
        <w:right w:val="none" w:sz="0" w:space="0" w:color="auto"/>
      </w:divBdr>
    </w:div>
    <w:div w:id="427698571">
      <w:bodyDiv w:val="1"/>
      <w:marLeft w:val="0"/>
      <w:marRight w:val="0"/>
      <w:marTop w:val="0"/>
      <w:marBottom w:val="0"/>
      <w:divBdr>
        <w:top w:val="none" w:sz="0" w:space="0" w:color="auto"/>
        <w:left w:val="none" w:sz="0" w:space="0" w:color="auto"/>
        <w:bottom w:val="none" w:sz="0" w:space="0" w:color="auto"/>
        <w:right w:val="none" w:sz="0" w:space="0" w:color="auto"/>
      </w:divBdr>
    </w:div>
    <w:div w:id="449472512">
      <w:bodyDiv w:val="1"/>
      <w:marLeft w:val="0"/>
      <w:marRight w:val="0"/>
      <w:marTop w:val="0"/>
      <w:marBottom w:val="0"/>
      <w:divBdr>
        <w:top w:val="none" w:sz="0" w:space="0" w:color="auto"/>
        <w:left w:val="none" w:sz="0" w:space="0" w:color="auto"/>
        <w:bottom w:val="none" w:sz="0" w:space="0" w:color="auto"/>
        <w:right w:val="none" w:sz="0" w:space="0" w:color="auto"/>
      </w:divBdr>
    </w:div>
    <w:div w:id="642539164">
      <w:bodyDiv w:val="1"/>
      <w:marLeft w:val="0"/>
      <w:marRight w:val="0"/>
      <w:marTop w:val="0"/>
      <w:marBottom w:val="0"/>
      <w:divBdr>
        <w:top w:val="none" w:sz="0" w:space="0" w:color="auto"/>
        <w:left w:val="none" w:sz="0" w:space="0" w:color="auto"/>
        <w:bottom w:val="none" w:sz="0" w:space="0" w:color="auto"/>
        <w:right w:val="none" w:sz="0" w:space="0" w:color="auto"/>
      </w:divBdr>
    </w:div>
    <w:div w:id="697702338">
      <w:bodyDiv w:val="1"/>
      <w:marLeft w:val="0"/>
      <w:marRight w:val="0"/>
      <w:marTop w:val="0"/>
      <w:marBottom w:val="0"/>
      <w:divBdr>
        <w:top w:val="none" w:sz="0" w:space="0" w:color="auto"/>
        <w:left w:val="none" w:sz="0" w:space="0" w:color="auto"/>
        <w:bottom w:val="none" w:sz="0" w:space="0" w:color="auto"/>
        <w:right w:val="none" w:sz="0" w:space="0" w:color="auto"/>
      </w:divBdr>
    </w:div>
    <w:div w:id="700017239">
      <w:bodyDiv w:val="1"/>
      <w:marLeft w:val="0"/>
      <w:marRight w:val="0"/>
      <w:marTop w:val="0"/>
      <w:marBottom w:val="0"/>
      <w:divBdr>
        <w:top w:val="none" w:sz="0" w:space="0" w:color="auto"/>
        <w:left w:val="none" w:sz="0" w:space="0" w:color="auto"/>
        <w:bottom w:val="none" w:sz="0" w:space="0" w:color="auto"/>
        <w:right w:val="none" w:sz="0" w:space="0" w:color="auto"/>
      </w:divBdr>
    </w:div>
    <w:div w:id="705300457">
      <w:bodyDiv w:val="1"/>
      <w:marLeft w:val="0"/>
      <w:marRight w:val="0"/>
      <w:marTop w:val="0"/>
      <w:marBottom w:val="0"/>
      <w:divBdr>
        <w:top w:val="none" w:sz="0" w:space="0" w:color="auto"/>
        <w:left w:val="none" w:sz="0" w:space="0" w:color="auto"/>
        <w:bottom w:val="none" w:sz="0" w:space="0" w:color="auto"/>
        <w:right w:val="none" w:sz="0" w:space="0" w:color="auto"/>
      </w:divBdr>
    </w:div>
    <w:div w:id="707684414">
      <w:bodyDiv w:val="1"/>
      <w:marLeft w:val="0"/>
      <w:marRight w:val="0"/>
      <w:marTop w:val="0"/>
      <w:marBottom w:val="0"/>
      <w:divBdr>
        <w:top w:val="none" w:sz="0" w:space="0" w:color="auto"/>
        <w:left w:val="none" w:sz="0" w:space="0" w:color="auto"/>
        <w:bottom w:val="none" w:sz="0" w:space="0" w:color="auto"/>
        <w:right w:val="none" w:sz="0" w:space="0" w:color="auto"/>
      </w:divBdr>
    </w:div>
    <w:div w:id="783036941">
      <w:bodyDiv w:val="1"/>
      <w:marLeft w:val="0"/>
      <w:marRight w:val="0"/>
      <w:marTop w:val="0"/>
      <w:marBottom w:val="0"/>
      <w:divBdr>
        <w:top w:val="none" w:sz="0" w:space="0" w:color="auto"/>
        <w:left w:val="none" w:sz="0" w:space="0" w:color="auto"/>
        <w:bottom w:val="none" w:sz="0" w:space="0" w:color="auto"/>
        <w:right w:val="none" w:sz="0" w:space="0" w:color="auto"/>
      </w:divBdr>
    </w:div>
    <w:div w:id="797182144">
      <w:bodyDiv w:val="1"/>
      <w:marLeft w:val="0"/>
      <w:marRight w:val="0"/>
      <w:marTop w:val="0"/>
      <w:marBottom w:val="0"/>
      <w:divBdr>
        <w:top w:val="none" w:sz="0" w:space="0" w:color="auto"/>
        <w:left w:val="none" w:sz="0" w:space="0" w:color="auto"/>
        <w:bottom w:val="none" w:sz="0" w:space="0" w:color="auto"/>
        <w:right w:val="none" w:sz="0" w:space="0" w:color="auto"/>
      </w:divBdr>
    </w:div>
    <w:div w:id="803549771">
      <w:bodyDiv w:val="1"/>
      <w:marLeft w:val="0"/>
      <w:marRight w:val="0"/>
      <w:marTop w:val="0"/>
      <w:marBottom w:val="0"/>
      <w:divBdr>
        <w:top w:val="none" w:sz="0" w:space="0" w:color="auto"/>
        <w:left w:val="none" w:sz="0" w:space="0" w:color="auto"/>
        <w:bottom w:val="none" w:sz="0" w:space="0" w:color="auto"/>
        <w:right w:val="none" w:sz="0" w:space="0" w:color="auto"/>
      </w:divBdr>
    </w:div>
    <w:div w:id="883835045">
      <w:bodyDiv w:val="1"/>
      <w:marLeft w:val="0"/>
      <w:marRight w:val="0"/>
      <w:marTop w:val="0"/>
      <w:marBottom w:val="0"/>
      <w:divBdr>
        <w:top w:val="none" w:sz="0" w:space="0" w:color="auto"/>
        <w:left w:val="none" w:sz="0" w:space="0" w:color="auto"/>
        <w:bottom w:val="none" w:sz="0" w:space="0" w:color="auto"/>
        <w:right w:val="none" w:sz="0" w:space="0" w:color="auto"/>
      </w:divBdr>
    </w:div>
    <w:div w:id="895968351">
      <w:bodyDiv w:val="1"/>
      <w:marLeft w:val="0"/>
      <w:marRight w:val="0"/>
      <w:marTop w:val="0"/>
      <w:marBottom w:val="0"/>
      <w:divBdr>
        <w:top w:val="none" w:sz="0" w:space="0" w:color="auto"/>
        <w:left w:val="none" w:sz="0" w:space="0" w:color="auto"/>
        <w:bottom w:val="none" w:sz="0" w:space="0" w:color="auto"/>
        <w:right w:val="none" w:sz="0" w:space="0" w:color="auto"/>
      </w:divBdr>
    </w:div>
    <w:div w:id="962880849">
      <w:bodyDiv w:val="1"/>
      <w:marLeft w:val="0"/>
      <w:marRight w:val="0"/>
      <w:marTop w:val="0"/>
      <w:marBottom w:val="0"/>
      <w:divBdr>
        <w:top w:val="none" w:sz="0" w:space="0" w:color="auto"/>
        <w:left w:val="none" w:sz="0" w:space="0" w:color="auto"/>
        <w:bottom w:val="none" w:sz="0" w:space="0" w:color="auto"/>
        <w:right w:val="none" w:sz="0" w:space="0" w:color="auto"/>
      </w:divBdr>
    </w:div>
    <w:div w:id="988560726">
      <w:bodyDiv w:val="1"/>
      <w:marLeft w:val="0"/>
      <w:marRight w:val="0"/>
      <w:marTop w:val="0"/>
      <w:marBottom w:val="0"/>
      <w:divBdr>
        <w:top w:val="none" w:sz="0" w:space="0" w:color="auto"/>
        <w:left w:val="none" w:sz="0" w:space="0" w:color="auto"/>
        <w:bottom w:val="none" w:sz="0" w:space="0" w:color="auto"/>
        <w:right w:val="none" w:sz="0" w:space="0" w:color="auto"/>
      </w:divBdr>
    </w:div>
    <w:div w:id="1047218506">
      <w:bodyDiv w:val="1"/>
      <w:marLeft w:val="0"/>
      <w:marRight w:val="0"/>
      <w:marTop w:val="0"/>
      <w:marBottom w:val="0"/>
      <w:divBdr>
        <w:top w:val="none" w:sz="0" w:space="0" w:color="auto"/>
        <w:left w:val="none" w:sz="0" w:space="0" w:color="auto"/>
        <w:bottom w:val="none" w:sz="0" w:space="0" w:color="auto"/>
        <w:right w:val="none" w:sz="0" w:space="0" w:color="auto"/>
      </w:divBdr>
    </w:div>
    <w:div w:id="1166870647">
      <w:bodyDiv w:val="1"/>
      <w:marLeft w:val="0"/>
      <w:marRight w:val="0"/>
      <w:marTop w:val="0"/>
      <w:marBottom w:val="0"/>
      <w:divBdr>
        <w:top w:val="none" w:sz="0" w:space="0" w:color="auto"/>
        <w:left w:val="none" w:sz="0" w:space="0" w:color="auto"/>
        <w:bottom w:val="none" w:sz="0" w:space="0" w:color="auto"/>
        <w:right w:val="none" w:sz="0" w:space="0" w:color="auto"/>
      </w:divBdr>
      <w:divsChild>
        <w:div w:id="1197425566">
          <w:marLeft w:val="0"/>
          <w:marRight w:val="0"/>
          <w:marTop w:val="0"/>
          <w:marBottom w:val="0"/>
          <w:divBdr>
            <w:top w:val="none" w:sz="0" w:space="0" w:color="auto"/>
            <w:left w:val="none" w:sz="0" w:space="0" w:color="auto"/>
            <w:bottom w:val="none" w:sz="0" w:space="0" w:color="auto"/>
            <w:right w:val="none" w:sz="0" w:space="0" w:color="auto"/>
          </w:divBdr>
          <w:divsChild>
            <w:div w:id="319162477">
              <w:marLeft w:val="0"/>
              <w:marRight w:val="0"/>
              <w:marTop w:val="0"/>
              <w:marBottom w:val="0"/>
              <w:divBdr>
                <w:top w:val="none" w:sz="0" w:space="0" w:color="auto"/>
                <w:left w:val="none" w:sz="0" w:space="0" w:color="auto"/>
                <w:bottom w:val="none" w:sz="0" w:space="0" w:color="auto"/>
                <w:right w:val="none" w:sz="0" w:space="0" w:color="auto"/>
              </w:divBdr>
              <w:divsChild>
                <w:div w:id="4780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02622">
      <w:bodyDiv w:val="1"/>
      <w:marLeft w:val="0"/>
      <w:marRight w:val="0"/>
      <w:marTop w:val="0"/>
      <w:marBottom w:val="0"/>
      <w:divBdr>
        <w:top w:val="none" w:sz="0" w:space="0" w:color="auto"/>
        <w:left w:val="none" w:sz="0" w:space="0" w:color="auto"/>
        <w:bottom w:val="none" w:sz="0" w:space="0" w:color="auto"/>
        <w:right w:val="none" w:sz="0" w:space="0" w:color="auto"/>
      </w:divBdr>
      <w:divsChild>
        <w:div w:id="1517381040">
          <w:marLeft w:val="0"/>
          <w:marRight w:val="0"/>
          <w:marTop w:val="0"/>
          <w:marBottom w:val="0"/>
          <w:divBdr>
            <w:top w:val="none" w:sz="0" w:space="0" w:color="auto"/>
            <w:left w:val="none" w:sz="0" w:space="0" w:color="auto"/>
            <w:bottom w:val="none" w:sz="0" w:space="0" w:color="auto"/>
            <w:right w:val="none" w:sz="0" w:space="0" w:color="auto"/>
          </w:divBdr>
          <w:divsChild>
            <w:div w:id="1780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1074">
      <w:bodyDiv w:val="1"/>
      <w:marLeft w:val="0"/>
      <w:marRight w:val="0"/>
      <w:marTop w:val="0"/>
      <w:marBottom w:val="0"/>
      <w:divBdr>
        <w:top w:val="none" w:sz="0" w:space="0" w:color="auto"/>
        <w:left w:val="none" w:sz="0" w:space="0" w:color="auto"/>
        <w:bottom w:val="none" w:sz="0" w:space="0" w:color="auto"/>
        <w:right w:val="none" w:sz="0" w:space="0" w:color="auto"/>
      </w:divBdr>
    </w:div>
    <w:div w:id="1191987678">
      <w:bodyDiv w:val="1"/>
      <w:marLeft w:val="0"/>
      <w:marRight w:val="0"/>
      <w:marTop w:val="0"/>
      <w:marBottom w:val="0"/>
      <w:divBdr>
        <w:top w:val="none" w:sz="0" w:space="0" w:color="auto"/>
        <w:left w:val="none" w:sz="0" w:space="0" w:color="auto"/>
        <w:bottom w:val="none" w:sz="0" w:space="0" w:color="auto"/>
        <w:right w:val="none" w:sz="0" w:space="0" w:color="auto"/>
      </w:divBdr>
    </w:div>
    <w:div w:id="1215234627">
      <w:bodyDiv w:val="1"/>
      <w:marLeft w:val="0"/>
      <w:marRight w:val="0"/>
      <w:marTop w:val="0"/>
      <w:marBottom w:val="0"/>
      <w:divBdr>
        <w:top w:val="none" w:sz="0" w:space="0" w:color="auto"/>
        <w:left w:val="none" w:sz="0" w:space="0" w:color="auto"/>
        <w:bottom w:val="none" w:sz="0" w:space="0" w:color="auto"/>
        <w:right w:val="none" w:sz="0" w:space="0" w:color="auto"/>
      </w:divBdr>
    </w:div>
    <w:div w:id="1215895553">
      <w:bodyDiv w:val="1"/>
      <w:marLeft w:val="0"/>
      <w:marRight w:val="0"/>
      <w:marTop w:val="0"/>
      <w:marBottom w:val="0"/>
      <w:divBdr>
        <w:top w:val="none" w:sz="0" w:space="0" w:color="auto"/>
        <w:left w:val="none" w:sz="0" w:space="0" w:color="auto"/>
        <w:bottom w:val="none" w:sz="0" w:space="0" w:color="auto"/>
        <w:right w:val="none" w:sz="0" w:space="0" w:color="auto"/>
      </w:divBdr>
    </w:div>
    <w:div w:id="1229656472">
      <w:bodyDiv w:val="1"/>
      <w:marLeft w:val="0"/>
      <w:marRight w:val="0"/>
      <w:marTop w:val="0"/>
      <w:marBottom w:val="0"/>
      <w:divBdr>
        <w:top w:val="none" w:sz="0" w:space="0" w:color="auto"/>
        <w:left w:val="none" w:sz="0" w:space="0" w:color="auto"/>
        <w:bottom w:val="none" w:sz="0" w:space="0" w:color="auto"/>
        <w:right w:val="none" w:sz="0" w:space="0" w:color="auto"/>
      </w:divBdr>
    </w:div>
    <w:div w:id="1278565576">
      <w:bodyDiv w:val="1"/>
      <w:marLeft w:val="0"/>
      <w:marRight w:val="0"/>
      <w:marTop w:val="0"/>
      <w:marBottom w:val="0"/>
      <w:divBdr>
        <w:top w:val="none" w:sz="0" w:space="0" w:color="auto"/>
        <w:left w:val="none" w:sz="0" w:space="0" w:color="auto"/>
        <w:bottom w:val="none" w:sz="0" w:space="0" w:color="auto"/>
        <w:right w:val="none" w:sz="0" w:space="0" w:color="auto"/>
      </w:divBdr>
    </w:div>
    <w:div w:id="1289629196">
      <w:bodyDiv w:val="1"/>
      <w:marLeft w:val="0"/>
      <w:marRight w:val="0"/>
      <w:marTop w:val="0"/>
      <w:marBottom w:val="0"/>
      <w:divBdr>
        <w:top w:val="none" w:sz="0" w:space="0" w:color="auto"/>
        <w:left w:val="none" w:sz="0" w:space="0" w:color="auto"/>
        <w:bottom w:val="none" w:sz="0" w:space="0" w:color="auto"/>
        <w:right w:val="none" w:sz="0" w:space="0" w:color="auto"/>
      </w:divBdr>
    </w:div>
    <w:div w:id="1296181019">
      <w:bodyDiv w:val="1"/>
      <w:marLeft w:val="0"/>
      <w:marRight w:val="0"/>
      <w:marTop w:val="0"/>
      <w:marBottom w:val="0"/>
      <w:divBdr>
        <w:top w:val="none" w:sz="0" w:space="0" w:color="auto"/>
        <w:left w:val="none" w:sz="0" w:space="0" w:color="auto"/>
        <w:bottom w:val="none" w:sz="0" w:space="0" w:color="auto"/>
        <w:right w:val="none" w:sz="0" w:space="0" w:color="auto"/>
      </w:divBdr>
    </w:div>
    <w:div w:id="1297561529">
      <w:bodyDiv w:val="1"/>
      <w:marLeft w:val="0"/>
      <w:marRight w:val="0"/>
      <w:marTop w:val="0"/>
      <w:marBottom w:val="0"/>
      <w:divBdr>
        <w:top w:val="none" w:sz="0" w:space="0" w:color="auto"/>
        <w:left w:val="none" w:sz="0" w:space="0" w:color="auto"/>
        <w:bottom w:val="none" w:sz="0" w:space="0" w:color="auto"/>
        <w:right w:val="none" w:sz="0" w:space="0" w:color="auto"/>
      </w:divBdr>
    </w:div>
    <w:div w:id="1306819201">
      <w:bodyDiv w:val="1"/>
      <w:marLeft w:val="0"/>
      <w:marRight w:val="0"/>
      <w:marTop w:val="0"/>
      <w:marBottom w:val="0"/>
      <w:divBdr>
        <w:top w:val="none" w:sz="0" w:space="0" w:color="auto"/>
        <w:left w:val="none" w:sz="0" w:space="0" w:color="auto"/>
        <w:bottom w:val="none" w:sz="0" w:space="0" w:color="auto"/>
        <w:right w:val="none" w:sz="0" w:space="0" w:color="auto"/>
      </w:divBdr>
    </w:div>
    <w:div w:id="1331983426">
      <w:bodyDiv w:val="1"/>
      <w:marLeft w:val="0"/>
      <w:marRight w:val="0"/>
      <w:marTop w:val="0"/>
      <w:marBottom w:val="0"/>
      <w:divBdr>
        <w:top w:val="none" w:sz="0" w:space="0" w:color="auto"/>
        <w:left w:val="none" w:sz="0" w:space="0" w:color="auto"/>
        <w:bottom w:val="none" w:sz="0" w:space="0" w:color="auto"/>
        <w:right w:val="none" w:sz="0" w:space="0" w:color="auto"/>
      </w:divBdr>
    </w:div>
    <w:div w:id="1424834332">
      <w:bodyDiv w:val="1"/>
      <w:marLeft w:val="0"/>
      <w:marRight w:val="0"/>
      <w:marTop w:val="0"/>
      <w:marBottom w:val="0"/>
      <w:divBdr>
        <w:top w:val="none" w:sz="0" w:space="0" w:color="auto"/>
        <w:left w:val="none" w:sz="0" w:space="0" w:color="auto"/>
        <w:bottom w:val="none" w:sz="0" w:space="0" w:color="auto"/>
        <w:right w:val="none" w:sz="0" w:space="0" w:color="auto"/>
      </w:divBdr>
    </w:div>
    <w:div w:id="1431271280">
      <w:bodyDiv w:val="1"/>
      <w:marLeft w:val="0"/>
      <w:marRight w:val="0"/>
      <w:marTop w:val="0"/>
      <w:marBottom w:val="0"/>
      <w:divBdr>
        <w:top w:val="none" w:sz="0" w:space="0" w:color="auto"/>
        <w:left w:val="none" w:sz="0" w:space="0" w:color="auto"/>
        <w:bottom w:val="none" w:sz="0" w:space="0" w:color="auto"/>
        <w:right w:val="none" w:sz="0" w:space="0" w:color="auto"/>
      </w:divBdr>
    </w:div>
    <w:div w:id="1445613035">
      <w:bodyDiv w:val="1"/>
      <w:marLeft w:val="0"/>
      <w:marRight w:val="0"/>
      <w:marTop w:val="0"/>
      <w:marBottom w:val="0"/>
      <w:divBdr>
        <w:top w:val="none" w:sz="0" w:space="0" w:color="auto"/>
        <w:left w:val="none" w:sz="0" w:space="0" w:color="auto"/>
        <w:bottom w:val="none" w:sz="0" w:space="0" w:color="auto"/>
        <w:right w:val="none" w:sz="0" w:space="0" w:color="auto"/>
      </w:divBdr>
    </w:div>
    <w:div w:id="1465656486">
      <w:bodyDiv w:val="1"/>
      <w:marLeft w:val="0"/>
      <w:marRight w:val="0"/>
      <w:marTop w:val="0"/>
      <w:marBottom w:val="0"/>
      <w:divBdr>
        <w:top w:val="none" w:sz="0" w:space="0" w:color="auto"/>
        <w:left w:val="none" w:sz="0" w:space="0" w:color="auto"/>
        <w:bottom w:val="none" w:sz="0" w:space="0" w:color="auto"/>
        <w:right w:val="none" w:sz="0" w:space="0" w:color="auto"/>
      </w:divBdr>
    </w:div>
    <w:div w:id="1475760442">
      <w:bodyDiv w:val="1"/>
      <w:marLeft w:val="0"/>
      <w:marRight w:val="0"/>
      <w:marTop w:val="0"/>
      <w:marBottom w:val="0"/>
      <w:divBdr>
        <w:top w:val="none" w:sz="0" w:space="0" w:color="auto"/>
        <w:left w:val="none" w:sz="0" w:space="0" w:color="auto"/>
        <w:bottom w:val="none" w:sz="0" w:space="0" w:color="auto"/>
        <w:right w:val="none" w:sz="0" w:space="0" w:color="auto"/>
      </w:divBdr>
    </w:div>
    <w:div w:id="1482384682">
      <w:bodyDiv w:val="1"/>
      <w:marLeft w:val="0"/>
      <w:marRight w:val="0"/>
      <w:marTop w:val="0"/>
      <w:marBottom w:val="0"/>
      <w:divBdr>
        <w:top w:val="none" w:sz="0" w:space="0" w:color="auto"/>
        <w:left w:val="none" w:sz="0" w:space="0" w:color="auto"/>
        <w:bottom w:val="none" w:sz="0" w:space="0" w:color="auto"/>
        <w:right w:val="none" w:sz="0" w:space="0" w:color="auto"/>
      </w:divBdr>
    </w:div>
    <w:div w:id="1485122562">
      <w:bodyDiv w:val="1"/>
      <w:marLeft w:val="0"/>
      <w:marRight w:val="0"/>
      <w:marTop w:val="0"/>
      <w:marBottom w:val="0"/>
      <w:divBdr>
        <w:top w:val="none" w:sz="0" w:space="0" w:color="auto"/>
        <w:left w:val="none" w:sz="0" w:space="0" w:color="auto"/>
        <w:bottom w:val="none" w:sz="0" w:space="0" w:color="auto"/>
        <w:right w:val="none" w:sz="0" w:space="0" w:color="auto"/>
      </w:divBdr>
    </w:div>
    <w:div w:id="1498837865">
      <w:bodyDiv w:val="1"/>
      <w:marLeft w:val="0"/>
      <w:marRight w:val="0"/>
      <w:marTop w:val="0"/>
      <w:marBottom w:val="0"/>
      <w:divBdr>
        <w:top w:val="none" w:sz="0" w:space="0" w:color="auto"/>
        <w:left w:val="none" w:sz="0" w:space="0" w:color="auto"/>
        <w:bottom w:val="none" w:sz="0" w:space="0" w:color="auto"/>
        <w:right w:val="none" w:sz="0" w:space="0" w:color="auto"/>
      </w:divBdr>
    </w:div>
    <w:div w:id="1498888538">
      <w:bodyDiv w:val="1"/>
      <w:marLeft w:val="0"/>
      <w:marRight w:val="0"/>
      <w:marTop w:val="0"/>
      <w:marBottom w:val="0"/>
      <w:divBdr>
        <w:top w:val="none" w:sz="0" w:space="0" w:color="auto"/>
        <w:left w:val="none" w:sz="0" w:space="0" w:color="auto"/>
        <w:bottom w:val="none" w:sz="0" w:space="0" w:color="auto"/>
        <w:right w:val="none" w:sz="0" w:space="0" w:color="auto"/>
      </w:divBdr>
    </w:div>
    <w:div w:id="1545487842">
      <w:bodyDiv w:val="1"/>
      <w:marLeft w:val="0"/>
      <w:marRight w:val="0"/>
      <w:marTop w:val="0"/>
      <w:marBottom w:val="0"/>
      <w:divBdr>
        <w:top w:val="none" w:sz="0" w:space="0" w:color="auto"/>
        <w:left w:val="none" w:sz="0" w:space="0" w:color="auto"/>
        <w:bottom w:val="none" w:sz="0" w:space="0" w:color="auto"/>
        <w:right w:val="none" w:sz="0" w:space="0" w:color="auto"/>
      </w:divBdr>
    </w:div>
    <w:div w:id="1550799911">
      <w:bodyDiv w:val="1"/>
      <w:marLeft w:val="0"/>
      <w:marRight w:val="0"/>
      <w:marTop w:val="0"/>
      <w:marBottom w:val="0"/>
      <w:divBdr>
        <w:top w:val="none" w:sz="0" w:space="0" w:color="auto"/>
        <w:left w:val="none" w:sz="0" w:space="0" w:color="auto"/>
        <w:bottom w:val="none" w:sz="0" w:space="0" w:color="auto"/>
        <w:right w:val="none" w:sz="0" w:space="0" w:color="auto"/>
      </w:divBdr>
    </w:div>
    <w:div w:id="1561596928">
      <w:bodyDiv w:val="1"/>
      <w:marLeft w:val="0"/>
      <w:marRight w:val="0"/>
      <w:marTop w:val="0"/>
      <w:marBottom w:val="0"/>
      <w:divBdr>
        <w:top w:val="none" w:sz="0" w:space="0" w:color="auto"/>
        <w:left w:val="none" w:sz="0" w:space="0" w:color="auto"/>
        <w:bottom w:val="none" w:sz="0" w:space="0" w:color="auto"/>
        <w:right w:val="none" w:sz="0" w:space="0" w:color="auto"/>
      </w:divBdr>
    </w:div>
    <w:div w:id="1601059119">
      <w:bodyDiv w:val="1"/>
      <w:marLeft w:val="0"/>
      <w:marRight w:val="0"/>
      <w:marTop w:val="0"/>
      <w:marBottom w:val="0"/>
      <w:divBdr>
        <w:top w:val="none" w:sz="0" w:space="0" w:color="auto"/>
        <w:left w:val="none" w:sz="0" w:space="0" w:color="auto"/>
        <w:bottom w:val="none" w:sz="0" w:space="0" w:color="auto"/>
        <w:right w:val="none" w:sz="0" w:space="0" w:color="auto"/>
      </w:divBdr>
    </w:div>
    <w:div w:id="1629896554">
      <w:bodyDiv w:val="1"/>
      <w:marLeft w:val="0"/>
      <w:marRight w:val="0"/>
      <w:marTop w:val="0"/>
      <w:marBottom w:val="0"/>
      <w:divBdr>
        <w:top w:val="none" w:sz="0" w:space="0" w:color="auto"/>
        <w:left w:val="none" w:sz="0" w:space="0" w:color="auto"/>
        <w:bottom w:val="none" w:sz="0" w:space="0" w:color="auto"/>
        <w:right w:val="none" w:sz="0" w:space="0" w:color="auto"/>
      </w:divBdr>
    </w:div>
    <w:div w:id="1687826205">
      <w:bodyDiv w:val="1"/>
      <w:marLeft w:val="0"/>
      <w:marRight w:val="0"/>
      <w:marTop w:val="0"/>
      <w:marBottom w:val="0"/>
      <w:divBdr>
        <w:top w:val="none" w:sz="0" w:space="0" w:color="auto"/>
        <w:left w:val="none" w:sz="0" w:space="0" w:color="auto"/>
        <w:bottom w:val="none" w:sz="0" w:space="0" w:color="auto"/>
        <w:right w:val="none" w:sz="0" w:space="0" w:color="auto"/>
      </w:divBdr>
    </w:div>
    <w:div w:id="1693649028">
      <w:bodyDiv w:val="1"/>
      <w:marLeft w:val="0"/>
      <w:marRight w:val="0"/>
      <w:marTop w:val="0"/>
      <w:marBottom w:val="0"/>
      <w:divBdr>
        <w:top w:val="none" w:sz="0" w:space="0" w:color="auto"/>
        <w:left w:val="none" w:sz="0" w:space="0" w:color="auto"/>
        <w:bottom w:val="none" w:sz="0" w:space="0" w:color="auto"/>
        <w:right w:val="none" w:sz="0" w:space="0" w:color="auto"/>
      </w:divBdr>
    </w:div>
    <w:div w:id="1715537719">
      <w:bodyDiv w:val="1"/>
      <w:marLeft w:val="0"/>
      <w:marRight w:val="0"/>
      <w:marTop w:val="0"/>
      <w:marBottom w:val="0"/>
      <w:divBdr>
        <w:top w:val="none" w:sz="0" w:space="0" w:color="auto"/>
        <w:left w:val="none" w:sz="0" w:space="0" w:color="auto"/>
        <w:bottom w:val="none" w:sz="0" w:space="0" w:color="auto"/>
        <w:right w:val="none" w:sz="0" w:space="0" w:color="auto"/>
      </w:divBdr>
    </w:div>
    <w:div w:id="1725833797">
      <w:bodyDiv w:val="1"/>
      <w:marLeft w:val="0"/>
      <w:marRight w:val="0"/>
      <w:marTop w:val="0"/>
      <w:marBottom w:val="0"/>
      <w:divBdr>
        <w:top w:val="none" w:sz="0" w:space="0" w:color="auto"/>
        <w:left w:val="none" w:sz="0" w:space="0" w:color="auto"/>
        <w:bottom w:val="none" w:sz="0" w:space="0" w:color="auto"/>
        <w:right w:val="none" w:sz="0" w:space="0" w:color="auto"/>
      </w:divBdr>
    </w:div>
    <w:div w:id="1810438150">
      <w:bodyDiv w:val="1"/>
      <w:marLeft w:val="0"/>
      <w:marRight w:val="0"/>
      <w:marTop w:val="0"/>
      <w:marBottom w:val="0"/>
      <w:divBdr>
        <w:top w:val="none" w:sz="0" w:space="0" w:color="auto"/>
        <w:left w:val="none" w:sz="0" w:space="0" w:color="auto"/>
        <w:bottom w:val="none" w:sz="0" w:space="0" w:color="auto"/>
        <w:right w:val="none" w:sz="0" w:space="0" w:color="auto"/>
      </w:divBdr>
    </w:div>
    <w:div w:id="1816413424">
      <w:bodyDiv w:val="1"/>
      <w:marLeft w:val="0"/>
      <w:marRight w:val="0"/>
      <w:marTop w:val="0"/>
      <w:marBottom w:val="0"/>
      <w:divBdr>
        <w:top w:val="none" w:sz="0" w:space="0" w:color="auto"/>
        <w:left w:val="none" w:sz="0" w:space="0" w:color="auto"/>
        <w:bottom w:val="none" w:sz="0" w:space="0" w:color="auto"/>
        <w:right w:val="none" w:sz="0" w:space="0" w:color="auto"/>
      </w:divBdr>
    </w:div>
    <w:div w:id="1897084572">
      <w:bodyDiv w:val="1"/>
      <w:marLeft w:val="0"/>
      <w:marRight w:val="0"/>
      <w:marTop w:val="0"/>
      <w:marBottom w:val="0"/>
      <w:divBdr>
        <w:top w:val="none" w:sz="0" w:space="0" w:color="auto"/>
        <w:left w:val="none" w:sz="0" w:space="0" w:color="auto"/>
        <w:bottom w:val="none" w:sz="0" w:space="0" w:color="auto"/>
        <w:right w:val="none" w:sz="0" w:space="0" w:color="auto"/>
      </w:divBdr>
    </w:div>
    <w:div w:id="1923637665">
      <w:bodyDiv w:val="1"/>
      <w:marLeft w:val="0"/>
      <w:marRight w:val="0"/>
      <w:marTop w:val="0"/>
      <w:marBottom w:val="0"/>
      <w:divBdr>
        <w:top w:val="none" w:sz="0" w:space="0" w:color="auto"/>
        <w:left w:val="none" w:sz="0" w:space="0" w:color="auto"/>
        <w:bottom w:val="none" w:sz="0" w:space="0" w:color="auto"/>
        <w:right w:val="none" w:sz="0" w:space="0" w:color="auto"/>
      </w:divBdr>
    </w:div>
    <w:div w:id="1961449543">
      <w:bodyDiv w:val="1"/>
      <w:marLeft w:val="0"/>
      <w:marRight w:val="0"/>
      <w:marTop w:val="0"/>
      <w:marBottom w:val="0"/>
      <w:divBdr>
        <w:top w:val="none" w:sz="0" w:space="0" w:color="auto"/>
        <w:left w:val="none" w:sz="0" w:space="0" w:color="auto"/>
        <w:bottom w:val="none" w:sz="0" w:space="0" w:color="auto"/>
        <w:right w:val="none" w:sz="0" w:space="0" w:color="auto"/>
      </w:divBdr>
    </w:div>
    <w:div w:id="1972981541">
      <w:bodyDiv w:val="1"/>
      <w:marLeft w:val="0"/>
      <w:marRight w:val="0"/>
      <w:marTop w:val="0"/>
      <w:marBottom w:val="0"/>
      <w:divBdr>
        <w:top w:val="none" w:sz="0" w:space="0" w:color="auto"/>
        <w:left w:val="none" w:sz="0" w:space="0" w:color="auto"/>
        <w:bottom w:val="none" w:sz="0" w:space="0" w:color="auto"/>
        <w:right w:val="none" w:sz="0" w:space="0" w:color="auto"/>
      </w:divBdr>
    </w:div>
    <w:div w:id="1978298225">
      <w:bodyDiv w:val="1"/>
      <w:marLeft w:val="0"/>
      <w:marRight w:val="0"/>
      <w:marTop w:val="0"/>
      <w:marBottom w:val="0"/>
      <w:divBdr>
        <w:top w:val="none" w:sz="0" w:space="0" w:color="auto"/>
        <w:left w:val="none" w:sz="0" w:space="0" w:color="auto"/>
        <w:bottom w:val="none" w:sz="0" w:space="0" w:color="auto"/>
        <w:right w:val="none" w:sz="0" w:space="0" w:color="auto"/>
      </w:divBdr>
    </w:div>
    <w:div w:id="1981686913">
      <w:bodyDiv w:val="1"/>
      <w:marLeft w:val="0"/>
      <w:marRight w:val="0"/>
      <w:marTop w:val="0"/>
      <w:marBottom w:val="0"/>
      <w:divBdr>
        <w:top w:val="none" w:sz="0" w:space="0" w:color="auto"/>
        <w:left w:val="none" w:sz="0" w:space="0" w:color="auto"/>
        <w:bottom w:val="none" w:sz="0" w:space="0" w:color="auto"/>
        <w:right w:val="none" w:sz="0" w:space="0" w:color="auto"/>
      </w:divBdr>
    </w:div>
    <w:div w:id="1981837707">
      <w:bodyDiv w:val="1"/>
      <w:marLeft w:val="0"/>
      <w:marRight w:val="0"/>
      <w:marTop w:val="0"/>
      <w:marBottom w:val="0"/>
      <w:divBdr>
        <w:top w:val="none" w:sz="0" w:space="0" w:color="auto"/>
        <w:left w:val="none" w:sz="0" w:space="0" w:color="auto"/>
        <w:bottom w:val="none" w:sz="0" w:space="0" w:color="auto"/>
        <w:right w:val="none" w:sz="0" w:space="0" w:color="auto"/>
      </w:divBdr>
    </w:div>
    <w:div w:id="2090762236">
      <w:bodyDiv w:val="1"/>
      <w:marLeft w:val="0"/>
      <w:marRight w:val="0"/>
      <w:marTop w:val="0"/>
      <w:marBottom w:val="0"/>
      <w:divBdr>
        <w:top w:val="none" w:sz="0" w:space="0" w:color="auto"/>
        <w:left w:val="none" w:sz="0" w:space="0" w:color="auto"/>
        <w:bottom w:val="none" w:sz="0" w:space="0" w:color="auto"/>
        <w:right w:val="none" w:sz="0" w:space="0" w:color="auto"/>
      </w:divBdr>
    </w:div>
    <w:div w:id="2100325624">
      <w:bodyDiv w:val="1"/>
      <w:marLeft w:val="0"/>
      <w:marRight w:val="0"/>
      <w:marTop w:val="0"/>
      <w:marBottom w:val="0"/>
      <w:divBdr>
        <w:top w:val="none" w:sz="0" w:space="0" w:color="auto"/>
        <w:left w:val="none" w:sz="0" w:space="0" w:color="auto"/>
        <w:bottom w:val="none" w:sz="0" w:space="0" w:color="auto"/>
        <w:right w:val="none" w:sz="0" w:space="0" w:color="auto"/>
      </w:divBdr>
    </w:div>
    <w:div w:id="2117208286">
      <w:bodyDiv w:val="1"/>
      <w:marLeft w:val="0"/>
      <w:marRight w:val="0"/>
      <w:marTop w:val="0"/>
      <w:marBottom w:val="0"/>
      <w:divBdr>
        <w:top w:val="none" w:sz="0" w:space="0" w:color="auto"/>
        <w:left w:val="none" w:sz="0" w:space="0" w:color="auto"/>
        <w:bottom w:val="none" w:sz="0" w:space="0" w:color="auto"/>
        <w:right w:val="none" w:sz="0" w:space="0" w:color="auto"/>
      </w:divBdr>
    </w:div>
    <w:div w:id="21174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s://eur-lex.europa.eu/budget/www/index-bg.htm" TargetMode="External"/><Relationship Id="rId23" Type="http://schemas.openxmlformats.org/officeDocument/2006/relationships/header" Target="header8.xml"/><Relationship Id="rId28" Type="http://schemas.openxmlformats.org/officeDocument/2006/relationships/hyperlink" Target="file:///C:\Users\SZYMAMA\AppData\Local\Microsoft\Windows\INetCache\Content.MSO\ADC3D516.xlsx"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1341-BB1F-4DC7-B0E6-D90CAB53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14015</Words>
  <Characters>76104</Characters>
  <Application>Microsoft Office Word</Application>
  <DocSecurity>0</DocSecurity>
  <Lines>2818</Lines>
  <Paragraphs>1553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2020-11-11T16:51:00Z</dcterms:created>
  <dcterms:modified xsi:type="dcterms:W3CDTF">2020-11-16T13:10:00Z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CP-035</vt:lpwstr>
  </property>
</Properties>
</file>