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71741A0-A8EE-4629-8B16-A8C2B186D36C" style="width:450.8pt;height: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rPr>
        <w:lastRenderedPageBreak/>
        <w:t>1.</w:t>
      </w:r>
      <w:r>
        <w:rPr>
          <w:noProof/>
        </w:rPr>
        <w:tab/>
        <w:t xml:space="preserve">НЕОБХОДИМОСТТА ОТ ПОДСИЛЕНА РАМКА НА ЕС ЗА ЗДРАВНА СИГУРНОСТ </w:t>
      </w:r>
    </w:p>
    <w:p>
      <w:pPr>
        <w:jc w:val="both"/>
        <w:rPr>
          <w:rFonts w:ascii="Times New Roman" w:hAnsi="Times New Roman" w:cs="Times New Roman"/>
          <w:noProof/>
          <w:sz w:val="24"/>
          <w:szCs w:val="24"/>
        </w:rPr>
      </w:pPr>
      <w:r>
        <w:rPr>
          <w:rFonts w:ascii="Times New Roman" w:hAnsi="Times New Roman"/>
          <w:noProof/>
          <w:sz w:val="24"/>
          <w:szCs w:val="24"/>
        </w:rPr>
        <w:t xml:space="preserve">Здравето е необходима предпоставка за функционирането на обществото и икономиката ни. Пандемията от COVID-19 причинява огромно човешко страдание, като подлага здравните системи и здравните работници на изпитание до границите на възможностите им. </w:t>
      </w:r>
      <w:r>
        <w:rPr>
          <w:rFonts w:ascii="Times New Roman" w:hAnsi="Times New Roman"/>
          <w:noProof/>
          <w:sz w:val="24"/>
        </w:rPr>
        <w:t xml:space="preserve">Към началото на ноември 2020 г. над 50 милиона души в целия свят са заразени с коронавирус. </w:t>
      </w:r>
      <w:r>
        <w:rPr>
          <w:rFonts w:ascii="Times New Roman" w:hAnsi="Times New Roman"/>
          <w:noProof/>
          <w:sz w:val="24"/>
          <w:szCs w:val="24"/>
        </w:rPr>
        <w:t>Над 12 милиона, или 25 % от тях, са хора, живеещи в Европа. В ЕС/ЕИП и Обединеното кралство COVID-19 е отнел живота на близо 250 000 души</w:t>
      </w:r>
      <w:r>
        <w:rPr>
          <w:noProof/>
          <w:vertAlign w:val="superscript"/>
        </w:rPr>
        <w:footnoteReference w:id="2"/>
      </w:r>
      <w:r>
        <w:rPr>
          <w:rFonts w:ascii="Times New Roman" w:hAnsi="Times New Roman"/>
          <w:noProof/>
          <w:sz w:val="24"/>
          <w:szCs w:val="24"/>
        </w:rPr>
        <w:t>. Мерките, необходими за овладяване на пандемията и спасяване на човешки животи, оказват огромно въздействие върху поминъка на хората, работата им и свободите им.</w:t>
      </w:r>
    </w:p>
    <w:p>
      <w:pPr>
        <w:jc w:val="both"/>
        <w:rPr>
          <w:rFonts w:ascii="Times New Roman" w:hAnsi="Times New Roman" w:cs="Times New Roman"/>
          <w:noProof/>
          <w:sz w:val="24"/>
          <w:szCs w:val="24"/>
        </w:rPr>
      </w:pPr>
      <w:r>
        <w:rPr>
          <w:rFonts w:ascii="Times New Roman" w:hAnsi="Times New Roman"/>
          <w:noProof/>
          <w:sz w:val="24"/>
          <w:szCs w:val="24"/>
        </w:rPr>
        <w:t>По време на първите дни от избухването на COVID-19 в Европа държавите членки предприеха едностранни мерки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за да защитят собственото си население. Тези некоординирани мерки обаче не бяха ефективни за справяне с вируса. Повторното въвеждане на контрол на вътрешните граници например доведе до смущения в мобилността и ежедневието на милиони граждани, живеещи и работещи в гранични региони. То прекъсна жизненоважни вериги на доставки и възпрепятства потока на основни стоки и услуги на вътрешния пазар. </w:t>
      </w:r>
    </w:p>
    <w:p>
      <w:pPr>
        <w:jc w:val="both"/>
        <w:rPr>
          <w:rFonts w:ascii="Times New Roman" w:hAnsi="Times New Roman" w:cs="Times New Roman"/>
          <w:noProof/>
          <w:sz w:val="24"/>
          <w:szCs w:val="24"/>
        </w:rPr>
      </w:pPr>
      <w:r>
        <w:rPr>
          <w:rFonts w:ascii="Times New Roman" w:hAnsi="Times New Roman"/>
          <w:noProof/>
          <w:sz w:val="24"/>
          <w:szCs w:val="24"/>
        </w:rPr>
        <w:t>Европейските граждани показват все по-ясно, че очакват от ЕС да играе по-активна роля в защитата на тяхното здраве, и особено в защитата от заплахи за здравето, които надхвърлят националните граници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Чрез координирането и когато е необходимо, обединяването на усилията на европейско равнище, ще се отговори по по-ефективен начин на очакванията на европейските граждани в област, която постоянно е сред въпросите от първостепенна важност за тях. Трябва да откликнем на този призив още сега, а и да го вземем предвид в нашите дискусии относно бъдещето на Европа. Необходимо е и да се обърне внимание на риска от масов скептицизъм по отношение на здравните мерки, който отчасти се дължи на нарастването на количеството невярна информация и дезинформация по здравните въпроси. Здравето е необходима предпоставка за динамична икономика, насърчаваща растежа, иновациите и инвестициите.</w:t>
      </w:r>
    </w:p>
    <w:p>
      <w:pPr>
        <w:jc w:val="both"/>
        <w:rPr>
          <w:rFonts w:ascii="Times New Roman" w:hAnsi="Times New Roman" w:cs="Times New Roman"/>
          <w:noProof/>
          <w:sz w:val="24"/>
          <w:szCs w:val="24"/>
        </w:rPr>
      </w:pPr>
      <w:r>
        <w:rPr>
          <w:rFonts w:ascii="Times New Roman" w:hAnsi="Times New Roman"/>
          <w:noProof/>
          <w:sz w:val="24"/>
          <w:szCs w:val="24"/>
        </w:rPr>
        <w:t xml:space="preserve">От началото на пандемията солидарността се проявява реално и осезаемо. Здравните работници бяха в челните редици и работеха денем и нощем, полагайки грижи за пациентите с COVID-19, социалните работници продължиха да изпълняват крайно необходимите задачи в подкрепа на най-уязвимите лица, включително възрастните хора и хората с увреждания. Често тези работници от първостепенно значение изпълняваха задачите си в условията на недостиг на персонал, ограничена информация </w:t>
      </w:r>
      <w:r>
        <w:rPr>
          <w:rFonts w:ascii="Times New Roman" w:hAnsi="Times New Roman"/>
          <w:noProof/>
          <w:sz w:val="24"/>
          <w:szCs w:val="24"/>
        </w:rPr>
        <w:lastRenderedPageBreak/>
        <w:t>относно готовността и недостатъчно лични предпазни средства, което доведе до прекомерно излагане на вируса.</w:t>
      </w:r>
    </w:p>
    <w:p>
      <w:pPr>
        <w:jc w:val="both"/>
        <w:rPr>
          <w:rFonts w:ascii="Times New Roman" w:hAnsi="Times New Roman" w:cs="Times New Roman"/>
          <w:noProof/>
          <w:sz w:val="24"/>
          <w:szCs w:val="24"/>
        </w:rPr>
      </w:pPr>
      <w:r>
        <w:rPr>
          <w:rFonts w:ascii="Times New Roman" w:hAnsi="Times New Roman"/>
          <w:noProof/>
          <w:sz w:val="24"/>
          <w:szCs w:val="24"/>
        </w:rPr>
        <w:t>Солидарността вдъхнови също така ответните действия на ЕС: с разрастването на пандемията държавите — членки на ЕС, преминаха от едностранни мерки, като например ограничения на износа или повторно въвеждане на контрол на вътрешните граници, към взаимна подкрепа чрез приемане на пациенти с COVID-19 от съседни държави или чрез изпращане на здравни специалисти и ключово медицинско оборудване на други нуждаещи се региони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Чрез Инвестиционната инициатива в отговор на коронавируса (ИИОК), дала възможност за мобилизиране на неусвоените средства на ЕС по линия на политиката на сближаване, от 1 февруари 2020 г. досега 5,9 милиарда евро бяха пренасочени в подкрепа на здравните системи и действията на държавите членки и регионите на ЕС</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Освен това обхватът на фонд „Солидарност“ на Европейския съюз беше разширен така, че да включва тежки извънредни ситуации в областта на общественото здраве. Сътрудничеството и координацията на равнището на ЕС се засилиха и бяха положени усилия във всички сектори. Това е единственият начин за ефективно справяне с различните взаимосвързани щети, причинявани от пандемията в здравния, икономическия и социалния сектор. </w:t>
      </w:r>
    </w:p>
    <w:p>
      <w:pPr>
        <w:jc w:val="both"/>
        <w:rPr>
          <w:rFonts w:ascii="Times New Roman" w:hAnsi="Times New Roman" w:cs="Times New Roman"/>
          <w:noProof/>
          <w:sz w:val="24"/>
          <w:szCs w:val="24"/>
        </w:rPr>
      </w:pPr>
      <w:r>
        <w:rPr>
          <w:rFonts w:ascii="Times New Roman" w:hAnsi="Times New Roman"/>
          <w:noProof/>
          <w:sz w:val="24"/>
          <w:szCs w:val="24"/>
        </w:rPr>
        <w:t>Колективните усилия за борба с пандемията от COVID-19, както и с други бъдещи извънредни ситуации, засягащи здравето, изискват засилена координация на равнището на ЕС. Мерките в областта на общественото здраве трябва да бъдат последователни, съгласувани и координирани, за да се увеличи максимално ефектът от тях и да се сведат до минимум щетите както за хората, така и за стопанската дейност. Свързаната със здравето ситуация в една държава членка зависи от ситуациите в останалите държави членки. Разпокъсаните усилия за справяне с трансграничните заплахи за здравето правят всички държави членки по-уязвими като цяло.</w:t>
      </w:r>
    </w:p>
    <w:p>
      <w:pPr>
        <w:jc w:val="both"/>
        <w:rPr>
          <w:rFonts w:ascii="Times New Roman" w:hAnsi="Times New Roman" w:cs="Times New Roman"/>
          <w:noProof/>
          <w:sz w:val="24"/>
          <w:szCs w:val="24"/>
        </w:rPr>
      </w:pPr>
      <w:r>
        <w:rPr>
          <w:rFonts w:ascii="Times New Roman" w:hAnsi="Times New Roman"/>
          <w:noProof/>
          <w:sz w:val="24"/>
          <w:szCs w:val="24"/>
        </w:rPr>
        <w:t xml:space="preserve">В речта си за състоянието на Съюза от 2020 г. председателят на Комисията призова Европа да извлече поуки от настоящата криза и да </w:t>
      </w:r>
      <w:r>
        <w:rPr>
          <w:rFonts w:ascii="Times New Roman" w:hAnsi="Times New Roman"/>
          <w:b/>
          <w:bCs/>
          <w:noProof/>
          <w:sz w:val="24"/>
          <w:szCs w:val="24"/>
        </w:rPr>
        <w:t>изгради Европейски здравен съюз</w:t>
      </w:r>
      <w:r>
        <w:rPr>
          <w:rFonts w:ascii="Times New Roman" w:hAnsi="Times New Roman"/>
          <w:noProof/>
          <w:sz w:val="24"/>
          <w:szCs w:val="24"/>
        </w:rPr>
        <w:t xml:space="preserve">. Както показва опитът от настоящата пандемия, обединяването на силните страни на държавите — членки на ЕС, помага да се преодолеят индивидуалните слабости. Като работи с Европейския парламент и Съвета за укрепване на Здравния съюз, ЕС може да се екипира с необходимите инструменти за предотвратяване, подготовка и управление на здравни кризи както на равнище ЕС, така и в световен мащаб, с всички обществени и икономически ползи, които би донесло това. </w:t>
      </w:r>
    </w:p>
    <w:p>
      <w:pPr>
        <w:jc w:val="both"/>
        <w:rPr>
          <w:rFonts w:ascii="Times New Roman" w:hAnsi="Times New Roman" w:cs="Times New Roman"/>
          <w:noProof/>
          <w:sz w:val="24"/>
          <w:szCs w:val="24"/>
        </w:rPr>
      </w:pPr>
      <w:r>
        <w:rPr>
          <w:rFonts w:ascii="Times New Roman" w:hAnsi="Times New Roman"/>
          <w:noProof/>
          <w:sz w:val="24"/>
          <w:szCs w:val="24"/>
        </w:rPr>
        <w:t xml:space="preserve">Един силен Европейски здравен съюз ще защити нашия начин на живот, нашите икономики и общества. Ако общественото здраве е в опасност, икономиката неизбежно страда. Тясната връзка между спасяването на човешки животи и опазването на поминъка никога не е била толкова очевидна. Представените днес предложения ще допринесат и за по-издръжлив вътрешен пазар на ЕС и трайно икономическо възстановяване. </w:t>
      </w:r>
    </w:p>
    <w:p>
      <w:pPr>
        <w:jc w:val="both"/>
        <w:rPr>
          <w:rFonts w:ascii="Times New Roman" w:hAnsi="Times New Roman" w:cs="Times New Roman"/>
          <w:noProof/>
          <w:sz w:val="24"/>
          <w:szCs w:val="24"/>
        </w:rPr>
      </w:pPr>
      <w:r>
        <w:rPr>
          <w:rFonts w:ascii="Times New Roman" w:hAnsi="Times New Roman"/>
          <w:noProof/>
          <w:sz w:val="24"/>
          <w:szCs w:val="24"/>
        </w:rPr>
        <w:t>Настоящата програма за Здравен съюз се представя в разгара на повсеместно нарастване на случаите на COVID-19 в цяла Европа и по света. ЕС и неговите държави членки ще трябва да продължат да предприемат необходимите мерки за овладяване и управление на пандемията всеки ден, а решаващо значение за това продължават да имат координираните действия на равнище ЕС. В същото време планирането с оглед на бъдещи огнища и повишаването на нашия капацитет за готовност и реакция стават все по-належащи, тъй като вероятността за повтарящи се огнища на заразни болести нараства</w:t>
      </w:r>
      <w:r>
        <w:rPr>
          <w:rStyle w:val="FootnoteReference"/>
          <w:rFonts w:ascii="Times New Roman" w:hAnsi="Times New Roman" w:cs="Times New Roman"/>
          <w:noProof/>
          <w:sz w:val="24"/>
          <w:szCs w:val="24"/>
        </w:rPr>
        <w:footnoteReference w:id="7"/>
      </w:r>
      <w:r>
        <w:rPr>
          <w:noProof/>
        </w:rPr>
        <w:t>.</w:t>
      </w:r>
      <w:r>
        <w:rPr>
          <w:rFonts w:ascii="Times New Roman" w:hAnsi="Times New Roman"/>
          <w:noProof/>
          <w:sz w:val="24"/>
          <w:szCs w:val="24"/>
        </w:rPr>
        <w:t xml:space="preserve"> Нещо повече, антимикробната резистентност</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натискът върху биологичното разнообразие</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 изменението на климата, които са дългосрочни тенденции и са свързани с повишаване на заплахите от заразни болести по света и в Европа, все така се засилват</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В допълнение към това променящите се демографски структури на нашето население, по-специално застаряването, водят до променящи се здравни уязвимости и модели на заболявания. Това налага систематичен и основан на прогнозни данни подход, при който да се отчита взаимодействието между здравето на хората и на животните и околната среда, за да се разработват структурни, ориентирани към бъдещето решения, които са съгласувани с подхода „Едно здраве“. </w:t>
      </w:r>
    </w:p>
    <w:p>
      <w:pPr>
        <w:jc w:val="both"/>
        <w:rPr>
          <w:rFonts w:ascii="Times New Roman" w:hAnsi="Times New Roman" w:cs="Times New Roman"/>
          <w:noProof/>
          <w:sz w:val="24"/>
          <w:szCs w:val="24"/>
        </w:rPr>
      </w:pPr>
      <w:r>
        <w:rPr>
          <w:rFonts w:ascii="Times New Roman" w:hAnsi="Times New Roman"/>
          <w:noProof/>
          <w:sz w:val="24"/>
          <w:szCs w:val="24"/>
        </w:rPr>
        <w:t xml:space="preserve">Европейският здравен съюз надгражда над съвместните усилия, полагани в ЕС, нашите взаимоотношения да са в хармония с природната среда чрез възприемането на различни и по-устойчиви модели на икономически растеж, както е предложено в Европейския зелен пакт. Борбата с изменението на климата и намирането на начини за адаптиране към него, опазването и възстановяването на биологичното разнообразие, подобряването на хранителните режими и на начините на живот, намаляването и премахването на замърсяването ще окажат положително въздействие върху здравето на гражданите, а Европейският здравен съюз ще съумее да осигури по-добра защита. </w:t>
      </w:r>
    </w:p>
    <w:p>
      <w:pPr>
        <w:jc w:val="both"/>
        <w:rPr>
          <w:rFonts w:ascii="Times New Roman" w:hAnsi="Times New Roman" w:cs="Times New Roman"/>
          <w:noProof/>
          <w:sz w:val="24"/>
          <w:szCs w:val="24"/>
        </w:rPr>
      </w:pPr>
      <w:r>
        <w:rPr>
          <w:rFonts w:ascii="Times New Roman" w:hAnsi="Times New Roman"/>
          <w:noProof/>
          <w:sz w:val="24"/>
          <w:szCs w:val="24"/>
        </w:rPr>
        <w:t xml:space="preserve">В настоящото съобщение се предлагат първите градивни елементи на Европейския здравен съюз. То отразява задължението да се осигурява висока степен на закрила на човешкото здраве, както е определено в Хартата на основните права на Европейския съюз. В него са очертани поуките, извлечени от първата фаза на пандемията, и се призовава за укрепване на съществуващите структури и механизми за по-добра защита, профилактика, готовност и реакция при опасности за човешкото здраве на равнище ЕС. В него се препоръчва подсилена рамка за трансгранично сътрудничество за борба с всички заплахи за здравето с цел да се защитят по-добре човешките животи и вътрешният пазар, както и да се поддържат най-високите стандарти в защитата на правата на човека и гражданските свободи. </w:t>
      </w:r>
      <w:r>
        <w:rPr>
          <w:rFonts w:ascii="Times New Roman" w:hAnsi="Times New Roman"/>
          <w:noProof/>
          <w:sz w:val="24"/>
        </w:rPr>
        <w:t>Също така се укрепва ролята на ЕС в координацията и сътрудничеството, осъществявани на международно ниво с цел предотвратяване и контрол на трансгранични заплахи за здравето и подобряване на глобалната здравна сигурност.</w:t>
      </w:r>
    </w:p>
    <w:p>
      <w:pPr>
        <w:jc w:val="both"/>
        <w:rPr>
          <w:rFonts w:ascii="Times New Roman" w:hAnsi="Times New Roman" w:cs="Times New Roman"/>
          <w:noProof/>
          <w:sz w:val="24"/>
          <w:szCs w:val="24"/>
        </w:rPr>
      </w:pPr>
      <w:r>
        <w:rPr>
          <w:rFonts w:ascii="Times New Roman" w:hAnsi="Times New Roman"/>
          <w:noProof/>
          <w:sz w:val="24"/>
          <w:szCs w:val="24"/>
        </w:rPr>
        <w:t>Тези първи предложения са предвидени в рамките на действащите разпоредби на Договора, по-специално във връзка с член 168, параграф 5 от ДФЕС. Чрез надграждане на рамката на ЕС в областта на трансграничните заплахи за здравето тези първи градивни елементи на Европейския здравен съюз ще доведат до по-голямо цялостно въздействие, като едновременно с това изцяло се зачита компетентността на държавите членки в областта на здравеопазването.</w:t>
      </w:r>
    </w:p>
    <w:p>
      <w:pPr>
        <w:jc w:val="both"/>
        <w:rPr>
          <w:rFonts w:ascii="Times New Roman" w:hAnsi="Times New Roman" w:cs="Times New Roman"/>
          <w:noProof/>
          <w:sz w:val="24"/>
          <w:szCs w:val="24"/>
        </w:rPr>
      </w:pPr>
      <w:r>
        <w:rPr>
          <w:rFonts w:ascii="Times New Roman" w:hAnsi="Times New Roman"/>
          <w:noProof/>
          <w:sz w:val="24"/>
          <w:szCs w:val="24"/>
        </w:rPr>
        <w:t>По-конкретно, настоящото съобщение е придружено от три законодателни предложения: за надграждане на Решение № 1082/2013/ЕС за сериозните трансгранични заплахи за здравето, за укрепване на мандата на Европейския център за профилактика и контрол върху заболяванията (ECDC) и за разширяване на мандата на Европейската агенция по лекарствата (EMA)</w:t>
      </w:r>
      <w:r>
        <w:rPr>
          <w:noProof/>
          <w:vertAlign w:val="superscript"/>
        </w:rPr>
        <w:footnoteReference w:id="11"/>
      </w:r>
      <w:r>
        <w:rPr>
          <w:rFonts w:ascii="Times New Roman" w:hAnsi="Times New Roman"/>
          <w:noProof/>
          <w:sz w:val="24"/>
          <w:szCs w:val="24"/>
        </w:rPr>
        <w:t>. То е свързано с предложението за укрепване на Механизма за гражданска защита на Съюза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внесено от Комисията през юни 2020 г.</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Чрез тези предложения, взети заедно, ще се създаде стабилна и разходно ефективна рамка, която да позволи на държавите — членки на ЕС, да отговарят на бъдещи здравни кризи като Съюз.</w:t>
      </w:r>
    </w:p>
    <w:p>
      <w:pPr>
        <w:jc w:val="both"/>
        <w:rPr>
          <w:rFonts w:ascii="Times New Roman" w:hAnsi="Times New Roman" w:cs="Times New Roman"/>
          <w:noProof/>
          <w:sz w:val="24"/>
          <w:szCs w:val="24"/>
        </w:rPr>
      </w:pPr>
      <w:r>
        <w:rPr>
          <w:rFonts w:ascii="Times New Roman" w:hAnsi="Times New Roman"/>
          <w:noProof/>
          <w:sz w:val="24"/>
          <w:szCs w:val="24"/>
        </w:rPr>
        <w:t>Когато законодателните предложения предполагат обработване на лични данни, това ще се извършва при пълно спазване на приложимите правила на ЕС за защита на данните. Принципите и специфичните гаранции, установени в нормативната уредба на ЕС за защита на данните</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дават възможност за ефективна и цялостна защита на личните данни, включително и на данните за здравословното състояние. </w:t>
      </w:r>
    </w:p>
    <w:p>
      <w:pPr>
        <w:pStyle w:val="NoSpacing"/>
        <w:rPr>
          <w:noProof/>
        </w:rPr>
      </w:pPr>
    </w:p>
    <w:p>
      <w:pPr>
        <w:pStyle w:val="ManualHeading1"/>
        <w:spacing w:before="0" w:after="360"/>
        <w:rPr>
          <w:noProof/>
        </w:rPr>
      </w:pPr>
      <w:r>
        <w:rPr>
          <w:noProof/>
        </w:rPr>
        <w:t>2.</w:t>
      </w:r>
      <w:r>
        <w:rPr>
          <w:noProof/>
        </w:rPr>
        <w:tab/>
        <w:t xml:space="preserve">ПЪРВИ ПОУКИ ОТ ПАНДЕМИЯТА ОТ COVID-19 И ПРЕДЛОЖЕНИЯ ЗА СЛЕДВАЩИ СТЪПКИ </w:t>
      </w:r>
    </w:p>
    <w:p>
      <w:pPr>
        <w:jc w:val="both"/>
        <w:rPr>
          <w:rFonts w:ascii="Times New Roman" w:eastAsia="Times New Roman" w:hAnsi="Times New Roman" w:cs="Times New Roman"/>
          <w:noProof/>
          <w:sz w:val="24"/>
        </w:rPr>
      </w:pPr>
      <w:r>
        <w:rPr>
          <w:rFonts w:ascii="Times New Roman" w:hAnsi="Times New Roman"/>
          <w:noProof/>
          <w:sz w:val="24"/>
          <w:szCs w:val="24"/>
        </w:rPr>
        <w:t xml:space="preserve">През 2013 г. ЕС въведе нормативна уредба в областта на здравната сигурност, за да защити своите граждани, да насърчи координацията между държавите членки и със съседните държави и да отговори на нарастващата заплаха от заразни болести. </w:t>
      </w:r>
      <w:r>
        <w:rPr>
          <w:rFonts w:ascii="Times New Roman" w:hAnsi="Times New Roman"/>
          <w:noProof/>
          <w:sz w:val="24"/>
        </w:rPr>
        <w:t>Решението за сериозните трансгранични заплахи за здравето</w:t>
      </w:r>
      <w:r>
        <w:rPr>
          <w:rStyle w:val="FootnoteReference"/>
          <w:rFonts w:ascii="Times New Roman" w:eastAsia="Times New Roman" w:hAnsi="Times New Roman" w:cs="Times New Roman"/>
          <w:noProof/>
          <w:sz w:val="24"/>
        </w:rPr>
        <w:footnoteReference w:id="15"/>
      </w:r>
      <w:r>
        <w:rPr>
          <w:rFonts w:ascii="Times New Roman" w:hAnsi="Times New Roman"/>
          <w:noProof/>
          <w:sz w:val="24"/>
        </w:rPr>
        <w:t xml:space="preserve"> беше прието с цел подобряване на готовността в цяла Европа и укрепване на нейния капацитет за бързо откриване, наблюдение и координиране на реакциите при извънредни ситуации, свързани със здравето, породени от заразни болести, биологични или химични агенти, или екологични и климатични събития, както и заплахи с неизвестен произход. </w:t>
      </w: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Годишният доклад за стратегическото прогнозиране от 2020 г. показа необходимостта от по-добро предвиждане на рисковете за здравето и от предотвратяване на разпространението на нови инфекциозни заболявания и свързаните с тях разстройства. Следователно включването на прогнозирането в здравните политики ще допринесе за подобряване на готовността и издръжливостта.</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 xml:space="preserve">Кризата с общественото здраве във връзка с COVID-19 показа, че ЕС и държавите членки трябва да направят повече по отношение на планирането на режима на готовност и реакция при епидемии и други сериозни трансгранични заплахи за здравето. Въпреки че структурите и механизмите, създадени на равнище ЕС като част от Решението за сериозните трансгранични заплахи за здравето, улесниха обмена на информация за развитието на пандемията и подкрепиха предприетите специфични национални мерки, те не бяха достатъчни да се задейства своевременна обща реакция на равнище ЕС и да се осигури съгласувана комуникация във връзка с риска. Тази липса на съгласуваност и координация продължава да бъде пречка за справянето с пандемията. </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eastAsia="Times New Roman" w:hAnsi="Times New Roman" w:cs="Times New Roman"/>
          <w:b/>
          <w:noProof/>
          <w:sz w:val="24"/>
          <w:szCs w:val="20"/>
        </w:rPr>
      </w:pPr>
      <w:r>
        <w:rPr>
          <w:rFonts w:ascii="Times New Roman" w:hAnsi="Times New Roman"/>
          <w:b/>
          <w:noProof/>
          <w:sz w:val="24"/>
          <w:szCs w:val="20"/>
        </w:rPr>
        <w:t>Реакцията на кризата чрез Европейския център за профилактика и контрол върху заболяванията (ECDC) и Европейската агенция по лекарствата (EMA)</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Ролята на ECDC в рамката на ЕС за здравна сигурност е решаваща. Необходимо е обаче капацитетът на агенцията да се укрепи, за да се осигури по-добра защита на гражданите. Например нейната система за надзор трябва да бъде подсилена, за да функционира с пълния си потенциал, тъй като в момента ECDC има ограничен мандат/капацитет да предоставя анализирани данни в помощ на бързото вземане на решения, основани на доказателства, и за целите на осведомяването за ситуацията в реално време. В обстановка като пандемията от COVID-19 ECDC трябва да може да оказва практическа подкрепа на държавите членки, а в научните препоръки на агенцията за подходящи здравни мерки трябва да се отчитат специфичните за държавите членки елементи. ECDC трябва да се превърне в истинска здравна агенция на ЕС, на която държавите членки да могат да се осланят при работата във връзка с готовността и реакцията при кризи, в зависимост от случая. </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EMA също играе съществена роля в рамката на ЕС за здравна сигурност, особено по отношение на оценката на безопасни и ефективни лечения и ваксини. Пандемията от COVID-19 обаче показа, че EMA не е подплатена със стабилна система за наблюдение и намаляване на недостига на критично важни лекарства, нито със солидна рамка за реакция при кризи. В резултат на това способността на агенцията да ускорява научните консултации, процедурите и изпълнението на задълженията от страна на държавите членки и разработчиците е възпрепятствана. </w:t>
      </w:r>
    </w:p>
    <w:p>
      <w:pPr>
        <w:spacing w:before="240" w:after="240"/>
        <w:contextualSpacing/>
        <w:jc w:val="both"/>
        <w:rPr>
          <w:rFonts w:ascii="Times New Roman" w:eastAsia="Times New Roman" w:hAnsi="Times New Roman" w:cs="Times New Roman"/>
          <w:noProof/>
          <w:sz w:val="24"/>
          <w:szCs w:val="20"/>
        </w:rPr>
      </w:pPr>
    </w:p>
    <w:p>
      <w:pPr>
        <w:jc w:val="both"/>
        <w:rPr>
          <w:rFonts w:ascii="Times New Roman" w:hAnsi="Times New Roman" w:cs="Times New Roman"/>
          <w:noProof/>
          <w:sz w:val="24"/>
          <w:szCs w:val="24"/>
        </w:rPr>
      </w:pPr>
      <w:r>
        <w:rPr>
          <w:rFonts w:ascii="Times New Roman" w:hAnsi="Times New Roman"/>
          <w:noProof/>
          <w:sz w:val="24"/>
          <w:szCs w:val="24"/>
        </w:rPr>
        <w:t>По този начин пандемията от COVID-19 ясно показа, че съществуват възможности за допълнително укрепване и подобряване на рамката на ЕС за здравна сигурност, така че да бъде подготвена за всички здравни кризи. Установени бяха значителни празнини и безспорна необходимост от повече координация на равнище ЕС във връзка с готовността и реакцията при заплахи за общественото здраве. Разминаванията при прилагането на здравните мерки — като например използването на маски, изискванията за социално дистанциране, стратегиите за тестване и изискванията за изолация/карантина — накараха гражданите да поставят под съмнение научната основа на тези политики. Празнините в капацитета, недостигът на оборудване, пропуските при тестването и при проследяването на контактите и неспособността да се опазят най-уязвимите групи са все индикации за липса на готовност и подготовка, както и за структурни слабости и липса на ресурси. Чрез механизмите на ЕС за солидарност бяха предложени пътища за преодоляване на тези проблеми, но те не бяха използвани широко. Например Механизмът за гражданска защита на ЕС можеше да се използва по много по-ефективен начин</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Тези различни подходи при противодействие на една и съща заплаха, която грози всички нас, не може да продължават. </w:t>
      </w:r>
    </w:p>
    <w:p>
      <w:pPr>
        <w:jc w:val="both"/>
        <w:rPr>
          <w:rFonts w:ascii="Times New Roman" w:hAnsi="Times New Roman" w:cs="Times New Roman"/>
          <w:noProof/>
          <w:sz w:val="24"/>
          <w:szCs w:val="24"/>
        </w:rPr>
      </w:pPr>
      <w:r>
        <w:rPr>
          <w:rFonts w:ascii="Times New Roman" w:hAnsi="Times New Roman"/>
          <w:noProof/>
          <w:sz w:val="24"/>
          <w:szCs w:val="24"/>
        </w:rPr>
        <w:t>Макар че пандемията все още продължава, първите извлечени поуки разкриха тези предизвикателства и са представени по-долу. Очевидно е, че са необходими допълнителни инвестиции и реформи в здравните системи, за да се гарантира, че са им осигурени необходимите средства и ресурси за излизане от настоящата криза, както и за укрепване на издръжливостта им в дългосрочен план с цел управление на кризи във връзка с общественото здраве в бъдеще.</w:t>
      </w:r>
    </w:p>
    <w:p>
      <w:pPr>
        <w:pStyle w:val="ManualHeading1"/>
        <w:spacing w:before="0" w:after="360"/>
        <w:rPr>
          <w:noProof/>
        </w:rPr>
      </w:pPr>
      <w:r>
        <w:rPr>
          <w:noProof/>
        </w:rPr>
        <w:t>3.</w:t>
      </w:r>
      <w:r>
        <w:rPr>
          <w:noProof/>
        </w:rPr>
        <w:tab/>
        <w:t>НАЛАГАНЕ НА КООДИНИРАНА РЕАКЦИЯ НА РАВНИЩЕТО НА ЕС</w:t>
      </w:r>
    </w:p>
    <w:p>
      <w:pPr>
        <w:jc w:val="both"/>
        <w:rPr>
          <w:rFonts w:ascii="Times New Roman" w:hAnsi="Times New Roman" w:cs="Times New Roman"/>
          <w:noProof/>
          <w:sz w:val="24"/>
          <w:szCs w:val="24"/>
        </w:rPr>
      </w:pPr>
      <w:r>
        <w:rPr>
          <w:rFonts w:ascii="Times New Roman" w:hAnsi="Times New Roman"/>
          <w:noProof/>
          <w:sz w:val="24"/>
          <w:szCs w:val="24"/>
        </w:rPr>
        <w:t>Координацията на здравните мерки е от основно значение не само за ефективната практическа реакция от страна на органите, но и за да се гарантира разбирането на гражданите, че действията са основани на факти и на консенсус. В рамката на ЕС за здравна сигурност е определена работата на Комисията, която се осъществява чрез Комитета за здравна сигурност на ЕС и Системата за ранно предупреждение и реагиране (СРПР). На равнището на Съвета Интегрираните договорености на ЕС за реакция на политическо равнище при кризи (IPCR) се използват за осъществяване на координацията и в подкрепа на политическата реакция на ЕС.</w:t>
      </w:r>
    </w:p>
    <w:p>
      <w:pPr>
        <w:jc w:val="both"/>
        <w:rPr>
          <w:rFonts w:ascii="Times New Roman" w:hAnsi="Times New Roman" w:cs="Times New Roman"/>
          <w:noProof/>
          <w:sz w:val="24"/>
          <w:szCs w:val="24"/>
        </w:rPr>
      </w:pPr>
      <w:r>
        <w:rPr>
          <w:rFonts w:ascii="Times New Roman" w:hAnsi="Times New Roman"/>
          <w:noProof/>
          <w:sz w:val="24"/>
          <w:szCs w:val="24"/>
        </w:rPr>
        <w:t>Комитетът за здравна сигурност</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е ключов орган, в рамките на който държавите — членки на ЕС, се консултират помежду си и във взаимодействие с Комисията с оглед координиране на планирането на режима на готовност и реакция, ответните мерки на национално равнище и комуникацията относно рискове и кризи, свързани със сериозни трансгранични заплахи за здравето. </w:t>
      </w:r>
    </w:p>
    <w:p>
      <w:pPr>
        <w:jc w:val="both"/>
        <w:rPr>
          <w:rFonts w:ascii="Times New Roman" w:hAnsi="Times New Roman" w:cs="Times New Roman"/>
          <w:noProof/>
          <w:sz w:val="24"/>
          <w:szCs w:val="24"/>
        </w:rPr>
      </w:pPr>
      <w:r>
        <w:rPr>
          <w:rFonts w:ascii="Times New Roman" w:hAnsi="Times New Roman"/>
          <w:noProof/>
          <w:sz w:val="24"/>
          <w:szCs w:val="24"/>
        </w:rPr>
        <w:t>В отговор на COVID-19 Комитетът за здравна сигурност бе свикван повече от 40 пъти през периода от януари до ноември 2020 г., за да се обсъждат оценките на риска, насоките на ECDC, прилаганите мерки за готовност и реакция, както и капацитетът и нуждите в държавите членки</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Комитетът се доказа като ключов форум за обмен на информация и разработване на общи позиции в определени области, като споразумението на Комитета за здравна сигурност относно препоръки за стратегиите за тестване за COVID-19. Това беше предпоставка за ефективно комуникиране както с гражданите на ЕС, така и на национално равнище. От друга страна, стана ясно, че възможностите на Комитета за здравна сигурност да налага или координира националните ответни действия, свързани с мерки за контрол, или да прилага договорените общи подходи са ограничени. Това става видно от голямото разнообразие от национални мерки за контрол, които съществуват и се прилагат в целия ЕС, като социално дистанциране, носене на маски или мерки на входните пунктове. Изобилието от идентифицирани мерки се илюстрира допълнително от налагането на ограничения за износ на лични предпазни средства, прилагането на ограничения по границите без механизми за осигуряване на необходимия поток и обмен на стоки и хора или използването на терапевтични средства извън контекста на клиничните изпитвания. </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се оказа, че координацията по свързаните с комуникацията аспекти, попадащи в обхвата на компетентността на мрежата от специалисти по комуникация към Комитета за здравна сигурност, е ограничена ефикасност на равнище ЕС, което отчасти е следствие от предприетите различни национални подходи. То може да се дължи обаче и на минималния ангажимент от страна на държавите членки, който проличава от ниския процент на присъствие на заседанията на мрежата. </w:t>
      </w:r>
    </w:p>
    <w:p>
      <w:pPr>
        <w:jc w:val="both"/>
        <w:rPr>
          <w:rFonts w:ascii="Times New Roman" w:hAnsi="Times New Roman" w:cs="Times New Roman"/>
          <w:noProof/>
          <w:sz w:val="24"/>
          <w:szCs w:val="24"/>
        </w:rPr>
      </w:pPr>
      <w:r>
        <w:rPr>
          <w:rFonts w:ascii="Times New Roman" w:hAnsi="Times New Roman"/>
          <w:noProof/>
          <w:sz w:val="24"/>
          <w:szCs w:val="24"/>
        </w:rPr>
        <w:t>Освен това опитът показа, че невинаги има пряко взаимодействие между техническите дискусии в европейските структури, като Комитета за здравна сигурност, и министерствата на здравеопазването в държавите членки, а това дава явно отражение върху решенията, вземани на национално равнище. Нещо повече, като се има предвид, че здравните кризи като свързаната с COVID-19 имат многосекторен характер, ключов приоритет ще бъде укрепването на междусекторните връзки и координацията с други съответни структури и ведомства извън Комитета за здравна сигурност, например в областта на гражданската защита, която поддържа междусекторна готовност при извънредни ситуации и бедствия, както и функция за реакция.</w:t>
      </w:r>
    </w:p>
    <w:p>
      <w:pPr>
        <w:jc w:val="both"/>
        <w:rPr>
          <w:rFonts w:ascii="Times New Roman" w:hAnsi="Times New Roman" w:cs="Times New Roman"/>
          <w:noProof/>
          <w:sz w:val="24"/>
          <w:szCs w:val="24"/>
        </w:rPr>
      </w:pPr>
      <w:r>
        <w:rPr>
          <w:rFonts w:ascii="Times New Roman" w:hAnsi="Times New Roman"/>
          <w:noProof/>
          <w:sz w:val="24"/>
          <w:szCs w:val="24"/>
        </w:rPr>
        <w:t>В този контекст пролича, че Комитетът за здравна сигурност трябва да бъде подсилен, за да се даде възможност за задействане на обща реакция на равнище ЕС и за по-добра координация на комуникацията във връзка с риска</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Въз основа на това в предложенията е заложен засилен мандат за налагане на координирана реакция на равнище ЕС в рамките на Комитета за здравна сигурност. Това ще бъде възможно чрез включването на </w:t>
      </w:r>
      <w:r>
        <w:rPr>
          <w:rFonts w:ascii="Times New Roman" w:hAnsi="Times New Roman"/>
          <w:b/>
          <w:bCs/>
          <w:noProof/>
          <w:sz w:val="24"/>
          <w:szCs w:val="24"/>
        </w:rPr>
        <w:t>целенасочени препоръки относно ответните мерки от ECDC</w:t>
      </w:r>
      <w:r>
        <w:rPr>
          <w:rFonts w:ascii="Times New Roman" w:hAnsi="Times New Roman"/>
          <w:noProof/>
          <w:sz w:val="24"/>
          <w:szCs w:val="24"/>
        </w:rPr>
        <w:t xml:space="preserve"> и съответните децентрализирани агенции на ЕС в оценките на риска, предоставяни на Комитета за здравна сигурност. На свой ред </w:t>
      </w:r>
      <w:r>
        <w:rPr>
          <w:rFonts w:ascii="Times New Roman" w:hAnsi="Times New Roman"/>
          <w:b/>
          <w:bCs/>
          <w:noProof/>
          <w:sz w:val="24"/>
          <w:szCs w:val="24"/>
        </w:rPr>
        <w:t>Комитетът за здравна сигурност може официално да приема насоки и становища, допълнени от</w:t>
      </w:r>
      <w:r>
        <w:rPr>
          <w:rFonts w:ascii="Times New Roman" w:hAnsi="Times New Roman"/>
          <w:noProof/>
          <w:sz w:val="24"/>
          <w:szCs w:val="24"/>
        </w:rPr>
        <w:t xml:space="preserve"> препоръки на Комисията. От решаващо значение е приемането на тези препоръки да води до реални изпълними мерки в рамките на държавите. Много важно е държавите членки да поемат ангажименти да прилагат насоките на Комитета за здравна сигурност. С цел да се подчертае засилената роля на Комитета за здравна сигурност и по аналогия с Икономическия и финансов комитет, заместник-министрите на здравеопазването ще заседават в групата на високо равнище на КЗС, по-специално когато в дневния ред са включени политически чувствителни въпроси.</w:t>
      </w:r>
    </w:p>
    <w:p>
      <w:pPr>
        <w:jc w:val="both"/>
        <w:rPr>
          <w:rFonts w:ascii="Times New Roman" w:hAnsi="Times New Roman" w:cs="Times New Roman"/>
          <w:noProof/>
          <w:sz w:val="24"/>
          <w:szCs w:val="24"/>
        </w:rPr>
      </w:pPr>
      <w:r>
        <w:rPr>
          <w:rFonts w:ascii="Times New Roman" w:hAnsi="Times New Roman"/>
          <w:noProof/>
          <w:sz w:val="24"/>
          <w:szCs w:val="24"/>
        </w:rPr>
        <w:t>Правната рамка за признаване на извънредна ситуация на равнище ЕС също ще бъде изменена. Новите правила ще позволят активирането на механизмите на ЕС за реагиране при извънредни ситуации в тясна координация със Световната здравна организация (СЗО), без обаче това да зависи от обявяването от СЗО на извънредна ситуация от международно значение, свързана с общественото здраве (PHEIC). Това ще даде допълнителна гъвкавост на ЕС за справяне със здравни кризи. Например признаването на извънредна ситуация на равнището на ЕС би позволило гъвкавото разработване, производство, създаване на медицински резерв и провеждане на обществени поръчки за критично важни продукти по време на криза, както и приемането от Комисията на незабавно приложими актове за изпълнение относно защитата на човешкото здраве и за осигуряване на безпрепятственото функциониране на вътрешния пазар. Това следва да се направи, като се осигури цялостно взаимно допълване с Механизма за гражданска защита на Съюза, включително неговите екипи за спешна медицинска помощ.</w:t>
      </w:r>
    </w:p>
    <w:p>
      <w:pPr>
        <w:jc w:val="both"/>
        <w:rPr>
          <w:rFonts w:ascii="Times New Roman" w:hAnsi="Times New Roman" w:cs="Times New Roman"/>
          <w:noProof/>
          <w:sz w:val="24"/>
          <w:szCs w:val="24"/>
        </w:rPr>
      </w:pPr>
      <w:r>
        <w:rPr>
          <w:rFonts w:ascii="Times New Roman" w:hAnsi="Times New Roman"/>
          <w:noProof/>
          <w:sz w:val="24"/>
          <w:szCs w:val="24"/>
        </w:rPr>
        <w:t xml:space="preserve">При такова признаване Комисията няма да действа едностранно, като процесът ще се подпомага от </w:t>
      </w:r>
      <w:r>
        <w:rPr>
          <w:rFonts w:ascii="Times New Roman" w:hAnsi="Times New Roman"/>
          <w:b/>
          <w:bCs/>
          <w:noProof/>
          <w:sz w:val="24"/>
          <w:szCs w:val="24"/>
        </w:rPr>
        <w:t>независим консултативен комитет</w:t>
      </w:r>
      <w:r>
        <w:rPr>
          <w:rFonts w:ascii="Times New Roman" w:hAnsi="Times New Roman"/>
          <w:noProof/>
          <w:sz w:val="24"/>
          <w:szCs w:val="24"/>
        </w:rPr>
        <w:t xml:space="preserve">, който ще предоставя съвети относно признаването и прекратяването на извънредна ситуация, свързана с общественото здраве, както и относно ответните мерки. Консултативният комитет ще играе съществена роля в осигуряването на здравна политика, основана на факти, като ще прави преглед на различни научни области и политики, ще се състои от мултидисциплинарна група от членове и представители на органи или агенции на Съюза, имащи отношение към конкретната заплаха, които ще участват в качеството на наблюдатели. Подборът на групата от експерти ще се осъществи преди да настъпят каквито и да е бъдещи извънредни ситуации, така че те да са на разположение незабавно и да са готови да си сътрудничат в рамките на своя опит в конкретен сектор. </w:t>
      </w:r>
    </w:p>
    <w:tbl>
      <w:tblPr>
        <w:tblStyle w:val="GridTable4Accent5"/>
        <w:tblW w:w="9072" w:type="dxa"/>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Препоръки за ответни мерки, изготвяни от ECDC като част от бързите оценки на риска </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Препоръка на Комисията за ответни мерки</w:t>
            </w:r>
            <w:r>
              <w:rPr>
                <w:b w:val="0"/>
                <w:bCs w:val="0"/>
                <w:noProof/>
              </w:rPr>
              <w:t xml:space="preserve">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Признаване на равнището на ЕС на извънредна ситуация и съвети за ответни мерки, подкрепени от независим консултативен комитет</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 агенциите на ЕС</w:t>
            </w:r>
          </w:p>
        </w:tc>
      </w:tr>
    </w:tbl>
    <w:p>
      <w:pPr>
        <w:rPr>
          <w:noProof/>
        </w:rPr>
      </w:pPr>
    </w:p>
    <w:p>
      <w:pPr>
        <w:pStyle w:val="ManualHeading1"/>
        <w:spacing w:before="0" w:after="360"/>
        <w:rPr>
          <w:noProof/>
          <w:szCs w:val="24"/>
        </w:rPr>
      </w:pPr>
      <w:r>
        <w:rPr>
          <w:noProof/>
        </w:rPr>
        <w:t>4.</w:t>
      </w:r>
      <w:r>
        <w:rPr>
          <w:noProof/>
        </w:rPr>
        <w:tab/>
        <w:t>МЕДИЦИНСКИ МЕРКИ ЗА ПРОТИВОДЕЙСТВИЕ</w:t>
      </w:r>
      <w:r>
        <w:rPr>
          <w:rStyle w:val="FootnoteReference"/>
          <w:noProof/>
          <w:szCs w:val="24"/>
        </w:rPr>
        <w:footnoteReference w:id="20"/>
      </w:r>
    </w:p>
    <w:p>
      <w:pPr>
        <w:jc w:val="both"/>
        <w:rPr>
          <w:noProof/>
        </w:rPr>
      </w:pPr>
      <w:r>
        <w:rPr>
          <w:rFonts w:ascii="Times New Roman" w:hAnsi="Times New Roman"/>
          <w:noProof/>
          <w:sz w:val="24"/>
          <w:szCs w:val="24"/>
        </w:rPr>
        <w:t>Пандемията от COVID-19 разкри липсата на резерв от медицински мерки за противодействие на равнище ЕС и на равнище държави членки, както и уязвимостта на веригите на доставки на ЕС за критично важни медицински мерки за противодействие. Тя също така изведе на преден план липсата на координиран и систематичен подход на равнище ЕС за подкрепа на разработването, производството, снабдяването чрез обществени поръчки и закупуването на необходимите ваксини, терапевтични средства, диагностични средства, както и лични предпазни средства (ЛПС) и медицински изделия. В условията на липса на актуална, надеждна и съпоставима информация за търсенето на равнище държава членка, се оказа трудно да се предвиди и отговори на търсенето в ЕС на определени продукти с ключово значение в борбата с болестта, а също и на основни суровини, компоненти и принадлежности, използвани при производството. В ЕС липсват ефективни механизми и структури, за да се осигури общ поглед върху търсенето и предлагането на критично важни медицински мерки за противодействие и да се наблюдават и подпомагат държавите членки, за да се справят с недостига.</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Освен това в контекста на огнище или пандемия, причинени от нов патоген, върху научноизследователската общност се оказва силен натиск да постига резултати, въз основа на които да могат да се предприемат бързи действия и които да бъдат интегрирани в ответни действия при извънредни ситуации. Необходима е допълнителна подкрепа и координация на равнище ЕС, за да се улесни провеждането на широкомащабни многоцентрови клинични изпитвания, така че да се даде възможност за бързото им прилагане по време на криза и да се спести ценно време за осигуряване на необходимите мерки за противодействие</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Правилата за провеждане на клинични изпитвания трябва да позволят бързото им провеждане по време на криза и спестяването на ценно време за осигуряване на необходимите мерки за противодействие.</w:t>
      </w:r>
    </w:p>
    <w:p>
      <w:pPr>
        <w:jc w:val="both"/>
        <w:rPr>
          <w:rFonts w:ascii="Times New Roman" w:hAnsi="Times New Roman" w:cs="Times New Roman"/>
          <w:noProof/>
          <w:sz w:val="24"/>
          <w:szCs w:val="24"/>
        </w:rPr>
      </w:pPr>
      <w:r>
        <w:rPr>
          <w:rFonts w:ascii="Times New Roman" w:hAnsi="Times New Roman"/>
          <w:noProof/>
          <w:sz w:val="24"/>
          <w:szCs w:val="24"/>
        </w:rPr>
        <w:t>Въпреки тези слабости бяха въведени няколко мерки за улесняване на достъпа до медицински мерки за противодействие. За да улесни този достъп, през март 2020 г. Комисията въведе като част от МГЗС стратегически резерв в rescEU от медицинско оборудване за извънредни ситуации</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Този инструмент изпълнява функцията на механизъм за извънредни ситуации за осигуряване на държавите на необходимите медицински мерки за противодействие, като ЛПС, лабораторни консумативи и медицински изделия за интензивните отделения, когато националният капацитет е претоварен, и допълва капацитета, наличен в резерва на ЕС за гражданска защита. Бяха въведени редица действия за по-добро наблюдение и поддържане на доставките на критично важни лекарства или медицински изделия чрез осигуряване на регулаторна гъвкавост в съчетание със запазване на стандартите за безопасност. Бяха публикувани и редовно се актуализират специални насоки с цел осведомяване на заинтересованите страни относно очакванията и възможностите за гъвкавост</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На 1 април 2020 г. Комисията създаде „Клирингова къща за медицинско оборудване“ за лечение на COVID-19 с цел да се улесни съобразяването на търсенето и предлагането на ЛПС, медицински изделия и лекарства и да се разглеждат регулаторни и други въпроси, засягащи веригата на доставки. Активирането на Инструмента за спешна подкрепа, финансирането на научни изследвания и предварителните споразумения за закупуване с разработчиците на ваксини съгласно стратегията на ЕС за ваксините са други конкретни примери за решителни действия. Чрез Инструмента за спешна подкрепа Комисията помогна да се отговори на нуждите, които могат да бъдат посрещани най-добре по стратегически, координиран начин на европейско равнище. Съответно по линия на инструмента бяха предоставени над 2 милиарда евро за предварителните споразумения за закупуване на ваксини, 70 милиона евро за закупуване и разпространение в държавите членки на Veklury (терапевтичното средство ремдезивир), а 100 милиона евро ще бъдат използвани за бързи тестове за антигени.</w:t>
      </w:r>
    </w:p>
    <w:p>
      <w:pPr>
        <w:jc w:val="both"/>
        <w:rPr>
          <w:rFonts w:ascii="Times New Roman" w:hAnsi="Times New Roman" w:cs="Times New Roman"/>
          <w:noProof/>
          <w:sz w:val="24"/>
          <w:szCs w:val="24"/>
        </w:rPr>
      </w:pPr>
      <w:r>
        <w:rPr>
          <w:rFonts w:ascii="Times New Roman" w:hAnsi="Times New Roman"/>
          <w:noProof/>
          <w:sz w:val="24"/>
          <w:szCs w:val="24"/>
        </w:rPr>
        <w:t xml:space="preserve">Взети заедно, тези мерки спомогнаха да се организира реакцията на продължаващата криза, попълвайки празнините в съществуващата рамка. Те обаче не решават структурните предизвикателства пред ЕС в дългосрочен план по отношение на медицинските мерки за противодействие. </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Съвместно възлагане на обществени поръчки </w:t>
      </w:r>
    </w:p>
    <w:p>
      <w:pPr>
        <w:jc w:val="both"/>
        <w:rPr>
          <w:rFonts w:ascii="Times New Roman" w:hAnsi="Times New Roman" w:cs="Times New Roman"/>
          <w:noProof/>
          <w:sz w:val="24"/>
          <w:szCs w:val="24"/>
        </w:rPr>
      </w:pPr>
      <w:r>
        <w:rPr>
          <w:rFonts w:ascii="Times New Roman" w:hAnsi="Times New Roman"/>
          <w:noProof/>
          <w:sz w:val="24"/>
          <w:szCs w:val="24"/>
        </w:rPr>
        <w:t xml:space="preserve">Споразумението на ЕС за съвместно възлагане на обществени поръчки за медицински мерки за противодействие, предвидено в Решение № 1082/2013/ЕС, бе използвано през 2020 г. за реагиране на кризата, породена от COVID-19. Въпреки това споразумението за съвместно възлагане на обществени поръчки е преди всичко инструмент за изграждане на готовност и като такова не е предназначено за справяне с текуща криза. То има за цел да се подобри готовността на държавите членки за смекчаване на последиците от сериозните трансгранични заплахи за здравето, като се позволи по-равноправен достъп до конкретни медицински мерки за противодействие и се подобри сигурността на доставките, и като се осигурят по-балансирани цени за участващите държави членки. </w:t>
      </w:r>
    </w:p>
    <w:p>
      <w:pPr>
        <w:spacing w:before="240" w:after="240"/>
        <w:contextualSpacing/>
        <w:jc w:val="both"/>
        <w:rPr>
          <w:rFonts w:ascii="Times New Roman" w:eastAsia="Times New Roman" w:hAnsi="Times New Roman" w:cs="Times New Roman"/>
          <w:b/>
          <w:bCs/>
          <w:noProof/>
          <w:sz w:val="24"/>
          <w:szCs w:val="24"/>
        </w:rPr>
      </w:pPr>
      <w:r>
        <w:rPr>
          <w:rFonts w:ascii="Times New Roman" w:hAnsi="Times New Roman"/>
          <w:noProof/>
          <w:sz w:val="24"/>
          <w:szCs w:val="24"/>
        </w:rPr>
        <w:t>Въпреки това в предложението за Регламент относно сериозните трансгранични заплахи за здравето елементите на правната рамка на споразумението за съвместно възлагане на обществени поръчки ще бъдат подсилени, тъй като то остава основен инструмент за постигане на готовност. По-конкретно, официално ще бъде предвидено участието на държавите от Европейската асоциация за свободна търговия (ЕАСТ) и на държавите — кандидатки за членство в ЕС. Освен това споразумението ще бъде укрепено като ключов процес за възлагане на обществени поръчки в ЕС, като същевременно рискът от вътрешна конкуренция за ограничени ресурси или от паралелни национални процедури ще бъде намален чрез „клауза за изключителни права“. Този подход за изключителни права, приложен в стратегията на ЕС за ваксините, се оказа успешен</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Следва да се осигури взаимно допълване със стратегическия резерв в rescEU от медицинско оборудване за извънредни ситуации в рамките на Механизма за гражданска защита на Съюза.</w:t>
      </w:r>
    </w:p>
    <w:p>
      <w:pPr>
        <w:spacing w:before="240" w:after="240"/>
        <w:contextualSpacing/>
        <w:jc w:val="both"/>
        <w:rPr>
          <w:rFonts w:ascii="Times New Roman" w:eastAsia="Times New Roman" w:hAnsi="Times New Roman" w:cs="Times New Roman"/>
          <w:b/>
          <w:bCs/>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Преодоляване на недостига чрез Европейската агенция по лекарствата (EMA) </w:t>
      </w:r>
    </w:p>
    <w:p>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noProof/>
          <w:sz w:val="24"/>
        </w:rPr>
        <w:t>Пандемията също така показа, че способността на Съюза да координира работата за гарантиране на наличността на лекарства и медицински изделия и за улесняване на разработването на ново лечение понастоящем е ограничена. EMA изигра решаваща роля, като създаде временни механизми за наблюдение на недостига на лекарства и за предлагане на научни съвети на разработчиците.</w:t>
      </w:r>
      <w:r>
        <w:rPr>
          <w:noProof/>
        </w:rPr>
        <w:t xml:space="preserve"> </w:t>
      </w:r>
      <w:r>
        <w:rPr>
          <w:rFonts w:ascii="Times New Roman" w:hAnsi="Times New Roman"/>
          <w:noProof/>
          <w:sz w:val="24"/>
        </w:rPr>
        <w:t xml:space="preserve">Използвани бяха </w:t>
      </w:r>
      <w:r>
        <w:rPr>
          <w:rFonts w:ascii="Times New Roman" w:hAnsi="Times New Roman"/>
          <w:i/>
          <w:noProof/>
          <w:sz w:val="24"/>
        </w:rPr>
        <w:t>ad hoc</w:t>
      </w:r>
      <w:r>
        <w:rPr>
          <w:rFonts w:ascii="Times New Roman" w:hAnsi="Times New Roman"/>
          <w:noProof/>
          <w:sz w:val="24"/>
        </w:rPr>
        <w:t xml:space="preserve"> решения, включително условни споразумения между Комисията, Европейската агенция по лекарствата, титулярите на разрешения за търговия, производителите и държавите членки.</w:t>
      </w:r>
      <w:r>
        <w:rPr>
          <w:rFonts w:ascii="Times New Roman" w:hAnsi="Times New Roman"/>
          <w:noProof/>
          <w:sz w:val="24"/>
          <w:szCs w:val="24"/>
        </w:rPr>
        <w:t xml:space="preserve"> В допълнение разработването на потенциални лечения и ваксини срещу COVID-19 бе улеснено чрез специална група за научни изследвания. Необходимо е да се придаде официална форма на тези временни решения в качеството им на ключов елемент от подобрената рамка на ЕС за здравна сигурност.</w:t>
      </w:r>
      <w:r>
        <w:rPr>
          <w:rFonts w:ascii="Times New Roman" w:hAnsi="Times New Roman"/>
          <w:noProof/>
          <w:sz w:val="24"/>
        </w:rPr>
        <w:t xml:space="preserve"> По отношение на медицинските изделия стана очевидно, че на равнище ЕС не съществува механизъм, осигуряващ наблюдението на тяхната наличност по време на криза.</w:t>
      </w:r>
    </w:p>
    <w:p>
      <w:pPr>
        <w:jc w:val="both"/>
        <w:rPr>
          <w:rFonts w:ascii="Times New Roman" w:hAnsi="Times New Roman" w:cs="Times New Roman"/>
          <w:noProof/>
          <w:sz w:val="24"/>
          <w:szCs w:val="24"/>
        </w:rPr>
      </w:pPr>
      <w:r>
        <w:rPr>
          <w:rFonts w:ascii="Times New Roman" w:hAnsi="Times New Roman"/>
          <w:noProof/>
          <w:sz w:val="24"/>
          <w:szCs w:val="24"/>
        </w:rPr>
        <w:t>Що се отнася до лекарствата, по време на пандемията от COVID-19 беше създадена Изпълнителната ръководна група на ЕС за наблюдение на недостига на лекарства, причинен от събития с голям мащаб</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за да се осигури спешно по-добър поглед върху реалните потребности. Групата предостави стратегически указания за процедурата в случай на потенциален недостиг на доставки. Това включва справяне с възникващи проблеми, при необходимост договаряне на коригиращи действия, справяне със случаите на недостиг по координиран начин, включително комуникация при кризи и надзор върху изпълнението на договорените действия. Поради това в предложения регламент ще се </w:t>
      </w:r>
      <w:r>
        <w:rPr>
          <w:rFonts w:ascii="Times New Roman" w:hAnsi="Times New Roman"/>
          <w:b/>
          <w:bCs/>
          <w:noProof/>
          <w:sz w:val="24"/>
          <w:szCs w:val="24"/>
        </w:rPr>
        <w:t>дадена официална форма на настоящата структура на ръководната група по лекарствата и тя ще се подсили</w:t>
      </w:r>
      <w:r>
        <w:rPr>
          <w:rFonts w:ascii="Times New Roman" w:hAnsi="Times New Roman"/>
          <w:noProof/>
          <w:sz w:val="24"/>
          <w:szCs w:val="24"/>
        </w:rPr>
        <w:t xml:space="preserve">, като това се отнася и за нейния двупосочен бърз канал за комуникация между Европейската регулаторна мрежа за лекарствата и титулярите на разрешения за търговия. По-конкретно, в резултат на предложените промени ще се създаде постоянна структура в рамките на EMA за наблюдение на събития, свързани с фармацевтичния сектор, които биха могли да доведат до бъдещи кризи, както и за наблюдение и намаляване на риска от недостиг на основни лекарства след обявяването на криза. В подкрепа на тази работа ще бъдат въведени задължения за титулярите на разрешения за търговия и за държавите членки да предоставят необходимите данни чрез рационализирани ИТ инструменти и ускорени процедури, вече установени с оглед на бъдещи кризи. </w:t>
      </w:r>
    </w:p>
    <w:p>
      <w:pPr>
        <w:pStyle w:val="ListParagraph"/>
        <w:ind w:left="0"/>
        <w:jc w:val="both"/>
        <w:rPr>
          <w:rFonts w:ascii="Times New Roman" w:hAnsi="Times New Roman" w:cs="Times New Roman"/>
          <w:noProof/>
          <w:color w:val="000000"/>
          <w:sz w:val="24"/>
          <w:szCs w:val="24"/>
          <w:shd w:val="clear" w:color="auto" w:fill="FFFFFF"/>
        </w:rPr>
      </w:pPr>
      <w:r>
        <w:rPr>
          <w:rFonts w:ascii="Times New Roman" w:hAnsi="Times New Roman"/>
          <w:noProof/>
          <w:sz w:val="24"/>
          <w:szCs w:val="24"/>
        </w:rPr>
        <w:t>През април 2020 г. ЕМА сформира и своя специална работна група за противодействие на пандемията от COVID-19 като част от плана си за справяне със заплахите за здравето. Работната група допринася за прякото предоставяне на научни съвети относно разработването на клинични изпитвания и продукти и осигурява преглед на текуща основа</w:t>
      </w:r>
      <w:r>
        <w:rPr>
          <w:rStyle w:val="FootnoteReference"/>
          <w:noProof/>
          <w:lang w:val="en-IE"/>
        </w:rPr>
        <w:footnoteReference w:id="26"/>
      </w:r>
      <w:r>
        <w:rPr>
          <w:rFonts w:ascii="Times New Roman" w:hAnsi="Times New Roman"/>
          <w:noProof/>
          <w:sz w:val="24"/>
          <w:szCs w:val="24"/>
        </w:rPr>
        <w:t>на постъпващите данни, за да се позволи по-ефикасен подход за оценка на обещаващи терапии или ваксини срещу COVID-19</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Тези мерки са от решаващо значение, за да се осигури своевременно издаване на разрешения за продуктите и събиране на надеждни данни. Работната група предлага също така научна подкрепа за клиничните изпитвания на продуктите за лечение на COVID-19 и дава своя принос в дейности във връзка с възникващи проблеми с безопасността, свързани с продуктите за лечение на COVID-19.</w:t>
      </w:r>
      <w:r>
        <w:rPr>
          <w:rFonts w:ascii="Times New Roman" w:hAnsi="Times New Roman"/>
          <w:noProof/>
          <w:color w:val="000000"/>
          <w:sz w:val="24"/>
          <w:szCs w:val="24"/>
        </w:rPr>
        <w:t xml:space="preserve"> В средносрочен план регулаторният капацитет на EMA следва да се подобри чрез засилен достъп до данни за здравословното състояние, в контекста на предстоящото Европейско пространство за здравни данни. </w:t>
      </w:r>
      <w:r>
        <w:rPr>
          <w:rFonts w:ascii="Times New Roman" w:hAnsi="Times New Roman"/>
          <w:noProof/>
          <w:sz w:val="24"/>
          <w:szCs w:val="24"/>
        </w:rPr>
        <w:t xml:space="preserve">С цел подсилване на работата на EMA законодателното предложение се основава на горните съображения и има за цел да замени настоящите </w:t>
      </w:r>
      <w:r>
        <w:rPr>
          <w:rFonts w:ascii="Times New Roman" w:hAnsi="Times New Roman"/>
          <w:i/>
          <w:noProof/>
          <w:sz w:val="24"/>
          <w:szCs w:val="24"/>
        </w:rPr>
        <w:t>ad hoc</w:t>
      </w:r>
      <w:r>
        <w:rPr>
          <w:rFonts w:ascii="Times New Roman" w:hAnsi="Times New Roman"/>
          <w:noProof/>
          <w:sz w:val="24"/>
          <w:szCs w:val="24"/>
        </w:rPr>
        <w:t xml:space="preserve"> договорености чрез </w:t>
      </w:r>
      <w:r>
        <w:rPr>
          <w:rFonts w:ascii="Times New Roman" w:hAnsi="Times New Roman"/>
          <w:b/>
          <w:bCs/>
          <w:noProof/>
          <w:sz w:val="24"/>
          <w:szCs w:val="24"/>
        </w:rPr>
        <w:t>въвеждане на постоянни структури в рамките на EMA</w:t>
      </w:r>
      <w:r>
        <w:rPr>
          <w:rFonts w:ascii="Times New Roman" w:hAnsi="Times New Roman"/>
          <w:noProof/>
          <w:sz w:val="24"/>
          <w:szCs w:val="24"/>
        </w:rPr>
        <w:t xml:space="preserve"> с ясен и недвусмислен мандат. По отношение на клиничните изпитвания в законодателното предложение е предвидено работната група да изпълнява роля при </w:t>
      </w:r>
      <w:r>
        <w:rPr>
          <w:rFonts w:ascii="Times New Roman" w:hAnsi="Times New Roman"/>
          <w:b/>
          <w:bCs/>
          <w:noProof/>
          <w:sz w:val="24"/>
          <w:szCs w:val="24"/>
        </w:rPr>
        <w:t>предоставянето на съвети относно протоколите от клинични изпитвания</w:t>
      </w:r>
      <w:r>
        <w:rPr>
          <w:rFonts w:ascii="Times New Roman" w:hAnsi="Times New Roman"/>
          <w:noProof/>
          <w:sz w:val="24"/>
          <w:szCs w:val="24"/>
        </w:rPr>
        <w:t>, но също така и да има по-широка функция при координирането и улесняването на клиничните изпитвания в Европейския съюз. Това предполага също така засилена роля в предоставянето на препоръки по отношение на употребата на разрешени лекарства както на централизирано, така и на национално равнище, които може да имат потенциал за справяне с извънредни ситуации, свързани с общественото здраве. Като се има предвид решаващото значение на солидните и изчерпателни доказателства за надеждността на научните съвети и вземането на регулаторни решения, в предложението ще бъдат включени и инструменти, с които да се гарантира, че дружествата и държавите членки предоставят необходимите данни за улесняване на оценката. Освен това след издаването на разрешение за ваксина е необходимо да се събират данни относно безопасността и ефективността, които да допълнят набора от данни, предоставен от сектора в подкрепа на разрешението. Поради това в предложенията е предвидено създаването на</w:t>
      </w:r>
      <w:r>
        <w:rPr>
          <w:rFonts w:ascii="Times New Roman" w:hAnsi="Times New Roman"/>
          <w:b/>
          <w:bCs/>
          <w:noProof/>
          <w:sz w:val="24"/>
          <w:szCs w:val="24"/>
        </w:rPr>
        <w:t xml:space="preserve"> ИТ платформа, която да позволи на EMA и ECDC да координират проучванията на безопасността и ефективността на ваксините</w:t>
      </w:r>
      <w:r>
        <w:rPr>
          <w:rFonts w:ascii="Times New Roman" w:hAnsi="Times New Roman"/>
          <w:noProof/>
          <w:sz w:val="24"/>
          <w:szCs w:val="24"/>
        </w:rPr>
        <w:t xml:space="preserve"> — съществен елемент от настоящите предпоставки за управление на пандемията.</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В областта на медицинските изделия законодателното предложение се основава на поуките, извлечени от конкретната работа по време на пандемията от COVID-19, извършена от Клиринговата къща за медицинско оборудване на Комисията, като се има предвид, че понастоящем EMA няма компетентност в областта на медицинските изделия. Целта е да се подобри готовността на Съюза за действие при кризи и да се улесни координираната реакция на равнището на Съюза чрез създаване на </w:t>
      </w:r>
      <w:r>
        <w:rPr>
          <w:rFonts w:ascii="Times New Roman" w:hAnsi="Times New Roman"/>
          <w:b/>
          <w:bCs/>
          <w:noProof/>
          <w:sz w:val="24"/>
          <w:szCs w:val="24"/>
        </w:rPr>
        <w:t>постоянна структура за наблюдение и смекчаване на последиците от недостига на медицински изделия</w:t>
      </w:r>
      <w:r>
        <w:rPr>
          <w:rFonts w:ascii="Times New Roman" w:hAnsi="Times New Roman"/>
          <w:noProof/>
          <w:sz w:val="24"/>
          <w:szCs w:val="24"/>
        </w:rPr>
        <w:t xml:space="preserve"> (ръководна група за медицинските изделия), както и да се гарантира, че секторът и държавите членки предоставят необходимите данни за улесняване на наблюдението и възможните мерки за смекчаване.</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Освен това EMA ще бъде </w:t>
      </w:r>
      <w:r>
        <w:rPr>
          <w:rFonts w:ascii="Times New Roman" w:hAnsi="Times New Roman"/>
          <w:b/>
          <w:bCs/>
          <w:noProof/>
          <w:sz w:val="24"/>
          <w:szCs w:val="24"/>
        </w:rPr>
        <w:t>постоянен домакин на експертните групи по въпросите на медицинските изделия</w:t>
      </w:r>
      <w:r>
        <w:rPr>
          <w:rFonts w:ascii="Times New Roman" w:hAnsi="Times New Roman"/>
          <w:noProof/>
          <w:sz w:val="24"/>
          <w:szCs w:val="24"/>
        </w:rPr>
        <w:t>, които биха могли да играят важна роля за постигането на готовност при кризи и в управлението на кризи, по-специално чрез предоставяне на научна, техническа и клинична помощ на Комисията, на Координационната група по медицинските изделия (КГМИ), държавите членки, нотифицираните органи и производителите</w:t>
      </w:r>
      <w:r>
        <w:rPr>
          <w:rStyle w:val="FootnoteReference"/>
          <w:rFonts w:ascii="Times New Roman" w:hAnsi="Times New Roman" w:cs="Times New Roman"/>
          <w:noProof/>
          <w:sz w:val="24"/>
          <w:szCs w:val="24"/>
          <w:lang w:val="en-IE"/>
        </w:rPr>
        <w:footnoteReference w:id="28"/>
      </w:r>
      <w:r>
        <w:rPr>
          <w:noProof/>
        </w:rPr>
        <w:t>.</w:t>
      </w:r>
      <w:r>
        <w:rPr>
          <w:rFonts w:ascii="Times New Roman" w:hAnsi="Times New Roman"/>
          <w:noProof/>
          <w:sz w:val="24"/>
          <w:szCs w:val="24"/>
        </w:rPr>
        <w:t xml:space="preserve"> В началото на кризата вследствие на COVID-19, когато наличието на медицински изделия като апарати за вентилация и защитни средства беше от решаващо значение за спасяването на човешки животи и за овладяване на пандемията, такива съвети биха били безценни, например в контекста на смяната на предназначението на производствени линии с цел ускорено производство на апарати за вентилация със съответния необходим минимум от технически спецификации и спецификации за безопасност.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При този подход ще се използва дългогодишният експертен опит на агенцията в управлението на различни научни комитети и работни групи. </w:t>
      </w:r>
    </w:p>
    <w:p>
      <w:pPr>
        <w:spacing w:after="240"/>
        <w:jc w:val="both"/>
        <w:rPr>
          <w:rFonts w:ascii="Times New Roman" w:hAnsi="Times New Roman" w:cs="Times New Roman"/>
          <w:noProof/>
          <w:sz w:val="24"/>
          <w:szCs w:val="24"/>
        </w:rPr>
      </w:pPr>
      <w:r>
        <w:rPr>
          <w:rFonts w:ascii="Times New Roman" w:hAnsi="Times New Roman"/>
          <w:noProof/>
          <w:sz w:val="24"/>
          <w:szCs w:val="24"/>
        </w:rPr>
        <w:t>За да може ЕМА да изпълнява тези нови задачи в допълнение към текущия си мандат, е необходимо бързо да се увеличи броят на постоянните служители на тази агенция.</w:t>
      </w:r>
    </w:p>
    <w:tbl>
      <w:tblPr>
        <w:tblStyle w:val="GridTable4Accent5"/>
        <w:tblW w:w="0" w:type="auto"/>
        <w:tblLook w:val="04A0" w:firstRow="1" w:lastRow="0" w:firstColumn="1" w:lastColumn="0" w:noHBand="0" w:noVBand="1"/>
      </w:tblPr>
      <w:tblGrid>
        <w:gridCol w:w="7054"/>
        <w:gridCol w:w="198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center"/>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Подсилено споразумение за съвместно възлагане на обществени поръчки с държави извън ЕС </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Постоянна изпълнителна ръководна група на ЕС за наблюдение на недостига на лекарства</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Нова изпълнителна ръководна група на ЕС за медицинските изделия</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Постоянна работна група на EMA за извънредните ситуации</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Нови експертни групи към ЕМА за високорисковите медицински изделия </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Подсилена инфраструктура на ЕС за клинични изпитвания</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EMA; </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Създаване на платформа за наблюдение на ваксините</w:t>
            </w:r>
          </w:p>
        </w:tc>
        <w:tc>
          <w:tcPr>
            <w:tcW w:w="198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EMA; ECDC</w:t>
            </w:r>
          </w:p>
        </w:tc>
      </w:tr>
    </w:tbl>
    <w:p>
      <w:pPr>
        <w:rPr>
          <w:noProof/>
          <w:lang w:val="fr-BE"/>
        </w:rPr>
      </w:pPr>
    </w:p>
    <w:p>
      <w:pPr>
        <w:pStyle w:val="ManualHeading1"/>
        <w:spacing w:before="0" w:after="360"/>
        <w:rPr>
          <w:noProof/>
          <w:lang w:val="fr-BE"/>
        </w:rPr>
      </w:pPr>
      <w:r>
        <w:rPr>
          <w:noProof/>
          <w:lang w:val="fr-BE"/>
        </w:rPr>
        <w:t>5.</w:t>
      </w:r>
      <w:r>
        <w:rPr>
          <w:noProof/>
          <w:lang w:val="fr-BE"/>
        </w:rPr>
        <w:tab/>
      </w:r>
      <w:r>
        <w:rPr>
          <w:noProof/>
        </w:rPr>
        <w:t>ПЛАНИРАНЕ</w:t>
      </w:r>
      <w:r>
        <w:rPr>
          <w:noProof/>
          <w:lang w:val="fr-BE"/>
        </w:rPr>
        <w:t xml:space="preserve"> </w:t>
      </w:r>
      <w:r>
        <w:rPr>
          <w:noProof/>
        </w:rPr>
        <w:t>НА</w:t>
      </w:r>
      <w:r>
        <w:rPr>
          <w:noProof/>
          <w:lang w:val="fr-BE"/>
        </w:rPr>
        <w:t xml:space="preserve"> </w:t>
      </w:r>
      <w:r>
        <w:rPr>
          <w:noProof/>
        </w:rPr>
        <w:t>РЕЖИМА</w:t>
      </w:r>
      <w:r>
        <w:rPr>
          <w:noProof/>
          <w:lang w:val="fr-BE"/>
        </w:rPr>
        <w:t xml:space="preserve"> </w:t>
      </w:r>
      <w:r>
        <w:rPr>
          <w:noProof/>
        </w:rPr>
        <w:t>НА</w:t>
      </w:r>
      <w:r>
        <w:rPr>
          <w:noProof/>
          <w:lang w:val="fr-BE"/>
        </w:rPr>
        <w:t xml:space="preserve"> </w:t>
      </w:r>
      <w:r>
        <w:rPr>
          <w:noProof/>
        </w:rPr>
        <w:t>ГОТОВНОСТ</w:t>
      </w:r>
      <w:r>
        <w:rPr>
          <w:noProof/>
          <w:lang w:val="fr-BE"/>
        </w:rPr>
        <w:t xml:space="preserve"> </w:t>
      </w:r>
      <w:r>
        <w:rPr>
          <w:noProof/>
        </w:rPr>
        <w:t>И</w:t>
      </w:r>
      <w:r>
        <w:rPr>
          <w:noProof/>
          <w:lang w:val="fr-BE"/>
        </w:rPr>
        <w:t xml:space="preserve"> </w:t>
      </w:r>
      <w:r>
        <w:rPr>
          <w:noProof/>
        </w:rPr>
        <w:t>РЕАКЦИЯ</w:t>
      </w:r>
      <w:r>
        <w:rPr>
          <w:noProof/>
          <w:lang w:val="fr-BE"/>
        </w:rPr>
        <w:t xml:space="preserve"> </w:t>
      </w:r>
      <w:r>
        <w:rPr>
          <w:noProof/>
        </w:rPr>
        <w:t>И</w:t>
      </w:r>
      <w:r>
        <w:rPr>
          <w:noProof/>
          <w:lang w:val="fr-BE"/>
        </w:rPr>
        <w:t xml:space="preserve"> </w:t>
      </w:r>
      <w:r>
        <w:rPr>
          <w:noProof/>
        </w:rPr>
        <w:t>ДОКЛАДВАНЕ</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Съгласно</w:t>
      </w:r>
      <w:r>
        <w:rPr>
          <w:rFonts w:ascii="Times New Roman" w:hAnsi="Times New Roman"/>
          <w:noProof/>
          <w:sz w:val="24"/>
          <w:szCs w:val="24"/>
          <w:lang w:val="fr-BE"/>
        </w:rPr>
        <w:t xml:space="preserve"> </w:t>
      </w:r>
      <w:r>
        <w:rPr>
          <w:rFonts w:ascii="Times New Roman" w:hAnsi="Times New Roman"/>
          <w:noProof/>
          <w:sz w:val="24"/>
          <w:szCs w:val="24"/>
        </w:rPr>
        <w:t>действащото</w:t>
      </w:r>
      <w:r>
        <w:rPr>
          <w:rFonts w:ascii="Times New Roman" w:hAnsi="Times New Roman"/>
          <w:noProof/>
          <w:sz w:val="24"/>
          <w:szCs w:val="24"/>
          <w:lang w:val="fr-BE"/>
        </w:rPr>
        <w:t xml:space="preserve"> </w:t>
      </w:r>
      <w:r>
        <w:rPr>
          <w:rFonts w:ascii="Times New Roman" w:hAnsi="Times New Roman"/>
          <w:noProof/>
          <w:sz w:val="24"/>
          <w:szCs w:val="24"/>
        </w:rPr>
        <w:t>Решение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трансграничните</w:t>
      </w:r>
      <w:r>
        <w:rPr>
          <w:rFonts w:ascii="Times New Roman" w:hAnsi="Times New Roman"/>
          <w:noProof/>
          <w:sz w:val="24"/>
          <w:szCs w:val="24"/>
          <w:lang w:val="fr-BE"/>
        </w:rPr>
        <w:t xml:space="preserve"> </w:t>
      </w:r>
      <w:r>
        <w:rPr>
          <w:rFonts w:ascii="Times New Roman" w:hAnsi="Times New Roman"/>
          <w:noProof/>
          <w:sz w:val="24"/>
          <w:szCs w:val="24"/>
        </w:rPr>
        <w:t>заплахи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здравето</w:t>
      </w:r>
      <w:r>
        <w:rPr>
          <w:rFonts w:ascii="Times New Roman" w:hAnsi="Times New Roman"/>
          <w:noProof/>
          <w:sz w:val="24"/>
          <w:szCs w:val="24"/>
          <w:lang w:val="fr-BE"/>
        </w:rPr>
        <w:t xml:space="preserve"> </w:t>
      </w:r>
      <w:r>
        <w:rPr>
          <w:rFonts w:ascii="Times New Roman" w:hAnsi="Times New Roman"/>
          <w:noProof/>
          <w:sz w:val="24"/>
          <w:szCs w:val="24"/>
        </w:rPr>
        <w:t>мониторингът</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страна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Комисията</w:t>
      </w:r>
      <w:r>
        <w:rPr>
          <w:rFonts w:ascii="Times New Roman" w:hAnsi="Times New Roman"/>
          <w:noProof/>
          <w:sz w:val="24"/>
          <w:szCs w:val="24"/>
          <w:lang w:val="fr-BE"/>
        </w:rPr>
        <w:t xml:space="preserve"> </w:t>
      </w:r>
      <w:r>
        <w:rPr>
          <w:rFonts w:ascii="Times New Roman" w:hAnsi="Times New Roman"/>
          <w:noProof/>
          <w:sz w:val="24"/>
          <w:szCs w:val="24"/>
        </w:rPr>
        <w:t>върху</w:t>
      </w:r>
      <w:r>
        <w:rPr>
          <w:rFonts w:ascii="Times New Roman" w:hAnsi="Times New Roman"/>
          <w:noProof/>
          <w:sz w:val="24"/>
          <w:szCs w:val="24"/>
          <w:lang w:val="fr-BE"/>
        </w:rPr>
        <w:t xml:space="preserve"> </w:t>
      </w:r>
      <w:r>
        <w:rPr>
          <w:rFonts w:ascii="Times New Roman" w:hAnsi="Times New Roman"/>
          <w:noProof/>
          <w:sz w:val="24"/>
          <w:szCs w:val="24"/>
        </w:rPr>
        <w:t>планирането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режима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реакция</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страна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извършва</w:t>
      </w:r>
      <w:r>
        <w:rPr>
          <w:rFonts w:ascii="Times New Roman" w:hAnsi="Times New Roman"/>
          <w:noProof/>
          <w:sz w:val="24"/>
          <w:szCs w:val="24"/>
          <w:lang w:val="fr-BE"/>
        </w:rPr>
        <w:t xml:space="preserve"> </w:t>
      </w:r>
      <w:r>
        <w:rPr>
          <w:rFonts w:ascii="Times New Roman" w:hAnsi="Times New Roman"/>
          <w:noProof/>
          <w:sz w:val="24"/>
          <w:szCs w:val="24"/>
        </w:rPr>
        <w:t>главно</w:t>
      </w:r>
      <w:r>
        <w:rPr>
          <w:rFonts w:ascii="Times New Roman" w:hAnsi="Times New Roman"/>
          <w:noProof/>
          <w:sz w:val="24"/>
          <w:szCs w:val="24"/>
          <w:lang w:val="fr-BE"/>
        </w:rPr>
        <w:t xml:space="preserve"> </w:t>
      </w:r>
      <w:r>
        <w:rPr>
          <w:rFonts w:ascii="Times New Roman" w:hAnsi="Times New Roman"/>
          <w:noProof/>
          <w:sz w:val="24"/>
          <w:szCs w:val="24"/>
        </w:rPr>
        <w:t>въз</w:t>
      </w:r>
      <w:r>
        <w:rPr>
          <w:rFonts w:ascii="Times New Roman" w:hAnsi="Times New Roman"/>
          <w:noProof/>
          <w:sz w:val="24"/>
          <w:szCs w:val="24"/>
          <w:lang w:val="fr-BE"/>
        </w:rPr>
        <w:t xml:space="preserve"> </w:t>
      </w:r>
      <w:r>
        <w:rPr>
          <w:rFonts w:ascii="Times New Roman" w:hAnsi="Times New Roman"/>
          <w:noProof/>
          <w:sz w:val="24"/>
          <w:szCs w:val="24"/>
        </w:rPr>
        <w:t>основа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докладването</w:t>
      </w:r>
      <w:r>
        <w:rPr>
          <w:rFonts w:ascii="Times New Roman" w:hAnsi="Times New Roman"/>
          <w:noProof/>
          <w:sz w:val="24"/>
          <w:szCs w:val="24"/>
          <w:lang w:val="fr-BE"/>
        </w:rPr>
        <w:t xml:space="preserve">, </w:t>
      </w:r>
      <w:r>
        <w:rPr>
          <w:rFonts w:ascii="Times New Roman" w:hAnsi="Times New Roman"/>
          <w:noProof/>
          <w:sz w:val="24"/>
          <w:szCs w:val="24"/>
        </w:rPr>
        <w:t>осъществявано</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всеки</w:t>
      </w:r>
      <w:r>
        <w:rPr>
          <w:rFonts w:ascii="Times New Roman" w:hAnsi="Times New Roman"/>
          <w:noProof/>
          <w:sz w:val="24"/>
          <w:szCs w:val="24"/>
          <w:lang w:val="fr-BE"/>
        </w:rPr>
        <w:t xml:space="preserve"> </w:t>
      </w:r>
      <w:r>
        <w:rPr>
          <w:rFonts w:ascii="Times New Roman" w:hAnsi="Times New Roman"/>
          <w:noProof/>
          <w:sz w:val="24"/>
          <w:szCs w:val="24"/>
        </w:rPr>
        <w:t>три</w:t>
      </w:r>
      <w:r>
        <w:rPr>
          <w:rFonts w:ascii="Times New Roman" w:hAnsi="Times New Roman"/>
          <w:noProof/>
          <w:sz w:val="24"/>
          <w:szCs w:val="24"/>
          <w:lang w:val="fr-BE"/>
        </w:rPr>
        <w:t xml:space="preserve"> </w:t>
      </w:r>
      <w:r>
        <w:rPr>
          <w:rFonts w:ascii="Times New Roman" w:hAnsi="Times New Roman"/>
          <w:noProof/>
          <w:sz w:val="24"/>
          <w:szCs w:val="24"/>
        </w:rPr>
        <w:t>години</w:t>
      </w:r>
      <w:r>
        <w:rPr>
          <w:rFonts w:ascii="Times New Roman" w:hAnsi="Times New Roman"/>
          <w:noProof/>
          <w:sz w:val="24"/>
          <w:szCs w:val="24"/>
          <w:lang w:val="fr-BE"/>
        </w:rPr>
        <w:t xml:space="preserve">, </w:t>
      </w:r>
      <w:r>
        <w:rPr>
          <w:rFonts w:ascii="Times New Roman" w:hAnsi="Times New Roman"/>
          <w:noProof/>
          <w:sz w:val="24"/>
          <w:szCs w:val="24"/>
        </w:rPr>
        <w:t>относно</w:t>
      </w:r>
      <w:r>
        <w:rPr>
          <w:rFonts w:ascii="Times New Roman" w:hAnsi="Times New Roman"/>
          <w:noProof/>
          <w:sz w:val="24"/>
          <w:szCs w:val="24"/>
          <w:lang w:val="fr-BE"/>
        </w:rPr>
        <w:t xml:space="preserve"> </w:t>
      </w:r>
      <w:r>
        <w:rPr>
          <w:rFonts w:ascii="Times New Roman" w:hAnsi="Times New Roman"/>
          <w:noProof/>
          <w:sz w:val="24"/>
          <w:szCs w:val="24"/>
        </w:rPr>
        <w:t>техните</w:t>
      </w:r>
      <w:r>
        <w:rPr>
          <w:rFonts w:ascii="Times New Roman" w:hAnsi="Times New Roman"/>
          <w:noProof/>
          <w:sz w:val="24"/>
          <w:szCs w:val="24"/>
          <w:lang w:val="fr-BE"/>
        </w:rPr>
        <w:t xml:space="preserve"> </w:t>
      </w:r>
      <w:r>
        <w:rPr>
          <w:rFonts w:ascii="Times New Roman" w:hAnsi="Times New Roman"/>
          <w:noProof/>
          <w:sz w:val="24"/>
          <w:szCs w:val="24"/>
        </w:rPr>
        <w:t>съответни</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noProof/>
          <w:sz w:val="24"/>
          <w:szCs w:val="24"/>
          <w:lang w:val="fr-BE"/>
        </w:rPr>
        <w:t xml:space="preserve">. </w:t>
      </w:r>
      <w:r>
        <w:rPr>
          <w:rFonts w:ascii="Times New Roman" w:hAnsi="Times New Roman"/>
          <w:noProof/>
          <w:sz w:val="24"/>
          <w:szCs w:val="24"/>
        </w:rPr>
        <w:t>Докладването</w:t>
      </w:r>
      <w:r>
        <w:rPr>
          <w:rFonts w:ascii="Times New Roman" w:hAnsi="Times New Roman"/>
          <w:noProof/>
          <w:sz w:val="24"/>
          <w:szCs w:val="24"/>
          <w:lang w:val="fr-BE"/>
        </w:rPr>
        <w:t xml:space="preserve"> </w:t>
      </w:r>
      <w:r>
        <w:rPr>
          <w:rFonts w:ascii="Times New Roman" w:hAnsi="Times New Roman"/>
          <w:noProof/>
          <w:sz w:val="24"/>
          <w:szCs w:val="24"/>
        </w:rPr>
        <w:t>включва</w:t>
      </w:r>
      <w:r>
        <w:rPr>
          <w:rFonts w:ascii="Times New Roman" w:hAnsi="Times New Roman"/>
          <w:noProof/>
          <w:sz w:val="24"/>
          <w:szCs w:val="24"/>
          <w:lang w:val="fr-BE"/>
        </w:rPr>
        <w:t xml:space="preserve"> </w:t>
      </w:r>
      <w:r>
        <w:rPr>
          <w:rFonts w:ascii="Times New Roman" w:hAnsi="Times New Roman"/>
          <w:noProof/>
          <w:sz w:val="24"/>
          <w:szCs w:val="24"/>
        </w:rPr>
        <w:t>междусекторните</w:t>
      </w:r>
      <w:r>
        <w:rPr>
          <w:rFonts w:ascii="Times New Roman" w:hAnsi="Times New Roman"/>
          <w:noProof/>
          <w:sz w:val="24"/>
          <w:szCs w:val="24"/>
          <w:lang w:val="fr-BE"/>
        </w:rPr>
        <w:t xml:space="preserve"> </w:t>
      </w:r>
      <w:r>
        <w:rPr>
          <w:rFonts w:ascii="Times New Roman" w:hAnsi="Times New Roman"/>
          <w:noProof/>
          <w:sz w:val="24"/>
          <w:szCs w:val="24"/>
        </w:rPr>
        <w:t>измерения</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равнище</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подкрепата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изпълнението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изискванията</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базов</w:t>
      </w:r>
      <w:r>
        <w:rPr>
          <w:rFonts w:ascii="Times New Roman" w:hAnsi="Times New Roman"/>
          <w:noProof/>
          <w:sz w:val="24"/>
          <w:szCs w:val="24"/>
          <w:lang w:val="fr-BE"/>
        </w:rPr>
        <w:t xml:space="preserve"> </w:t>
      </w:r>
      <w:r>
        <w:rPr>
          <w:rFonts w:ascii="Times New Roman" w:hAnsi="Times New Roman"/>
          <w:noProof/>
          <w:sz w:val="24"/>
          <w:szCs w:val="24"/>
        </w:rPr>
        <w:t>капацитет</w:t>
      </w:r>
      <w:r>
        <w:rPr>
          <w:rFonts w:ascii="Times New Roman" w:hAnsi="Times New Roman"/>
          <w:noProof/>
          <w:sz w:val="24"/>
          <w:szCs w:val="24"/>
          <w:lang w:val="fr-BE"/>
        </w:rPr>
        <w:t xml:space="preserve"> </w:t>
      </w:r>
      <w:r>
        <w:rPr>
          <w:rFonts w:ascii="Times New Roman" w:hAnsi="Times New Roman"/>
          <w:noProof/>
          <w:sz w:val="24"/>
          <w:szCs w:val="24"/>
        </w:rPr>
        <w:t>съгласно</w:t>
      </w:r>
      <w:r>
        <w:rPr>
          <w:rFonts w:ascii="Times New Roman" w:hAnsi="Times New Roman"/>
          <w:noProof/>
          <w:sz w:val="24"/>
          <w:szCs w:val="24"/>
          <w:lang w:val="fr-BE"/>
        </w:rPr>
        <w:t xml:space="preserve"> </w:t>
      </w:r>
      <w:r>
        <w:rPr>
          <w:rFonts w:ascii="Times New Roman" w:hAnsi="Times New Roman"/>
          <w:noProof/>
          <w:sz w:val="24"/>
          <w:szCs w:val="24"/>
        </w:rPr>
        <w:t>Международните</w:t>
      </w:r>
      <w:r>
        <w:rPr>
          <w:rFonts w:ascii="Times New Roman" w:hAnsi="Times New Roman"/>
          <w:noProof/>
          <w:sz w:val="24"/>
          <w:szCs w:val="24"/>
          <w:lang w:val="fr-BE"/>
        </w:rPr>
        <w:t xml:space="preserve"> </w:t>
      </w:r>
      <w:r>
        <w:rPr>
          <w:rFonts w:ascii="Times New Roman" w:hAnsi="Times New Roman"/>
          <w:noProof/>
          <w:sz w:val="24"/>
          <w:szCs w:val="24"/>
        </w:rPr>
        <w:t>здравни</w:t>
      </w:r>
      <w:r>
        <w:rPr>
          <w:rFonts w:ascii="Times New Roman" w:hAnsi="Times New Roman"/>
          <w:noProof/>
          <w:sz w:val="24"/>
          <w:szCs w:val="24"/>
          <w:lang w:val="fr-BE"/>
        </w:rPr>
        <w:t xml:space="preserve"> </w:t>
      </w:r>
      <w:r>
        <w:rPr>
          <w:rFonts w:ascii="Times New Roman" w:hAnsi="Times New Roman"/>
          <w:noProof/>
          <w:sz w:val="24"/>
          <w:szCs w:val="24"/>
        </w:rPr>
        <w:t>правила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Световната</w:t>
      </w:r>
      <w:r>
        <w:rPr>
          <w:rFonts w:ascii="Times New Roman" w:hAnsi="Times New Roman"/>
          <w:noProof/>
          <w:sz w:val="24"/>
          <w:szCs w:val="24"/>
          <w:lang w:val="fr-BE"/>
        </w:rPr>
        <w:t xml:space="preserve"> </w:t>
      </w:r>
      <w:r>
        <w:rPr>
          <w:rFonts w:ascii="Times New Roman" w:hAnsi="Times New Roman"/>
          <w:noProof/>
          <w:sz w:val="24"/>
          <w:szCs w:val="24"/>
        </w:rPr>
        <w:t>здравна</w:t>
      </w:r>
      <w:r>
        <w:rPr>
          <w:rFonts w:ascii="Times New Roman" w:hAnsi="Times New Roman"/>
          <w:noProof/>
          <w:sz w:val="24"/>
          <w:szCs w:val="24"/>
          <w:lang w:val="fr-BE"/>
        </w:rPr>
        <w:t xml:space="preserve"> </w:t>
      </w:r>
      <w:r>
        <w:rPr>
          <w:rFonts w:ascii="Times New Roman" w:hAnsi="Times New Roman"/>
          <w:noProof/>
          <w:sz w:val="24"/>
          <w:szCs w:val="24"/>
        </w:rPr>
        <w:t>организация</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Пандемията</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COVID-19 </w:t>
      </w:r>
      <w:r>
        <w:rPr>
          <w:rFonts w:ascii="Times New Roman" w:hAnsi="Times New Roman"/>
          <w:noProof/>
          <w:sz w:val="24"/>
          <w:szCs w:val="24"/>
        </w:rPr>
        <w:t>разкри</w:t>
      </w:r>
      <w:r>
        <w:rPr>
          <w:rFonts w:ascii="Times New Roman" w:hAnsi="Times New Roman"/>
          <w:noProof/>
          <w:sz w:val="24"/>
          <w:szCs w:val="24"/>
          <w:lang w:val="fr-BE"/>
        </w:rPr>
        <w:t xml:space="preserve">, </w:t>
      </w:r>
      <w:r>
        <w:rPr>
          <w:rFonts w:ascii="Times New Roman" w:hAnsi="Times New Roman"/>
          <w:noProof/>
          <w:sz w:val="24"/>
          <w:szCs w:val="24"/>
        </w:rPr>
        <w:t>че</w:t>
      </w:r>
      <w:r>
        <w:rPr>
          <w:rFonts w:ascii="Times New Roman" w:hAnsi="Times New Roman"/>
          <w:noProof/>
          <w:sz w:val="24"/>
          <w:szCs w:val="24"/>
          <w:lang w:val="fr-BE"/>
        </w:rPr>
        <w:t xml:space="preserve"> </w:t>
      </w:r>
      <w:r>
        <w:rPr>
          <w:rFonts w:ascii="Times New Roman" w:hAnsi="Times New Roman"/>
          <w:noProof/>
          <w:sz w:val="24"/>
          <w:szCs w:val="24"/>
        </w:rPr>
        <w:t>капацитетът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национално</w:t>
      </w:r>
      <w:r>
        <w:rPr>
          <w:rFonts w:ascii="Times New Roman" w:hAnsi="Times New Roman"/>
          <w:noProof/>
          <w:sz w:val="24"/>
          <w:szCs w:val="24"/>
          <w:lang w:val="fr-BE"/>
        </w:rPr>
        <w:t xml:space="preserve"> </w:t>
      </w:r>
      <w:r>
        <w:rPr>
          <w:rFonts w:ascii="Times New Roman" w:hAnsi="Times New Roman"/>
          <w:noProof/>
          <w:sz w:val="24"/>
          <w:szCs w:val="24"/>
        </w:rPr>
        <w:t>равнище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реакция</w:t>
      </w:r>
      <w:r>
        <w:rPr>
          <w:rFonts w:ascii="Times New Roman" w:hAnsi="Times New Roman"/>
          <w:noProof/>
          <w:sz w:val="24"/>
          <w:szCs w:val="24"/>
          <w:lang w:val="fr-BE"/>
        </w:rPr>
        <w:t xml:space="preserve"> </w:t>
      </w:r>
      <w:r>
        <w:rPr>
          <w:rFonts w:ascii="Times New Roman" w:hAnsi="Times New Roman"/>
          <w:noProof/>
          <w:sz w:val="24"/>
          <w:szCs w:val="24"/>
        </w:rPr>
        <w:t>не</w:t>
      </w:r>
      <w:r>
        <w:rPr>
          <w:rFonts w:ascii="Times New Roman" w:hAnsi="Times New Roman"/>
          <w:noProof/>
          <w:sz w:val="24"/>
          <w:szCs w:val="24"/>
          <w:lang w:val="fr-BE"/>
        </w:rPr>
        <w:t xml:space="preserve"> </w:t>
      </w:r>
      <w:r>
        <w:rPr>
          <w:rFonts w:ascii="Times New Roman" w:hAnsi="Times New Roman"/>
          <w:noProof/>
          <w:sz w:val="24"/>
          <w:szCs w:val="24"/>
        </w:rPr>
        <w:t>е</w:t>
      </w:r>
      <w:r>
        <w:rPr>
          <w:rFonts w:ascii="Times New Roman" w:hAnsi="Times New Roman"/>
          <w:noProof/>
          <w:sz w:val="24"/>
          <w:szCs w:val="24"/>
          <w:lang w:val="fr-BE"/>
        </w:rPr>
        <w:t xml:space="preserve"> </w:t>
      </w:r>
      <w:r>
        <w:rPr>
          <w:rFonts w:ascii="Times New Roman" w:hAnsi="Times New Roman"/>
          <w:noProof/>
          <w:sz w:val="24"/>
          <w:szCs w:val="24"/>
        </w:rPr>
        <w:t>оптимален</w:t>
      </w:r>
      <w:r>
        <w:rPr>
          <w:rFonts w:ascii="Times New Roman" w:hAnsi="Times New Roman"/>
          <w:noProof/>
          <w:sz w:val="24"/>
          <w:szCs w:val="24"/>
          <w:lang w:val="fr-BE"/>
        </w:rPr>
        <w:t xml:space="preserve">. </w:t>
      </w:r>
      <w:r>
        <w:rPr>
          <w:rFonts w:ascii="Times New Roman" w:hAnsi="Times New Roman"/>
          <w:noProof/>
          <w:sz w:val="24"/>
          <w:szCs w:val="24"/>
        </w:rPr>
        <w:t>Това</w:t>
      </w:r>
      <w:r>
        <w:rPr>
          <w:rFonts w:ascii="Times New Roman" w:hAnsi="Times New Roman"/>
          <w:noProof/>
          <w:sz w:val="24"/>
          <w:szCs w:val="24"/>
          <w:lang w:val="fr-BE"/>
        </w:rPr>
        <w:t xml:space="preserve"> </w:t>
      </w:r>
      <w:r>
        <w:rPr>
          <w:rFonts w:ascii="Times New Roman" w:hAnsi="Times New Roman"/>
          <w:noProof/>
          <w:sz w:val="24"/>
          <w:szCs w:val="24"/>
        </w:rPr>
        <w:t>пролича</w:t>
      </w:r>
      <w:r>
        <w:rPr>
          <w:rFonts w:ascii="Times New Roman" w:hAnsi="Times New Roman"/>
          <w:noProof/>
          <w:sz w:val="24"/>
          <w:szCs w:val="24"/>
          <w:lang w:val="fr-BE"/>
        </w:rPr>
        <w:t xml:space="preserve"> </w:t>
      </w:r>
      <w:r>
        <w:rPr>
          <w:rFonts w:ascii="Times New Roman" w:hAnsi="Times New Roman"/>
          <w:noProof/>
          <w:sz w:val="24"/>
          <w:szCs w:val="24"/>
        </w:rPr>
        <w:t>например</w:t>
      </w:r>
      <w:r>
        <w:rPr>
          <w:rFonts w:ascii="Times New Roman" w:hAnsi="Times New Roman"/>
          <w:noProof/>
          <w:sz w:val="24"/>
          <w:szCs w:val="24"/>
          <w:lang w:val="fr-BE"/>
        </w:rPr>
        <w:t xml:space="preserve">, </w:t>
      </w:r>
      <w:r>
        <w:rPr>
          <w:rFonts w:ascii="Times New Roman" w:hAnsi="Times New Roman"/>
          <w:noProof/>
          <w:sz w:val="24"/>
          <w:szCs w:val="24"/>
        </w:rPr>
        <w:t>когато</w:t>
      </w:r>
      <w:r>
        <w:rPr>
          <w:rFonts w:ascii="Times New Roman" w:hAnsi="Times New Roman"/>
          <w:noProof/>
          <w:sz w:val="24"/>
          <w:szCs w:val="24"/>
          <w:lang w:val="fr-BE"/>
        </w:rPr>
        <w:t xml:space="preserve"> </w:t>
      </w:r>
      <w:r>
        <w:rPr>
          <w:rFonts w:ascii="Times New Roman" w:hAnsi="Times New Roman"/>
          <w:noProof/>
          <w:sz w:val="24"/>
          <w:szCs w:val="24"/>
        </w:rPr>
        <w:t>много</w:t>
      </w:r>
      <w:r>
        <w:rPr>
          <w:rFonts w:ascii="Times New Roman" w:hAnsi="Times New Roman"/>
          <w:noProof/>
          <w:sz w:val="24"/>
          <w:szCs w:val="24"/>
          <w:lang w:val="fr-BE"/>
        </w:rPr>
        <w:t xml:space="preserve"> </w:t>
      </w:r>
      <w:r>
        <w:rPr>
          <w:rFonts w:ascii="Times New Roman" w:hAnsi="Times New Roman"/>
          <w:noProof/>
          <w:sz w:val="24"/>
          <w:szCs w:val="24"/>
        </w:rPr>
        <w:t>държави</w:t>
      </w:r>
      <w:r>
        <w:rPr>
          <w:rFonts w:ascii="Times New Roman" w:hAnsi="Times New Roman"/>
          <w:noProof/>
          <w:sz w:val="24"/>
          <w:szCs w:val="24"/>
          <w:lang w:val="fr-BE"/>
        </w:rPr>
        <w:t xml:space="preserve"> —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бяха</w:t>
      </w:r>
      <w:r>
        <w:rPr>
          <w:rFonts w:ascii="Times New Roman" w:hAnsi="Times New Roman"/>
          <w:noProof/>
          <w:sz w:val="24"/>
          <w:szCs w:val="24"/>
          <w:lang w:val="fr-BE"/>
        </w:rPr>
        <w:t xml:space="preserve"> </w:t>
      </w:r>
      <w:r>
        <w:rPr>
          <w:rFonts w:ascii="Times New Roman" w:hAnsi="Times New Roman"/>
          <w:noProof/>
          <w:sz w:val="24"/>
          <w:szCs w:val="24"/>
        </w:rPr>
        <w:t>изправени</w:t>
      </w:r>
      <w:r>
        <w:rPr>
          <w:rFonts w:ascii="Times New Roman" w:hAnsi="Times New Roman"/>
          <w:noProof/>
          <w:sz w:val="24"/>
          <w:szCs w:val="24"/>
          <w:lang w:val="fr-BE"/>
        </w:rPr>
        <w:t xml:space="preserve"> </w:t>
      </w:r>
      <w:r>
        <w:rPr>
          <w:rFonts w:ascii="Times New Roman" w:hAnsi="Times New Roman"/>
          <w:noProof/>
          <w:sz w:val="24"/>
          <w:szCs w:val="24"/>
        </w:rPr>
        <w:t>пред</w:t>
      </w:r>
      <w:r>
        <w:rPr>
          <w:rFonts w:ascii="Times New Roman" w:hAnsi="Times New Roman"/>
          <w:noProof/>
          <w:sz w:val="24"/>
          <w:szCs w:val="24"/>
          <w:lang w:val="fr-BE"/>
        </w:rPr>
        <w:t xml:space="preserve"> </w:t>
      </w:r>
      <w:r>
        <w:rPr>
          <w:rFonts w:ascii="Times New Roman" w:hAnsi="Times New Roman"/>
          <w:noProof/>
          <w:sz w:val="24"/>
          <w:szCs w:val="24"/>
        </w:rPr>
        <w:t>недостатъчен</w:t>
      </w:r>
      <w:r>
        <w:rPr>
          <w:rFonts w:ascii="Times New Roman" w:hAnsi="Times New Roman"/>
          <w:noProof/>
          <w:sz w:val="24"/>
          <w:szCs w:val="24"/>
          <w:lang w:val="fr-BE"/>
        </w:rPr>
        <w:t xml:space="preserve"> </w:t>
      </w:r>
      <w:r>
        <w:rPr>
          <w:rFonts w:ascii="Times New Roman" w:hAnsi="Times New Roman"/>
          <w:noProof/>
          <w:sz w:val="24"/>
          <w:szCs w:val="24"/>
        </w:rPr>
        <w:t>медицински</w:t>
      </w:r>
      <w:r>
        <w:rPr>
          <w:rFonts w:ascii="Times New Roman" w:hAnsi="Times New Roman"/>
          <w:noProof/>
          <w:sz w:val="24"/>
          <w:szCs w:val="24"/>
          <w:lang w:val="fr-BE"/>
        </w:rPr>
        <w:t xml:space="preserve"> </w:t>
      </w:r>
      <w:r>
        <w:rPr>
          <w:rFonts w:ascii="Times New Roman" w:hAnsi="Times New Roman"/>
          <w:noProof/>
          <w:sz w:val="24"/>
          <w:szCs w:val="24"/>
        </w:rPr>
        <w:t>резерв</w:t>
      </w:r>
      <w:r>
        <w:rPr>
          <w:rFonts w:ascii="Times New Roman" w:hAnsi="Times New Roman"/>
          <w:noProof/>
          <w:sz w:val="24"/>
          <w:szCs w:val="24"/>
          <w:lang w:val="fr-BE"/>
        </w:rPr>
        <w:t xml:space="preserve"> (</w:t>
      </w:r>
      <w:r>
        <w:rPr>
          <w:rFonts w:ascii="Times New Roman" w:hAnsi="Times New Roman"/>
          <w:noProof/>
          <w:sz w:val="24"/>
          <w:szCs w:val="24"/>
        </w:rPr>
        <w:t>например</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ЛПС</w:t>
      </w:r>
      <w:r>
        <w:rPr>
          <w:rFonts w:ascii="Times New Roman" w:hAnsi="Times New Roman"/>
          <w:noProof/>
          <w:sz w:val="24"/>
          <w:szCs w:val="24"/>
          <w:lang w:val="fr-BE"/>
        </w:rPr>
        <w:t xml:space="preserve">), </w:t>
      </w:r>
      <w:r>
        <w:rPr>
          <w:rFonts w:ascii="Times New Roman" w:hAnsi="Times New Roman"/>
          <w:noProof/>
          <w:sz w:val="24"/>
          <w:szCs w:val="24"/>
        </w:rPr>
        <w:t>липса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непосредствено</w:t>
      </w:r>
      <w:r>
        <w:rPr>
          <w:rFonts w:ascii="Times New Roman" w:hAnsi="Times New Roman"/>
          <w:noProof/>
          <w:sz w:val="24"/>
          <w:szCs w:val="24"/>
          <w:lang w:val="fr-BE"/>
        </w:rPr>
        <w:t xml:space="preserve"> </w:t>
      </w:r>
      <w:r>
        <w:rPr>
          <w:rFonts w:ascii="Times New Roman" w:hAnsi="Times New Roman"/>
          <w:noProof/>
          <w:sz w:val="24"/>
          <w:szCs w:val="24"/>
        </w:rPr>
        <w:t>наличен</w:t>
      </w:r>
      <w:r>
        <w:rPr>
          <w:rFonts w:ascii="Times New Roman" w:hAnsi="Times New Roman"/>
          <w:noProof/>
          <w:sz w:val="24"/>
          <w:szCs w:val="24"/>
          <w:lang w:val="fr-BE"/>
        </w:rPr>
        <w:t xml:space="preserve"> </w:t>
      </w:r>
      <w:r>
        <w:rPr>
          <w:rFonts w:ascii="Times New Roman" w:hAnsi="Times New Roman"/>
          <w:noProof/>
          <w:sz w:val="24"/>
          <w:szCs w:val="24"/>
        </w:rPr>
        <w:t>капацитет</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извънредни</w:t>
      </w:r>
      <w:r>
        <w:rPr>
          <w:rFonts w:ascii="Times New Roman" w:hAnsi="Times New Roman"/>
          <w:noProof/>
          <w:sz w:val="24"/>
          <w:szCs w:val="24"/>
          <w:lang w:val="fr-BE"/>
        </w:rPr>
        <w:t xml:space="preserve"> </w:t>
      </w:r>
      <w:r>
        <w:rPr>
          <w:rFonts w:ascii="Times New Roman" w:hAnsi="Times New Roman"/>
          <w:noProof/>
          <w:sz w:val="24"/>
          <w:szCs w:val="24"/>
        </w:rPr>
        <w:t>нужди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здравните</w:t>
      </w:r>
      <w:r>
        <w:rPr>
          <w:rFonts w:ascii="Times New Roman" w:hAnsi="Times New Roman"/>
          <w:noProof/>
          <w:sz w:val="24"/>
          <w:szCs w:val="24"/>
          <w:lang w:val="fr-BE"/>
        </w:rPr>
        <w:t xml:space="preserve"> </w:t>
      </w:r>
      <w:r>
        <w:rPr>
          <w:rFonts w:ascii="Times New Roman" w:hAnsi="Times New Roman"/>
          <w:noProof/>
          <w:sz w:val="24"/>
          <w:szCs w:val="24"/>
        </w:rPr>
        <w:t>системи</w:t>
      </w:r>
      <w:r>
        <w:rPr>
          <w:rFonts w:ascii="Times New Roman" w:hAnsi="Times New Roman"/>
          <w:noProof/>
          <w:sz w:val="24"/>
          <w:szCs w:val="24"/>
          <w:lang w:val="fr-BE"/>
        </w:rPr>
        <w:t xml:space="preserve">, </w:t>
      </w:r>
      <w:r>
        <w:rPr>
          <w:rFonts w:ascii="Times New Roman" w:hAnsi="Times New Roman"/>
          <w:noProof/>
          <w:sz w:val="24"/>
          <w:szCs w:val="24"/>
        </w:rPr>
        <w:t>тестване</w:t>
      </w:r>
      <w:r>
        <w:rPr>
          <w:rFonts w:ascii="Times New Roman" w:hAnsi="Times New Roman"/>
          <w:noProof/>
          <w:sz w:val="24"/>
          <w:szCs w:val="24"/>
          <w:lang w:val="fr-BE"/>
        </w:rPr>
        <w:t xml:space="preserve">, </w:t>
      </w:r>
      <w:r>
        <w:rPr>
          <w:rFonts w:ascii="Times New Roman" w:hAnsi="Times New Roman"/>
          <w:noProof/>
          <w:sz w:val="24"/>
          <w:szCs w:val="24"/>
        </w:rPr>
        <w:t>проследяване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контактите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надзор</w:t>
      </w:r>
      <w:r>
        <w:rPr>
          <w:rFonts w:ascii="Times New Roman" w:hAnsi="Times New Roman"/>
          <w:noProof/>
          <w:sz w:val="24"/>
          <w:szCs w:val="24"/>
          <w:lang w:val="fr-BE"/>
        </w:rPr>
        <w:t xml:space="preserve">, </w:t>
      </w:r>
      <w:r>
        <w:rPr>
          <w:rFonts w:ascii="Times New Roman" w:hAnsi="Times New Roman"/>
          <w:noProof/>
          <w:sz w:val="24"/>
          <w:szCs w:val="24"/>
        </w:rPr>
        <w:t>както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липса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изпълними</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непрекъснатост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дейността</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осигуряване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здравно</w:t>
      </w:r>
      <w:r>
        <w:rPr>
          <w:rFonts w:ascii="Times New Roman" w:hAnsi="Times New Roman"/>
          <w:noProof/>
          <w:sz w:val="24"/>
          <w:szCs w:val="24"/>
          <w:lang w:val="fr-BE"/>
        </w:rPr>
        <w:t xml:space="preserve"> </w:t>
      </w:r>
      <w:r>
        <w:rPr>
          <w:rFonts w:ascii="Times New Roman" w:hAnsi="Times New Roman"/>
          <w:noProof/>
          <w:sz w:val="24"/>
          <w:szCs w:val="24"/>
        </w:rPr>
        <w:t>обслужване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избегне</w:t>
      </w:r>
      <w:r>
        <w:rPr>
          <w:rFonts w:ascii="Times New Roman" w:hAnsi="Times New Roman"/>
          <w:noProof/>
          <w:sz w:val="24"/>
          <w:szCs w:val="24"/>
          <w:lang w:val="fr-BE"/>
        </w:rPr>
        <w:t xml:space="preserve"> </w:t>
      </w:r>
      <w:r>
        <w:rPr>
          <w:rFonts w:ascii="Times New Roman" w:hAnsi="Times New Roman"/>
          <w:noProof/>
          <w:sz w:val="24"/>
          <w:szCs w:val="24"/>
        </w:rPr>
        <w:t>отлагането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планирано</w:t>
      </w:r>
      <w:r>
        <w:rPr>
          <w:rFonts w:ascii="Times New Roman" w:hAnsi="Times New Roman"/>
          <w:noProof/>
          <w:sz w:val="24"/>
          <w:szCs w:val="24"/>
          <w:lang w:val="fr-BE"/>
        </w:rPr>
        <w:t xml:space="preserve"> </w:t>
      </w:r>
      <w:r>
        <w:rPr>
          <w:rFonts w:ascii="Times New Roman" w:hAnsi="Times New Roman"/>
          <w:noProof/>
          <w:sz w:val="24"/>
          <w:szCs w:val="24"/>
        </w:rPr>
        <w:t>лечение</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болнични</w:t>
      </w:r>
      <w:r>
        <w:rPr>
          <w:rFonts w:ascii="Times New Roman" w:hAnsi="Times New Roman"/>
          <w:noProof/>
          <w:sz w:val="24"/>
          <w:szCs w:val="24"/>
          <w:lang w:val="fr-BE"/>
        </w:rPr>
        <w:t xml:space="preserve"> </w:t>
      </w:r>
      <w:r>
        <w:rPr>
          <w:rFonts w:ascii="Times New Roman" w:hAnsi="Times New Roman"/>
          <w:noProof/>
          <w:sz w:val="24"/>
          <w:szCs w:val="24"/>
        </w:rPr>
        <w:t>условия</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недостиг</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квалифициран</w:t>
      </w:r>
      <w:r>
        <w:rPr>
          <w:rFonts w:ascii="Times New Roman" w:hAnsi="Times New Roman"/>
          <w:noProof/>
          <w:sz w:val="24"/>
          <w:szCs w:val="24"/>
          <w:lang w:val="fr-BE"/>
        </w:rPr>
        <w:t xml:space="preserve"> </w:t>
      </w:r>
      <w:r>
        <w:rPr>
          <w:rFonts w:ascii="Times New Roman" w:hAnsi="Times New Roman"/>
          <w:noProof/>
          <w:sz w:val="24"/>
          <w:szCs w:val="24"/>
        </w:rPr>
        <w:t>медицински</w:t>
      </w:r>
      <w:r>
        <w:rPr>
          <w:rFonts w:ascii="Times New Roman" w:hAnsi="Times New Roman"/>
          <w:noProof/>
          <w:sz w:val="24"/>
          <w:szCs w:val="24"/>
          <w:lang w:val="fr-BE"/>
        </w:rPr>
        <w:t xml:space="preserve"> </w:t>
      </w:r>
      <w:r>
        <w:rPr>
          <w:rFonts w:ascii="Times New Roman" w:hAnsi="Times New Roman"/>
          <w:noProof/>
          <w:sz w:val="24"/>
          <w:szCs w:val="24"/>
        </w:rPr>
        <w:t>персонал</w:t>
      </w:r>
      <w:r>
        <w:rPr>
          <w:rFonts w:ascii="Times New Roman" w:hAnsi="Times New Roman"/>
          <w:noProof/>
          <w:sz w:val="24"/>
          <w:szCs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szCs w:val="24"/>
        </w:rPr>
        <w:t>Пандемията</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COVID-19 </w:t>
      </w:r>
      <w:r>
        <w:rPr>
          <w:rFonts w:ascii="Times New Roman" w:hAnsi="Times New Roman"/>
          <w:noProof/>
          <w:sz w:val="24"/>
          <w:szCs w:val="24"/>
        </w:rPr>
        <w:t>също</w:t>
      </w:r>
      <w:r>
        <w:rPr>
          <w:rFonts w:ascii="Times New Roman" w:hAnsi="Times New Roman"/>
          <w:noProof/>
          <w:sz w:val="24"/>
          <w:szCs w:val="24"/>
          <w:lang w:val="fr-BE"/>
        </w:rPr>
        <w:t xml:space="preserve"> </w:t>
      </w:r>
      <w:r>
        <w:rPr>
          <w:rFonts w:ascii="Times New Roman" w:hAnsi="Times New Roman"/>
          <w:noProof/>
          <w:sz w:val="24"/>
          <w:szCs w:val="24"/>
        </w:rPr>
        <w:t>така</w:t>
      </w:r>
      <w:r>
        <w:rPr>
          <w:rFonts w:ascii="Times New Roman" w:hAnsi="Times New Roman"/>
          <w:noProof/>
          <w:sz w:val="24"/>
          <w:szCs w:val="24"/>
          <w:lang w:val="fr-BE"/>
        </w:rPr>
        <w:t xml:space="preserve"> </w:t>
      </w:r>
      <w:r>
        <w:rPr>
          <w:rFonts w:ascii="Times New Roman" w:hAnsi="Times New Roman"/>
          <w:noProof/>
          <w:sz w:val="24"/>
          <w:szCs w:val="24"/>
        </w:rPr>
        <w:t>показа</w:t>
      </w:r>
      <w:r>
        <w:rPr>
          <w:rFonts w:ascii="Times New Roman" w:hAnsi="Times New Roman"/>
          <w:noProof/>
          <w:sz w:val="24"/>
          <w:szCs w:val="24"/>
          <w:lang w:val="fr-BE"/>
        </w:rPr>
        <w:t xml:space="preserve"> </w:t>
      </w:r>
      <w:r>
        <w:rPr>
          <w:rFonts w:ascii="Times New Roman" w:hAnsi="Times New Roman"/>
          <w:noProof/>
          <w:sz w:val="24"/>
          <w:szCs w:val="24"/>
        </w:rPr>
        <w:t>явната</w:t>
      </w:r>
      <w:r>
        <w:rPr>
          <w:rFonts w:ascii="Times New Roman" w:hAnsi="Times New Roman"/>
          <w:noProof/>
          <w:sz w:val="24"/>
          <w:szCs w:val="24"/>
          <w:lang w:val="fr-BE"/>
        </w:rPr>
        <w:t xml:space="preserve"> </w:t>
      </w:r>
      <w:r>
        <w:rPr>
          <w:rFonts w:ascii="Times New Roman" w:hAnsi="Times New Roman"/>
          <w:noProof/>
          <w:sz w:val="24"/>
          <w:szCs w:val="24"/>
        </w:rPr>
        <w:t>липса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цялостна</w:t>
      </w:r>
      <w:r>
        <w:rPr>
          <w:rFonts w:ascii="Times New Roman" w:hAnsi="Times New Roman"/>
          <w:noProof/>
          <w:sz w:val="24"/>
          <w:szCs w:val="24"/>
          <w:lang w:val="fr-BE"/>
        </w:rPr>
        <w:t xml:space="preserve"> </w:t>
      </w:r>
      <w:r>
        <w:rPr>
          <w:rFonts w:ascii="Times New Roman" w:hAnsi="Times New Roman"/>
          <w:noProof/>
          <w:sz w:val="24"/>
          <w:szCs w:val="24"/>
        </w:rPr>
        <w:t>визия</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привеждането</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действие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плановете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реакция</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както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непоследователност</w:t>
      </w:r>
      <w:r>
        <w:rPr>
          <w:rFonts w:ascii="Times New Roman" w:hAnsi="Times New Roman"/>
          <w:noProof/>
          <w:sz w:val="24"/>
          <w:szCs w:val="24"/>
          <w:lang w:val="fr-BE"/>
        </w:rPr>
        <w:t xml:space="preserve"> </w:t>
      </w:r>
      <w:r>
        <w:rPr>
          <w:rFonts w:ascii="Times New Roman" w:hAnsi="Times New Roman"/>
          <w:noProof/>
          <w:sz w:val="24"/>
          <w:szCs w:val="24"/>
        </w:rPr>
        <w:t>по</w:t>
      </w:r>
      <w:r>
        <w:rPr>
          <w:rFonts w:ascii="Times New Roman" w:hAnsi="Times New Roman"/>
          <w:noProof/>
          <w:sz w:val="24"/>
          <w:szCs w:val="24"/>
          <w:lang w:val="fr-BE"/>
        </w:rPr>
        <w:t xml:space="preserve"> </w:t>
      </w:r>
      <w:r>
        <w:rPr>
          <w:rFonts w:ascii="Times New Roman" w:hAnsi="Times New Roman"/>
          <w:noProof/>
          <w:sz w:val="24"/>
          <w:szCs w:val="24"/>
        </w:rPr>
        <w:t>отношение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тяхната</w:t>
      </w:r>
      <w:r>
        <w:rPr>
          <w:rFonts w:ascii="Times New Roman" w:hAnsi="Times New Roman"/>
          <w:noProof/>
          <w:sz w:val="24"/>
          <w:szCs w:val="24"/>
          <w:lang w:val="fr-BE"/>
        </w:rPr>
        <w:t xml:space="preserve"> </w:t>
      </w:r>
      <w:r>
        <w:rPr>
          <w:rFonts w:ascii="Times New Roman" w:hAnsi="Times New Roman"/>
          <w:noProof/>
          <w:sz w:val="24"/>
          <w:szCs w:val="24"/>
        </w:rPr>
        <w:t>съвместимост</w:t>
      </w:r>
      <w:r>
        <w:rPr>
          <w:rFonts w:ascii="Times New Roman" w:hAnsi="Times New Roman"/>
          <w:noProof/>
          <w:sz w:val="24"/>
          <w:szCs w:val="24"/>
          <w:lang w:val="fr-BE"/>
        </w:rPr>
        <w:t xml:space="preserve">. </w:t>
      </w:r>
      <w:r>
        <w:rPr>
          <w:rFonts w:ascii="Times New Roman" w:hAnsi="Times New Roman"/>
          <w:noProof/>
          <w:sz w:val="24"/>
          <w:szCs w:val="24"/>
        </w:rPr>
        <w:t>Това</w:t>
      </w:r>
      <w:r>
        <w:rPr>
          <w:rFonts w:ascii="Times New Roman" w:hAnsi="Times New Roman"/>
          <w:noProof/>
          <w:sz w:val="24"/>
          <w:szCs w:val="24"/>
          <w:lang w:val="fr-BE"/>
        </w:rPr>
        <w:t xml:space="preserve"> </w:t>
      </w:r>
      <w:r>
        <w:rPr>
          <w:rFonts w:ascii="Times New Roman" w:hAnsi="Times New Roman"/>
          <w:noProof/>
          <w:sz w:val="24"/>
          <w:szCs w:val="24"/>
        </w:rPr>
        <w:t>до</w:t>
      </w:r>
      <w:r>
        <w:rPr>
          <w:rFonts w:ascii="Times New Roman" w:hAnsi="Times New Roman"/>
          <w:noProof/>
          <w:sz w:val="24"/>
          <w:szCs w:val="24"/>
          <w:lang w:val="fr-BE"/>
        </w:rPr>
        <w:t xml:space="preserve"> </w:t>
      </w:r>
      <w:r>
        <w:rPr>
          <w:rFonts w:ascii="Times New Roman" w:hAnsi="Times New Roman"/>
          <w:noProof/>
          <w:sz w:val="24"/>
          <w:szCs w:val="24"/>
        </w:rPr>
        <w:t>голяма</w:t>
      </w:r>
      <w:r>
        <w:rPr>
          <w:rFonts w:ascii="Times New Roman" w:hAnsi="Times New Roman"/>
          <w:noProof/>
          <w:sz w:val="24"/>
          <w:szCs w:val="24"/>
          <w:lang w:val="fr-BE"/>
        </w:rPr>
        <w:t xml:space="preserve"> </w:t>
      </w:r>
      <w:r>
        <w:rPr>
          <w:rFonts w:ascii="Times New Roman" w:hAnsi="Times New Roman"/>
          <w:noProof/>
          <w:sz w:val="24"/>
          <w:szCs w:val="24"/>
        </w:rPr>
        <w:t>степен</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дължи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неспособността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сравнява</w:t>
      </w:r>
      <w:r>
        <w:rPr>
          <w:rFonts w:ascii="Times New Roman" w:hAnsi="Times New Roman"/>
          <w:noProof/>
          <w:sz w:val="24"/>
          <w:szCs w:val="24"/>
          <w:lang w:val="fr-BE"/>
        </w:rPr>
        <w:t xml:space="preserve"> </w:t>
      </w:r>
      <w:r>
        <w:rPr>
          <w:rFonts w:ascii="Times New Roman" w:hAnsi="Times New Roman"/>
          <w:noProof/>
          <w:sz w:val="24"/>
          <w:szCs w:val="24"/>
        </w:rPr>
        <w:t>плановете</w:t>
      </w:r>
      <w:r>
        <w:rPr>
          <w:rFonts w:ascii="Times New Roman" w:hAnsi="Times New Roman"/>
          <w:noProof/>
          <w:sz w:val="24"/>
          <w:szCs w:val="24"/>
          <w:lang w:val="fr-BE"/>
        </w:rPr>
        <w:t xml:space="preserve"> </w:t>
      </w:r>
      <w:r>
        <w:rPr>
          <w:rFonts w:ascii="Times New Roman" w:hAnsi="Times New Roman"/>
          <w:noProof/>
          <w:sz w:val="24"/>
          <w:szCs w:val="24"/>
        </w:rPr>
        <w:t>по</w:t>
      </w:r>
      <w:r>
        <w:rPr>
          <w:rFonts w:ascii="Times New Roman" w:hAnsi="Times New Roman"/>
          <w:noProof/>
          <w:sz w:val="24"/>
          <w:szCs w:val="24"/>
          <w:lang w:val="fr-BE"/>
        </w:rPr>
        <w:t xml:space="preserve"> </w:t>
      </w:r>
      <w:r>
        <w:rPr>
          <w:rFonts w:ascii="Times New Roman" w:hAnsi="Times New Roman"/>
          <w:noProof/>
          <w:sz w:val="24"/>
          <w:szCs w:val="24"/>
        </w:rPr>
        <w:t>единен</w:t>
      </w:r>
      <w:r>
        <w:rPr>
          <w:rFonts w:ascii="Times New Roman" w:hAnsi="Times New Roman"/>
          <w:noProof/>
          <w:sz w:val="24"/>
          <w:szCs w:val="24"/>
          <w:lang w:val="fr-BE"/>
        </w:rPr>
        <w:t xml:space="preserve"> </w:t>
      </w:r>
      <w:r>
        <w:rPr>
          <w:rFonts w:ascii="Times New Roman" w:hAnsi="Times New Roman"/>
          <w:noProof/>
          <w:sz w:val="24"/>
          <w:szCs w:val="24"/>
        </w:rPr>
        <w:t>начин</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целия</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поради</w:t>
      </w:r>
      <w:r>
        <w:rPr>
          <w:rFonts w:ascii="Times New Roman" w:hAnsi="Times New Roman"/>
          <w:noProof/>
          <w:sz w:val="24"/>
          <w:szCs w:val="24"/>
          <w:lang w:val="fr-BE"/>
        </w:rPr>
        <w:t xml:space="preserve"> </w:t>
      </w:r>
      <w:r>
        <w:rPr>
          <w:rFonts w:ascii="Times New Roman" w:hAnsi="Times New Roman"/>
          <w:noProof/>
          <w:sz w:val="24"/>
          <w:szCs w:val="24"/>
        </w:rPr>
        <w:t>липса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основни</w:t>
      </w:r>
      <w:r>
        <w:rPr>
          <w:rFonts w:ascii="Times New Roman" w:hAnsi="Times New Roman"/>
          <w:noProof/>
          <w:sz w:val="24"/>
          <w:szCs w:val="24"/>
          <w:lang w:val="fr-BE"/>
        </w:rPr>
        <w:t xml:space="preserve"> </w:t>
      </w:r>
      <w:r>
        <w:rPr>
          <w:rFonts w:ascii="Times New Roman" w:hAnsi="Times New Roman"/>
          <w:noProof/>
          <w:sz w:val="24"/>
          <w:szCs w:val="24"/>
        </w:rPr>
        <w:t>стандарти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показатели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ЕС</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lang w:val="fr-BE"/>
        </w:rPr>
        <w:t xml:space="preserve">, </w:t>
      </w:r>
      <w:r>
        <w:rPr>
          <w:rFonts w:ascii="Times New Roman" w:hAnsi="Times New Roman"/>
          <w:noProof/>
          <w:sz w:val="24"/>
          <w:szCs w:val="24"/>
        </w:rPr>
        <w:t>липсата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знания</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относно</w:t>
      </w:r>
      <w:r>
        <w:rPr>
          <w:rFonts w:ascii="Times New Roman" w:hAnsi="Times New Roman"/>
          <w:noProof/>
          <w:sz w:val="24"/>
          <w:szCs w:val="24"/>
          <w:lang w:val="fr-BE"/>
        </w:rPr>
        <w:t xml:space="preserve"> </w:t>
      </w:r>
      <w:r>
        <w:rPr>
          <w:rFonts w:ascii="Times New Roman" w:hAnsi="Times New Roman"/>
          <w:noProof/>
          <w:sz w:val="24"/>
          <w:szCs w:val="24"/>
        </w:rPr>
        <w:t>капацитета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национално</w:t>
      </w:r>
      <w:r>
        <w:rPr>
          <w:rFonts w:ascii="Times New Roman" w:hAnsi="Times New Roman"/>
          <w:noProof/>
          <w:sz w:val="24"/>
          <w:szCs w:val="24"/>
          <w:lang w:val="fr-BE"/>
        </w:rPr>
        <w:t xml:space="preserve"> </w:t>
      </w:r>
      <w:r>
        <w:rPr>
          <w:rFonts w:ascii="Times New Roman" w:hAnsi="Times New Roman"/>
          <w:noProof/>
          <w:sz w:val="24"/>
          <w:szCs w:val="24"/>
        </w:rPr>
        <w:t>равнище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изпълняване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плановете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несъгласуваната</w:t>
      </w:r>
      <w:r>
        <w:rPr>
          <w:rFonts w:ascii="Times New Roman" w:hAnsi="Times New Roman"/>
          <w:noProof/>
          <w:sz w:val="24"/>
          <w:szCs w:val="24"/>
          <w:lang w:val="fr-BE"/>
        </w:rPr>
        <w:t xml:space="preserve"> </w:t>
      </w:r>
      <w:r>
        <w:rPr>
          <w:rFonts w:ascii="Times New Roman" w:hAnsi="Times New Roman"/>
          <w:noProof/>
          <w:sz w:val="24"/>
          <w:szCs w:val="24"/>
        </w:rPr>
        <w:t>обратна</w:t>
      </w:r>
      <w:r>
        <w:rPr>
          <w:rFonts w:ascii="Times New Roman" w:hAnsi="Times New Roman"/>
          <w:noProof/>
          <w:sz w:val="24"/>
          <w:szCs w:val="24"/>
          <w:lang w:val="fr-BE"/>
        </w:rPr>
        <w:t xml:space="preserve"> </w:t>
      </w:r>
      <w:r>
        <w:rPr>
          <w:rFonts w:ascii="Times New Roman" w:hAnsi="Times New Roman"/>
          <w:noProof/>
          <w:sz w:val="24"/>
          <w:szCs w:val="24"/>
        </w:rPr>
        <w:t>връзка</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относно</w:t>
      </w:r>
      <w:r>
        <w:rPr>
          <w:rFonts w:ascii="Times New Roman" w:hAnsi="Times New Roman"/>
          <w:noProof/>
          <w:sz w:val="24"/>
          <w:szCs w:val="24"/>
          <w:lang w:val="fr-BE"/>
        </w:rPr>
        <w:t xml:space="preserve"> </w:t>
      </w:r>
      <w:r>
        <w:rPr>
          <w:rFonts w:ascii="Times New Roman" w:hAnsi="Times New Roman"/>
          <w:noProof/>
          <w:sz w:val="24"/>
          <w:szCs w:val="24"/>
        </w:rPr>
        <w:t>съответните</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реакция</w:t>
      </w:r>
      <w:r>
        <w:rPr>
          <w:rFonts w:ascii="Times New Roman" w:hAnsi="Times New Roman"/>
          <w:noProof/>
          <w:sz w:val="24"/>
          <w:szCs w:val="24"/>
          <w:lang w:val="fr-BE"/>
        </w:rPr>
        <w:t xml:space="preserve">. </w:t>
      </w:r>
      <w:r>
        <w:rPr>
          <w:rFonts w:ascii="Times New Roman" w:hAnsi="Times New Roman"/>
          <w:noProof/>
          <w:sz w:val="24"/>
          <w:szCs w:val="24"/>
        </w:rPr>
        <w:t>Ситуацията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влоши</w:t>
      </w:r>
      <w:r>
        <w:rPr>
          <w:rFonts w:ascii="Times New Roman" w:hAnsi="Times New Roman"/>
          <w:noProof/>
          <w:sz w:val="24"/>
          <w:szCs w:val="24"/>
          <w:lang w:val="fr-BE"/>
        </w:rPr>
        <w:t xml:space="preserve"> </w:t>
      </w:r>
      <w:r>
        <w:rPr>
          <w:rFonts w:ascii="Times New Roman" w:hAnsi="Times New Roman"/>
          <w:noProof/>
          <w:sz w:val="24"/>
          <w:szCs w:val="24"/>
        </w:rPr>
        <w:t>допълнително</w:t>
      </w:r>
      <w:r>
        <w:rPr>
          <w:rFonts w:ascii="Times New Roman" w:hAnsi="Times New Roman"/>
          <w:noProof/>
          <w:sz w:val="24"/>
          <w:szCs w:val="24"/>
          <w:lang w:val="fr-BE"/>
        </w:rPr>
        <w:t xml:space="preserve"> </w:t>
      </w:r>
      <w:r>
        <w:rPr>
          <w:rFonts w:ascii="Times New Roman" w:hAnsi="Times New Roman"/>
          <w:noProof/>
          <w:sz w:val="24"/>
          <w:szCs w:val="24"/>
        </w:rPr>
        <w:t>поради</w:t>
      </w:r>
      <w:r>
        <w:rPr>
          <w:rFonts w:ascii="Times New Roman" w:hAnsi="Times New Roman"/>
          <w:noProof/>
          <w:sz w:val="24"/>
          <w:szCs w:val="24"/>
          <w:lang w:val="fr-BE"/>
        </w:rPr>
        <w:t xml:space="preserve"> </w:t>
      </w:r>
      <w:r>
        <w:rPr>
          <w:rFonts w:ascii="Times New Roman" w:hAnsi="Times New Roman"/>
          <w:noProof/>
          <w:sz w:val="24"/>
          <w:szCs w:val="24"/>
        </w:rPr>
        <w:t>отсъствието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всеобхватен</w:t>
      </w:r>
      <w:r>
        <w:rPr>
          <w:rFonts w:ascii="Times New Roman" w:hAnsi="Times New Roman"/>
          <w:noProof/>
          <w:sz w:val="24"/>
          <w:szCs w:val="24"/>
          <w:lang w:val="fr-BE"/>
        </w:rPr>
        <w:t xml:space="preserve"> </w:t>
      </w:r>
      <w:r>
        <w:rPr>
          <w:rFonts w:ascii="Times New Roman" w:hAnsi="Times New Roman"/>
          <w:noProof/>
          <w:sz w:val="24"/>
          <w:szCs w:val="24"/>
        </w:rPr>
        <w:t>план</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случай</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пандемия</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Поради</w:t>
      </w:r>
      <w:r>
        <w:rPr>
          <w:rFonts w:ascii="Times New Roman" w:hAnsi="Times New Roman"/>
          <w:noProof/>
          <w:sz w:val="24"/>
          <w:szCs w:val="24"/>
          <w:lang w:val="fr-BE"/>
        </w:rPr>
        <w:t xml:space="preserve"> </w:t>
      </w:r>
      <w:r>
        <w:rPr>
          <w:rFonts w:ascii="Times New Roman" w:hAnsi="Times New Roman"/>
          <w:noProof/>
          <w:sz w:val="24"/>
          <w:szCs w:val="24"/>
        </w:rPr>
        <w:t>това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предлага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укрепят</w:t>
      </w:r>
      <w:r>
        <w:rPr>
          <w:rFonts w:ascii="Times New Roman" w:hAnsi="Times New Roman"/>
          <w:noProof/>
          <w:sz w:val="24"/>
          <w:szCs w:val="24"/>
          <w:lang w:val="fr-BE"/>
        </w:rPr>
        <w:t xml:space="preserve"> </w:t>
      </w:r>
      <w:r>
        <w:rPr>
          <w:rFonts w:ascii="Times New Roman" w:hAnsi="Times New Roman"/>
          <w:noProof/>
          <w:sz w:val="24"/>
          <w:szCs w:val="24"/>
        </w:rPr>
        <w:t>механизмите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координиране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готовността</w:t>
      </w:r>
      <w:r>
        <w:rPr>
          <w:rFonts w:ascii="Times New Roman" w:hAnsi="Times New Roman"/>
          <w:noProof/>
          <w:sz w:val="24"/>
          <w:szCs w:val="24"/>
          <w:lang w:val="fr-BE"/>
        </w:rPr>
        <w:t xml:space="preserve"> </w:t>
      </w:r>
      <w:r>
        <w:rPr>
          <w:rFonts w:ascii="Times New Roman" w:hAnsi="Times New Roman"/>
          <w:noProof/>
          <w:sz w:val="24"/>
          <w:szCs w:val="24"/>
        </w:rPr>
        <w:t>чрез</w:t>
      </w:r>
      <w:r>
        <w:rPr>
          <w:rFonts w:ascii="Times New Roman" w:hAnsi="Times New Roman"/>
          <w:noProof/>
          <w:sz w:val="24"/>
          <w:szCs w:val="24"/>
          <w:lang w:val="fr-BE"/>
        </w:rPr>
        <w:t xml:space="preserve"> </w:t>
      </w:r>
      <w:r>
        <w:rPr>
          <w:rFonts w:ascii="Times New Roman" w:hAnsi="Times New Roman"/>
          <w:noProof/>
          <w:sz w:val="24"/>
          <w:szCs w:val="24"/>
        </w:rPr>
        <w:t>разработването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b/>
          <w:bCs/>
          <w:noProof/>
          <w:sz w:val="24"/>
          <w:szCs w:val="24"/>
        </w:rPr>
        <w:t>обвързващ</w:t>
      </w:r>
      <w:r>
        <w:rPr>
          <w:rFonts w:ascii="Times New Roman" w:hAnsi="Times New Roman"/>
          <w:b/>
          <w:bCs/>
          <w:noProof/>
          <w:sz w:val="24"/>
          <w:szCs w:val="24"/>
          <w:lang w:val="fr-BE"/>
        </w:rPr>
        <w:t xml:space="preserve"> </w:t>
      </w:r>
      <w:r>
        <w:rPr>
          <w:rFonts w:ascii="Times New Roman" w:hAnsi="Times New Roman"/>
          <w:b/>
          <w:bCs/>
          <w:noProof/>
          <w:sz w:val="24"/>
          <w:szCs w:val="24"/>
        </w:rPr>
        <w:t>план</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ЕС</w:t>
      </w:r>
      <w:r>
        <w:rPr>
          <w:rFonts w:ascii="Times New Roman" w:hAnsi="Times New Roman"/>
          <w:b/>
          <w:bCs/>
          <w:noProof/>
          <w:sz w:val="24"/>
          <w:szCs w:val="24"/>
          <w:lang w:val="fr-BE"/>
        </w:rPr>
        <w:t xml:space="preserve"> </w:t>
      </w:r>
      <w:r>
        <w:rPr>
          <w:rFonts w:ascii="Times New Roman" w:hAnsi="Times New Roman"/>
          <w:b/>
          <w:bCs/>
          <w:noProof/>
          <w:sz w:val="24"/>
          <w:szCs w:val="24"/>
        </w:rPr>
        <w:t>за</w:t>
      </w:r>
      <w:r>
        <w:rPr>
          <w:rFonts w:ascii="Times New Roman" w:hAnsi="Times New Roman"/>
          <w:b/>
          <w:bCs/>
          <w:noProof/>
          <w:sz w:val="24"/>
          <w:szCs w:val="24"/>
          <w:lang w:val="fr-BE"/>
        </w:rPr>
        <w:t xml:space="preserve"> </w:t>
      </w:r>
      <w:r>
        <w:rPr>
          <w:rFonts w:ascii="Times New Roman" w:hAnsi="Times New Roman"/>
          <w:b/>
          <w:bCs/>
          <w:noProof/>
          <w:sz w:val="24"/>
          <w:szCs w:val="24"/>
        </w:rPr>
        <w:t>готовност</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реакция</w:t>
      </w:r>
      <w:r>
        <w:rPr>
          <w:rFonts w:ascii="Times New Roman" w:hAnsi="Times New Roman"/>
          <w:b/>
          <w:bCs/>
          <w:noProof/>
          <w:sz w:val="24"/>
          <w:szCs w:val="24"/>
          <w:lang w:val="fr-BE"/>
        </w:rPr>
        <w:t xml:space="preserve"> </w:t>
      </w:r>
      <w:r>
        <w:rPr>
          <w:rFonts w:ascii="Times New Roman" w:hAnsi="Times New Roman"/>
          <w:b/>
          <w:bCs/>
          <w:noProof/>
          <w:sz w:val="24"/>
          <w:szCs w:val="24"/>
        </w:rPr>
        <w:t>при</w:t>
      </w:r>
      <w:r>
        <w:rPr>
          <w:rFonts w:ascii="Times New Roman" w:hAnsi="Times New Roman"/>
          <w:b/>
          <w:bCs/>
          <w:noProof/>
          <w:sz w:val="24"/>
          <w:szCs w:val="24"/>
          <w:lang w:val="fr-BE"/>
        </w:rPr>
        <w:t xml:space="preserve"> </w:t>
      </w:r>
      <w:r>
        <w:rPr>
          <w:rFonts w:ascii="Times New Roman" w:hAnsi="Times New Roman"/>
          <w:b/>
          <w:bCs/>
          <w:noProof/>
          <w:sz w:val="24"/>
          <w:szCs w:val="24"/>
        </w:rPr>
        <w:t>здравна</w:t>
      </w:r>
      <w:r>
        <w:rPr>
          <w:rFonts w:ascii="Times New Roman" w:hAnsi="Times New Roman"/>
          <w:b/>
          <w:bCs/>
          <w:noProof/>
          <w:sz w:val="24"/>
          <w:szCs w:val="24"/>
          <w:lang w:val="fr-BE"/>
        </w:rPr>
        <w:t xml:space="preserve"> </w:t>
      </w:r>
      <w:r>
        <w:rPr>
          <w:rFonts w:ascii="Times New Roman" w:hAnsi="Times New Roman"/>
          <w:b/>
          <w:bCs/>
          <w:noProof/>
          <w:sz w:val="24"/>
          <w:szCs w:val="24"/>
        </w:rPr>
        <w:t>криза</w:t>
      </w:r>
      <w:r>
        <w:rPr>
          <w:rFonts w:ascii="Times New Roman" w:hAnsi="Times New Roman"/>
          <w:b/>
          <w:bCs/>
          <w:noProof/>
          <w:sz w:val="24"/>
          <w:szCs w:val="24"/>
          <w:lang w:val="fr-BE"/>
        </w:rPr>
        <w:t>/</w:t>
      </w:r>
      <w:r>
        <w:rPr>
          <w:rFonts w:ascii="Times New Roman" w:hAnsi="Times New Roman"/>
          <w:b/>
          <w:bCs/>
          <w:noProof/>
          <w:sz w:val="24"/>
          <w:szCs w:val="24"/>
        </w:rPr>
        <w:t>пандемия</w:t>
      </w:r>
      <w:r>
        <w:rPr>
          <w:rFonts w:ascii="Times New Roman" w:hAnsi="Times New Roman"/>
          <w:noProof/>
          <w:sz w:val="24"/>
          <w:szCs w:val="24"/>
          <w:lang w:val="fr-BE"/>
        </w:rPr>
        <w:t xml:space="preserve">. </w:t>
      </w:r>
      <w:r>
        <w:rPr>
          <w:rFonts w:ascii="Times New Roman" w:hAnsi="Times New Roman"/>
          <w:noProof/>
          <w:sz w:val="24"/>
          <w:szCs w:val="24"/>
        </w:rPr>
        <w:t>Този</w:t>
      </w:r>
      <w:r>
        <w:rPr>
          <w:rFonts w:ascii="Times New Roman" w:hAnsi="Times New Roman"/>
          <w:noProof/>
          <w:sz w:val="24"/>
          <w:szCs w:val="24"/>
          <w:lang w:val="fr-BE"/>
        </w:rPr>
        <w:t xml:space="preserve"> </w:t>
      </w:r>
      <w:r>
        <w:rPr>
          <w:rFonts w:ascii="Times New Roman" w:hAnsi="Times New Roman"/>
          <w:noProof/>
          <w:sz w:val="24"/>
          <w:szCs w:val="24"/>
        </w:rPr>
        <w:t>план</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включва</w:t>
      </w:r>
      <w:r>
        <w:rPr>
          <w:rFonts w:ascii="Times New Roman" w:hAnsi="Times New Roman"/>
          <w:noProof/>
          <w:sz w:val="24"/>
          <w:szCs w:val="24"/>
          <w:lang w:val="fr-BE"/>
        </w:rPr>
        <w:t xml:space="preserve"> </w:t>
      </w:r>
      <w:r>
        <w:rPr>
          <w:rFonts w:ascii="Times New Roman" w:hAnsi="Times New Roman"/>
          <w:noProof/>
          <w:sz w:val="24"/>
          <w:szCs w:val="24"/>
        </w:rPr>
        <w:t>ясни</w:t>
      </w:r>
      <w:r>
        <w:rPr>
          <w:rFonts w:ascii="Times New Roman" w:hAnsi="Times New Roman"/>
          <w:noProof/>
          <w:sz w:val="24"/>
          <w:szCs w:val="24"/>
          <w:lang w:val="fr-BE"/>
        </w:rPr>
        <w:t xml:space="preserve"> </w:t>
      </w:r>
      <w:r>
        <w:rPr>
          <w:rFonts w:ascii="Times New Roman" w:hAnsi="Times New Roman"/>
          <w:noProof/>
          <w:sz w:val="24"/>
          <w:szCs w:val="24"/>
        </w:rPr>
        <w:t>разпоредби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приемат</w:t>
      </w:r>
      <w:r>
        <w:rPr>
          <w:rFonts w:ascii="Times New Roman" w:hAnsi="Times New Roman"/>
          <w:noProof/>
          <w:sz w:val="24"/>
          <w:szCs w:val="24"/>
          <w:lang w:val="fr-BE"/>
        </w:rPr>
        <w:t xml:space="preserve"> </w:t>
      </w:r>
      <w:r>
        <w:rPr>
          <w:rFonts w:ascii="Times New Roman" w:hAnsi="Times New Roman"/>
          <w:noProof/>
          <w:sz w:val="24"/>
          <w:szCs w:val="24"/>
        </w:rPr>
        <w:t>сходни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оперативно</w:t>
      </w:r>
      <w:r>
        <w:rPr>
          <w:rFonts w:ascii="Times New Roman" w:hAnsi="Times New Roman"/>
          <w:noProof/>
          <w:sz w:val="24"/>
          <w:szCs w:val="24"/>
          <w:lang w:val="fr-BE"/>
        </w:rPr>
        <w:t xml:space="preserve"> </w:t>
      </w:r>
      <w:r>
        <w:rPr>
          <w:rFonts w:ascii="Times New Roman" w:hAnsi="Times New Roman"/>
          <w:noProof/>
          <w:sz w:val="24"/>
          <w:szCs w:val="24"/>
        </w:rPr>
        <w:t>съвместими</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национално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местно</w:t>
      </w:r>
      <w:r>
        <w:rPr>
          <w:rFonts w:ascii="Times New Roman" w:hAnsi="Times New Roman"/>
          <w:noProof/>
          <w:sz w:val="24"/>
          <w:szCs w:val="24"/>
          <w:lang w:val="fr-BE"/>
        </w:rPr>
        <w:t xml:space="preserve"> </w:t>
      </w:r>
      <w:r>
        <w:rPr>
          <w:rFonts w:ascii="Times New Roman" w:hAnsi="Times New Roman"/>
          <w:noProof/>
          <w:sz w:val="24"/>
          <w:szCs w:val="24"/>
        </w:rPr>
        <w:t>равнище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гарантира</w:t>
      </w:r>
      <w:r>
        <w:rPr>
          <w:rFonts w:ascii="Times New Roman" w:hAnsi="Times New Roman"/>
          <w:noProof/>
          <w:sz w:val="24"/>
          <w:szCs w:val="24"/>
          <w:lang w:val="fr-BE"/>
        </w:rPr>
        <w:t xml:space="preserve">, </w:t>
      </w:r>
      <w:r>
        <w:rPr>
          <w:rFonts w:ascii="Times New Roman" w:hAnsi="Times New Roman"/>
          <w:noProof/>
          <w:sz w:val="24"/>
          <w:szCs w:val="24"/>
        </w:rPr>
        <w:t>че</w:t>
      </w:r>
      <w:r>
        <w:rPr>
          <w:rFonts w:ascii="Times New Roman" w:hAnsi="Times New Roman"/>
          <w:noProof/>
          <w:sz w:val="24"/>
          <w:szCs w:val="24"/>
          <w:lang w:val="fr-BE"/>
        </w:rPr>
        <w:t xml:space="preserve"> </w:t>
      </w:r>
      <w:r>
        <w:rPr>
          <w:rFonts w:ascii="Times New Roman" w:hAnsi="Times New Roman"/>
          <w:noProof/>
          <w:sz w:val="24"/>
          <w:szCs w:val="24"/>
        </w:rPr>
        <w:t>тези</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noProof/>
          <w:sz w:val="24"/>
          <w:szCs w:val="24"/>
          <w:lang w:val="fr-BE"/>
        </w:rPr>
        <w:t xml:space="preserve"> </w:t>
      </w:r>
      <w:r>
        <w:rPr>
          <w:rFonts w:ascii="Times New Roman" w:hAnsi="Times New Roman"/>
          <w:noProof/>
          <w:sz w:val="24"/>
          <w:szCs w:val="24"/>
        </w:rPr>
        <w:t>действително</w:t>
      </w:r>
      <w:r>
        <w:rPr>
          <w:rFonts w:ascii="Times New Roman" w:hAnsi="Times New Roman"/>
          <w:noProof/>
          <w:sz w:val="24"/>
          <w:szCs w:val="24"/>
          <w:lang w:val="fr-BE"/>
        </w:rPr>
        <w:t xml:space="preserve"> </w:t>
      </w:r>
      <w:r>
        <w:rPr>
          <w:rFonts w:ascii="Times New Roman" w:hAnsi="Times New Roman"/>
          <w:noProof/>
          <w:sz w:val="24"/>
          <w:szCs w:val="24"/>
        </w:rPr>
        <w:t>работят</w:t>
      </w:r>
      <w:r>
        <w:rPr>
          <w:rFonts w:ascii="Times New Roman" w:hAnsi="Times New Roman"/>
          <w:noProof/>
          <w:sz w:val="24"/>
          <w:szCs w:val="24"/>
          <w:lang w:val="fr-BE"/>
        </w:rPr>
        <w:t xml:space="preserve"> </w:t>
      </w:r>
      <w:r>
        <w:rPr>
          <w:rFonts w:ascii="Times New Roman" w:hAnsi="Times New Roman"/>
          <w:noProof/>
          <w:sz w:val="24"/>
          <w:szCs w:val="24"/>
        </w:rPr>
        <w:t>във</w:t>
      </w:r>
      <w:r>
        <w:rPr>
          <w:rFonts w:ascii="Times New Roman" w:hAnsi="Times New Roman"/>
          <w:noProof/>
          <w:sz w:val="24"/>
          <w:szCs w:val="24"/>
          <w:lang w:val="fr-BE"/>
        </w:rPr>
        <w:t xml:space="preserve"> </w:t>
      </w:r>
      <w:r>
        <w:rPr>
          <w:rFonts w:ascii="Times New Roman" w:hAnsi="Times New Roman"/>
          <w:noProof/>
          <w:sz w:val="24"/>
          <w:szCs w:val="24"/>
        </w:rPr>
        <w:t>времена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криза</w:t>
      </w:r>
      <w:r>
        <w:rPr>
          <w:rFonts w:ascii="Times New Roman" w:hAnsi="Times New Roman"/>
          <w:noProof/>
          <w:sz w:val="24"/>
          <w:szCs w:val="24"/>
          <w:lang w:val="fr-BE"/>
        </w:rPr>
        <w:t xml:space="preserve">, </w:t>
      </w:r>
      <w:r>
        <w:rPr>
          <w:rFonts w:ascii="Times New Roman" w:hAnsi="Times New Roman"/>
          <w:b/>
          <w:bCs/>
          <w:noProof/>
          <w:sz w:val="24"/>
          <w:szCs w:val="24"/>
        </w:rPr>
        <w:t>ще</w:t>
      </w:r>
      <w:r>
        <w:rPr>
          <w:rFonts w:ascii="Times New Roman" w:hAnsi="Times New Roman"/>
          <w:b/>
          <w:bCs/>
          <w:noProof/>
          <w:sz w:val="24"/>
          <w:szCs w:val="24"/>
          <w:lang w:val="fr-BE"/>
        </w:rPr>
        <w:t xml:space="preserve"> </w:t>
      </w:r>
      <w:r>
        <w:rPr>
          <w:rFonts w:ascii="Times New Roman" w:hAnsi="Times New Roman"/>
          <w:b/>
          <w:bCs/>
          <w:noProof/>
          <w:sz w:val="24"/>
          <w:szCs w:val="24"/>
        </w:rPr>
        <w:t>бъдат</w:t>
      </w:r>
      <w:r>
        <w:rPr>
          <w:rFonts w:ascii="Times New Roman" w:hAnsi="Times New Roman"/>
          <w:b/>
          <w:bCs/>
          <w:noProof/>
          <w:sz w:val="24"/>
          <w:szCs w:val="24"/>
          <w:lang w:val="fr-BE"/>
        </w:rPr>
        <w:t xml:space="preserve"> </w:t>
      </w:r>
      <w:r>
        <w:rPr>
          <w:rFonts w:ascii="Times New Roman" w:hAnsi="Times New Roman"/>
          <w:b/>
          <w:bCs/>
          <w:noProof/>
          <w:sz w:val="24"/>
          <w:szCs w:val="24"/>
        </w:rPr>
        <w:t>организирани</w:t>
      </w:r>
      <w:r>
        <w:rPr>
          <w:rFonts w:ascii="Times New Roman" w:hAnsi="Times New Roman"/>
          <w:b/>
          <w:bCs/>
          <w:noProof/>
          <w:sz w:val="24"/>
          <w:szCs w:val="24"/>
          <w:lang w:val="fr-BE"/>
        </w:rPr>
        <w:t xml:space="preserve"> </w:t>
      </w:r>
      <w:r>
        <w:rPr>
          <w:rFonts w:ascii="Times New Roman" w:hAnsi="Times New Roman"/>
          <w:b/>
          <w:bCs/>
          <w:noProof/>
          <w:sz w:val="24"/>
          <w:szCs w:val="24"/>
        </w:rPr>
        <w:t>редовни</w:t>
      </w:r>
      <w:r>
        <w:rPr>
          <w:rFonts w:ascii="Times New Roman" w:hAnsi="Times New Roman"/>
          <w:b/>
          <w:bCs/>
          <w:noProof/>
          <w:sz w:val="24"/>
          <w:szCs w:val="24"/>
          <w:lang w:val="fr-BE"/>
        </w:rPr>
        <w:t xml:space="preserve"> </w:t>
      </w:r>
      <w:r>
        <w:rPr>
          <w:rFonts w:ascii="Times New Roman" w:hAnsi="Times New Roman"/>
          <w:b/>
          <w:bCs/>
          <w:noProof/>
          <w:sz w:val="24"/>
          <w:szCs w:val="24"/>
        </w:rPr>
        <w:t>общи</w:t>
      </w:r>
      <w:r>
        <w:rPr>
          <w:rFonts w:ascii="Times New Roman" w:hAnsi="Times New Roman"/>
          <w:b/>
          <w:bCs/>
          <w:noProof/>
          <w:sz w:val="24"/>
          <w:szCs w:val="24"/>
          <w:lang w:val="fr-BE"/>
        </w:rPr>
        <w:t xml:space="preserve"> </w:t>
      </w:r>
      <w:r>
        <w:rPr>
          <w:rFonts w:ascii="Times New Roman" w:hAnsi="Times New Roman"/>
          <w:b/>
          <w:bCs/>
          <w:noProof/>
          <w:sz w:val="24"/>
          <w:szCs w:val="24"/>
        </w:rPr>
        <w:t>обучения</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ще</w:t>
      </w:r>
      <w:r>
        <w:rPr>
          <w:rFonts w:ascii="Times New Roman" w:hAnsi="Times New Roman"/>
          <w:b/>
          <w:bCs/>
          <w:noProof/>
          <w:sz w:val="24"/>
          <w:szCs w:val="24"/>
          <w:lang w:val="fr-BE"/>
        </w:rPr>
        <w:t xml:space="preserve"> </w:t>
      </w:r>
      <w:r>
        <w:rPr>
          <w:rFonts w:ascii="Times New Roman" w:hAnsi="Times New Roman"/>
          <w:b/>
          <w:bCs/>
          <w:noProof/>
          <w:sz w:val="24"/>
          <w:szCs w:val="24"/>
        </w:rPr>
        <w:t>бъдат</w:t>
      </w:r>
      <w:r>
        <w:rPr>
          <w:rFonts w:ascii="Times New Roman" w:hAnsi="Times New Roman"/>
          <w:b/>
          <w:bCs/>
          <w:noProof/>
          <w:sz w:val="24"/>
          <w:szCs w:val="24"/>
          <w:lang w:val="fr-BE"/>
        </w:rPr>
        <w:t xml:space="preserve"> </w:t>
      </w:r>
      <w:r>
        <w:rPr>
          <w:rFonts w:ascii="Times New Roman" w:hAnsi="Times New Roman"/>
          <w:b/>
          <w:bCs/>
          <w:noProof/>
          <w:sz w:val="24"/>
          <w:szCs w:val="24"/>
        </w:rPr>
        <w:t>извършвани</w:t>
      </w:r>
      <w:r>
        <w:rPr>
          <w:rFonts w:ascii="Times New Roman" w:hAnsi="Times New Roman"/>
          <w:b/>
          <w:bCs/>
          <w:noProof/>
          <w:sz w:val="24"/>
          <w:szCs w:val="24"/>
          <w:lang w:val="fr-BE"/>
        </w:rPr>
        <w:t xml:space="preserve"> </w:t>
      </w:r>
      <w:r>
        <w:rPr>
          <w:rFonts w:ascii="Times New Roman" w:hAnsi="Times New Roman"/>
          <w:b/>
          <w:bCs/>
          <w:noProof/>
          <w:sz w:val="24"/>
          <w:szCs w:val="24"/>
        </w:rPr>
        <w:t>прегледи</w:t>
      </w:r>
      <w:r>
        <w:rPr>
          <w:rFonts w:ascii="Times New Roman" w:hAnsi="Times New Roman"/>
          <w:b/>
          <w:bCs/>
          <w:noProof/>
          <w:sz w:val="24"/>
          <w:szCs w:val="24"/>
          <w:lang w:val="fr-BE"/>
        </w:rPr>
        <w:t xml:space="preserve"> </w:t>
      </w:r>
      <w:r>
        <w:rPr>
          <w:rFonts w:ascii="Times New Roman" w:hAnsi="Times New Roman"/>
          <w:b/>
          <w:bCs/>
          <w:noProof/>
          <w:sz w:val="24"/>
          <w:szCs w:val="24"/>
        </w:rPr>
        <w:t>след</w:t>
      </w:r>
      <w:r>
        <w:rPr>
          <w:rFonts w:ascii="Times New Roman" w:hAnsi="Times New Roman"/>
          <w:b/>
          <w:bCs/>
          <w:noProof/>
          <w:sz w:val="24"/>
          <w:szCs w:val="24"/>
          <w:lang w:val="fr-BE"/>
        </w:rPr>
        <w:t xml:space="preserve"> </w:t>
      </w:r>
      <w:r>
        <w:rPr>
          <w:rFonts w:ascii="Times New Roman" w:hAnsi="Times New Roman"/>
          <w:b/>
          <w:bCs/>
          <w:noProof/>
          <w:sz w:val="24"/>
          <w:szCs w:val="24"/>
        </w:rPr>
        <w:t>изпълнението</w:t>
      </w:r>
      <w:r>
        <w:rPr>
          <w:rFonts w:ascii="Times New Roman" w:hAnsi="Times New Roman"/>
          <w:b/>
          <w:bCs/>
          <w:noProof/>
          <w:sz w:val="24"/>
          <w:szCs w:val="24"/>
          <w:lang w:val="fr-BE"/>
        </w:rPr>
        <w:t xml:space="preserve">, </w:t>
      </w:r>
      <w:r>
        <w:rPr>
          <w:rFonts w:ascii="Times New Roman" w:hAnsi="Times New Roman"/>
          <w:b/>
          <w:bCs/>
          <w:noProof/>
          <w:sz w:val="24"/>
          <w:szCs w:val="24"/>
        </w:rPr>
        <w:t>за</w:t>
      </w:r>
      <w:r>
        <w:rPr>
          <w:rFonts w:ascii="Times New Roman" w:hAnsi="Times New Roman"/>
          <w:b/>
          <w:bCs/>
          <w:noProof/>
          <w:sz w:val="24"/>
          <w:szCs w:val="24"/>
          <w:lang w:val="fr-BE"/>
        </w:rPr>
        <w:t xml:space="preserve"> </w:t>
      </w:r>
      <w:r>
        <w:rPr>
          <w:rFonts w:ascii="Times New Roman" w:hAnsi="Times New Roman"/>
          <w:b/>
          <w:bCs/>
          <w:noProof/>
          <w:sz w:val="24"/>
          <w:szCs w:val="24"/>
        </w:rPr>
        <w:t>да</w:t>
      </w:r>
      <w:r>
        <w:rPr>
          <w:rFonts w:ascii="Times New Roman" w:hAnsi="Times New Roman"/>
          <w:b/>
          <w:bCs/>
          <w:noProof/>
          <w:sz w:val="24"/>
          <w:szCs w:val="24"/>
          <w:lang w:val="fr-BE"/>
        </w:rPr>
        <w:t xml:space="preserve"> </w:t>
      </w:r>
      <w:r>
        <w:rPr>
          <w:rFonts w:ascii="Times New Roman" w:hAnsi="Times New Roman"/>
          <w:b/>
          <w:bCs/>
          <w:noProof/>
          <w:sz w:val="24"/>
          <w:szCs w:val="24"/>
        </w:rPr>
        <w:t>се</w:t>
      </w:r>
      <w:r>
        <w:rPr>
          <w:rFonts w:ascii="Times New Roman" w:hAnsi="Times New Roman"/>
          <w:b/>
          <w:bCs/>
          <w:noProof/>
          <w:sz w:val="24"/>
          <w:szCs w:val="24"/>
          <w:lang w:val="fr-BE"/>
        </w:rPr>
        <w:t xml:space="preserve"> </w:t>
      </w:r>
      <w:r>
        <w:rPr>
          <w:rFonts w:ascii="Times New Roman" w:hAnsi="Times New Roman"/>
          <w:b/>
          <w:bCs/>
          <w:noProof/>
          <w:sz w:val="24"/>
          <w:szCs w:val="24"/>
        </w:rPr>
        <w:t>приложат</w:t>
      </w:r>
      <w:r>
        <w:rPr>
          <w:rFonts w:ascii="Times New Roman" w:hAnsi="Times New Roman"/>
          <w:b/>
          <w:bCs/>
          <w:noProof/>
          <w:sz w:val="24"/>
          <w:szCs w:val="24"/>
          <w:lang w:val="fr-BE"/>
        </w:rPr>
        <w:t xml:space="preserve"> </w:t>
      </w:r>
      <w:r>
        <w:rPr>
          <w:rFonts w:ascii="Times New Roman" w:hAnsi="Times New Roman"/>
          <w:b/>
          <w:bCs/>
          <w:noProof/>
          <w:sz w:val="24"/>
          <w:szCs w:val="24"/>
        </w:rPr>
        <w:t>корективни</w:t>
      </w:r>
      <w:r>
        <w:rPr>
          <w:rFonts w:ascii="Times New Roman" w:hAnsi="Times New Roman"/>
          <w:b/>
          <w:bCs/>
          <w:noProof/>
          <w:sz w:val="24"/>
          <w:szCs w:val="24"/>
          <w:lang w:val="fr-BE"/>
        </w:rPr>
        <w:t xml:space="preserve"> </w:t>
      </w:r>
      <w:r>
        <w:rPr>
          <w:rFonts w:ascii="Times New Roman" w:hAnsi="Times New Roman"/>
          <w:b/>
          <w:bCs/>
          <w:noProof/>
          <w:sz w:val="24"/>
          <w:szCs w:val="24"/>
        </w:rPr>
        <w:t>мерки</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С</w:t>
      </w:r>
      <w:r>
        <w:rPr>
          <w:rFonts w:ascii="Times New Roman" w:hAnsi="Times New Roman"/>
          <w:noProof/>
          <w:sz w:val="24"/>
          <w:szCs w:val="24"/>
          <w:lang w:val="fr-BE"/>
        </w:rPr>
        <w:t xml:space="preserve"> </w:t>
      </w:r>
      <w:r>
        <w:rPr>
          <w:rFonts w:ascii="Times New Roman" w:hAnsi="Times New Roman"/>
          <w:noProof/>
          <w:sz w:val="24"/>
          <w:szCs w:val="24"/>
        </w:rPr>
        <w:t>цел</w:t>
      </w:r>
      <w:r>
        <w:rPr>
          <w:rFonts w:ascii="Times New Roman" w:hAnsi="Times New Roman"/>
          <w:noProof/>
          <w:sz w:val="24"/>
          <w:szCs w:val="24"/>
          <w:lang w:val="fr-BE"/>
        </w:rPr>
        <w:t xml:space="preserve"> </w:t>
      </w:r>
      <w:r>
        <w:rPr>
          <w:rFonts w:ascii="Times New Roman" w:hAnsi="Times New Roman"/>
          <w:noProof/>
          <w:sz w:val="24"/>
          <w:szCs w:val="24"/>
        </w:rPr>
        <w:t>допълнително</w:t>
      </w:r>
      <w:r>
        <w:rPr>
          <w:rFonts w:ascii="Times New Roman" w:hAnsi="Times New Roman"/>
          <w:noProof/>
          <w:sz w:val="24"/>
          <w:szCs w:val="24"/>
          <w:lang w:val="fr-BE"/>
        </w:rPr>
        <w:t xml:space="preserve"> </w:t>
      </w:r>
      <w:r>
        <w:rPr>
          <w:rFonts w:ascii="Times New Roman" w:hAnsi="Times New Roman"/>
          <w:noProof/>
          <w:sz w:val="24"/>
          <w:szCs w:val="24"/>
        </w:rPr>
        <w:t>укрепване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привеждането</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действие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тези</w:t>
      </w:r>
      <w:r>
        <w:rPr>
          <w:rFonts w:ascii="Times New Roman" w:hAnsi="Times New Roman"/>
          <w:noProof/>
          <w:sz w:val="24"/>
          <w:szCs w:val="24"/>
          <w:lang w:val="fr-BE"/>
        </w:rPr>
        <w:t xml:space="preserve"> </w:t>
      </w:r>
      <w:r>
        <w:rPr>
          <w:rFonts w:ascii="Times New Roman" w:hAnsi="Times New Roman"/>
          <w:noProof/>
          <w:sz w:val="24"/>
          <w:szCs w:val="24"/>
        </w:rPr>
        <w:t>планове</w:t>
      </w:r>
      <w:r>
        <w:rPr>
          <w:rFonts w:ascii="Times New Roman" w:hAnsi="Times New Roman"/>
          <w:b/>
          <w:bCs/>
          <w:noProof/>
          <w:sz w:val="24"/>
          <w:szCs w:val="24"/>
          <w:lang w:val="fr-BE"/>
        </w:rPr>
        <w:t xml:space="preserve"> </w:t>
      </w:r>
      <w:r>
        <w:rPr>
          <w:rFonts w:ascii="Times New Roman" w:hAnsi="Times New Roman"/>
          <w:b/>
          <w:bCs/>
          <w:noProof/>
          <w:sz w:val="24"/>
          <w:szCs w:val="24"/>
        </w:rPr>
        <w:t>ще</w:t>
      </w:r>
      <w:r>
        <w:rPr>
          <w:rFonts w:ascii="Times New Roman" w:hAnsi="Times New Roman"/>
          <w:b/>
          <w:bCs/>
          <w:noProof/>
          <w:sz w:val="24"/>
          <w:szCs w:val="24"/>
          <w:lang w:val="fr-BE"/>
        </w:rPr>
        <w:t xml:space="preserve"> </w:t>
      </w:r>
      <w:r>
        <w:rPr>
          <w:rFonts w:ascii="Times New Roman" w:hAnsi="Times New Roman"/>
          <w:b/>
          <w:bCs/>
          <w:noProof/>
          <w:sz w:val="24"/>
          <w:szCs w:val="24"/>
        </w:rPr>
        <w:t>започне</w:t>
      </w:r>
      <w:r>
        <w:rPr>
          <w:rFonts w:ascii="Times New Roman" w:hAnsi="Times New Roman"/>
          <w:b/>
          <w:bCs/>
          <w:noProof/>
          <w:sz w:val="24"/>
          <w:szCs w:val="24"/>
          <w:lang w:val="fr-BE"/>
        </w:rPr>
        <w:t xml:space="preserve"> </w:t>
      </w:r>
      <w:r>
        <w:rPr>
          <w:rFonts w:ascii="Times New Roman" w:hAnsi="Times New Roman"/>
          <w:b/>
          <w:bCs/>
          <w:noProof/>
          <w:sz w:val="24"/>
          <w:szCs w:val="24"/>
        </w:rPr>
        <w:t>процес</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одит</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равнище</w:t>
      </w:r>
      <w:r>
        <w:rPr>
          <w:rFonts w:ascii="Times New Roman" w:hAnsi="Times New Roman"/>
          <w:b/>
          <w:bCs/>
          <w:noProof/>
          <w:sz w:val="24"/>
          <w:szCs w:val="24"/>
          <w:lang w:val="fr-BE"/>
        </w:rPr>
        <w:t xml:space="preserve"> </w:t>
      </w:r>
      <w:r>
        <w:rPr>
          <w:rFonts w:ascii="Times New Roman" w:hAnsi="Times New Roman"/>
          <w:b/>
          <w:bCs/>
          <w:noProof/>
          <w:sz w:val="24"/>
          <w:szCs w:val="24"/>
        </w:rPr>
        <w:t>ЕС</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националния</w:t>
      </w:r>
      <w:r>
        <w:rPr>
          <w:rFonts w:ascii="Times New Roman" w:hAnsi="Times New Roman"/>
          <w:b/>
          <w:bCs/>
          <w:noProof/>
          <w:sz w:val="24"/>
          <w:szCs w:val="24"/>
          <w:lang w:val="fr-BE"/>
        </w:rPr>
        <w:t xml:space="preserve"> </w:t>
      </w:r>
      <w:r>
        <w:rPr>
          <w:rFonts w:ascii="Times New Roman" w:hAnsi="Times New Roman"/>
          <w:b/>
          <w:bCs/>
          <w:noProof/>
          <w:sz w:val="24"/>
          <w:szCs w:val="24"/>
        </w:rPr>
        <w:t>капацитет</w:t>
      </w:r>
      <w:r>
        <w:rPr>
          <w:rFonts w:ascii="Times New Roman" w:hAnsi="Times New Roman"/>
          <w:noProof/>
          <w:sz w:val="24"/>
          <w:szCs w:val="24"/>
          <w:lang w:val="fr-BE"/>
        </w:rPr>
        <w:t xml:space="preserve">. </w:t>
      </w:r>
      <w:r>
        <w:rPr>
          <w:rFonts w:ascii="Times New Roman" w:hAnsi="Times New Roman"/>
          <w:noProof/>
          <w:sz w:val="24"/>
          <w:szCs w:val="24"/>
        </w:rPr>
        <w:t>Комисията</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ръководи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координира</w:t>
      </w:r>
      <w:r>
        <w:rPr>
          <w:rFonts w:ascii="Times New Roman" w:hAnsi="Times New Roman"/>
          <w:noProof/>
          <w:sz w:val="24"/>
          <w:szCs w:val="24"/>
          <w:lang w:val="fr-BE"/>
        </w:rPr>
        <w:t xml:space="preserve"> </w:t>
      </w:r>
      <w:r>
        <w:rPr>
          <w:rFonts w:ascii="Times New Roman" w:hAnsi="Times New Roman"/>
          <w:noProof/>
          <w:sz w:val="24"/>
          <w:szCs w:val="24"/>
        </w:rPr>
        <w:t>процеса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одит</w:t>
      </w:r>
      <w:r>
        <w:rPr>
          <w:rFonts w:ascii="Times New Roman" w:hAnsi="Times New Roman"/>
          <w:noProof/>
          <w:sz w:val="24"/>
          <w:szCs w:val="24"/>
          <w:lang w:val="fr-BE"/>
        </w:rPr>
        <w:t xml:space="preserve">, </w:t>
      </w:r>
      <w:r>
        <w:rPr>
          <w:rFonts w:ascii="Times New Roman" w:hAnsi="Times New Roman"/>
          <w:noProof/>
          <w:sz w:val="24"/>
          <w:szCs w:val="24"/>
        </w:rPr>
        <w:t>като</w:t>
      </w:r>
      <w:r>
        <w:rPr>
          <w:rFonts w:ascii="Times New Roman" w:hAnsi="Times New Roman"/>
          <w:noProof/>
          <w:sz w:val="24"/>
          <w:szCs w:val="24"/>
          <w:lang w:val="fr-BE"/>
        </w:rPr>
        <w:t xml:space="preserve"> </w:t>
      </w:r>
      <w:r>
        <w:rPr>
          <w:rFonts w:ascii="Times New Roman" w:hAnsi="Times New Roman"/>
          <w:noProof/>
          <w:sz w:val="24"/>
          <w:szCs w:val="24"/>
        </w:rPr>
        <w:t>техническото</w:t>
      </w:r>
      <w:r>
        <w:rPr>
          <w:rFonts w:ascii="Times New Roman" w:hAnsi="Times New Roman"/>
          <w:noProof/>
          <w:sz w:val="24"/>
          <w:szCs w:val="24"/>
          <w:lang w:val="fr-BE"/>
        </w:rPr>
        <w:t xml:space="preserve"> </w:t>
      </w:r>
      <w:r>
        <w:rPr>
          <w:rFonts w:ascii="Times New Roman" w:hAnsi="Times New Roman"/>
          <w:noProof/>
          <w:sz w:val="24"/>
          <w:szCs w:val="24"/>
        </w:rPr>
        <w:t>изпълнение</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извършва</w:t>
      </w:r>
      <w:r>
        <w:rPr>
          <w:rFonts w:ascii="Times New Roman" w:hAnsi="Times New Roman"/>
          <w:noProof/>
          <w:sz w:val="24"/>
          <w:szCs w:val="24"/>
          <w:lang w:val="fr-BE"/>
        </w:rPr>
        <w:t xml:space="preserve"> </w:t>
      </w:r>
      <w:r>
        <w:rPr>
          <w:rFonts w:ascii="Times New Roman" w:hAnsi="Times New Roman"/>
          <w:noProof/>
          <w:sz w:val="24"/>
          <w:szCs w:val="24"/>
        </w:rPr>
        <w:t>основно</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ECDC,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осигури</w:t>
      </w:r>
      <w:r>
        <w:rPr>
          <w:rFonts w:ascii="Times New Roman" w:hAnsi="Times New Roman"/>
          <w:noProof/>
          <w:sz w:val="24"/>
          <w:szCs w:val="24"/>
          <w:lang w:val="fr-BE"/>
        </w:rPr>
        <w:t xml:space="preserve"> </w:t>
      </w:r>
      <w:r>
        <w:rPr>
          <w:rFonts w:ascii="Times New Roman" w:hAnsi="Times New Roman"/>
          <w:noProof/>
          <w:sz w:val="24"/>
          <w:szCs w:val="24"/>
        </w:rPr>
        <w:t>по</w:t>
      </w:r>
      <w:r>
        <w:rPr>
          <w:rFonts w:ascii="Times New Roman" w:hAnsi="Times New Roman"/>
          <w:noProof/>
          <w:sz w:val="24"/>
          <w:szCs w:val="24"/>
          <w:lang w:val="fr-BE"/>
        </w:rPr>
        <w:t>-</w:t>
      </w:r>
      <w:r>
        <w:rPr>
          <w:rFonts w:ascii="Times New Roman" w:hAnsi="Times New Roman"/>
          <w:noProof/>
          <w:sz w:val="24"/>
          <w:szCs w:val="24"/>
        </w:rPr>
        <w:t>нататъшна</w:t>
      </w:r>
      <w:r>
        <w:rPr>
          <w:rFonts w:ascii="Times New Roman" w:hAnsi="Times New Roman"/>
          <w:noProof/>
          <w:sz w:val="24"/>
          <w:szCs w:val="24"/>
          <w:lang w:val="fr-BE"/>
        </w:rPr>
        <w:t xml:space="preserve"> </w:t>
      </w:r>
      <w:r>
        <w:rPr>
          <w:rFonts w:ascii="Times New Roman" w:hAnsi="Times New Roman"/>
          <w:noProof/>
          <w:sz w:val="24"/>
          <w:szCs w:val="24"/>
        </w:rPr>
        <w:t>готовност</w:t>
      </w:r>
      <w:r>
        <w:rPr>
          <w:rFonts w:ascii="Times New Roman" w:hAnsi="Times New Roman"/>
          <w:noProof/>
          <w:sz w:val="24"/>
          <w:szCs w:val="24"/>
          <w:lang w:val="fr-BE"/>
        </w:rPr>
        <w:t xml:space="preserve">, </w:t>
      </w:r>
      <w:r>
        <w:rPr>
          <w:rFonts w:ascii="Times New Roman" w:hAnsi="Times New Roman"/>
          <w:noProof/>
          <w:sz w:val="24"/>
          <w:szCs w:val="24"/>
        </w:rPr>
        <w:t>прозрачност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подходящо</w:t>
      </w:r>
      <w:r>
        <w:rPr>
          <w:rFonts w:ascii="Times New Roman" w:hAnsi="Times New Roman"/>
          <w:noProof/>
          <w:sz w:val="24"/>
          <w:szCs w:val="24"/>
          <w:lang w:val="fr-BE"/>
        </w:rPr>
        <w:t xml:space="preserve"> </w:t>
      </w:r>
      <w:r>
        <w:rPr>
          <w:rFonts w:ascii="Times New Roman" w:hAnsi="Times New Roman"/>
          <w:noProof/>
          <w:sz w:val="24"/>
          <w:szCs w:val="24"/>
        </w:rPr>
        <w:t>привеждане</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действие</w:t>
      </w:r>
      <w:r>
        <w:rPr>
          <w:rFonts w:ascii="Times New Roman" w:hAnsi="Times New Roman"/>
          <w:noProof/>
          <w:sz w:val="24"/>
          <w:szCs w:val="24"/>
          <w:lang w:val="fr-BE"/>
        </w:rPr>
        <w:t xml:space="preserve">. </w:t>
      </w:r>
      <w:r>
        <w:rPr>
          <w:rFonts w:ascii="Times New Roman" w:hAnsi="Times New Roman"/>
          <w:noProof/>
          <w:sz w:val="24"/>
          <w:szCs w:val="24"/>
        </w:rPr>
        <w:t>Комисията</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докладва</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тези</w:t>
      </w:r>
      <w:r>
        <w:rPr>
          <w:rFonts w:ascii="Times New Roman" w:hAnsi="Times New Roman"/>
          <w:noProof/>
          <w:sz w:val="24"/>
          <w:szCs w:val="24"/>
          <w:lang w:val="fr-BE"/>
        </w:rPr>
        <w:t xml:space="preserve"> </w:t>
      </w:r>
      <w:r>
        <w:rPr>
          <w:rFonts w:ascii="Times New Roman" w:hAnsi="Times New Roman"/>
          <w:noProof/>
          <w:sz w:val="24"/>
          <w:szCs w:val="24"/>
        </w:rPr>
        <w:t>констатации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Европейския</w:t>
      </w:r>
      <w:r>
        <w:rPr>
          <w:rFonts w:ascii="Times New Roman" w:hAnsi="Times New Roman"/>
          <w:noProof/>
          <w:sz w:val="24"/>
          <w:szCs w:val="24"/>
          <w:lang w:val="fr-BE"/>
        </w:rPr>
        <w:t xml:space="preserve"> </w:t>
      </w:r>
      <w:r>
        <w:rPr>
          <w:rFonts w:ascii="Times New Roman" w:hAnsi="Times New Roman"/>
          <w:noProof/>
          <w:sz w:val="24"/>
          <w:szCs w:val="24"/>
        </w:rPr>
        <w:t>парламент</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Съвета</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Заключенията</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бъдат</w:t>
      </w:r>
      <w:r>
        <w:rPr>
          <w:rFonts w:ascii="Times New Roman" w:hAnsi="Times New Roman"/>
          <w:noProof/>
          <w:sz w:val="24"/>
          <w:szCs w:val="24"/>
          <w:lang w:val="fr-BE"/>
        </w:rPr>
        <w:t xml:space="preserve"> </w:t>
      </w:r>
      <w:r>
        <w:rPr>
          <w:rFonts w:ascii="Times New Roman" w:hAnsi="Times New Roman"/>
          <w:noProof/>
          <w:sz w:val="24"/>
          <w:szCs w:val="24"/>
        </w:rPr>
        <w:t>използвани</w:t>
      </w:r>
      <w:r>
        <w:rPr>
          <w:rFonts w:ascii="Times New Roman" w:hAnsi="Times New Roman"/>
          <w:noProof/>
          <w:sz w:val="24"/>
          <w:szCs w:val="24"/>
          <w:lang w:val="fr-BE"/>
        </w:rPr>
        <w:t xml:space="preserve">, </w:t>
      </w:r>
      <w:r>
        <w:rPr>
          <w:rFonts w:ascii="Times New Roman" w:hAnsi="Times New Roman"/>
          <w:b/>
          <w:bCs/>
          <w:noProof/>
          <w:sz w:val="24"/>
          <w:szCs w:val="24"/>
        </w:rPr>
        <w:t>за</w:t>
      </w:r>
      <w:r>
        <w:rPr>
          <w:rFonts w:ascii="Times New Roman" w:hAnsi="Times New Roman"/>
          <w:b/>
          <w:bCs/>
          <w:noProof/>
          <w:sz w:val="24"/>
          <w:szCs w:val="24"/>
          <w:lang w:val="fr-BE"/>
        </w:rPr>
        <w:t xml:space="preserve"> </w:t>
      </w:r>
      <w:r>
        <w:rPr>
          <w:rFonts w:ascii="Times New Roman" w:hAnsi="Times New Roman"/>
          <w:b/>
          <w:bCs/>
          <w:noProof/>
          <w:sz w:val="24"/>
          <w:szCs w:val="24"/>
        </w:rPr>
        <w:t>да</w:t>
      </w:r>
      <w:r>
        <w:rPr>
          <w:rFonts w:ascii="Times New Roman" w:hAnsi="Times New Roman"/>
          <w:b/>
          <w:bCs/>
          <w:noProof/>
          <w:sz w:val="24"/>
          <w:szCs w:val="24"/>
          <w:lang w:val="fr-BE"/>
        </w:rPr>
        <w:t xml:space="preserve"> </w:t>
      </w:r>
      <w:r>
        <w:rPr>
          <w:rFonts w:ascii="Times New Roman" w:hAnsi="Times New Roman"/>
          <w:b/>
          <w:bCs/>
          <w:noProof/>
          <w:sz w:val="24"/>
          <w:szCs w:val="24"/>
        </w:rPr>
        <w:t>се</w:t>
      </w:r>
      <w:r>
        <w:rPr>
          <w:rFonts w:ascii="Times New Roman" w:hAnsi="Times New Roman"/>
          <w:b/>
          <w:bCs/>
          <w:noProof/>
          <w:sz w:val="24"/>
          <w:szCs w:val="24"/>
          <w:lang w:val="fr-BE"/>
        </w:rPr>
        <w:t xml:space="preserve"> </w:t>
      </w:r>
      <w:r>
        <w:rPr>
          <w:rFonts w:ascii="Times New Roman" w:hAnsi="Times New Roman"/>
          <w:b/>
          <w:bCs/>
          <w:noProof/>
          <w:sz w:val="24"/>
          <w:szCs w:val="24"/>
        </w:rPr>
        <w:t>попълнят</w:t>
      </w:r>
      <w:r>
        <w:rPr>
          <w:rFonts w:ascii="Times New Roman" w:hAnsi="Times New Roman"/>
          <w:b/>
          <w:bCs/>
          <w:noProof/>
          <w:sz w:val="24"/>
          <w:szCs w:val="24"/>
          <w:lang w:val="fr-BE"/>
        </w:rPr>
        <w:t xml:space="preserve"> </w:t>
      </w:r>
      <w:r>
        <w:rPr>
          <w:rFonts w:ascii="Times New Roman" w:hAnsi="Times New Roman"/>
          <w:b/>
          <w:bCs/>
          <w:noProof/>
          <w:sz w:val="24"/>
          <w:szCs w:val="24"/>
        </w:rPr>
        <w:t>празнините</w:t>
      </w:r>
      <w:r>
        <w:rPr>
          <w:rFonts w:ascii="Times New Roman" w:hAnsi="Times New Roman"/>
          <w:b/>
          <w:bCs/>
          <w:noProof/>
          <w:sz w:val="24"/>
          <w:szCs w:val="24"/>
          <w:lang w:val="fr-BE"/>
        </w:rPr>
        <w:t xml:space="preserve">, </w:t>
      </w:r>
      <w:r>
        <w:rPr>
          <w:rFonts w:ascii="Times New Roman" w:hAnsi="Times New Roman"/>
          <w:b/>
          <w:bCs/>
          <w:noProof/>
          <w:sz w:val="24"/>
          <w:szCs w:val="24"/>
        </w:rPr>
        <w:t>установени</w:t>
      </w:r>
      <w:r>
        <w:rPr>
          <w:rFonts w:ascii="Times New Roman" w:hAnsi="Times New Roman"/>
          <w:b/>
          <w:bCs/>
          <w:noProof/>
          <w:sz w:val="24"/>
          <w:szCs w:val="24"/>
          <w:lang w:val="fr-BE"/>
        </w:rPr>
        <w:t xml:space="preserve"> </w:t>
      </w:r>
      <w:r>
        <w:rPr>
          <w:rFonts w:ascii="Times New Roman" w:hAnsi="Times New Roman"/>
          <w:b/>
          <w:bCs/>
          <w:noProof/>
          <w:sz w:val="24"/>
          <w:szCs w:val="24"/>
        </w:rPr>
        <w:t>по</w:t>
      </w:r>
      <w:r>
        <w:rPr>
          <w:rFonts w:ascii="Times New Roman" w:hAnsi="Times New Roman"/>
          <w:b/>
          <w:bCs/>
          <w:noProof/>
          <w:sz w:val="24"/>
          <w:szCs w:val="24"/>
          <w:lang w:val="fr-BE"/>
        </w:rPr>
        <w:t xml:space="preserve"> </w:t>
      </w:r>
      <w:r>
        <w:rPr>
          <w:rFonts w:ascii="Times New Roman" w:hAnsi="Times New Roman"/>
          <w:b/>
          <w:bCs/>
          <w:noProof/>
          <w:sz w:val="24"/>
          <w:szCs w:val="24"/>
        </w:rPr>
        <w:t>време</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този</w:t>
      </w:r>
      <w:r>
        <w:rPr>
          <w:rFonts w:ascii="Times New Roman" w:hAnsi="Times New Roman"/>
          <w:b/>
          <w:bCs/>
          <w:noProof/>
          <w:sz w:val="24"/>
          <w:szCs w:val="24"/>
          <w:lang w:val="fr-BE"/>
        </w:rPr>
        <w:t xml:space="preserve"> </w:t>
      </w:r>
      <w:r>
        <w:rPr>
          <w:rFonts w:ascii="Times New Roman" w:hAnsi="Times New Roman"/>
          <w:b/>
          <w:bCs/>
          <w:noProof/>
          <w:sz w:val="24"/>
          <w:szCs w:val="24"/>
        </w:rPr>
        <w:t>процес</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докладване</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одит</w:t>
      </w:r>
      <w:r>
        <w:rPr>
          <w:rFonts w:ascii="Times New Roman" w:hAnsi="Times New Roman"/>
          <w:b/>
          <w:bCs/>
          <w:noProof/>
          <w:sz w:val="24"/>
          <w:szCs w:val="24"/>
          <w:lang w:val="fr-BE"/>
        </w:rPr>
        <w:t>,</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осигури</w:t>
      </w:r>
      <w:r>
        <w:rPr>
          <w:rFonts w:ascii="Times New Roman" w:hAnsi="Times New Roman"/>
          <w:noProof/>
          <w:sz w:val="24"/>
          <w:szCs w:val="24"/>
          <w:lang w:val="fr-BE"/>
        </w:rPr>
        <w:t xml:space="preserve"> </w:t>
      </w:r>
      <w:r>
        <w:rPr>
          <w:rFonts w:ascii="Times New Roman" w:hAnsi="Times New Roman"/>
          <w:noProof/>
          <w:sz w:val="24"/>
          <w:szCs w:val="24"/>
        </w:rPr>
        <w:t>оптималното</w:t>
      </w:r>
      <w:r>
        <w:rPr>
          <w:rFonts w:ascii="Times New Roman" w:hAnsi="Times New Roman"/>
          <w:noProof/>
          <w:sz w:val="24"/>
          <w:szCs w:val="24"/>
          <w:lang w:val="fr-BE"/>
        </w:rPr>
        <w:t xml:space="preserve"> </w:t>
      </w:r>
      <w:r>
        <w:rPr>
          <w:rFonts w:ascii="Times New Roman" w:hAnsi="Times New Roman"/>
          <w:noProof/>
          <w:sz w:val="24"/>
          <w:szCs w:val="24"/>
        </w:rPr>
        <w:t>усвояване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b/>
          <w:bCs/>
          <w:noProof/>
          <w:sz w:val="24"/>
          <w:szCs w:val="24"/>
        </w:rPr>
        <w:t>финансовата</w:t>
      </w:r>
      <w:r>
        <w:rPr>
          <w:rFonts w:ascii="Times New Roman" w:hAnsi="Times New Roman"/>
          <w:b/>
          <w:bCs/>
          <w:noProof/>
          <w:sz w:val="24"/>
          <w:szCs w:val="24"/>
          <w:lang w:val="fr-BE"/>
        </w:rPr>
        <w:t xml:space="preserve"> </w:t>
      </w:r>
      <w:r>
        <w:rPr>
          <w:rFonts w:ascii="Times New Roman" w:hAnsi="Times New Roman"/>
          <w:b/>
          <w:bCs/>
          <w:noProof/>
          <w:sz w:val="24"/>
          <w:szCs w:val="24"/>
        </w:rPr>
        <w:t>подкрепа</w:t>
      </w:r>
      <w:r>
        <w:rPr>
          <w:rFonts w:ascii="Times New Roman" w:hAnsi="Times New Roman"/>
          <w:b/>
          <w:bCs/>
          <w:noProof/>
          <w:sz w:val="24"/>
          <w:szCs w:val="24"/>
          <w:lang w:val="fr-BE"/>
        </w:rPr>
        <w:t xml:space="preserve"> </w:t>
      </w:r>
      <w:r>
        <w:rPr>
          <w:rFonts w:ascii="Times New Roman" w:hAnsi="Times New Roman"/>
          <w:b/>
          <w:bCs/>
          <w:noProof/>
          <w:sz w:val="24"/>
          <w:szCs w:val="24"/>
        </w:rPr>
        <w:t>чрез</w:t>
      </w:r>
      <w:r>
        <w:rPr>
          <w:rFonts w:ascii="Times New Roman" w:hAnsi="Times New Roman"/>
          <w:b/>
          <w:bCs/>
          <w:noProof/>
          <w:sz w:val="24"/>
          <w:szCs w:val="24"/>
          <w:lang w:val="fr-BE"/>
        </w:rPr>
        <w:t xml:space="preserve"> </w:t>
      </w:r>
      <w:r>
        <w:rPr>
          <w:rFonts w:ascii="Times New Roman" w:hAnsi="Times New Roman"/>
          <w:b/>
          <w:bCs/>
          <w:noProof/>
          <w:sz w:val="24"/>
          <w:szCs w:val="24"/>
        </w:rPr>
        <w:t>бъдещата</w:t>
      </w:r>
      <w:r>
        <w:rPr>
          <w:rFonts w:ascii="Times New Roman" w:hAnsi="Times New Roman"/>
          <w:b/>
          <w:bCs/>
          <w:noProof/>
          <w:sz w:val="24"/>
          <w:szCs w:val="24"/>
          <w:lang w:val="fr-BE"/>
        </w:rPr>
        <w:t xml:space="preserve"> </w:t>
      </w:r>
      <w:r>
        <w:rPr>
          <w:rFonts w:ascii="Times New Roman" w:hAnsi="Times New Roman"/>
          <w:b/>
          <w:bCs/>
          <w:noProof/>
          <w:sz w:val="24"/>
          <w:szCs w:val="24"/>
        </w:rPr>
        <w:t>програма</w:t>
      </w:r>
      <w:r>
        <w:rPr>
          <w:rFonts w:ascii="Times New Roman" w:hAnsi="Times New Roman"/>
          <w:b/>
          <w:bCs/>
          <w:noProof/>
          <w:sz w:val="24"/>
          <w:szCs w:val="24"/>
          <w:lang w:val="fr-BE"/>
        </w:rPr>
        <w:t xml:space="preserve"> „</w:t>
      </w:r>
      <w:r>
        <w:rPr>
          <w:rFonts w:ascii="Times New Roman" w:hAnsi="Times New Roman"/>
          <w:b/>
          <w:bCs/>
          <w:noProof/>
          <w:sz w:val="24"/>
          <w:szCs w:val="24"/>
        </w:rPr>
        <w:t>ЕС</w:t>
      </w:r>
      <w:r>
        <w:rPr>
          <w:rFonts w:ascii="Times New Roman" w:hAnsi="Times New Roman"/>
          <w:b/>
          <w:bCs/>
          <w:noProof/>
          <w:sz w:val="24"/>
          <w:szCs w:val="24"/>
          <w:lang w:val="fr-BE"/>
        </w:rPr>
        <w:t xml:space="preserve"> </w:t>
      </w:r>
      <w:r>
        <w:rPr>
          <w:rFonts w:ascii="Times New Roman" w:hAnsi="Times New Roman"/>
          <w:b/>
          <w:bCs/>
          <w:noProof/>
          <w:sz w:val="24"/>
          <w:szCs w:val="24"/>
        </w:rPr>
        <w:t>в</w:t>
      </w:r>
      <w:r>
        <w:rPr>
          <w:rFonts w:ascii="Times New Roman" w:hAnsi="Times New Roman"/>
          <w:b/>
          <w:bCs/>
          <w:noProof/>
          <w:sz w:val="24"/>
          <w:szCs w:val="24"/>
          <w:lang w:val="fr-BE"/>
        </w:rPr>
        <w:t xml:space="preserve"> </w:t>
      </w:r>
      <w:r>
        <w:rPr>
          <w:rFonts w:ascii="Times New Roman" w:hAnsi="Times New Roman"/>
          <w:b/>
          <w:bCs/>
          <w:noProof/>
          <w:sz w:val="24"/>
          <w:szCs w:val="24"/>
        </w:rPr>
        <w:t>подкрепа</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здравето</w:t>
      </w:r>
      <w:r>
        <w:rPr>
          <w:rFonts w:ascii="Times New Roman" w:hAnsi="Times New Roman"/>
          <w:b/>
          <w:bCs/>
          <w:noProof/>
          <w:sz w:val="24"/>
          <w:szCs w:val="24"/>
          <w:lang w:val="fr-BE"/>
        </w:rPr>
        <w:t>“ (EU4Health</w:t>
      </w:r>
      <w:r>
        <w:rPr>
          <w:rFonts w:ascii="Times New Roman" w:hAnsi="Times New Roman"/>
          <w:noProof/>
          <w:sz w:val="24"/>
          <w:szCs w:val="24"/>
          <w:lang w:val="fr-BE"/>
        </w:rPr>
        <w:t>)</w:t>
      </w:r>
      <w:r>
        <w:rPr>
          <w:rFonts w:ascii="Times New Roman" w:hAnsi="Times New Roman"/>
          <w:b/>
          <w:bCs/>
          <w:noProof/>
          <w:sz w:val="24"/>
          <w:szCs w:val="24"/>
          <w:lang w:val="fr-BE"/>
        </w:rPr>
        <w:t xml:space="preserve">, </w:t>
      </w:r>
      <w:r>
        <w:rPr>
          <w:rFonts w:ascii="Times New Roman" w:hAnsi="Times New Roman"/>
          <w:b/>
          <w:bCs/>
          <w:noProof/>
          <w:sz w:val="24"/>
          <w:szCs w:val="24"/>
        </w:rPr>
        <w:t>както</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структурните</w:t>
      </w:r>
      <w:r>
        <w:rPr>
          <w:rFonts w:ascii="Times New Roman" w:hAnsi="Times New Roman"/>
          <w:b/>
          <w:bCs/>
          <w:noProof/>
          <w:sz w:val="24"/>
          <w:szCs w:val="24"/>
          <w:lang w:val="fr-BE"/>
        </w:rPr>
        <w:t xml:space="preserve"> </w:t>
      </w:r>
      <w:r>
        <w:rPr>
          <w:rFonts w:ascii="Times New Roman" w:hAnsi="Times New Roman"/>
          <w:b/>
          <w:bCs/>
          <w:noProof/>
          <w:sz w:val="24"/>
          <w:szCs w:val="24"/>
        </w:rPr>
        <w:t>фондове</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подкрепата</w:t>
      </w:r>
      <w:r>
        <w:rPr>
          <w:rFonts w:ascii="Times New Roman" w:hAnsi="Times New Roman"/>
          <w:b/>
          <w:bCs/>
          <w:noProof/>
          <w:sz w:val="24"/>
          <w:szCs w:val="24"/>
          <w:lang w:val="fr-BE"/>
        </w:rPr>
        <w:t xml:space="preserve"> </w:t>
      </w:r>
      <w:r>
        <w:rPr>
          <w:rFonts w:ascii="Times New Roman" w:hAnsi="Times New Roman"/>
          <w:b/>
          <w:bCs/>
          <w:noProof/>
          <w:sz w:val="24"/>
          <w:szCs w:val="24"/>
        </w:rPr>
        <w:t>за</w:t>
      </w:r>
      <w:r>
        <w:rPr>
          <w:rFonts w:ascii="Times New Roman" w:hAnsi="Times New Roman"/>
          <w:b/>
          <w:bCs/>
          <w:noProof/>
          <w:sz w:val="24"/>
          <w:szCs w:val="24"/>
          <w:lang w:val="fr-BE"/>
        </w:rPr>
        <w:t xml:space="preserve"> </w:t>
      </w:r>
      <w:r>
        <w:rPr>
          <w:rFonts w:ascii="Times New Roman" w:hAnsi="Times New Roman"/>
          <w:b/>
          <w:bCs/>
          <w:noProof/>
          <w:sz w:val="24"/>
          <w:szCs w:val="24"/>
        </w:rPr>
        <w:t>научни</w:t>
      </w:r>
      <w:r>
        <w:rPr>
          <w:rFonts w:ascii="Times New Roman" w:hAnsi="Times New Roman"/>
          <w:b/>
          <w:bCs/>
          <w:noProof/>
          <w:sz w:val="24"/>
          <w:szCs w:val="24"/>
          <w:lang w:val="fr-BE"/>
        </w:rPr>
        <w:t xml:space="preserve"> </w:t>
      </w:r>
      <w:r>
        <w:rPr>
          <w:rFonts w:ascii="Times New Roman" w:hAnsi="Times New Roman"/>
          <w:b/>
          <w:bCs/>
          <w:noProof/>
          <w:sz w:val="24"/>
          <w:szCs w:val="24"/>
        </w:rPr>
        <w:t>изследвания</w:t>
      </w:r>
      <w:r>
        <w:rPr>
          <w:rFonts w:ascii="Times New Roman" w:hAnsi="Times New Roman"/>
          <w:b/>
          <w:bCs/>
          <w:noProof/>
          <w:sz w:val="24"/>
          <w:szCs w:val="24"/>
          <w:lang w:val="fr-BE"/>
        </w:rPr>
        <w:t xml:space="preserve"> </w:t>
      </w:r>
      <w:r>
        <w:rPr>
          <w:rFonts w:ascii="Times New Roman" w:hAnsi="Times New Roman"/>
          <w:b/>
          <w:bCs/>
          <w:noProof/>
          <w:sz w:val="24"/>
          <w:szCs w:val="24"/>
        </w:rPr>
        <w:t>и</w:t>
      </w:r>
      <w:r>
        <w:rPr>
          <w:rFonts w:ascii="Times New Roman" w:hAnsi="Times New Roman"/>
          <w:b/>
          <w:bCs/>
          <w:noProof/>
          <w:sz w:val="24"/>
          <w:szCs w:val="24"/>
          <w:lang w:val="fr-BE"/>
        </w:rPr>
        <w:t xml:space="preserve"> </w:t>
      </w:r>
      <w:r>
        <w:rPr>
          <w:rFonts w:ascii="Times New Roman" w:hAnsi="Times New Roman"/>
          <w:b/>
          <w:bCs/>
          <w:noProof/>
          <w:sz w:val="24"/>
          <w:szCs w:val="24"/>
        </w:rPr>
        <w:t>иновации</w:t>
      </w:r>
      <w:r>
        <w:rPr>
          <w:rFonts w:ascii="Times New Roman" w:hAnsi="Times New Roman"/>
          <w:b/>
          <w:bCs/>
          <w:noProof/>
          <w:sz w:val="24"/>
          <w:szCs w:val="24"/>
          <w:lang w:val="fr-BE"/>
        </w:rPr>
        <w:t xml:space="preserve"> </w:t>
      </w:r>
      <w:r>
        <w:rPr>
          <w:rFonts w:ascii="Times New Roman" w:hAnsi="Times New Roman"/>
          <w:b/>
          <w:bCs/>
          <w:noProof/>
          <w:sz w:val="24"/>
          <w:szCs w:val="24"/>
        </w:rPr>
        <w:t>по</w:t>
      </w:r>
      <w:r>
        <w:rPr>
          <w:rFonts w:ascii="Times New Roman" w:hAnsi="Times New Roman"/>
          <w:b/>
          <w:bCs/>
          <w:noProof/>
          <w:sz w:val="24"/>
          <w:szCs w:val="24"/>
          <w:lang w:val="fr-BE"/>
        </w:rPr>
        <w:t xml:space="preserve"> </w:t>
      </w:r>
      <w:r>
        <w:rPr>
          <w:rFonts w:ascii="Times New Roman" w:hAnsi="Times New Roman"/>
          <w:b/>
          <w:bCs/>
          <w:noProof/>
          <w:sz w:val="24"/>
          <w:szCs w:val="24"/>
        </w:rPr>
        <w:t>линия</w:t>
      </w:r>
      <w:r>
        <w:rPr>
          <w:rFonts w:ascii="Times New Roman" w:hAnsi="Times New Roman"/>
          <w:b/>
          <w:bCs/>
          <w:noProof/>
          <w:sz w:val="24"/>
          <w:szCs w:val="24"/>
          <w:lang w:val="fr-BE"/>
        </w:rPr>
        <w:t xml:space="preserve"> </w:t>
      </w:r>
      <w:r>
        <w:rPr>
          <w:rFonts w:ascii="Times New Roman" w:hAnsi="Times New Roman"/>
          <w:b/>
          <w:bCs/>
          <w:noProof/>
          <w:sz w:val="24"/>
          <w:szCs w:val="24"/>
        </w:rPr>
        <w:t>на</w:t>
      </w:r>
      <w:r>
        <w:rPr>
          <w:rFonts w:ascii="Times New Roman" w:hAnsi="Times New Roman"/>
          <w:b/>
          <w:bCs/>
          <w:noProof/>
          <w:sz w:val="24"/>
          <w:szCs w:val="24"/>
          <w:lang w:val="fr-BE"/>
        </w:rPr>
        <w:t xml:space="preserve"> „</w:t>
      </w:r>
      <w:r>
        <w:rPr>
          <w:rFonts w:ascii="Times New Roman" w:hAnsi="Times New Roman"/>
          <w:b/>
          <w:bCs/>
          <w:noProof/>
          <w:sz w:val="24"/>
          <w:szCs w:val="24"/>
        </w:rPr>
        <w:t>Хоризонт</w:t>
      </w:r>
      <w:r>
        <w:rPr>
          <w:rFonts w:ascii="Times New Roman" w:hAnsi="Times New Roman"/>
          <w:b/>
          <w:bCs/>
          <w:noProof/>
          <w:sz w:val="24"/>
          <w:szCs w:val="24"/>
          <w:lang w:val="fr-BE"/>
        </w:rPr>
        <w:t xml:space="preserve"> </w:t>
      </w:r>
      <w:r>
        <w:rPr>
          <w:rFonts w:ascii="Times New Roman" w:hAnsi="Times New Roman"/>
          <w:b/>
          <w:bCs/>
          <w:noProof/>
          <w:sz w:val="24"/>
          <w:szCs w:val="24"/>
        </w:rPr>
        <w:t>Европа</w:t>
      </w:r>
      <w:r>
        <w:rPr>
          <w:rFonts w:ascii="Times New Roman" w:hAnsi="Times New Roman"/>
          <w:b/>
          <w:bCs/>
          <w:noProof/>
          <w:sz w:val="24"/>
          <w:szCs w:val="24"/>
          <w:lang w:val="fr-BE"/>
        </w:rPr>
        <w:t>“.</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Друга</w:t>
      </w:r>
      <w:r>
        <w:rPr>
          <w:rFonts w:ascii="Times New Roman" w:hAnsi="Times New Roman"/>
          <w:noProof/>
          <w:sz w:val="24"/>
          <w:szCs w:val="24"/>
          <w:lang w:val="fr-BE"/>
        </w:rPr>
        <w:t xml:space="preserve"> </w:t>
      </w:r>
      <w:r>
        <w:rPr>
          <w:rFonts w:ascii="Times New Roman" w:hAnsi="Times New Roman"/>
          <w:noProof/>
          <w:sz w:val="24"/>
          <w:szCs w:val="24"/>
        </w:rPr>
        <w:t>област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действие</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отнася</w:t>
      </w:r>
      <w:r>
        <w:rPr>
          <w:rFonts w:ascii="Times New Roman" w:hAnsi="Times New Roman"/>
          <w:noProof/>
          <w:sz w:val="24"/>
          <w:szCs w:val="24"/>
          <w:lang w:val="fr-BE"/>
        </w:rPr>
        <w:t xml:space="preserve"> </w:t>
      </w:r>
      <w:r>
        <w:rPr>
          <w:rFonts w:ascii="Times New Roman" w:hAnsi="Times New Roman"/>
          <w:noProof/>
          <w:sz w:val="24"/>
          <w:szCs w:val="24"/>
        </w:rPr>
        <w:t>до</w:t>
      </w:r>
      <w:r>
        <w:rPr>
          <w:rFonts w:ascii="Times New Roman" w:hAnsi="Times New Roman"/>
          <w:noProof/>
          <w:sz w:val="24"/>
          <w:szCs w:val="24"/>
          <w:lang w:val="fr-BE"/>
        </w:rPr>
        <w:t xml:space="preserve"> </w:t>
      </w:r>
      <w:r>
        <w:rPr>
          <w:rFonts w:ascii="Times New Roman" w:hAnsi="Times New Roman"/>
          <w:noProof/>
          <w:sz w:val="24"/>
          <w:szCs w:val="24"/>
        </w:rPr>
        <w:t>подкрепата</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подобряване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издръжливостта</w:t>
      </w:r>
      <w:r>
        <w:rPr>
          <w:rFonts w:ascii="Times New Roman" w:hAnsi="Times New Roman"/>
          <w:noProof/>
          <w:sz w:val="24"/>
          <w:szCs w:val="24"/>
          <w:lang w:val="fr-BE"/>
        </w:rPr>
        <w:t xml:space="preserve">, </w:t>
      </w:r>
      <w:r>
        <w:rPr>
          <w:rFonts w:ascii="Times New Roman" w:hAnsi="Times New Roman"/>
          <w:noProof/>
          <w:sz w:val="24"/>
          <w:szCs w:val="24"/>
        </w:rPr>
        <w:t>достъпността</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ефективността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техните</w:t>
      </w:r>
      <w:r>
        <w:rPr>
          <w:rFonts w:ascii="Times New Roman" w:hAnsi="Times New Roman"/>
          <w:noProof/>
          <w:sz w:val="24"/>
          <w:szCs w:val="24"/>
          <w:lang w:val="fr-BE"/>
        </w:rPr>
        <w:t xml:space="preserve"> </w:t>
      </w:r>
      <w:r>
        <w:rPr>
          <w:rFonts w:ascii="Times New Roman" w:hAnsi="Times New Roman"/>
          <w:noProof/>
          <w:sz w:val="24"/>
          <w:szCs w:val="24"/>
        </w:rPr>
        <w:t>здравни</w:t>
      </w:r>
      <w:r>
        <w:rPr>
          <w:rFonts w:ascii="Times New Roman" w:hAnsi="Times New Roman"/>
          <w:noProof/>
          <w:sz w:val="24"/>
          <w:szCs w:val="24"/>
          <w:lang w:val="fr-BE"/>
        </w:rPr>
        <w:t xml:space="preserve"> </w:t>
      </w:r>
      <w:r>
        <w:rPr>
          <w:rFonts w:ascii="Times New Roman" w:hAnsi="Times New Roman"/>
          <w:noProof/>
          <w:sz w:val="24"/>
          <w:szCs w:val="24"/>
        </w:rPr>
        <w:t>системи</w:t>
      </w:r>
      <w:r>
        <w:rPr>
          <w:rFonts w:ascii="Times New Roman" w:hAnsi="Times New Roman"/>
          <w:noProof/>
          <w:sz w:val="24"/>
          <w:szCs w:val="24"/>
          <w:lang w:val="fr-BE"/>
        </w:rPr>
        <w:t xml:space="preserve">. </w:t>
      </w:r>
      <w:r>
        <w:rPr>
          <w:rFonts w:ascii="Times New Roman" w:hAnsi="Times New Roman"/>
          <w:noProof/>
          <w:sz w:val="24"/>
          <w:szCs w:val="24"/>
        </w:rPr>
        <w:t>Това</w:t>
      </w:r>
      <w:r>
        <w:rPr>
          <w:rFonts w:ascii="Times New Roman" w:hAnsi="Times New Roman"/>
          <w:noProof/>
          <w:sz w:val="24"/>
          <w:szCs w:val="24"/>
          <w:lang w:val="fr-BE"/>
        </w:rPr>
        <w:t xml:space="preserve"> </w:t>
      </w:r>
      <w:r>
        <w:rPr>
          <w:rFonts w:ascii="Times New Roman" w:hAnsi="Times New Roman"/>
          <w:noProof/>
          <w:sz w:val="24"/>
          <w:szCs w:val="24"/>
        </w:rPr>
        <w:t>може</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включва</w:t>
      </w:r>
      <w:r>
        <w:rPr>
          <w:rFonts w:ascii="Times New Roman" w:hAnsi="Times New Roman"/>
          <w:noProof/>
          <w:sz w:val="24"/>
          <w:szCs w:val="24"/>
          <w:lang w:val="fr-BE"/>
        </w:rPr>
        <w:t xml:space="preserve"> </w:t>
      </w:r>
      <w:r>
        <w:rPr>
          <w:rFonts w:ascii="Times New Roman" w:hAnsi="Times New Roman"/>
          <w:noProof/>
          <w:sz w:val="24"/>
          <w:szCs w:val="24"/>
        </w:rPr>
        <w:t>посредничество</w:t>
      </w:r>
      <w:r>
        <w:rPr>
          <w:rFonts w:ascii="Times New Roman" w:hAnsi="Times New Roman"/>
          <w:noProof/>
          <w:sz w:val="24"/>
          <w:szCs w:val="24"/>
          <w:lang w:val="fr-BE"/>
        </w:rPr>
        <w:t xml:space="preserve"> </w:t>
      </w:r>
      <w:r>
        <w:rPr>
          <w:rFonts w:ascii="Times New Roman" w:hAnsi="Times New Roman"/>
          <w:noProof/>
          <w:sz w:val="24"/>
          <w:szCs w:val="24"/>
        </w:rPr>
        <w:t>във</w:t>
      </w:r>
      <w:r>
        <w:rPr>
          <w:rFonts w:ascii="Times New Roman" w:hAnsi="Times New Roman"/>
          <w:noProof/>
          <w:sz w:val="24"/>
          <w:szCs w:val="24"/>
          <w:lang w:val="fr-BE"/>
        </w:rPr>
        <w:t xml:space="preserve"> </w:t>
      </w:r>
      <w:r>
        <w:rPr>
          <w:rFonts w:ascii="Times New Roman" w:hAnsi="Times New Roman"/>
          <w:noProof/>
          <w:sz w:val="24"/>
          <w:szCs w:val="24"/>
        </w:rPr>
        <w:t>връзка</w:t>
      </w:r>
      <w:r>
        <w:rPr>
          <w:rFonts w:ascii="Times New Roman" w:hAnsi="Times New Roman"/>
          <w:noProof/>
          <w:sz w:val="24"/>
          <w:szCs w:val="24"/>
          <w:lang w:val="fr-BE"/>
        </w:rPr>
        <w:t xml:space="preserve"> </w:t>
      </w:r>
      <w:r>
        <w:rPr>
          <w:rFonts w:ascii="Times New Roman" w:hAnsi="Times New Roman"/>
          <w:noProof/>
          <w:sz w:val="24"/>
          <w:szCs w:val="24"/>
        </w:rPr>
        <w:t>със</w:t>
      </w:r>
      <w:r>
        <w:rPr>
          <w:rFonts w:ascii="Times New Roman" w:hAnsi="Times New Roman"/>
          <w:noProof/>
          <w:sz w:val="24"/>
          <w:szCs w:val="24"/>
          <w:lang w:val="fr-BE"/>
        </w:rPr>
        <w:t xml:space="preserve"> </w:t>
      </w:r>
      <w:r>
        <w:rPr>
          <w:rFonts w:ascii="Times New Roman" w:hAnsi="Times New Roman"/>
          <w:noProof/>
          <w:sz w:val="24"/>
          <w:szCs w:val="24"/>
        </w:rPr>
        <w:t>знанията</w:t>
      </w:r>
      <w:r>
        <w:rPr>
          <w:rFonts w:ascii="Times New Roman" w:hAnsi="Times New Roman"/>
          <w:noProof/>
          <w:sz w:val="24"/>
          <w:szCs w:val="24"/>
          <w:lang w:val="fr-BE"/>
        </w:rPr>
        <w:t xml:space="preserve">, </w:t>
      </w:r>
      <w:r>
        <w:rPr>
          <w:rFonts w:ascii="Times New Roman" w:hAnsi="Times New Roman"/>
          <w:noProof/>
          <w:sz w:val="24"/>
          <w:szCs w:val="24"/>
        </w:rPr>
        <w:t>обмен</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най</w:t>
      </w:r>
      <w:r>
        <w:rPr>
          <w:rFonts w:ascii="Times New Roman" w:hAnsi="Times New Roman"/>
          <w:noProof/>
          <w:sz w:val="24"/>
          <w:szCs w:val="24"/>
          <w:lang w:val="fr-BE"/>
        </w:rPr>
        <w:t>-</w:t>
      </w:r>
      <w:r>
        <w:rPr>
          <w:rFonts w:ascii="Times New Roman" w:hAnsi="Times New Roman"/>
          <w:noProof/>
          <w:sz w:val="24"/>
          <w:szCs w:val="24"/>
        </w:rPr>
        <w:t>добри</w:t>
      </w:r>
      <w:r>
        <w:rPr>
          <w:rFonts w:ascii="Times New Roman" w:hAnsi="Times New Roman"/>
          <w:noProof/>
          <w:sz w:val="24"/>
          <w:szCs w:val="24"/>
          <w:lang w:val="fr-BE"/>
        </w:rPr>
        <w:t xml:space="preserve"> </w:t>
      </w:r>
      <w:r>
        <w:rPr>
          <w:rFonts w:ascii="Times New Roman" w:hAnsi="Times New Roman"/>
          <w:noProof/>
          <w:sz w:val="24"/>
          <w:szCs w:val="24"/>
        </w:rPr>
        <w:t>практики</w:t>
      </w:r>
      <w:r>
        <w:rPr>
          <w:rFonts w:ascii="Times New Roman" w:hAnsi="Times New Roman"/>
          <w:noProof/>
          <w:sz w:val="24"/>
          <w:szCs w:val="24"/>
          <w:lang w:val="fr-BE"/>
        </w:rPr>
        <w:t xml:space="preserve">, </w:t>
      </w:r>
      <w:r>
        <w:rPr>
          <w:rFonts w:ascii="Times New Roman" w:hAnsi="Times New Roman"/>
          <w:noProof/>
          <w:sz w:val="24"/>
          <w:szCs w:val="24"/>
        </w:rPr>
        <w:t>практическа</w:t>
      </w:r>
      <w:r>
        <w:rPr>
          <w:rFonts w:ascii="Times New Roman" w:hAnsi="Times New Roman"/>
          <w:noProof/>
          <w:sz w:val="24"/>
          <w:szCs w:val="24"/>
          <w:lang w:val="fr-BE"/>
        </w:rPr>
        <w:t xml:space="preserve"> </w:t>
      </w:r>
      <w:r>
        <w:rPr>
          <w:rFonts w:ascii="Times New Roman" w:hAnsi="Times New Roman"/>
          <w:noProof/>
          <w:sz w:val="24"/>
          <w:szCs w:val="24"/>
        </w:rPr>
        <w:t>техническа</w:t>
      </w:r>
      <w:r>
        <w:rPr>
          <w:rFonts w:ascii="Times New Roman" w:hAnsi="Times New Roman"/>
          <w:noProof/>
          <w:sz w:val="24"/>
          <w:szCs w:val="24"/>
          <w:lang w:val="fr-BE"/>
        </w:rPr>
        <w:t xml:space="preserve"> </w:t>
      </w:r>
      <w:r>
        <w:rPr>
          <w:rFonts w:ascii="Times New Roman" w:hAnsi="Times New Roman"/>
          <w:noProof/>
          <w:sz w:val="24"/>
          <w:szCs w:val="24"/>
        </w:rPr>
        <w:t>подкрепа</w:t>
      </w:r>
      <w:r>
        <w:rPr>
          <w:rFonts w:ascii="Times New Roman" w:hAnsi="Times New Roman"/>
          <w:noProof/>
          <w:sz w:val="24"/>
          <w:szCs w:val="24"/>
          <w:lang w:val="fr-BE"/>
        </w:rPr>
        <w:t xml:space="preserve">, </w:t>
      </w:r>
      <w:r>
        <w:rPr>
          <w:rFonts w:ascii="Times New Roman" w:hAnsi="Times New Roman"/>
          <w:noProof/>
          <w:sz w:val="24"/>
          <w:szCs w:val="24"/>
        </w:rPr>
        <w:t>както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финансиране</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програмите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ЕС</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започване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осъществяване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съответни</w:t>
      </w:r>
      <w:r>
        <w:rPr>
          <w:rFonts w:ascii="Times New Roman" w:hAnsi="Times New Roman"/>
          <w:noProof/>
          <w:sz w:val="24"/>
          <w:szCs w:val="24"/>
          <w:lang w:val="fr-BE"/>
        </w:rPr>
        <w:t xml:space="preserve"> </w:t>
      </w:r>
      <w:r>
        <w:rPr>
          <w:rFonts w:ascii="Times New Roman" w:hAnsi="Times New Roman"/>
          <w:noProof/>
          <w:sz w:val="24"/>
          <w:szCs w:val="24"/>
        </w:rPr>
        <w:t>реформи</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здравните</w:t>
      </w:r>
      <w:r>
        <w:rPr>
          <w:rFonts w:ascii="Times New Roman" w:hAnsi="Times New Roman"/>
          <w:noProof/>
          <w:sz w:val="24"/>
          <w:szCs w:val="24"/>
          <w:lang w:val="fr-BE"/>
        </w:rPr>
        <w:t xml:space="preserve"> </w:t>
      </w:r>
      <w:r>
        <w:rPr>
          <w:rFonts w:ascii="Times New Roman" w:hAnsi="Times New Roman"/>
          <w:noProof/>
          <w:sz w:val="24"/>
          <w:szCs w:val="24"/>
        </w:rPr>
        <w:t>системи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преодолеят</w:t>
      </w:r>
      <w:r>
        <w:rPr>
          <w:rFonts w:ascii="Times New Roman" w:hAnsi="Times New Roman"/>
          <w:noProof/>
          <w:sz w:val="24"/>
          <w:szCs w:val="24"/>
          <w:lang w:val="fr-BE"/>
        </w:rPr>
        <w:t xml:space="preserve"> </w:t>
      </w:r>
      <w:r>
        <w:rPr>
          <w:rFonts w:ascii="Times New Roman" w:hAnsi="Times New Roman"/>
          <w:noProof/>
          <w:sz w:val="24"/>
          <w:szCs w:val="24"/>
        </w:rPr>
        <w:t>структурните</w:t>
      </w:r>
      <w:r>
        <w:rPr>
          <w:rFonts w:ascii="Times New Roman" w:hAnsi="Times New Roman"/>
          <w:noProof/>
          <w:sz w:val="24"/>
          <w:szCs w:val="24"/>
          <w:lang w:val="fr-BE"/>
        </w:rPr>
        <w:t xml:space="preserve"> </w:t>
      </w:r>
      <w:r>
        <w:rPr>
          <w:rFonts w:ascii="Times New Roman" w:hAnsi="Times New Roman"/>
          <w:noProof/>
          <w:sz w:val="24"/>
          <w:szCs w:val="24"/>
        </w:rPr>
        <w:t>слабости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отговори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предизвикателствата</w:t>
      </w:r>
      <w:r>
        <w:rPr>
          <w:rFonts w:ascii="Times New Roman" w:hAnsi="Times New Roman"/>
          <w:noProof/>
          <w:sz w:val="24"/>
          <w:szCs w:val="24"/>
          <w:lang w:val="fr-BE"/>
        </w:rPr>
        <w:t xml:space="preserve">, </w:t>
      </w:r>
      <w:r>
        <w:rPr>
          <w:rFonts w:ascii="Times New Roman" w:hAnsi="Times New Roman"/>
          <w:noProof/>
          <w:sz w:val="24"/>
          <w:szCs w:val="24"/>
        </w:rPr>
        <w:t>установени</w:t>
      </w:r>
      <w:r>
        <w:rPr>
          <w:rFonts w:ascii="Times New Roman" w:hAnsi="Times New Roman"/>
          <w:noProof/>
          <w:sz w:val="24"/>
          <w:szCs w:val="24"/>
          <w:lang w:val="fr-BE"/>
        </w:rPr>
        <w:t xml:space="preserve"> </w:t>
      </w:r>
      <w:r>
        <w:rPr>
          <w:rFonts w:ascii="Times New Roman" w:hAnsi="Times New Roman"/>
          <w:noProof/>
          <w:sz w:val="24"/>
          <w:szCs w:val="24"/>
        </w:rPr>
        <w:t>по</w:t>
      </w:r>
      <w:r>
        <w:rPr>
          <w:rFonts w:ascii="Times New Roman" w:hAnsi="Times New Roman"/>
          <w:noProof/>
          <w:sz w:val="24"/>
          <w:szCs w:val="24"/>
          <w:lang w:val="fr-BE"/>
        </w:rPr>
        <w:t xml:space="preserve"> </w:t>
      </w:r>
      <w:r>
        <w:rPr>
          <w:rFonts w:ascii="Times New Roman" w:hAnsi="Times New Roman"/>
          <w:noProof/>
          <w:sz w:val="24"/>
          <w:szCs w:val="24"/>
        </w:rPr>
        <w:t>време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европейския</w:t>
      </w:r>
      <w:r>
        <w:rPr>
          <w:rFonts w:ascii="Times New Roman" w:hAnsi="Times New Roman"/>
          <w:noProof/>
          <w:sz w:val="24"/>
          <w:szCs w:val="24"/>
          <w:lang w:val="fr-BE"/>
        </w:rPr>
        <w:t xml:space="preserve"> </w:t>
      </w:r>
      <w:r>
        <w:rPr>
          <w:rFonts w:ascii="Times New Roman" w:hAnsi="Times New Roman"/>
          <w:noProof/>
          <w:sz w:val="24"/>
          <w:szCs w:val="24"/>
        </w:rPr>
        <w:t>семестър</w:t>
      </w:r>
      <w:r>
        <w:rPr>
          <w:rFonts w:ascii="Times New Roman" w:hAnsi="Times New Roman"/>
          <w:noProof/>
          <w:sz w:val="24"/>
          <w:szCs w:val="24"/>
          <w:lang w:val="fr-BE"/>
        </w:rPr>
        <w:t xml:space="preserve">. </w:t>
      </w:r>
      <w:r>
        <w:rPr>
          <w:rFonts w:ascii="Times New Roman" w:hAnsi="Times New Roman"/>
          <w:b/>
          <w:bCs/>
          <w:noProof/>
          <w:sz w:val="24"/>
          <w:szCs w:val="24"/>
        </w:rPr>
        <w:t>Наборът</w:t>
      </w:r>
      <w:r>
        <w:rPr>
          <w:rFonts w:ascii="Times New Roman" w:hAnsi="Times New Roman"/>
          <w:b/>
          <w:bCs/>
          <w:noProof/>
          <w:sz w:val="24"/>
          <w:szCs w:val="24"/>
          <w:lang w:val="fr-BE"/>
        </w:rPr>
        <w:t xml:space="preserve"> </w:t>
      </w:r>
      <w:r>
        <w:rPr>
          <w:rFonts w:ascii="Times New Roman" w:hAnsi="Times New Roman"/>
          <w:b/>
          <w:bCs/>
          <w:noProof/>
          <w:sz w:val="24"/>
          <w:szCs w:val="24"/>
        </w:rPr>
        <w:t>от</w:t>
      </w:r>
      <w:r>
        <w:rPr>
          <w:rFonts w:ascii="Times New Roman" w:hAnsi="Times New Roman"/>
          <w:b/>
          <w:bCs/>
          <w:noProof/>
          <w:sz w:val="24"/>
          <w:szCs w:val="24"/>
          <w:lang w:val="fr-BE"/>
        </w:rPr>
        <w:t xml:space="preserve"> </w:t>
      </w:r>
      <w:r>
        <w:rPr>
          <w:rFonts w:ascii="Times New Roman" w:hAnsi="Times New Roman"/>
          <w:b/>
          <w:bCs/>
          <w:noProof/>
          <w:sz w:val="24"/>
          <w:szCs w:val="24"/>
        </w:rPr>
        <w:t>социални</w:t>
      </w:r>
      <w:r>
        <w:rPr>
          <w:rFonts w:ascii="Times New Roman" w:hAnsi="Times New Roman"/>
          <w:b/>
          <w:bCs/>
          <w:noProof/>
          <w:sz w:val="24"/>
          <w:szCs w:val="24"/>
          <w:lang w:val="fr-BE"/>
        </w:rPr>
        <w:t xml:space="preserve"> </w:t>
      </w:r>
      <w:r>
        <w:rPr>
          <w:rFonts w:ascii="Times New Roman" w:hAnsi="Times New Roman"/>
          <w:b/>
          <w:bCs/>
          <w:noProof/>
          <w:sz w:val="24"/>
          <w:szCs w:val="24"/>
        </w:rPr>
        <w:t>показатели</w:t>
      </w:r>
      <w:r>
        <w:rPr>
          <w:rFonts w:ascii="Times New Roman" w:hAnsi="Times New Roman"/>
          <w:noProof/>
          <w:sz w:val="24"/>
          <w:szCs w:val="24"/>
          <w:lang w:val="fr-BE"/>
        </w:rPr>
        <w:t xml:space="preserve">, </w:t>
      </w:r>
      <w:r>
        <w:rPr>
          <w:rFonts w:ascii="Times New Roman" w:hAnsi="Times New Roman"/>
          <w:noProof/>
          <w:sz w:val="24"/>
          <w:szCs w:val="24"/>
        </w:rPr>
        <w:t>чрез</w:t>
      </w:r>
      <w:r>
        <w:rPr>
          <w:rFonts w:ascii="Times New Roman" w:hAnsi="Times New Roman"/>
          <w:noProof/>
          <w:sz w:val="24"/>
          <w:szCs w:val="24"/>
          <w:lang w:val="fr-BE"/>
        </w:rPr>
        <w:t xml:space="preserve"> </w:t>
      </w:r>
      <w:r>
        <w:rPr>
          <w:rFonts w:ascii="Times New Roman" w:hAnsi="Times New Roman"/>
          <w:noProof/>
          <w:sz w:val="24"/>
          <w:szCs w:val="24"/>
        </w:rPr>
        <w:t>който</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следят</w:t>
      </w:r>
      <w:r>
        <w:rPr>
          <w:rFonts w:ascii="Times New Roman" w:hAnsi="Times New Roman"/>
          <w:noProof/>
          <w:sz w:val="24"/>
          <w:szCs w:val="24"/>
          <w:lang w:val="fr-BE"/>
        </w:rPr>
        <w:t xml:space="preserve"> </w:t>
      </w:r>
      <w:r>
        <w:rPr>
          <w:rFonts w:ascii="Times New Roman" w:hAnsi="Times New Roman"/>
          <w:noProof/>
          <w:sz w:val="24"/>
          <w:szCs w:val="24"/>
        </w:rPr>
        <w:t>постигнатите</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резултати</w:t>
      </w:r>
      <w:r>
        <w:rPr>
          <w:rFonts w:ascii="Times New Roman" w:hAnsi="Times New Roman"/>
          <w:noProof/>
          <w:sz w:val="24"/>
          <w:szCs w:val="24"/>
          <w:lang w:val="fr-BE"/>
        </w:rPr>
        <w:t xml:space="preserve"> </w:t>
      </w:r>
      <w:r>
        <w:rPr>
          <w:rFonts w:ascii="Times New Roman" w:hAnsi="Times New Roman"/>
          <w:noProof/>
          <w:sz w:val="24"/>
          <w:szCs w:val="24"/>
        </w:rPr>
        <w:t>във</w:t>
      </w:r>
      <w:r>
        <w:rPr>
          <w:rFonts w:ascii="Times New Roman" w:hAnsi="Times New Roman"/>
          <w:noProof/>
          <w:sz w:val="24"/>
          <w:szCs w:val="24"/>
          <w:lang w:val="fr-BE"/>
        </w:rPr>
        <w:t xml:space="preserve"> </w:t>
      </w:r>
      <w:r>
        <w:rPr>
          <w:rFonts w:ascii="Times New Roman" w:hAnsi="Times New Roman"/>
          <w:noProof/>
          <w:sz w:val="24"/>
          <w:szCs w:val="24"/>
        </w:rPr>
        <w:t>връзка</w:t>
      </w:r>
      <w:r>
        <w:rPr>
          <w:rFonts w:ascii="Times New Roman" w:hAnsi="Times New Roman"/>
          <w:noProof/>
          <w:sz w:val="24"/>
          <w:szCs w:val="24"/>
          <w:lang w:val="fr-BE"/>
        </w:rPr>
        <w:t xml:space="preserve"> </w:t>
      </w:r>
      <w:r>
        <w:rPr>
          <w:rFonts w:ascii="Times New Roman" w:hAnsi="Times New Roman"/>
          <w:noProof/>
          <w:sz w:val="24"/>
          <w:szCs w:val="24"/>
        </w:rPr>
        <w:t>с</w:t>
      </w:r>
      <w:r>
        <w:rPr>
          <w:rFonts w:ascii="Times New Roman" w:hAnsi="Times New Roman"/>
          <w:noProof/>
          <w:sz w:val="24"/>
          <w:szCs w:val="24"/>
          <w:lang w:val="fr-BE"/>
        </w:rPr>
        <w:t xml:space="preserve"> </w:t>
      </w:r>
      <w:hyperlink r:id="rId16" w:history="1">
        <w:r>
          <w:rPr>
            <w:rFonts w:ascii="Times New Roman" w:hAnsi="Times New Roman"/>
            <w:noProof/>
            <w:sz w:val="24"/>
            <w:szCs w:val="24"/>
          </w:rPr>
          <w:t>Европейския</w:t>
        </w:r>
        <w:r>
          <w:rPr>
            <w:rFonts w:ascii="Times New Roman" w:hAnsi="Times New Roman"/>
            <w:noProof/>
            <w:sz w:val="24"/>
            <w:szCs w:val="24"/>
            <w:lang w:val="fr-BE"/>
          </w:rPr>
          <w:t xml:space="preserve"> </w:t>
        </w:r>
        <w:r>
          <w:rPr>
            <w:rFonts w:ascii="Times New Roman" w:hAnsi="Times New Roman"/>
            <w:noProof/>
            <w:sz w:val="24"/>
            <w:szCs w:val="24"/>
          </w:rPr>
          <w:t>стълб</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социалните</w:t>
        </w:r>
        <w:r>
          <w:rPr>
            <w:rFonts w:ascii="Times New Roman" w:hAnsi="Times New Roman"/>
            <w:noProof/>
            <w:sz w:val="24"/>
            <w:szCs w:val="24"/>
            <w:lang w:val="fr-BE"/>
          </w:rPr>
          <w:t xml:space="preserve"> </w:t>
        </w:r>
        <w:r>
          <w:rPr>
            <w:rFonts w:ascii="Times New Roman" w:hAnsi="Times New Roman"/>
            <w:noProof/>
            <w:sz w:val="24"/>
            <w:szCs w:val="24"/>
          </w:rPr>
          <w:t>права</w:t>
        </w:r>
      </w:hyperlink>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lang w:val="fr-BE"/>
        </w:rPr>
        <w:t xml:space="preserve">, </w:t>
      </w:r>
      <w:r>
        <w:rPr>
          <w:rFonts w:ascii="Times New Roman" w:hAnsi="Times New Roman"/>
          <w:noProof/>
          <w:sz w:val="24"/>
          <w:szCs w:val="24"/>
        </w:rPr>
        <w:t>допълнително</w:t>
      </w:r>
      <w:r>
        <w:rPr>
          <w:rFonts w:ascii="Times New Roman" w:hAnsi="Times New Roman"/>
          <w:noProof/>
          <w:sz w:val="24"/>
          <w:szCs w:val="24"/>
          <w:lang w:val="fr-BE"/>
        </w:rPr>
        <w:t xml:space="preserve"> </w:t>
      </w:r>
      <w:r>
        <w:rPr>
          <w:rFonts w:ascii="Times New Roman" w:hAnsi="Times New Roman"/>
          <w:noProof/>
          <w:sz w:val="24"/>
          <w:szCs w:val="24"/>
        </w:rPr>
        <w:t>ще</w:t>
      </w:r>
      <w:r>
        <w:rPr>
          <w:rFonts w:ascii="Times New Roman" w:hAnsi="Times New Roman"/>
          <w:noProof/>
          <w:sz w:val="24"/>
          <w:szCs w:val="24"/>
          <w:lang w:val="fr-BE"/>
        </w:rPr>
        <w:t xml:space="preserve"> </w:t>
      </w:r>
      <w:r>
        <w:rPr>
          <w:rFonts w:ascii="Times New Roman" w:hAnsi="Times New Roman"/>
          <w:noProof/>
          <w:sz w:val="24"/>
          <w:szCs w:val="24"/>
        </w:rPr>
        <w:t>спомогне</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установяването</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ключови</w:t>
      </w:r>
      <w:r>
        <w:rPr>
          <w:rFonts w:ascii="Times New Roman" w:hAnsi="Times New Roman"/>
          <w:noProof/>
          <w:sz w:val="24"/>
          <w:szCs w:val="24"/>
          <w:lang w:val="fr-BE"/>
        </w:rPr>
        <w:t xml:space="preserve"> </w:t>
      </w:r>
      <w:r>
        <w:rPr>
          <w:rFonts w:ascii="Times New Roman" w:hAnsi="Times New Roman"/>
          <w:noProof/>
          <w:sz w:val="24"/>
          <w:szCs w:val="24"/>
        </w:rPr>
        <w:t>проблеми</w:t>
      </w:r>
      <w:r>
        <w:rPr>
          <w:rFonts w:ascii="Times New Roman" w:hAnsi="Times New Roman"/>
          <w:noProof/>
          <w:sz w:val="24"/>
          <w:szCs w:val="24"/>
          <w:lang w:val="fr-BE"/>
        </w:rPr>
        <w:t xml:space="preserve">, </w:t>
      </w:r>
      <w:r>
        <w:rPr>
          <w:rFonts w:ascii="Times New Roman" w:hAnsi="Times New Roman"/>
          <w:noProof/>
          <w:sz w:val="24"/>
          <w:szCs w:val="24"/>
        </w:rPr>
        <w:t>включително</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областта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здравните</w:t>
      </w:r>
      <w:r>
        <w:rPr>
          <w:rFonts w:ascii="Times New Roman" w:hAnsi="Times New Roman"/>
          <w:noProof/>
          <w:sz w:val="24"/>
          <w:szCs w:val="24"/>
          <w:lang w:val="fr-BE"/>
        </w:rPr>
        <w:t xml:space="preserve"> </w:t>
      </w:r>
      <w:r>
        <w:rPr>
          <w:rFonts w:ascii="Times New Roman" w:hAnsi="Times New Roman"/>
          <w:noProof/>
          <w:sz w:val="24"/>
          <w:szCs w:val="24"/>
        </w:rPr>
        <w:t>грижи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уменията</w:t>
      </w:r>
      <w:r>
        <w:rPr>
          <w:rFonts w:ascii="Times New Roman" w:hAnsi="Times New Roman"/>
          <w:noProof/>
          <w:sz w:val="24"/>
          <w:szCs w:val="24"/>
          <w:lang w:val="fr-BE"/>
        </w:rPr>
        <w:t xml:space="preserve">, </w:t>
      </w:r>
      <w:r>
        <w:rPr>
          <w:rFonts w:ascii="Times New Roman" w:hAnsi="Times New Roman"/>
          <w:noProof/>
          <w:sz w:val="24"/>
          <w:szCs w:val="24"/>
        </w:rPr>
        <w:t>както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гарантираното</w:t>
      </w:r>
      <w:r>
        <w:rPr>
          <w:rFonts w:ascii="Times New Roman" w:hAnsi="Times New Roman"/>
          <w:noProof/>
          <w:sz w:val="24"/>
          <w:szCs w:val="24"/>
          <w:lang w:val="fr-BE"/>
        </w:rPr>
        <w:t xml:space="preserve"> </w:t>
      </w:r>
      <w:r>
        <w:rPr>
          <w:rFonts w:ascii="Times New Roman" w:hAnsi="Times New Roman"/>
          <w:noProof/>
          <w:sz w:val="24"/>
          <w:szCs w:val="24"/>
        </w:rPr>
        <w:t>прилагане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този</w:t>
      </w:r>
      <w:r>
        <w:rPr>
          <w:rFonts w:ascii="Times New Roman" w:hAnsi="Times New Roman"/>
          <w:noProof/>
          <w:sz w:val="24"/>
          <w:szCs w:val="24"/>
          <w:lang w:val="fr-BE"/>
        </w:rPr>
        <w:t xml:space="preserve"> </w:t>
      </w:r>
      <w:r>
        <w:rPr>
          <w:rFonts w:ascii="Times New Roman" w:hAnsi="Times New Roman"/>
          <w:noProof/>
          <w:sz w:val="24"/>
          <w:szCs w:val="24"/>
        </w:rPr>
        <w:t>стълб</w:t>
      </w:r>
      <w:r>
        <w:rPr>
          <w:rFonts w:ascii="Times New Roman" w:hAnsi="Times New Roman"/>
          <w:noProof/>
          <w:sz w:val="24"/>
          <w:szCs w:val="24"/>
          <w:lang w:val="fr-BE"/>
        </w:rPr>
        <w:t xml:space="preserve">. </w:t>
      </w:r>
      <w:r>
        <w:rPr>
          <w:rFonts w:ascii="Times New Roman" w:hAnsi="Times New Roman"/>
          <w:noProof/>
          <w:sz w:val="24"/>
          <w:szCs w:val="24"/>
        </w:rPr>
        <w:t>С</w:t>
      </w:r>
      <w:r>
        <w:rPr>
          <w:rFonts w:ascii="Times New Roman" w:hAnsi="Times New Roman"/>
          <w:noProof/>
          <w:sz w:val="24"/>
          <w:szCs w:val="24"/>
          <w:lang w:val="fr-BE"/>
        </w:rPr>
        <w:t xml:space="preserve"> </w:t>
      </w:r>
      <w:r>
        <w:rPr>
          <w:rFonts w:ascii="Times New Roman" w:hAnsi="Times New Roman"/>
          <w:noProof/>
          <w:sz w:val="24"/>
          <w:szCs w:val="24"/>
        </w:rPr>
        <w:t>Механизма</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възстановяване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устойчивост</w:t>
      </w:r>
      <w:r>
        <w:rPr>
          <w:rStyle w:val="FootnoteReference"/>
          <w:rFonts w:ascii="Times New Roman" w:hAnsi="Times New Roman"/>
          <w:noProof/>
          <w:sz w:val="24"/>
        </w:rPr>
        <w:footnoteReference w:id="31"/>
      </w:r>
      <w:r>
        <w:rPr>
          <w:rStyle w:val="FootnoteReference"/>
          <w:noProof/>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държавите</w:t>
      </w:r>
      <w:r>
        <w:rPr>
          <w:rFonts w:ascii="Times New Roman" w:hAnsi="Times New Roman"/>
          <w:noProof/>
          <w:sz w:val="24"/>
          <w:szCs w:val="24"/>
          <w:lang w:val="fr-BE"/>
        </w:rPr>
        <w:t xml:space="preserve"> </w:t>
      </w:r>
      <w:r>
        <w:rPr>
          <w:rFonts w:ascii="Times New Roman" w:hAnsi="Times New Roman"/>
          <w:noProof/>
          <w:sz w:val="24"/>
          <w:szCs w:val="24"/>
        </w:rPr>
        <w:t>членки</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предлага</w:t>
      </w:r>
      <w:r>
        <w:rPr>
          <w:rFonts w:ascii="Times New Roman" w:hAnsi="Times New Roman"/>
          <w:noProof/>
          <w:sz w:val="24"/>
          <w:szCs w:val="24"/>
          <w:lang w:val="fr-BE"/>
        </w:rPr>
        <w:t xml:space="preserve"> </w:t>
      </w:r>
      <w:r>
        <w:rPr>
          <w:rFonts w:ascii="Times New Roman" w:hAnsi="Times New Roman"/>
          <w:noProof/>
          <w:sz w:val="24"/>
          <w:szCs w:val="24"/>
        </w:rPr>
        <w:t>безпрецедентна</w:t>
      </w:r>
      <w:r>
        <w:rPr>
          <w:rFonts w:ascii="Times New Roman" w:hAnsi="Times New Roman"/>
          <w:noProof/>
          <w:sz w:val="24"/>
          <w:szCs w:val="24"/>
          <w:lang w:val="fr-BE"/>
        </w:rPr>
        <w:t xml:space="preserve"> </w:t>
      </w:r>
      <w:r>
        <w:rPr>
          <w:rFonts w:ascii="Times New Roman" w:hAnsi="Times New Roman"/>
          <w:noProof/>
          <w:sz w:val="24"/>
          <w:szCs w:val="24"/>
        </w:rPr>
        <w:t>възможност</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извършат</w:t>
      </w:r>
      <w:r>
        <w:rPr>
          <w:rFonts w:ascii="Times New Roman" w:hAnsi="Times New Roman"/>
          <w:noProof/>
          <w:sz w:val="24"/>
          <w:szCs w:val="24"/>
          <w:lang w:val="fr-BE"/>
        </w:rPr>
        <w:t xml:space="preserve"> </w:t>
      </w:r>
      <w:r>
        <w:rPr>
          <w:rFonts w:ascii="Times New Roman" w:hAnsi="Times New Roman"/>
          <w:noProof/>
          <w:sz w:val="24"/>
          <w:szCs w:val="24"/>
        </w:rPr>
        <w:t>структурни</w:t>
      </w:r>
      <w:r>
        <w:rPr>
          <w:rFonts w:ascii="Times New Roman" w:hAnsi="Times New Roman"/>
          <w:noProof/>
          <w:sz w:val="24"/>
          <w:szCs w:val="24"/>
          <w:lang w:val="fr-BE"/>
        </w:rPr>
        <w:t xml:space="preserve"> </w:t>
      </w:r>
      <w:r>
        <w:rPr>
          <w:rFonts w:ascii="Times New Roman" w:hAnsi="Times New Roman"/>
          <w:noProof/>
          <w:sz w:val="24"/>
          <w:szCs w:val="24"/>
        </w:rPr>
        <w:t>реформи</w:t>
      </w:r>
      <w:r>
        <w:rPr>
          <w:rFonts w:ascii="Times New Roman" w:hAnsi="Times New Roman"/>
          <w:noProof/>
          <w:sz w:val="24"/>
          <w:szCs w:val="24"/>
          <w:lang w:val="fr-BE"/>
        </w:rPr>
        <w:t xml:space="preserve">, </w:t>
      </w:r>
      <w:r>
        <w:rPr>
          <w:rFonts w:ascii="Times New Roman" w:hAnsi="Times New Roman"/>
          <w:noProof/>
          <w:sz w:val="24"/>
          <w:szCs w:val="24"/>
        </w:rPr>
        <w:t>подкрепени</w:t>
      </w:r>
      <w:r>
        <w:rPr>
          <w:rFonts w:ascii="Times New Roman" w:hAnsi="Times New Roman"/>
          <w:noProof/>
          <w:sz w:val="24"/>
          <w:szCs w:val="24"/>
          <w:lang w:val="fr-BE"/>
        </w:rPr>
        <w:t xml:space="preserve"> </w:t>
      </w:r>
      <w:r>
        <w:rPr>
          <w:rFonts w:ascii="Times New Roman" w:hAnsi="Times New Roman"/>
          <w:noProof/>
          <w:sz w:val="24"/>
          <w:szCs w:val="24"/>
        </w:rPr>
        <w:t>от</w:t>
      </w:r>
      <w:r>
        <w:rPr>
          <w:rFonts w:ascii="Times New Roman" w:hAnsi="Times New Roman"/>
          <w:noProof/>
          <w:sz w:val="24"/>
          <w:szCs w:val="24"/>
          <w:lang w:val="fr-BE"/>
        </w:rPr>
        <w:t xml:space="preserve"> </w:t>
      </w:r>
      <w:r>
        <w:rPr>
          <w:rFonts w:ascii="Times New Roman" w:hAnsi="Times New Roman"/>
          <w:noProof/>
          <w:sz w:val="24"/>
          <w:szCs w:val="24"/>
        </w:rPr>
        <w:t>инвестиции</w:t>
      </w:r>
      <w:r>
        <w:rPr>
          <w:rFonts w:ascii="Times New Roman" w:hAnsi="Times New Roman"/>
          <w:noProof/>
          <w:sz w:val="24"/>
          <w:szCs w:val="24"/>
          <w:lang w:val="fr-BE"/>
        </w:rPr>
        <w:t xml:space="preserve">, </w:t>
      </w:r>
      <w:r>
        <w:rPr>
          <w:rFonts w:ascii="Times New Roman" w:hAnsi="Times New Roman"/>
          <w:noProof/>
          <w:sz w:val="24"/>
          <w:szCs w:val="24"/>
        </w:rPr>
        <w:t>които</w:t>
      </w:r>
      <w:r>
        <w:rPr>
          <w:rFonts w:ascii="Times New Roman" w:hAnsi="Times New Roman"/>
          <w:noProof/>
          <w:sz w:val="24"/>
          <w:szCs w:val="24"/>
          <w:lang w:val="fr-BE"/>
        </w:rPr>
        <w:t xml:space="preserve"> </w:t>
      </w:r>
      <w:r>
        <w:rPr>
          <w:rFonts w:ascii="Times New Roman" w:hAnsi="Times New Roman"/>
          <w:noProof/>
          <w:sz w:val="24"/>
          <w:szCs w:val="24"/>
        </w:rPr>
        <w:t>са</w:t>
      </w:r>
      <w:r>
        <w:rPr>
          <w:rFonts w:ascii="Times New Roman" w:hAnsi="Times New Roman"/>
          <w:noProof/>
          <w:sz w:val="24"/>
          <w:szCs w:val="24"/>
          <w:lang w:val="fr-BE"/>
        </w:rPr>
        <w:t xml:space="preserve"> </w:t>
      </w:r>
      <w:r>
        <w:rPr>
          <w:rFonts w:ascii="Times New Roman" w:hAnsi="Times New Roman"/>
          <w:noProof/>
          <w:sz w:val="24"/>
          <w:szCs w:val="24"/>
        </w:rPr>
        <w:t>насочени</w:t>
      </w:r>
      <w:r>
        <w:rPr>
          <w:rFonts w:ascii="Times New Roman" w:hAnsi="Times New Roman"/>
          <w:noProof/>
          <w:sz w:val="24"/>
          <w:szCs w:val="24"/>
          <w:lang w:val="fr-BE"/>
        </w:rPr>
        <w:t xml:space="preserve">, </w:t>
      </w:r>
      <w:r>
        <w:rPr>
          <w:rFonts w:ascii="Times New Roman" w:hAnsi="Times New Roman"/>
          <w:noProof/>
          <w:sz w:val="24"/>
          <w:szCs w:val="24"/>
        </w:rPr>
        <w:t>наред</w:t>
      </w:r>
      <w:r>
        <w:rPr>
          <w:rFonts w:ascii="Times New Roman" w:hAnsi="Times New Roman"/>
          <w:noProof/>
          <w:sz w:val="24"/>
          <w:szCs w:val="24"/>
          <w:lang w:val="fr-BE"/>
        </w:rPr>
        <w:t xml:space="preserve"> </w:t>
      </w:r>
      <w:r>
        <w:rPr>
          <w:rFonts w:ascii="Times New Roman" w:hAnsi="Times New Roman"/>
          <w:noProof/>
          <w:sz w:val="24"/>
          <w:szCs w:val="24"/>
        </w:rPr>
        <w:t>с</w:t>
      </w:r>
      <w:r>
        <w:rPr>
          <w:rFonts w:ascii="Times New Roman" w:hAnsi="Times New Roman"/>
          <w:noProof/>
          <w:sz w:val="24"/>
          <w:szCs w:val="24"/>
          <w:lang w:val="fr-BE"/>
        </w:rPr>
        <w:t xml:space="preserve"> </w:t>
      </w:r>
      <w:r>
        <w:rPr>
          <w:rFonts w:ascii="Times New Roman" w:hAnsi="Times New Roman"/>
          <w:noProof/>
          <w:sz w:val="24"/>
          <w:szCs w:val="24"/>
        </w:rPr>
        <w:t>другото</w:t>
      </w:r>
      <w:r>
        <w:rPr>
          <w:rFonts w:ascii="Times New Roman" w:hAnsi="Times New Roman"/>
          <w:noProof/>
          <w:sz w:val="24"/>
          <w:szCs w:val="24"/>
          <w:lang w:val="fr-BE"/>
        </w:rPr>
        <w:t xml:space="preserve">, </w:t>
      </w:r>
      <w:r>
        <w:rPr>
          <w:rFonts w:ascii="Times New Roman" w:hAnsi="Times New Roman"/>
          <w:noProof/>
          <w:sz w:val="24"/>
          <w:szCs w:val="24"/>
        </w:rPr>
        <w:t>към</w:t>
      </w:r>
      <w:r>
        <w:rPr>
          <w:rFonts w:ascii="Times New Roman" w:hAnsi="Times New Roman"/>
          <w:noProof/>
          <w:sz w:val="24"/>
          <w:szCs w:val="24"/>
          <w:lang w:val="fr-BE"/>
        </w:rPr>
        <w:t xml:space="preserve"> </w:t>
      </w:r>
      <w:r>
        <w:rPr>
          <w:rFonts w:ascii="Times New Roman" w:hAnsi="Times New Roman"/>
          <w:noProof/>
          <w:sz w:val="24"/>
          <w:szCs w:val="24"/>
        </w:rPr>
        <w:t>повишаване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готовността</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издръжливостта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техните</w:t>
      </w:r>
      <w:r>
        <w:rPr>
          <w:rFonts w:ascii="Times New Roman" w:hAnsi="Times New Roman"/>
          <w:noProof/>
          <w:sz w:val="24"/>
          <w:szCs w:val="24"/>
          <w:lang w:val="fr-BE"/>
        </w:rPr>
        <w:t xml:space="preserve"> </w:t>
      </w:r>
      <w:r>
        <w:rPr>
          <w:rFonts w:ascii="Times New Roman" w:hAnsi="Times New Roman"/>
          <w:noProof/>
          <w:sz w:val="24"/>
          <w:szCs w:val="24"/>
        </w:rPr>
        <w:t>национални</w:t>
      </w:r>
      <w:r>
        <w:rPr>
          <w:rFonts w:ascii="Times New Roman" w:hAnsi="Times New Roman"/>
          <w:noProof/>
          <w:sz w:val="24"/>
          <w:szCs w:val="24"/>
          <w:lang w:val="fr-BE"/>
        </w:rPr>
        <w:t xml:space="preserve"> </w:t>
      </w:r>
      <w:r>
        <w:rPr>
          <w:rFonts w:ascii="Times New Roman" w:hAnsi="Times New Roman"/>
          <w:noProof/>
          <w:sz w:val="24"/>
          <w:szCs w:val="24"/>
        </w:rPr>
        <w:t>здравни</w:t>
      </w:r>
      <w:r>
        <w:rPr>
          <w:rFonts w:ascii="Times New Roman" w:hAnsi="Times New Roman"/>
          <w:noProof/>
          <w:sz w:val="24"/>
          <w:szCs w:val="24"/>
          <w:lang w:val="fr-BE"/>
        </w:rPr>
        <w:t xml:space="preserve"> </w:t>
      </w:r>
      <w:r>
        <w:rPr>
          <w:rFonts w:ascii="Times New Roman" w:hAnsi="Times New Roman"/>
          <w:noProof/>
          <w:sz w:val="24"/>
          <w:szCs w:val="24"/>
        </w:rPr>
        <w:t>системи</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гарантиране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равен</w:t>
      </w:r>
      <w:r>
        <w:rPr>
          <w:rFonts w:ascii="Times New Roman" w:hAnsi="Times New Roman"/>
          <w:noProof/>
          <w:sz w:val="24"/>
          <w:szCs w:val="24"/>
          <w:lang w:val="fr-BE"/>
        </w:rPr>
        <w:t xml:space="preserve"> </w:t>
      </w:r>
      <w:r>
        <w:rPr>
          <w:rFonts w:ascii="Times New Roman" w:hAnsi="Times New Roman"/>
          <w:noProof/>
          <w:sz w:val="24"/>
          <w:szCs w:val="24"/>
        </w:rPr>
        <w:t>достъп</w:t>
      </w:r>
      <w:r>
        <w:rPr>
          <w:rFonts w:ascii="Times New Roman" w:hAnsi="Times New Roman"/>
          <w:noProof/>
          <w:sz w:val="24"/>
          <w:szCs w:val="24"/>
          <w:lang w:val="fr-BE"/>
        </w:rPr>
        <w:t xml:space="preserve"> </w:t>
      </w:r>
      <w:r>
        <w:rPr>
          <w:rFonts w:ascii="Times New Roman" w:hAnsi="Times New Roman"/>
          <w:noProof/>
          <w:sz w:val="24"/>
          <w:szCs w:val="24"/>
        </w:rPr>
        <w:t>до</w:t>
      </w:r>
      <w:r>
        <w:rPr>
          <w:rFonts w:ascii="Times New Roman" w:hAnsi="Times New Roman"/>
          <w:noProof/>
          <w:sz w:val="24"/>
          <w:szCs w:val="24"/>
          <w:lang w:val="fr-BE"/>
        </w:rPr>
        <w:t xml:space="preserve"> </w:t>
      </w:r>
      <w:r>
        <w:rPr>
          <w:rFonts w:ascii="Times New Roman" w:hAnsi="Times New Roman"/>
          <w:noProof/>
          <w:sz w:val="24"/>
          <w:szCs w:val="24"/>
        </w:rPr>
        <w:t>качествено</w:t>
      </w:r>
      <w:r>
        <w:rPr>
          <w:rFonts w:ascii="Times New Roman" w:hAnsi="Times New Roman"/>
          <w:noProof/>
          <w:sz w:val="24"/>
          <w:szCs w:val="24"/>
          <w:lang w:val="fr-BE"/>
        </w:rPr>
        <w:t xml:space="preserve"> </w:t>
      </w:r>
      <w:r>
        <w:rPr>
          <w:rFonts w:ascii="Times New Roman" w:hAnsi="Times New Roman"/>
          <w:noProof/>
          <w:sz w:val="24"/>
          <w:szCs w:val="24"/>
        </w:rPr>
        <w:t>здравно</w:t>
      </w:r>
      <w:r>
        <w:rPr>
          <w:rFonts w:ascii="Times New Roman" w:hAnsi="Times New Roman"/>
          <w:noProof/>
          <w:sz w:val="24"/>
          <w:szCs w:val="24"/>
          <w:lang w:val="fr-BE"/>
        </w:rPr>
        <w:t xml:space="preserve"> </w:t>
      </w:r>
      <w:r>
        <w:rPr>
          <w:rFonts w:ascii="Times New Roman" w:hAnsi="Times New Roman"/>
          <w:noProof/>
          <w:sz w:val="24"/>
          <w:szCs w:val="24"/>
        </w:rPr>
        <w:t>обслужване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приемливи</w:t>
      </w:r>
      <w:r>
        <w:rPr>
          <w:rFonts w:ascii="Times New Roman" w:hAnsi="Times New Roman"/>
          <w:noProof/>
          <w:sz w:val="24"/>
          <w:szCs w:val="24"/>
          <w:lang w:val="fr-BE"/>
        </w:rPr>
        <w:t xml:space="preserve"> </w:t>
      </w:r>
      <w:r>
        <w:rPr>
          <w:rFonts w:ascii="Times New Roman" w:hAnsi="Times New Roman"/>
          <w:noProof/>
          <w:sz w:val="24"/>
          <w:szCs w:val="24"/>
        </w:rPr>
        <w:t>цени</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Целенасочените</w:t>
      </w:r>
      <w:r>
        <w:rPr>
          <w:rFonts w:ascii="Times New Roman" w:hAnsi="Times New Roman"/>
          <w:noProof/>
          <w:sz w:val="24"/>
          <w:szCs w:val="24"/>
          <w:lang w:val="fr-BE"/>
        </w:rPr>
        <w:t xml:space="preserve"> </w:t>
      </w:r>
      <w:r>
        <w:rPr>
          <w:rFonts w:ascii="Times New Roman" w:hAnsi="Times New Roman"/>
          <w:noProof/>
          <w:sz w:val="24"/>
          <w:szCs w:val="24"/>
        </w:rPr>
        <w:t>действия</w:t>
      </w:r>
      <w:r>
        <w:rPr>
          <w:rFonts w:ascii="Times New Roman" w:hAnsi="Times New Roman"/>
          <w:noProof/>
          <w:sz w:val="24"/>
          <w:szCs w:val="24"/>
          <w:lang w:val="fr-BE"/>
        </w:rPr>
        <w:t xml:space="preserve"> </w:t>
      </w:r>
      <w:r>
        <w:rPr>
          <w:rFonts w:ascii="Times New Roman" w:hAnsi="Times New Roman"/>
          <w:noProof/>
          <w:sz w:val="24"/>
          <w:szCs w:val="24"/>
        </w:rPr>
        <w:t>може</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отнасят</w:t>
      </w:r>
      <w:r>
        <w:rPr>
          <w:rFonts w:ascii="Times New Roman" w:hAnsi="Times New Roman"/>
          <w:noProof/>
          <w:sz w:val="24"/>
          <w:szCs w:val="24"/>
          <w:lang w:val="fr-BE"/>
        </w:rPr>
        <w:t xml:space="preserve"> </w:t>
      </w:r>
      <w:r>
        <w:rPr>
          <w:rFonts w:ascii="Times New Roman" w:hAnsi="Times New Roman"/>
          <w:noProof/>
          <w:sz w:val="24"/>
          <w:szCs w:val="24"/>
        </w:rPr>
        <w:t>например</w:t>
      </w:r>
      <w:r>
        <w:rPr>
          <w:rFonts w:ascii="Times New Roman" w:hAnsi="Times New Roman"/>
          <w:noProof/>
          <w:sz w:val="24"/>
          <w:szCs w:val="24"/>
          <w:lang w:val="fr-BE"/>
        </w:rPr>
        <w:t xml:space="preserve"> </w:t>
      </w:r>
      <w:r>
        <w:rPr>
          <w:rFonts w:ascii="Times New Roman" w:hAnsi="Times New Roman"/>
          <w:noProof/>
          <w:sz w:val="24"/>
          <w:szCs w:val="24"/>
        </w:rPr>
        <w:t>до</w:t>
      </w:r>
      <w:r>
        <w:rPr>
          <w:rFonts w:ascii="Times New Roman" w:hAnsi="Times New Roman"/>
          <w:noProof/>
          <w:sz w:val="24"/>
          <w:szCs w:val="24"/>
          <w:lang w:val="fr-BE"/>
        </w:rPr>
        <w:t xml:space="preserve"> </w:t>
      </w:r>
      <w:r>
        <w:rPr>
          <w:rFonts w:ascii="Times New Roman" w:hAnsi="Times New Roman"/>
          <w:noProof/>
          <w:sz w:val="24"/>
          <w:szCs w:val="24"/>
        </w:rPr>
        <w:t>реорганизация</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болничната</w:t>
      </w:r>
      <w:r>
        <w:rPr>
          <w:rFonts w:ascii="Times New Roman" w:hAnsi="Times New Roman"/>
          <w:noProof/>
          <w:sz w:val="24"/>
          <w:szCs w:val="24"/>
          <w:lang w:val="fr-BE"/>
        </w:rPr>
        <w:t xml:space="preserve"> </w:t>
      </w:r>
      <w:r>
        <w:rPr>
          <w:rFonts w:ascii="Times New Roman" w:hAnsi="Times New Roman"/>
          <w:noProof/>
          <w:sz w:val="24"/>
          <w:szCs w:val="24"/>
        </w:rPr>
        <w:t>мрежа</w:t>
      </w:r>
      <w:r>
        <w:rPr>
          <w:rFonts w:ascii="Times New Roman" w:hAnsi="Times New Roman"/>
          <w:noProof/>
          <w:sz w:val="24"/>
          <w:szCs w:val="24"/>
          <w:lang w:val="fr-BE"/>
        </w:rPr>
        <w:t xml:space="preserve"> </w:t>
      </w:r>
      <w:r>
        <w:rPr>
          <w:rFonts w:ascii="Times New Roman" w:hAnsi="Times New Roman"/>
          <w:noProof/>
          <w:sz w:val="24"/>
          <w:szCs w:val="24"/>
        </w:rPr>
        <w:t>с</w:t>
      </w:r>
      <w:r>
        <w:rPr>
          <w:rFonts w:ascii="Times New Roman" w:hAnsi="Times New Roman"/>
          <w:noProof/>
          <w:sz w:val="24"/>
          <w:szCs w:val="24"/>
          <w:lang w:val="fr-BE"/>
        </w:rPr>
        <w:t xml:space="preserve"> </w:t>
      </w:r>
      <w:r>
        <w:rPr>
          <w:rFonts w:ascii="Times New Roman" w:hAnsi="Times New Roman"/>
          <w:noProof/>
          <w:sz w:val="24"/>
          <w:szCs w:val="24"/>
        </w:rPr>
        <w:t>необходимия</w:t>
      </w:r>
      <w:r>
        <w:rPr>
          <w:rFonts w:ascii="Times New Roman" w:hAnsi="Times New Roman"/>
          <w:noProof/>
          <w:sz w:val="24"/>
          <w:szCs w:val="24"/>
          <w:lang w:val="fr-BE"/>
        </w:rPr>
        <w:t xml:space="preserve"> </w:t>
      </w:r>
      <w:r>
        <w:rPr>
          <w:rFonts w:ascii="Times New Roman" w:hAnsi="Times New Roman"/>
          <w:noProof/>
          <w:sz w:val="24"/>
          <w:szCs w:val="24"/>
        </w:rPr>
        <w:t>гъвкав</w:t>
      </w:r>
      <w:r>
        <w:rPr>
          <w:rFonts w:ascii="Times New Roman" w:hAnsi="Times New Roman"/>
          <w:noProof/>
          <w:sz w:val="24"/>
          <w:szCs w:val="24"/>
          <w:lang w:val="fr-BE"/>
        </w:rPr>
        <w:t xml:space="preserve"> </w:t>
      </w:r>
      <w:r>
        <w:rPr>
          <w:rFonts w:ascii="Times New Roman" w:hAnsi="Times New Roman"/>
          <w:noProof/>
          <w:sz w:val="24"/>
          <w:szCs w:val="24"/>
        </w:rPr>
        <w:t>капацитет</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посрещане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повишено</w:t>
      </w:r>
      <w:r>
        <w:rPr>
          <w:rFonts w:ascii="Times New Roman" w:hAnsi="Times New Roman"/>
          <w:noProof/>
          <w:sz w:val="24"/>
          <w:szCs w:val="24"/>
          <w:lang w:val="fr-BE"/>
        </w:rPr>
        <w:t xml:space="preserve"> </w:t>
      </w:r>
      <w:r>
        <w:rPr>
          <w:rFonts w:ascii="Times New Roman" w:hAnsi="Times New Roman"/>
          <w:noProof/>
          <w:sz w:val="24"/>
          <w:szCs w:val="24"/>
        </w:rPr>
        <w:t>търсене</w:t>
      </w:r>
      <w:r>
        <w:rPr>
          <w:rFonts w:ascii="Times New Roman" w:hAnsi="Times New Roman"/>
          <w:noProof/>
          <w:sz w:val="24"/>
          <w:szCs w:val="24"/>
          <w:lang w:val="fr-BE"/>
        </w:rPr>
        <w:t xml:space="preserve">, </w:t>
      </w:r>
      <w:r>
        <w:rPr>
          <w:rFonts w:ascii="Times New Roman" w:hAnsi="Times New Roman"/>
          <w:noProof/>
          <w:sz w:val="24"/>
          <w:szCs w:val="24"/>
        </w:rPr>
        <w:t>трансгранично</w:t>
      </w:r>
      <w:r>
        <w:rPr>
          <w:rFonts w:ascii="Times New Roman" w:hAnsi="Times New Roman"/>
          <w:noProof/>
          <w:sz w:val="24"/>
          <w:szCs w:val="24"/>
          <w:lang w:val="fr-BE"/>
        </w:rPr>
        <w:t xml:space="preserve"> </w:t>
      </w:r>
      <w:r>
        <w:rPr>
          <w:rFonts w:ascii="Times New Roman" w:hAnsi="Times New Roman"/>
          <w:noProof/>
          <w:sz w:val="24"/>
          <w:szCs w:val="24"/>
        </w:rPr>
        <w:t>транспортиране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лечение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пациенти</w:t>
      </w:r>
      <w:r>
        <w:rPr>
          <w:rFonts w:ascii="Times New Roman" w:hAnsi="Times New Roman"/>
          <w:noProof/>
          <w:sz w:val="24"/>
          <w:szCs w:val="24"/>
          <w:lang w:val="fr-BE"/>
        </w:rPr>
        <w:t xml:space="preserve"> </w:t>
      </w:r>
      <w:r>
        <w:rPr>
          <w:rFonts w:ascii="Times New Roman" w:hAnsi="Times New Roman"/>
          <w:noProof/>
          <w:sz w:val="24"/>
          <w:szCs w:val="24"/>
        </w:rPr>
        <w:t>при</w:t>
      </w:r>
      <w:r>
        <w:rPr>
          <w:rFonts w:ascii="Times New Roman" w:hAnsi="Times New Roman"/>
          <w:noProof/>
          <w:sz w:val="24"/>
          <w:szCs w:val="24"/>
          <w:lang w:val="fr-BE"/>
        </w:rPr>
        <w:t xml:space="preserve"> </w:t>
      </w:r>
      <w:r>
        <w:rPr>
          <w:rFonts w:ascii="Times New Roman" w:hAnsi="Times New Roman"/>
          <w:noProof/>
          <w:sz w:val="24"/>
          <w:szCs w:val="24"/>
        </w:rPr>
        <w:t>извънредни</w:t>
      </w:r>
      <w:r>
        <w:rPr>
          <w:rFonts w:ascii="Times New Roman" w:hAnsi="Times New Roman"/>
          <w:noProof/>
          <w:sz w:val="24"/>
          <w:szCs w:val="24"/>
          <w:lang w:val="fr-BE"/>
        </w:rPr>
        <w:t xml:space="preserve"> </w:t>
      </w:r>
      <w:r>
        <w:rPr>
          <w:rFonts w:ascii="Times New Roman" w:hAnsi="Times New Roman"/>
          <w:noProof/>
          <w:sz w:val="24"/>
          <w:szCs w:val="24"/>
        </w:rPr>
        <w:t>здравни</w:t>
      </w:r>
      <w:r>
        <w:rPr>
          <w:rFonts w:ascii="Times New Roman" w:hAnsi="Times New Roman"/>
          <w:noProof/>
          <w:sz w:val="24"/>
          <w:szCs w:val="24"/>
          <w:lang w:val="fr-BE"/>
        </w:rPr>
        <w:t xml:space="preserve"> </w:t>
      </w:r>
      <w:r>
        <w:rPr>
          <w:rFonts w:ascii="Times New Roman" w:hAnsi="Times New Roman"/>
          <w:noProof/>
          <w:sz w:val="24"/>
          <w:szCs w:val="24"/>
        </w:rPr>
        <w:t>ситуации</w:t>
      </w:r>
      <w:r>
        <w:rPr>
          <w:rFonts w:ascii="Times New Roman" w:hAnsi="Times New Roman"/>
          <w:noProof/>
          <w:sz w:val="24"/>
          <w:szCs w:val="24"/>
          <w:lang w:val="fr-BE"/>
        </w:rPr>
        <w:t xml:space="preserve">, </w:t>
      </w:r>
      <w:r>
        <w:rPr>
          <w:rFonts w:ascii="Times New Roman" w:hAnsi="Times New Roman"/>
          <w:noProof/>
          <w:sz w:val="24"/>
          <w:szCs w:val="24"/>
        </w:rPr>
        <w:t>достатъчна</w:t>
      </w:r>
      <w:r>
        <w:rPr>
          <w:rFonts w:ascii="Times New Roman" w:hAnsi="Times New Roman"/>
          <w:noProof/>
          <w:sz w:val="24"/>
          <w:szCs w:val="24"/>
          <w:lang w:val="fr-BE"/>
        </w:rPr>
        <w:t xml:space="preserve"> </w:t>
      </w:r>
      <w:r>
        <w:rPr>
          <w:rFonts w:ascii="Times New Roman" w:hAnsi="Times New Roman"/>
          <w:noProof/>
          <w:sz w:val="24"/>
          <w:szCs w:val="24"/>
        </w:rPr>
        <w:t>наличност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структури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първична</w:t>
      </w:r>
      <w:r>
        <w:rPr>
          <w:rFonts w:ascii="Times New Roman" w:hAnsi="Times New Roman"/>
          <w:noProof/>
          <w:sz w:val="24"/>
          <w:szCs w:val="24"/>
          <w:lang w:val="fr-BE"/>
        </w:rPr>
        <w:t xml:space="preserve"> </w:t>
      </w:r>
      <w:r>
        <w:rPr>
          <w:rFonts w:ascii="Times New Roman" w:hAnsi="Times New Roman"/>
          <w:noProof/>
          <w:sz w:val="24"/>
          <w:szCs w:val="24"/>
        </w:rPr>
        <w:t>медицинска</w:t>
      </w:r>
      <w:r>
        <w:rPr>
          <w:rFonts w:ascii="Times New Roman" w:hAnsi="Times New Roman"/>
          <w:noProof/>
          <w:sz w:val="24"/>
          <w:szCs w:val="24"/>
          <w:lang w:val="fr-BE"/>
        </w:rPr>
        <w:t xml:space="preserve"> </w:t>
      </w:r>
      <w:r>
        <w:rPr>
          <w:rFonts w:ascii="Times New Roman" w:hAnsi="Times New Roman"/>
          <w:noProof/>
          <w:sz w:val="24"/>
          <w:szCs w:val="24"/>
        </w:rPr>
        <w:t>помощ</w:t>
      </w:r>
      <w:r>
        <w:rPr>
          <w:rFonts w:ascii="Times New Roman" w:hAnsi="Times New Roman"/>
          <w:noProof/>
          <w:sz w:val="24"/>
          <w:szCs w:val="24"/>
          <w:lang w:val="fr-BE"/>
        </w:rPr>
        <w:t xml:space="preserve">, </w:t>
      </w:r>
      <w:r>
        <w:rPr>
          <w:rFonts w:ascii="Times New Roman" w:hAnsi="Times New Roman"/>
          <w:noProof/>
          <w:sz w:val="24"/>
          <w:szCs w:val="24"/>
        </w:rPr>
        <w:t>добра</w:t>
      </w:r>
      <w:r>
        <w:rPr>
          <w:rFonts w:ascii="Times New Roman" w:hAnsi="Times New Roman"/>
          <w:noProof/>
          <w:sz w:val="24"/>
          <w:szCs w:val="24"/>
          <w:lang w:val="fr-BE"/>
        </w:rPr>
        <w:t xml:space="preserve"> </w:t>
      </w:r>
      <w:r>
        <w:rPr>
          <w:rFonts w:ascii="Times New Roman" w:hAnsi="Times New Roman"/>
          <w:noProof/>
          <w:sz w:val="24"/>
          <w:szCs w:val="24"/>
        </w:rPr>
        <w:t>интеграция</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всички</w:t>
      </w:r>
      <w:r>
        <w:rPr>
          <w:rFonts w:ascii="Times New Roman" w:hAnsi="Times New Roman"/>
          <w:noProof/>
          <w:sz w:val="24"/>
          <w:szCs w:val="24"/>
          <w:lang w:val="fr-BE"/>
        </w:rPr>
        <w:t xml:space="preserve"> </w:t>
      </w:r>
      <w:r>
        <w:rPr>
          <w:rFonts w:ascii="Times New Roman" w:hAnsi="Times New Roman"/>
          <w:noProof/>
          <w:sz w:val="24"/>
          <w:szCs w:val="24"/>
        </w:rPr>
        <w:t>равнища</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здравното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социалното</w:t>
      </w:r>
      <w:r>
        <w:rPr>
          <w:rFonts w:ascii="Times New Roman" w:hAnsi="Times New Roman"/>
          <w:noProof/>
          <w:sz w:val="24"/>
          <w:szCs w:val="24"/>
          <w:lang w:val="fr-BE"/>
        </w:rPr>
        <w:t xml:space="preserve"> </w:t>
      </w:r>
      <w:r>
        <w:rPr>
          <w:rFonts w:ascii="Times New Roman" w:hAnsi="Times New Roman"/>
          <w:noProof/>
          <w:sz w:val="24"/>
          <w:szCs w:val="24"/>
        </w:rPr>
        <w:t>обслужване</w:t>
      </w:r>
      <w:r>
        <w:rPr>
          <w:rFonts w:ascii="Times New Roman" w:hAnsi="Times New Roman"/>
          <w:noProof/>
          <w:sz w:val="24"/>
          <w:szCs w:val="24"/>
          <w:lang w:val="fr-BE"/>
        </w:rPr>
        <w:t xml:space="preserve">, </w:t>
      </w:r>
      <w:r>
        <w:rPr>
          <w:rFonts w:ascii="Times New Roman" w:hAnsi="Times New Roman"/>
          <w:noProof/>
          <w:sz w:val="24"/>
          <w:szCs w:val="24"/>
        </w:rPr>
        <w:t>наличност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достатъчно</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квалифициран</w:t>
      </w:r>
      <w:r>
        <w:rPr>
          <w:rFonts w:ascii="Times New Roman" w:hAnsi="Times New Roman"/>
          <w:noProof/>
          <w:sz w:val="24"/>
          <w:szCs w:val="24"/>
          <w:lang w:val="fr-BE"/>
        </w:rPr>
        <w:t xml:space="preserve"> </w:t>
      </w:r>
      <w:r>
        <w:rPr>
          <w:rFonts w:ascii="Times New Roman" w:hAnsi="Times New Roman"/>
          <w:noProof/>
          <w:sz w:val="24"/>
          <w:szCs w:val="24"/>
        </w:rPr>
        <w:t>здравен</w:t>
      </w:r>
      <w:r>
        <w:rPr>
          <w:rFonts w:ascii="Times New Roman" w:hAnsi="Times New Roman"/>
          <w:noProof/>
          <w:sz w:val="24"/>
          <w:szCs w:val="24"/>
          <w:lang w:val="fr-BE"/>
        </w:rPr>
        <w:t xml:space="preserve"> </w:t>
      </w:r>
      <w:r>
        <w:rPr>
          <w:rFonts w:ascii="Times New Roman" w:hAnsi="Times New Roman"/>
          <w:noProof/>
          <w:sz w:val="24"/>
          <w:szCs w:val="24"/>
        </w:rPr>
        <w:t>персонал</w:t>
      </w:r>
      <w:r>
        <w:rPr>
          <w:rFonts w:ascii="Times New Roman" w:hAnsi="Times New Roman"/>
          <w:noProof/>
          <w:sz w:val="24"/>
          <w:szCs w:val="24"/>
          <w:lang w:val="fr-BE"/>
        </w:rPr>
        <w:t xml:space="preserve">, </w:t>
      </w:r>
      <w:r>
        <w:rPr>
          <w:rFonts w:ascii="Times New Roman" w:hAnsi="Times New Roman"/>
          <w:noProof/>
          <w:sz w:val="24"/>
          <w:szCs w:val="24"/>
        </w:rPr>
        <w:t>чиито</w:t>
      </w:r>
      <w:r>
        <w:rPr>
          <w:rFonts w:ascii="Times New Roman" w:hAnsi="Times New Roman"/>
          <w:noProof/>
          <w:sz w:val="24"/>
          <w:szCs w:val="24"/>
          <w:lang w:val="fr-BE"/>
        </w:rPr>
        <w:t xml:space="preserve"> </w:t>
      </w:r>
      <w:r>
        <w:rPr>
          <w:rFonts w:ascii="Times New Roman" w:hAnsi="Times New Roman"/>
          <w:noProof/>
          <w:sz w:val="24"/>
          <w:szCs w:val="24"/>
        </w:rPr>
        <w:t>роли</w:t>
      </w:r>
      <w:r>
        <w:rPr>
          <w:rFonts w:ascii="Times New Roman" w:hAnsi="Times New Roman"/>
          <w:noProof/>
          <w:sz w:val="24"/>
          <w:szCs w:val="24"/>
          <w:lang w:val="fr-BE"/>
        </w:rPr>
        <w:t xml:space="preserve"> </w:t>
      </w:r>
      <w:r>
        <w:rPr>
          <w:rFonts w:ascii="Times New Roman" w:hAnsi="Times New Roman"/>
          <w:noProof/>
          <w:sz w:val="24"/>
          <w:szCs w:val="24"/>
        </w:rPr>
        <w:t>могат</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бъдат</w:t>
      </w:r>
      <w:r>
        <w:rPr>
          <w:rFonts w:ascii="Times New Roman" w:hAnsi="Times New Roman"/>
          <w:noProof/>
          <w:sz w:val="24"/>
          <w:szCs w:val="24"/>
          <w:lang w:val="fr-BE"/>
        </w:rPr>
        <w:t xml:space="preserve"> </w:t>
      </w:r>
      <w:r>
        <w:rPr>
          <w:rFonts w:ascii="Times New Roman" w:hAnsi="Times New Roman"/>
          <w:noProof/>
          <w:sz w:val="24"/>
          <w:szCs w:val="24"/>
        </w:rPr>
        <w:t>преразпределяни</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извънредни</w:t>
      </w:r>
      <w:r>
        <w:rPr>
          <w:rFonts w:ascii="Times New Roman" w:hAnsi="Times New Roman"/>
          <w:noProof/>
          <w:sz w:val="24"/>
          <w:szCs w:val="24"/>
          <w:lang w:val="fr-BE"/>
        </w:rPr>
        <w:t xml:space="preserve"> </w:t>
      </w:r>
      <w:r>
        <w:rPr>
          <w:rFonts w:ascii="Times New Roman" w:hAnsi="Times New Roman"/>
          <w:noProof/>
          <w:sz w:val="24"/>
          <w:szCs w:val="24"/>
        </w:rPr>
        <w:t>ситуации</w:t>
      </w:r>
      <w:r>
        <w:rPr>
          <w:rFonts w:ascii="Times New Roman" w:hAnsi="Times New Roman"/>
          <w:noProof/>
          <w:sz w:val="24"/>
          <w:szCs w:val="24"/>
          <w:lang w:val="fr-BE"/>
        </w:rPr>
        <w:t xml:space="preserve">, </w:t>
      </w:r>
      <w:r>
        <w:rPr>
          <w:rFonts w:ascii="Times New Roman" w:hAnsi="Times New Roman"/>
          <w:noProof/>
          <w:sz w:val="24"/>
          <w:szCs w:val="24"/>
        </w:rPr>
        <w:t>внедряване</w:t>
      </w:r>
      <w:r>
        <w:rPr>
          <w:rFonts w:ascii="Times New Roman" w:hAnsi="Times New Roman"/>
          <w:noProof/>
          <w:sz w:val="24"/>
          <w:szCs w:val="24"/>
          <w:lang w:val="fr-BE"/>
        </w:rPr>
        <w:t xml:space="preserve"> </w:t>
      </w:r>
      <w:r>
        <w:rPr>
          <w:rFonts w:ascii="Times New Roman" w:hAnsi="Times New Roman"/>
          <w:noProof/>
          <w:sz w:val="24"/>
          <w:szCs w:val="24"/>
        </w:rPr>
        <w:t>и</w:t>
      </w:r>
      <w:r>
        <w:rPr>
          <w:rFonts w:ascii="Times New Roman" w:hAnsi="Times New Roman"/>
          <w:noProof/>
          <w:sz w:val="24"/>
          <w:szCs w:val="24"/>
          <w:lang w:val="fr-BE"/>
        </w:rPr>
        <w:t xml:space="preserve"> </w:t>
      </w:r>
      <w:r>
        <w:rPr>
          <w:rFonts w:ascii="Times New Roman" w:hAnsi="Times New Roman"/>
          <w:noProof/>
          <w:sz w:val="24"/>
          <w:szCs w:val="24"/>
        </w:rPr>
        <w:t>финансово</w:t>
      </w:r>
      <w:r>
        <w:rPr>
          <w:rFonts w:ascii="Times New Roman" w:hAnsi="Times New Roman"/>
          <w:noProof/>
          <w:sz w:val="24"/>
          <w:szCs w:val="24"/>
          <w:lang w:val="fr-BE"/>
        </w:rPr>
        <w:t xml:space="preserve"> </w:t>
      </w:r>
      <w:r>
        <w:rPr>
          <w:rFonts w:ascii="Times New Roman" w:hAnsi="Times New Roman"/>
          <w:noProof/>
          <w:sz w:val="24"/>
          <w:szCs w:val="24"/>
        </w:rPr>
        <w:t>обезпечаване</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инструменти</w:t>
      </w:r>
      <w:r>
        <w:rPr>
          <w:rFonts w:ascii="Times New Roman" w:hAnsi="Times New Roman"/>
          <w:noProof/>
          <w:sz w:val="24"/>
          <w:szCs w:val="24"/>
          <w:lang w:val="fr-BE"/>
        </w:rPr>
        <w:t xml:space="preserve"> </w:t>
      </w: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електронно</w:t>
      </w:r>
      <w:r>
        <w:rPr>
          <w:rFonts w:ascii="Times New Roman" w:hAnsi="Times New Roman"/>
          <w:noProof/>
          <w:sz w:val="24"/>
          <w:szCs w:val="24"/>
          <w:lang w:val="fr-BE"/>
        </w:rPr>
        <w:t xml:space="preserve"> </w:t>
      </w:r>
      <w:r>
        <w:rPr>
          <w:rFonts w:ascii="Times New Roman" w:hAnsi="Times New Roman"/>
          <w:noProof/>
          <w:sz w:val="24"/>
          <w:szCs w:val="24"/>
        </w:rPr>
        <w:t>здравеопазване</w:t>
      </w:r>
      <w:r>
        <w:rPr>
          <w:rFonts w:ascii="Times New Roman" w:hAnsi="Times New Roman"/>
          <w:noProof/>
          <w:sz w:val="24"/>
          <w:szCs w:val="24"/>
          <w:lang w:val="fr-BE"/>
        </w:rPr>
        <w:t xml:space="preserve"> (</w:t>
      </w:r>
      <w:r>
        <w:rPr>
          <w:rFonts w:ascii="Times New Roman" w:hAnsi="Times New Roman"/>
          <w:noProof/>
          <w:sz w:val="24"/>
          <w:szCs w:val="24"/>
        </w:rPr>
        <w:t>включително</w:t>
      </w:r>
      <w:r>
        <w:rPr>
          <w:rFonts w:ascii="Times New Roman" w:hAnsi="Times New Roman"/>
          <w:noProof/>
          <w:sz w:val="24"/>
          <w:szCs w:val="24"/>
          <w:lang w:val="fr-BE"/>
        </w:rPr>
        <w:t xml:space="preserve"> </w:t>
      </w:r>
      <w:r>
        <w:rPr>
          <w:rFonts w:ascii="Times New Roman" w:hAnsi="Times New Roman"/>
          <w:noProof/>
          <w:sz w:val="24"/>
          <w:szCs w:val="24"/>
        </w:rPr>
        <w:t>телемедицина</w:t>
      </w:r>
      <w:r>
        <w:rPr>
          <w:rFonts w:ascii="Times New Roman" w:hAnsi="Times New Roman"/>
          <w:noProof/>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noProof/>
          <w:sz w:val="24"/>
          <w:szCs w:val="24"/>
        </w:rPr>
        <w:t>За</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може</w:t>
      </w:r>
      <w:r>
        <w:rPr>
          <w:rFonts w:ascii="Times New Roman" w:hAnsi="Times New Roman"/>
          <w:noProof/>
          <w:sz w:val="24"/>
          <w:szCs w:val="24"/>
          <w:lang w:val="fr-BE"/>
        </w:rPr>
        <w:t xml:space="preserve"> ECDC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изпълнява</w:t>
      </w:r>
      <w:r>
        <w:rPr>
          <w:rFonts w:ascii="Times New Roman" w:hAnsi="Times New Roman"/>
          <w:noProof/>
          <w:sz w:val="24"/>
          <w:szCs w:val="24"/>
          <w:lang w:val="fr-BE"/>
        </w:rPr>
        <w:t xml:space="preserve"> </w:t>
      </w:r>
      <w:r>
        <w:rPr>
          <w:rFonts w:ascii="Times New Roman" w:hAnsi="Times New Roman"/>
          <w:noProof/>
          <w:sz w:val="24"/>
          <w:szCs w:val="24"/>
        </w:rPr>
        <w:t>тези</w:t>
      </w:r>
      <w:r>
        <w:rPr>
          <w:rFonts w:ascii="Times New Roman" w:hAnsi="Times New Roman"/>
          <w:noProof/>
          <w:sz w:val="24"/>
          <w:szCs w:val="24"/>
          <w:lang w:val="fr-BE"/>
        </w:rPr>
        <w:t xml:space="preserve"> </w:t>
      </w:r>
      <w:r>
        <w:rPr>
          <w:rFonts w:ascii="Times New Roman" w:hAnsi="Times New Roman"/>
          <w:noProof/>
          <w:sz w:val="24"/>
          <w:szCs w:val="24"/>
        </w:rPr>
        <w:t>нови</w:t>
      </w:r>
      <w:r>
        <w:rPr>
          <w:rFonts w:ascii="Times New Roman" w:hAnsi="Times New Roman"/>
          <w:noProof/>
          <w:sz w:val="24"/>
          <w:szCs w:val="24"/>
          <w:lang w:val="fr-BE"/>
        </w:rPr>
        <w:t xml:space="preserve"> </w:t>
      </w:r>
      <w:r>
        <w:rPr>
          <w:rFonts w:ascii="Times New Roman" w:hAnsi="Times New Roman"/>
          <w:noProof/>
          <w:sz w:val="24"/>
          <w:szCs w:val="24"/>
        </w:rPr>
        <w:t>задачи</w:t>
      </w:r>
      <w:r>
        <w:rPr>
          <w:rFonts w:ascii="Times New Roman" w:hAnsi="Times New Roman"/>
          <w:noProof/>
          <w:sz w:val="24"/>
          <w:szCs w:val="24"/>
          <w:lang w:val="fr-BE"/>
        </w:rPr>
        <w:t xml:space="preserve"> </w:t>
      </w:r>
      <w:r>
        <w:rPr>
          <w:rFonts w:ascii="Times New Roman" w:hAnsi="Times New Roman"/>
          <w:noProof/>
          <w:sz w:val="24"/>
          <w:szCs w:val="24"/>
        </w:rPr>
        <w:t>в</w:t>
      </w:r>
      <w:r>
        <w:rPr>
          <w:rFonts w:ascii="Times New Roman" w:hAnsi="Times New Roman"/>
          <w:noProof/>
          <w:sz w:val="24"/>
          <w:szCs w:val="24"/>
          <w:lang w:val="fr-BE"/>
        </w:rPr>
        <w:t xml:space="preserve"> </w:t>
      </w:r>
      <w:r>
        <w:rPr>
          <w:rFonts w:ascii="Times New Roman" w:hAnsi="Times New Roman"/>
          <w:noProof/>
          <w:sz w:val="24"/>
          <w:szCs w:val="24"/>
        </w:rPr>
        <w:t>допълнение</w:t>
      </w:r>
      <w:r>
        <w:rPr>
          <w:rFonts w:ascii="Times New Roman" w:hAnsi="Times New Roman"/>
          <w:noProof/>
          <w:sz w:val="24"/>
          <w:szCs w:val="24"/>
          <w:lang w:val="fr-BE"/>
        </w:rPr>
        <w:t xml:space="preserve"> </w:t>
      </w:r>
      <w:r>
        <w:rPr>
          <w:rFonts w:ascii="Times New Roman" w:hAnsi="Times New Roman"/>
          <w:noProof/>
          <w:sz w:val="24"/>
          <w:szCs w:val="24"/>
        </w:rPr>
        <w:t>към</w:t>
      </w:r>
      <w:r>
        <w:rPr>
          <w:rFonts w:ascii="Times New Roman" w:hAnsi="Times New Roman"/>
          <w:noProof/>
          <w:sz w:val="24"/>
          <w:szCs w:val="24"/>
          <w:lang w:val="fr-BE"/>
        </w:rPr>
        <w:t xml:space="preserve"> </w:t>
      </w:r>
      <w:r>
        <w:rPr>
          <w:rFonts w:ascii="Times New Roman" w:hAnsi="Times New Roman"/>
          <w:noProof/>
          <w:sz w:val="24"/>
          <w:szCs w:val="24"/>
        </w:rPr>
        <w:t>текущия</w:t>
      </w:r>
      <w:r>
        <w:rPr>
          <w:rFonts w:ascii="Times New Roman" w:hAnsi="Times New Roman"/>
          <w:noProof/>
          <w:sz w:val="24"/>
          <w:szCs w:val="24"/>
          <w:lang w:val="fr-BE"/>
        </w:rPr>
        <w:t xml:space="preserve"> </w:t>
      </w:r>
      <w:r>
        <w:rPr>
          <w:rFonts w:ascii="Times New Roman" w:hAnsi="Times New Roman"/>
          <w:noProof/>
          <w:sz w:val="24"/>
          <w:szCs w:val="24"/>
        </w:rPr>
        <w:t>си</w:t>
      </w:r>
      <w:r>
        <w:rPr>
          <w:rFonts w:ascii="Times New Roman" w:hAnsi="Times New Roman"/>
          <w:noProof/>
          <w:sz w:val="24"/>
          <w:szCs w:val="24"/>
          <w:lang w:val="fr-BE"/>
        </w:rPr>
        <w:t xml:space="preserve"> </w:t>
      </w:r>
      <w:r>
        <w:rPr>
          <w:rFonts w:ascii="Times New Roman" w:hAnsi="Times New Roman"/>
          <w:noProof/>
          <w:sz w:val="24"/>
          <w:szCs w:val="24"/>
        </w:rPr>
        <w:t>мандат</w:t>
      </w:r>
      <w:r>
        <w:rPr>
          <w:rFonts w:ascii="Times New Roman" w:hAnsi="Times New Roman"/>
          <w:noProof/>
          <w:sz w:val="24"/>
          <w:szCs w:val="24"/>
          <w:lang w:val="fr-BE"/>
        </w:rPr>
        <w:t xml:space="preserve">, </w:t>
      </w:r>
      <w:r>
        <w:rPr>
          <w:rFonts w:ascii="Times New Roman" w:hAnsi="Times New Roman"/>
          <w:noProof/>
          <w:sz w:val="24"/>
          <w:szCs w:val="24"/>
        </w:rPr>
        <w:t>е</w:t>
      </w:r>
      <w:r>
        <w:rPr>
          <w:rFonts w:ascii="Times New Roman" w:hAnsi="Times New Roman"/>
          <w:noProof/>
          <w:sz w:val="24"/>
          <w:szCs w:val="24"/>
          <w:lang w:val="fr-BE"/>
        </w:rPr>
        <w:t xml:space="preserve"> </w:t>
      </w:r>
      <w:r>
        <w:rPr>
          <w:rFonts w:ascii="Times New Roman" w:hAnsi="Times New Roman"/>
          <w:noProof/>
          <w:sz w:val="24"/>
          <w:szCs w:val="24"/>
        </w:rPr>
        <w:t>необходимо</w:t>
      </w:r>
      <w:r>
        <w:rPr>
          <w:rFonts w:ascii="Times New Roman" w:hAnsi="Times New Roman"/>
          <w:noProof/>
          <w:sz w:val="24"/>
          <w:szCs w:val="24"/>
          <w:lang w:val="fr-BE"/>
        </w:rPr>
        <w:t xml:space="preserve"> </w:t>
      </w:r>
      <w:r>
        <w:rPr>
          <w:rFonts w:ascii="Times New Roman" w:hAnsi="Times New Roman"/>
          <w:noProof/>
          <w:sz w:val="24"/>
          <w:szCs w:val="24"/>
        </w:rPr>
        <w:t>бързо</w:t>
      </w:r>
      <w:r>
        <w:rPr>
          <w:rFonts w:ascii="Times New Roman" w:hAnsi="Times New Roman"/>
          <w:noProof/>
          <w:sz w:val="24"/>
          <w:szCs w:val="24"/>
          <w:lang w:val="fr-BE"/>
        </w:rPr>
        <w:t xml:space="preserve"> </w:t>
      </w:r>
      <w:r>
        <w:rPr>
          <w:rFonts w:ascii="Times New Roman" w:hAnsi="Times New Roman"/>
          <w:noProof/>
          <w:sz w:val="24"/>
          <w:szCs w:val="24"/>
        </w:rPr>
        <w:t>да</w:t>
      </w:r>
      <w:r>
        <w:rPr>
          <w:rFonts w:ascii="Times New Roman" w:hAnsi="Times New Roman"/>
          <w:noProof/>
          <w:sz w:val="24"/>
          <w:szCs w:val="24"/>
          <w:lang w:val="fr-BE"/>
        </w:rPr>
        <w:t xml:space="preserve"> </w:t>
      </w:r>
      <w:r>
        <w:rPr>
          <w:rFonts w:ascii="Times New Roman" w:hAnsi="Times New Roman"/>
          <w:noProof/>
          <w:sz w:val="24"/>
          <w:szCs w:val="24"/>
        </w:rPr>
        <w:t>се</w:t>
      </w:r>
      <w:r>
        <w:rPr>
          <w:rFonts w:ascii="Times New Roman" w:hAnsi="Times New Roman"/>
          <w:noProof/>
          <w:sz w:val="24"/>
          <w:szCs w:val="24"/>
          <w:lang w:val="fr-BE"/>
        </w:rPr>
        <w:t xml:space="preserve"> </w:t>
      </w:r>
      <w:r>
        <w:rPr>
          <w:rFonts w:ascii="Times New Roman" w:hAnsi="Times New Roman"/>
          <w:noProof/>
          <w:sz w:val="24"/>
          <w:szCs w:val="24"/>
        </w:rPr>
        <w:t>увеличи</w:t>
      </w:r>
      <w:r>
        <w:rPr>
          <w:rFonts w:ascii="Times New Roman" w:hAnsi="Times New Roman"/>
          <w:noProof/>
          <w:sz w:val="24"/>
          <w:szCs w:val="24"/>
          <w:lang w:val="fr-BE"/>
        </w:rPr>
        <w:t xml:space="preserve"> </w:t>
      </w:r>
      <w:r>
        <w:rPr>
          <w:rFonts w:ascii="Times New Roman" w:hAnsi="Times New Roman"/>
          <w:noProof/>
          <w:sz w:val="24"/>
          <w:szCs w:val="24"/>
        </w:rPr>
        <w:t>броят</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постоянните</w:t>
      </w:r>
      <w:r>
        <w:rPr>
          <w:rFonts w:ascii="Times New Roman" w:hAnsi="Times New Roman"/>
          <w:noProof/>
          <w:sz w:val="24"/>
          <w:szCs w:val="24"/>
          <w:lang w:val="fr-BE"/>
        </w:rPr>
        <w:t xml:space="preserve"> </w:t>
      </w:r>
      <w:r>
        <w:rPr>
          <w:rFonts w:ascii="Times New Roman" w:hAnsi="Times New Roman"/>
          <w:noProof/>
          <w:sz w:val="24"/>
          <w:szCs w:val="24"/>
        </w:rPr>
        <w:t>служители</w:t>
      </w:r>
      <w:r>
        <w:rPr>
          <w:rFonts w:ascii="Times New Roman" w:hAnsi="Times New Roman"/>
          <w:noProof/>
          <w:sz w:val="24"/>
          <w:szCs w:val="24"/>
          <w:lang w:val="fr-BE"/>
        </w:rPr>
        <w:t xml:space="preserve"> </w:t>
      </w:r>
      <w:r>
        <w:rPr>
          <w:rFonts w:ascii="Times New Roman" w:hAnsi="Times New Roman"/>
          <w:noProof/>
          <w:sz w:val="24"/>
          <w:szCs w:val="24"/>
        </w:rPr>
        <w:t>на</w:t>
      </w:r>
      <w:r>
        <w:rPr>
          <w:rFonts w:ascii="Times New Roman" w:hAnsi="Times New Roman"/>
          <w:noProof/>
          <w:sz w:val="24"/>
          <w:szCs w:val="24"/>
          <w:lang w:val="fr-BE"/>
        </w:rPr>
        <w:t xml:space="preserve"> </w:t>
      </w:r>
      <w:r>
        <w:rPr>
          <w:rFonts w:ascii="Times New Roman" w:hAnsi="Times New Roman"/>
          <w:noProof/>
          <w:sz w:val="24"/>
          <w:szCs w:val="24"/>
        </w:rPr>
        <w:t>тази</w:t>
      </w:r>
      <w:r>
        <w:rPr>
          <w:rFonts w:ascii="Times New Roman" w:hAnsi="Times New Roman"/>
          <w:noProof/>
          <w:sz w:val="24"/>
          <w:szCs w:val="24"/>
          <w:lang w:val="fr-BE"/>
        </w:rPr>
        <w:t xml:space="preserve"> </w:t>
      </w:r>
      <w:r>
        <w:rPr>
          <w:rFonts w:ascii="Times New Roman" w:hAnsi="Times New Roman"/>
          <w:noProof/>
          <w:sz w:val="24"/>
          <w:szCs w:val="24"/>
        </w:rPr>
        <w:t>агенция</w:t>
      </w:r>
      <w:r>
        <w:rPr>
          <w:rFonts w:ascii="Times New Roman" w:hAnsi="Times New Roman"/>
          <w:noProof/>
          <w:sz w:val="24"/>
          <w:szCs w:val="24"/>
          <w:lang w:val="fr-BE"/>
        </w:rPr>
        <w:t>.</w:t>
      </w:r>
    </w:p>
    <w:tbl>
      <w:tblPr>
        <w:tblStyle w:val="GridTable4Accent5"/>
        <w:tblW w:w="0" w:type="auto"/>
        <w:tblInd w:w="108" w:type="dxa"/>
        <w:tblLayout w:type="fixed"/>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rPr>
                <w:rFonts w:ascii="Times New Roman" w:eastAsia="Times New Roman" w:hAnsi="Times New Roman" w:cs="Times New Roman"/>
                <w:b w:val="0"/>
                <w:bCs w:val="0"/>
                <w:noProof/>
                <w:sz w:val="24"/>
                <w:szCs w:val="24"/>
              </w:rPr>
            </w:pPr>
            <w:r>
              <w:rPr>
                <w:rFonts w:ascii="Times New Roman" w:hAnsi="Times New Roman"/>
                <w:noProof/>
                <w:sz w:val="24"/>
                <w:szCs w:val="24"/>
              </w:rPr>
              <w:t>Предложение</w:t>
            </w:r>
          </w:p>
        </w:tc>
        <w:tc>
          <w:tcPr>
            <w:tcW w:w="1842"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rPr>
                <w:rFonts w:ascii="Times New Roman" w:hAnsi="Times New Roman" w:cs="Times New Roman"/>
                <w:b w:val="0"/>
                <w:bCs w:val="0"/>
                <w:noProof/>
                <w:sz w:val="24"/>
                <w:szCs w:val="24"/>
              </w:rPr>
            </w:pPr>
            <w:r>
              <w:rPr>
                <w:rFonts w:ascii="Times New Roman" w:hAnsi="Times New Roman"/>
                <w:b w:val="0"/>
                <w:bCs w:val="0"/>
                <w:noProof/>
                <w:sz w:val="24"/>
                <w:szCs w:val="24"/>
              </w:rPr>
              <w:t>Разработване и изпълнение на план на ЕС за готовност и реакция при здравна криза/пандемия</w:t>
            </w:r>
            <w:r>
              <w:rPr>
                <w:rStyle w:val="FootnoteReference"/>
                <w:rFonts w:ascii="Times New Roman" w:hAnsi="Times New Roman" w:cs="Times New Roman"/>
                <w:b w:val="0"/>
                <w:bCs w:val="0"/>
                <w:noProof/>
                <w:sz w:val="24"/>
                <w:szCs w:val="24"/>
                <w:lang w:val="en-US"/>
              </w:rPr>
              <w:footnoteReference w:id="33"/>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 ECDC; държавите членки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 xml:space="preserve">Разработване и изпълнение на национални планове за готовност и реакция, които да следват общи структури, стандарти и показатели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Държавите членки </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Засилено докладване от страна на държавите членки относно плановете за готовност и реакция, съчетано с процес на одит на равнище ЕС</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 държавите членки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 xml:space="preserve">Укрепване на прозрачността, като Комисията изготвя доклади, включващи резултати от одитите и препоръки за държавите членки, които предава на Европейския парламент и Съвета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децентрализираните агенции на ЕС </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Редовни стрес тестове в областта на общественото здраве и междусекторни стрес тестове, провеждани на национално равнище и на равнище ЕС, и корективни мерки</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Държавите членки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Чрез инструмента за техническа подкрепа</w:t>
            </w:r>
            <w:r>
              <w:rPr>
                <w:rStyle w:val="FootnoteReference"/>
                <w:rFonts w:ascii="Times New Roman" w:hAnsi="Times New Roman" w:cs="Times New Roman"/>
                <w:b w:val="0"/>
                <w:bCs w:val="0"/>
                <w:noProof/>
                <w:sz w:val="24"/>
                <w:szCs w:val="24"/>
                <w:lang w:val="en-US"/>
              </w:rPr>
              <w:footnoteReference w:id="34"/>
            </w:r>
            <w:r>
              <w:rPr>
                <w:rFonts w:ascii="Times New Roman" w:hAnsi="Times New Roman"/>
                <w:b w:val="0"/>
                <w:bCs w:val="0"/>
                <w:noProof/>
                <w:sz w:val="24"/>
                <w:szCs w:val="24"/>
              </w:rPr>
              <w:t xml:space="preserve"> — целенасочени дейности по обучение и обмен на знания за здравния персонал и персонала, който работи в областта на обществените здравни услуги, за да се осигурят знания и умения за разработване и изпълнение на националните планове за готовност, и осъществяване на дейности за укрепване на капацитета за готовност при кризи и на капацитета за надзор</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 ECDC; държавите членки</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Подкрепа за държавите членки да засилят издръжливостта, достъпността и ефективността на здравните системи чрез сътрудничество, обмен на най-добри практики, схеми за обучение, техническа подкрепа, информационни табла за издръжливостта</w:t>
            </w:r>
            <w:r>
              <w:rPr>
                <w:rStyle w:val="FootnoteReference"/>
                <w:rFonts w:ascii="Times New Roman" w:hAnsi="Times New Roman" w:cs="Times New Roman"/>
                <w:b w:val="0"/>
                <w:bCs w:val="0"/>
                <w:noProof/>
                <w:sz w:val="24"/>
                <w:szCs w:val="24"/>
                <w:lang w:val="en-US"/>
              </w:rPr>
              <w:footnoteReference w:id="35"/>
            </w:r>
            <w:r>
              <w:rPr>
                <w:rFonts w:ascii="Times New Roman" w:hAnsi="Times New Roman"/>
                <w:b w:val="0"/>
                <w:bCs w:val="0"/>
                <w:noProof/>
                <w:sz w:val="24"/>
                <w:szCs w:val="24"/>
              </w:rPr>
              <w:t xml:space="preserve"> и финансиране от програмите на ЕС</w:t>
            </w:r>
            <w:r>
              <w:rPr>
                <w:rStyle w:val="FootnoteReference"/>
                <w:rFonts w:ascii="Times New Roman" w:hAnsi="Times New Roman" w:cs="Times New Roman"/>
                <w:b w:val="0"/>
                <w:bCs w:val="0"/>
                <w:noProof/>
                <w:sz w:val="24"/>
                <w:szCs w:val="24"/>
                <w:lang w:val="en-US"/>
              </w:rPr>
              <w:footnoteReference w:id="36"/>
            </w:r>
            <w:r>
              <w:rPr>
                <w:rFonts w:ascii="Times New Roman" w:hAnsi="Times New Roman"/>
                <w:b w:val="0"/>
                <w:bCs w:val="0"/>
                <w:noProof/>
                <w:sz w:val="24"/>
                <w:szCs w:val="24"/>
              </w:rPr>
              <w:t xml:space="preserve"> </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 държавите членки</w:t>
            </w:r>
          </w:p>
        </w:tc>
      </w:tr>
    </w:tbl>
    <w:p>
      <w:pPr>
        <w:pStyle w:val="ManualHeading1"/>
        <w:spacing w:after="360"/>
        <w:rPr>
          <w:noProof/>
          <w:szCs w:val="24"/>
        </w:rPr>
      </w:pPr>
      <w:r>
        <w:rPr>
          <w:noProof/>
        </w:rPr>
        <w:t>6.</w:t>
      </w:r>
      <w:r>
        <w:rPr>
          <w:noProof/>
        </w:rPr>
        <w:tab/>
        <w:t>ЕПИДЕМИОЛОГИЧЕН НАДЗОР</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Укрепване на Европейски център за профилактика и контрол върху заболяванията</w:t>
      </w:r>
    </w:p>
    <w:p>
      <w:pPr>
        <w:jc w:val="both"/>
        <w:rPr>
          <w:rFonts w:ascii="Times New Roman" w:hAnsi="Times New Roman" w:cs="Times New Roman"/>
          <w:noProof/>
          <w:sz w:val="24"/>
          <w:szCs w:val="24"/>
        </w:rPr>
      </w:pPr>
      <w:r>
        <w:rPr>
          <w:rFonts w:ascii="Times New Roman" w:hAnsi="Times New Roman"/>
          <w:noProof/>
          <w:sz w:val="24"/>
          <w:szCs w:val="24"/>
        </w:rPr>
        <w:t>Няколко заразни болести и специфични здравни проблеми</w:t>
      </w:r>
      <w:r>
        <w:rPr>
          <w:rStyle w:val="FootnoteReference"/>
          <w:rFonts w:ascii="Times New Roman" w:eastAsia="Times New Roman" w:hAnsi="Times New Roman" w:cs="Times New Roman"/>
          <w:noProof/>
          <w:sz w:val="24"/>
          <w:szCs w:val="24"/>
        </w:rPr>
        <w:footnoteReference w:id="37"/>
      </w:r>
      <w:r>
        <w:rPr>
          <w:rFonts w:ascii="Times New Roman" w:hAnsi="Times New Roman"/>
          <w:noProof/>
          <w:sz w:val="24"/>
          <w:szCs w:val="24"/>
        </w:rPr>
        <w:t xml:space="preserve"> подлежат на задължителен епидемиологичен надзор на равнище ЕС. ECDC управлява и координира мрежата за този епидемиологичен надзор, което включва предоставянето на подкрепа за националните референтни лаборатории. Пандемията от COVID-19 показа липсата на съпоставими данни и разбиране на ситуацията, на които да се основава вземането на решения. Освен това тя предизвика провеждането на проучване на ползата от наблюдението на инфекциозни агенти в градските отпадъчни води като средство за проследяването на инфекции и като възможен механизъм за ранно предупреждение.</w:t>
      </w:r>
    </w:p>
    <w:p>
      <w:pPr>
        <w:jc w:val="both"/>
        <w:rPr>
          <w:rFonts w:ascii="Times New Roman" w:hAnsi="Times New Roman" w:cs="Times New Roman"/>
          <w:noProof/>
          <w:sz w:val="24"/>
          <w:szCs w:val="24"/>
        </w:rPr>
      </w:pPr>
      <w:r>
        <w:rPr>
          <w:rFonts w:ascii="Times New Roman" w:hAnsi="Times New Roman"/>
          <w:noProof/>
          <w:sz w:val="24"/>
          <w:szCs w:val="24"/>
        </w:rPr>
        <w:t xml:space="preserve">Системите за надзор на ЕС трябва да бъдат подплатени с капацитет за откриване, проследяване и проучване на нововъзникващи болести. Опитът вследствие на пандемията от COVID-19 също така подчерта важността на способността за повишаване на капацитета за лабораторни диагностични тестове на първа линия, които осигуряват достъп до допълнителни данни, необходими за управлението на нови болести. Актуалните данни от надзора дават възможност за наблюдение на тенденциите при заболеваемостта по отношение на заразни болести във времето и в отделните държави членки и позволяват бързото откриване и наблюдението на трансгранични огнища. </w:t>
      </w:r>
    </w:p>
    <w:p>
      <w:pPr>
        <w:jc w:val="both"/>
        <w:rPr>
          <w:rFonts w:ascii="Times New Roman" w:hAnsi="Times New Roman" w:cs="Times New Roman"/>
          <w:noProof/>
          <w:sz w:val="24"/>
          <w:szCs w:val="24"/>
        </w:rPr>
      </w:pPr>
      <w:r>
        <w:rPr>
          <w:rFonts w:ascii="Times New Roman" w:hAnsi="Times New Roman"/>
          <w:noProof/>
          <w:sz w:val="24"/>
          <w:szCs w:val="24"/>
        </w:rPr>
        <w:t xml:space="preserve">Бързо развиващата се технологична среда и цифрови решения (изкуствен интелект, високоскоростни изчисления, изчислителни модели и система за симулации) дават възможност за </w:t>
      </w:r>
      <w:r>
        <w:rPr>
          <w:rFonts w:ascii="Times New Roman" w:hAnsi="Times New Roman"/>
          <w:b/>
          <w:bCs/>
          <w:noProof/>
          <w:sz w:val="24"/>
          <w:szCs w:val="24"/>
        </w:rPr>
        <w:t>актуализиране на системите за надзор</w:t>
      </w:r>
      <w:r>
        <w:rPr>
          <w:rFonts w:ascii="Times New Roman" w:hAnsi="Times New Roman"/>
          <w:noProof/>
          <w:sz w:val="24"/>
          <w:szCs w:val="24"/>
        </w:rPr>
        <w:t xml:space="preserve"> чрез интегрирането на данни от нови и различни източници</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и за създаване на чувствителни системи за откриване на ранни сигнали</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Следва да се използва модерен подход за надзор, който да се осланя на свързването и интегрирането на съответните системи за надзор, като се използват електронни здравни досиета и хармонизирани масиви от данни, данни относно околната среда, анализ на данни, изкуствен интелект, социални медии. Той следва да бъде свързан с капацитет за моделиране и прогнозиране и специални платформи за високоскоростни цифрови изчисления</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Подобряването на тези технологии ще увеличи капацитета на ЕС и неговите държави членки за точни оценки на риска, бързо реагиране и вземане на информирани решения. Поради това ключовата роля на ECDC в изграждането на </w:t>
      </w:r>
      <w:r>
        <w:rPr>
          <w:rFonts w:ascii="Times New Roman" w:hAnsi="Times New Roman"/>
          <w:b/>
          <w:bCs/>
          <w:noProof/>
          <w:sz w:val="24"/>
          <w:szCs w:val="24"/>
        </w:rPr>
        <w:t>интегрирани системи за надзор и наблюдение на равнище ЕС</w:t>
      </w:r>
      <w:r>
        <w:rPr>
          <w:rFonts w:ascii="Times New Roman" w:hAnsi="Times New Roman"/>
          <w:noProof/>
          <w:sz w:val="24"/>
          <w:szCs w:val="24"/>
        </w:rPr>
        <w:t>, включващи данни от научни изследвания</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и данни относно капацитета на здравните системи за диагностициране, профилактика и лечение на конкретни заразни болести, както и относно безопасността на пациентите, следва да бъде засилена, също както следва да се засили взаимодействието на ECDC с другите съответни агенции, сред които Европейския орган за безопасност на храните и Европейската агенция за околна среда. </w:t>
      </w:r>
    </w:p>
    <w:p>
      <w:pPr>
        <w:jc w:val="both"/>
        <w:rPr>
          <w:rFonts w:ascii="Times New Roman" w:hAnsi="Times New Roman" w:cs="Times New Roman"/>
          <w:noProof/>
          <w:sz w:val="24"/>
          <w:szCs w:val="24"/>
        </w:rPr>
      </w:pPr>
      <w:r>
        <w:rPr>
          <w:rFonts w:ascii="Times New Roman" w:hAnsi="Times New Roman"/>
          <w:noProof/>
          <w:sz w:val="24"/>
          <w:szCs w:val="24"/>
        </w:rPr>
        <w:t xml:space="preserve">Докладването на национално равнище пред ECDC на навременни, пълни и съпоставими данни, включващи показателите на здравните системи, въз основа на общи за ЕС определения на случаите, е неразделна част от тази по-широка система за надзор. С цел да се осигури подкрепа за държавите членки </w:t>
      </w:r>
      <w:r>
        <w:rPr>
          <w:rFonts w:ascii="Times New Roman" w:hAnsi="Times New Roman"/>
          <w:b/>
          <w:bCs/>
          <w:noProof/>
          <w:sz w:val="24"/>
          <w:szCs w:val="24"/>
        </w:rPr>
        <w:t>чрез</w:t>
      </w:r>
      <w:r>
        <w:rPr>
          <w:rFonts w:ascii="Times New Roman" w:hAnsi="Times New Roman"/>
          <w:noProof/>
          <w:sz w:val="24"/>
          <w:szCs w:val="24"/>
        </w:rPr>
        <w:t xml:space="preserve"> </w:t>
      </w:r>
      <w:r>
        <w:rPr>
          <w:rFonts w:ascii="Times New Roman" w:hAnsi="Times New Roman"/>
          <w:b/>
          <w:bCs/>
          <w:noProof/>
          <w:sz w:val="24"/>
          <w:szCs w:val="24"/>
        </w:rPr>
        <w:t>бъдещата програма EU4Health ще се отпуска финансиране за подобряване на националните системи за надзор</w:t>
      </w:r>
      <w:r>
        <w:rPr>
          <w:rFonts w:ascii="Times New Roman" w:hAnsi="Times New Roman"/>
          <w:noProof/>
          <w:sz w:val="24"/>
          <w:szCs w:val="24"/>
        </w:rPr>
        <w:t xml:space="preserve">, като същевременно децентрализираните агенции на ЕС ще подкрепят държавите членки чрез специално съобразени технически съвети и насоки. </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Предложение</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Нова високоефективна система за епидемиологичен надзор на равнище ЕС, при която се използват изкуствен интелект, хармонизирани масиви от данни и цифрови инструменти за точно моделиране, оценка на риска и ответни действия във връзка с надзора на нови патогени въз основа на общи определения на случаите в ЕС</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Комисията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Увеличаване на достъпа на ECDC до данни за здравословното състояние за научноизследователски и епидемиологични цели в контекста на европейското пространство за здравни данни</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Комисията</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Засилен надзор, свързан с други налични източници на информация и данни (например от научни изследвания, за околната среда, търговията, транспорта, икономически данни, данни за здравните системи, доставките на фармацевтични продукти, проследяването на контактите)</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ECDC; Комисията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Изисквания към държавите членки за по-подробно и навременно докладване (например относно наличието на болнични легла, капацитета за специализирано лечение и интензивно лечение, броя на обучените медицински служители, проследяването на контактите)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Държавите членки </w:t>
            </w:r>
          </w:p>
        </w:tc>
      </w:tr>
    </w:tbl>
    <w:p>
      <w:pPr>
        <w:pStyle w:val="NoSpacing"/>
        <w:rPr>
          <w:noProof/>
        </w:rPr>
      </w:pPr>
    </w:p>
    <w:p>
      <w:pPr>
        <w:pStyle w:val="ManualHeading1"/>
        <w:spacing w:before="0" w:after="360"/>
        <w:rPr>
          <w:noProof/>
          <w:szCs w:val="24"/>
        </w:rPr>
      </w:pPr>
      <w:r>
        <w:rPr>
          <w:noProof/>
        </w:rPr>
        <w:t>7.</w:t>
      </w:r>
      <w:r>
        <w:rPr>
          <w:noProof/>
        </w:rPr>
        <w:tab/>
        <w:t>ЛАБОРАТОРНИ ДАННИ, ТЕСТВАНЕ И ПРОСЛЕДЯВАНЕ НА КОНТАКТИТЕ</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и ECDC помагат на държавите членки да спазват действащото законодателство на ЕС в областта на надзора, като за целта от тях се изисква да представят сравними и съвместими данни въз основа, наред с другото, на лабораторни данни. Въпреки че са изградени национални лабораторни системи с широк обхват, понастоящем не съществува координирана система на равнище ЕС от мрежи на референтни лаборатории за човешки патогени. Това е довело до липса на координация с оглед на консолидирани стандарти за микробиологично тестване. </w:t>
      </w:r>
    </w:p>
    <w:p>
      <w:pPr>
        <w:jc w:val="both"/>
        <w:rPr>
          <w:rFonts w:ascii="Times New Roman" w:hAnsi="Times New Roman" w:cs="Times New Roman"/>
          <w:noProof/>
          <w:sz w:val="24"/>
          <w:szCs w:val="24"/>
        </w:rPr>
      </w:pPr>
      <w:r>
        <w:rPr>
          <w:rFonts w:ascii="Times New Roman" w:hAnsi="Times New Roman"/>
          <w:noProof/>
          <w:sz w:val="24"/>
          <w:szCs w:val="24"/>
        </w:rPr>
        <w:t>Различните стратегии и подходи за тестване, възприети от държавите членки по време на настоящата пандемия, са непрекъснато предизвикателство и значително затрудняват координационните усилия на ЕС за реагиране на болестта. Причините за различните подходи се дължат на фактори, като епидемичната обстановка, динамиката на предаване, ресурсите и капацитета за тестване. Ефикасните стратегии за тестване, координирани между държавите, са предпоставка за осигуряването на ефективно изпълнение на мерките за смекчаване</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При тази дейност може да се използват опитът от дълготрайното сътрудничество в ЕС в областта на научните изследвания и иновациите, както и конкретните възможности, осигурени чрез програмата „Хоризонт Европа“.</w:t>
      </w:r>
    </w:p>
    <w:p>
      <w:pPr>
        <w:jc w:val="both"/>
        <w:rPr>
          <w:rFonts w:ascii="Times New Roman" w:hAnsi="Times New Roman" w:cs="Times New Roman"/>
          <w:noProof/>
          <w:sz w:val="24"/>
          <w:szCs w:val="24"/>
        </w:rPr>
      </w:pPr>
      <w:r>
        <w:rPr>
          <w:rFonts w:ascii="Times New Roman" w:hAnsi="Times New Roman"/>
          <w:noProof/>
          <w:sz w:val="24"/>
          <w:szCs w:val="24"/>
        </w:rPr>
        <w:t xml:space="preserve">Необходими са </w:t>
      </w:r>
      <w:r>
        <w:rPr>
          <w:rFonts w:ascii="Times New Roman" w:hAnsi="Times New Roman"/>
          <w:b/>
          <w:bCs/>
          <w:noProof/>
          <w:sz w:val="24"/>
          <w:szCs w:val="24"/>
        </w:rPr>
        <w:t>нови мрежи в рамките на ЕС</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за да се отговори на тези предизвикателства и да се гарантира, че чрез този капацитет може да се реагира по подходящ начин на бъдещи трансгранични заплахи за здравето:</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ще бъде създадена нова мрежа от референтни лаборатории на ЕС</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която да дава възможност за съгласуване на диагностиката, серологичното тестване, методите за тестване и използването и валидирането на определени тестове;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както и нова мрежа, включваща служби на държавите членки, подкрепящи кръвопреливането, трансплантацията и асистираната репродукция, за да се даде възможност за непрекъснат и бърз достъп до данни от сероепидемиологични проучвания.</w:t>
      </w:r>
    </w:p>
    <w:p>
      <w:pPr>
        <w:jc w:val="both"/>
        <w:rPr>
          <w:rFonts w:ascii="Times New Roman" w:hAnsi="Times New Roman" w:cs="Times New Roman"/>
          <w:noProof/>
          <w:sz w:val="24"/>
          <w:szCs w:val="24"/>
        </w:rPr>
      </w:pPr>
      <w:r>
        <w:rPr>
          <w:rFonts w:ascii="Times New Roman" w:hAnsi="Times New Roman"/>
          <w:noProof/>
          <w:sz w:val="24"/>
          <w:szCs w:val="24"/>
        </w:rPr>
        <w:t xml:space="preserve">Ключов стълб за намаляване на предаването на болести е изпълнението на ефикасни мерки за </w:t>
      </w:r>
      <w:r>
        <w:rPr>
          <w:rFonts w:ascii="Times New Roman" w:hAnsi="Times New Roman"/>
          <w:b/>
          <w:noProof/>
          <w:sz w:val="24"/>
          <w:szCs w:val="24"/>
        </w:rPr>
        <w:t>проследяване на контактите</w:t>
      </w:r>
      <w:r>
        <w:rPr>
          <w:rFonts w:ascii="Times New Roman" w:hAnsi="Times New Roman"/>
          <w:noProof/>
          <w:sz w:val="24"/>
          <w:szCs w:val="24"/>
        </w:rPr>
        <w:t>, по-конкретно с цел да се даде възможност за контрол на локализираните огнища. В настоящата рамка проследяването на контактите е включено само като един от елементите за координиране между държавите членки чрез СРПР</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Въз основа на поуките, извлечени от пандемията от COVID-19, са необходими допълнителни усилия на равнище ЕС</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за да се увеличи капацитетът на ЕС за проследяване на контактите през граница. На първо място, проследяването на контактите ще бъде необходим елемент от плана на ЕС за готовност и реакция при здравна криза/пандемия. С цел допълване на възможностите за проследяване на контактите на практика и оказване на подкрепа на държавите членки в това начинание </w:t>
      </w:r>
      <w:r>
        <w:rPr>
          <w:rFonts w:ascii="Times New Roman" w:hAnsi="Times New Roman"/>
          <w:b/>
          <w:bCs/>
          <w:noProof/>
          <w:sz w:val="24"/>
          <w:szCs w:val="24"/>
        </w:rPr>
        <w:t>на ECDC ще бъде предоставен допълнителен мандат да създаде автоматизирана система за проследяване на контактите</w:t>
      </w:r>
      <w:r>
        <w:rPr>
          <w:rStyle w:val="FootnoteReference"/>
          <w:rFonts w:ascii="Times New Roman" w:hAnsi="Times New Roman" w:cs="Times New Roman"/>
          <w:b/>
          <w:bCs/>
          <w:noProof/>
          <w:sz w:val="24"/>
          <w:szCs w:val="24"/>
        </w:rPr>
        <w:footnoteReference w:id="47"/>
      </w:r>
      <w:r>
        <w:rPr>
          <w:rFonts w:ascii="Times New Roman" w:hAnsi="Times New Roman"/>
          <w:noProof/>
          <w:sz w:val="24"/>
          <w:szCs w:val="24"/>
        </w:rPr>
        <w:t>, която да се основава на технологиите за проследяване на контактите, разработени от държавите членки в контекста на приложенията за проследяване на контактите и предупреждаване</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И накрая, проследяването на контактите ще бъде включено в мрежата на ECDC за епидемиологичен надзор. С оглед на това развитие ангажирането на държавите членки с ECDC и обменът на информация между тях и с ECDC ще бъдат предпоставка да се гарантира успехът при укрепването на този капацитет. </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Предложение</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Създаване на мрежа от референтни лаборатории на ЕС, която ще позволи съгласуването на диагностиката, серологичното тестване, методите за тестване и използването на определени тестове</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Комисията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Създаване на мрежа, включваща служби на държавите членки, подкрепящи кръвопреливането, трансплантацията и асистираната репродукция</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 Комисията; държавите членки</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Надеждна система за автоматизирано проследяване на контактите, при която се използват модерни технологии</w:t>
            </w:r>
            <w:r>
              <w:rPr>
                <w:rStyle w:val="FootnoteReference"/>
                <w:rFonts w:ascii="Times New Roman" w:hAnsi="Times New Roman" w:cs="Times New Roman"/>
                <w:b w:val="0"/>
                <w:bCs w:val="0"/>
                <w:noProof/>
                <w:sz w:val="24"/>
                <w:szCs w:val="24"/>
              </w:rPr>
              <w:footnoteReference w:id="49"/>
            </w:r>
            <w:r>
              <w:rPr>
                <w:rFonts w:ascii="Times New Roman" w:hAnsi="Times New Roman"/>
                <w:b w:val="0"/>
                <w:bCs w:val="0"/>
                <w:noProof/>
                <w:sz w:val="24"/>
                <w:szCs w:val="24"/>
              </w:rPr>
              <w:t xml:space="preserve"> и която се основава на приложения за проследяване на контактите и за предупреждение</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Комисията;</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държавите членки</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p>
        </w:tc>
      </w:tr>
    </w:tbl>
    <w:p>
      <w:pPr>
        <w:pStyle w:val="NoSpacing"/>
        <w:rPr>
          <w:rFonts w:ascii="Times New Roman" w:hAnsi="Times New Roman" w:cs="Times New Roman"/>
          <w:noProof/>
          <w:sz w:val="24"/>
          <w:szCs w:val="24"/>
        </w:rPr>
      </w:pPr>
    </w:p>
    <w:p>
      <w:pPr>
        <w:pStyle w:val="ManualHeading1"/>
        <w:spacing w:before="0" w:after="360"/>
        <w:rPr>
          <w:noProof/>
        </w:rPr>
      </w:pPr>
      <w:r>
        <w:rPr>
          <w:noProof/>
        </w:rPr>
        <w:t>8.</w:t>
      </w:r>
      <w:r>
        <w:rPr>
          <w:noProof/>
        </w:rPr>
        <w:tab/>
        <w:t>КАПАЦИТЕТ ЗА РАННО ПРЕДПРУЖДЕНИЕ И ЗА ОЦЕНКА НА РИСКА</w:t>
      </w:r>
    </w:p>
    <w:p>
      <w:pPr>
        <w:jc w:val="both"/>
        <w:rPr>
          <w:rFonts w:ascii="Times New Roman" w:hAnsi="Times New Roman" w:cs="Times New Roman"/>
          <w:noProof/>
          <w:sz w:val="24"/>
          <w:szCs w:val="24"/>
        </w:rPr>
      </w:pPr>
      <w:r>
        <w:rPr>
          <w:rFonts w:ascii="Times New Roman" w:hAnsi="Times New Roman"/>
          <w:noProof/>
          <w:sz w:val="24"/>
          <w:szCs w:val="24"/>
        </w:rPr>
        <w:t>Системата за ранно предупреждение и реагиране (СРПР) е система за бързо предупреждение за сериозни трансгранични заплахи за здравето, която позволява на Комисията и държавите членки да поддържат непрекъсната комуникация за целите на предупреждението и оценяването на рискове за общественото здраве и определянето на мерки, които може да са необходими за защита на общественото здраве. СРПР допринесе за обмена на уведомления и информация относно случаите на COVID-19 и ответните мерки. Платформата се доказа като полезна и отговори на необходимите нужди. Това може да се онагледи с факта, че от 9 януари насам, когато Комисията официално предупреди държавите — членки на ЕС, за COVID-19 чрез първото съобщение за предупреждение, в платформата са обработени над 2 700 съобщения във връзка с COVID-19</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изпратени от държавите членки и Комисията. Освен това тя улесни над 30 операции по медицинска евакуация на здравни работници вследствие на COVID-19, в които участваха държавите членки, Комисията и Световната здравна организация</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Същевременно обхватът на предупрежденията ще бъде разширен, за да </w:t>
      </w:r>
      <w:r>
        <w:rPr>
          <w:rFonts w:ascii="Times New Roman" w:hAnsi="Times New Roman"/>
          <w:b/>
          <w:bCs/>
          <w:noProof/>
          <w:sz w:val="24"/>
          <w:szCs w:val="24"/>
        </w:rPr>
        <w:t>включва нуждите или недостига на медицински мерки за противодействие, както и искания и/или предложения за трансгранична спешна помощ.</w:t>
      </w:r>
      <w:r>
        <w:rPr>
          <w:rFonts w:ascii="Times New Roman" w:hAnsi="Times New Roman"/>
          <w:noProof/>
          <w:sz w:val="24"/>
          <w:szCs w:val="24"/>
        </w:rPr>
        <w:t xml:space="preserve"> Това отговаря пряко на нуждите, установени по време на пандемията от COVID-19, и позволява да се осигури координацията на механизмите на ЕС, по-специално със стратегическия резерв в rescEU по линия на МГЗС, както и с пакета за мобилност съгласно рамката на Инструмента за спешна подкрепа</w:t>
      </w:r>
      <w:r>
        <w:rPr>
          <w:noProof/>
          <w:vertAlign w:val="superscript"/>
        </w:rPr>
        <w:footnoteReference w:id="52"/>
      </w:r>
      <w:r>
        <w:rPr>
          <w:rFonts w:ascii="Times New Roman" w:hAnsi="Times New Roman"/>
          <w:noProof/>
          <w:sz w:val="24"/>
          <w:szCs w:val="24"/>
        </w:rPr>
        <w:t xml:space="preserve">. СРПР и занапред ще помага за тази координация между държавите и Комисията, допълвайки МГЗС и предотвратявайки припокриващи се и конфликтни действия. Системата ще бъде подобрена, за да включва функционалните възможности, които са от значение за планирането на режима на готовност и реакция и за докладването, както и за взаимното свързване на платформата с други системи за предупреждение при управление на кризи на равнище ЕС. </w:t>
      </w:r>
    </w:p>
    <w:p>
      <w:pPr>
        <w:jc w:val="both"/>
        <w:rPr>
          <w:rFonts w:ascii="Times New Roman" w:hAnsi="Times New Roman" w:cs="Times New Roman"/>
          <w:noProof/>
          <w:sz w:val="24"/>
          <w:szCs w:val="24"/>
        </w:rPr>
      </w:pPr>
      <w:r>
        <w:rPr>
          <w:rFonts w:ascii="Times New Roman" w:hAnsi="Times New Roman"/>
          <w:noProof/>
          <w:sz w:val="24"/>
          <w:szCs w:val="24"/>
        </w:rPr>
        <w:t>И накрая, в новите предложения Комисията ще засили подхода, обхващащ всички рискове, при извършването на оценка на риска. С предложението за регламент относно сериозните трансгранични заплахи за здравето на всички съответни децентрализирани агенции на ЕС ще се възложи изготвянето на оценки на риска, научни съвети и препоръки за ответни мерки, като се предвиди възлагане на отговорност на Комисията</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и агенциите на Съюза. </w:t>
      </w:r>
    </w:p>
    <w:tbl>
      <w:tblPr>
        <w:tblStyle w:val="GridTable4Accent5"/>
        <w:tblW w:w="0" w:type="auto"/>
        <w:tblInd w:w="108" w:type="dxa"/>
        <w:tblLayout w:type="fixed"/>
        <w:tblLook w:val="04A0" w:firstRow="1" w:lastRow="0" w:firstColumn="1" w:lastColumn="0" w:noHBand="0" w:noVBand="1"/>
      </w:tblPr>
      <w:tblGrid>
        <w:gridCol w:w="6946"/>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6946"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Нова рамка за оценка на риска от всички опасности, включително бърза и подходяща препоръка за ответни мерки, които държавите членки следва да приложат</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Децентрализираните агенции на ЕС;</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p>
        </w:tc>
      </w:tr>
    </w:tbl>
    <w:p>
      <w:pPr>
        <w:jc w:val="both"/>
        <w:rPr>
          <w:rFonts w:ascii="Times New Roman" w:hAnsi="Times New Roman" w:cs="Times New Roman"/>
          <w:noProof/>
          <w:sz w:val="24"/>
          <w:szCs w:val="24"/>
        </w:rPr>
      </w:pPr>
    </w:p>
    <w:p>
      <w:pPr>
        <w:pStyle w:val="ManualHeading1"/>
        <w:spacing w:before="0" w:after="360"/>
        <w:rPr>
          <w:noProof/>
        </w:rPr>
      </w:pPr>
      <w:r>
        <w:rPr>
          <w:noProof/>
        </w:rPr>
        <w:t>9.</w:t>
      </w:r>
      <w:r>
        <w:rPr>
          <w:noProof/>
        </w:rPr>
        <w:tab/>
        <w:t>МЕЖДУНАРОДНО СЪТРУДНИЧЕСТВО И КООРДИНАЦИЯ</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Пандемията от COVID-19 показа, че сериозните заплахи за здравето по своята същност са трансгранични. ЕС и неговите държави членки оказаха помощ и получиха такава от трети държави в отговор на кризата. Досега в качеството си на „Екип Европа“ те са мобилизирали над 36 милиарда евро под формата на спешна помощ и дългосрочна здравна и социално-икономическа подкрепа за нуждаещите се партньорски държави, като специално внимание беше отделено на уязвимите хора. Създаден беше и хуманитарен въздушен мост на ЕС за поддържане на жизненоважни транспортни връзки за придвижване на здравни работници и осъществяване на доставки от хуманитарно и спешно естество.</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Самата Комисия и децентрализираните агенции на ЕС работиха и продължават да работят с международни заинтересовани страни, както и с трети държави. Това включва например тясно сътрудничество със СЗО, с центрове извън ЕС за профилактика и контрол върху заболяванията, с участващите държави в Механизма за гражданска защита на Съюза, както и ангажираност с платформи за координация, като например Глобалната инициатива за здравна сигурност и Световното сътрудничество в областта на научните изследвания за готовност при заразни болести (GloPID-R) — мрежата от организации, финансиращи научни изследвания в областта на готовността. Комисията също така активно насърчава необходимостта от непрекъснато политическо внимание и координация на готовността и реакцията в областта на общественото здраве чрез рамки, като Г-7 и Г-20.</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ЕС трябва да играе водеща роля за укрепване на здравните системи, в това число за готовността и капацитета за реагиране в областта на глобалната здравна сигурност.</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В директен отговор на COVID-19 Комисията предостави на държавите, обхванати от процеса на разширяване на ЕС, и на приоритетните източни съседни държави достъп до Комитета за здравна сигурност и СРПР — достъп, който беше предоставен и на Швейцария. Тази стъпка беше предприета, за да се увеличи максимално защитата на гражданите и да се подкрепи отговора на ЕС, като изрично се признава, че вирусът не спира на границите и че най-силният отговор и управлението на кризи са възможни чрез регионална и международна солидарност и сътрудничество. Европейският парламент и Съветът наскоро категорично потвърдиха ангажимента на ЕС с повишаването на глобалната готовност за извънредни ситуации в областта на здравеопазването и на 16 октомври 2020 г. Европейският съвет пое ангажимент да укрепи подкрепата на ЕС за здравните системи и засилването на капацитета за готовност и реакция на партньорите в Африка. Освен това Комисията и агенциите на ЕС започнаха и редовен обмен на опит с мерки за профилактика и контрол с Китай и други трети държави.</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С цел консолидиране и укрепване на ползите от международното сътрудничество и координация в областта на сериозните трансгранични заплахи за здравето в новите предложения се потвърждава ролята на ЕС в световен мащаб във връзка с готовността и реакцията в областта на общественото здраве за справяне с огнищата в самото начало чрез двустранен подход: 1) засилено и целенасочено международно сътрудничество и координация; и 2) подкрепа на място за държавите членки и трети държави във времена на нужда. На световно равнище ECDC ще продължи да играе водеща роля и да изгражда международна мрежа с други големи центрове за контрол на заболяванията, като напр. центровете за профилактика и контрол върху заболяванията в САЩ (CDC). </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Това ще се изразява в </w:t>
      </w:r>
      <w:r>
        <w:rPr>
          <w:rFonts w:ascii="Times New Roman" w:hAnsi="Times New Roman"/>
          <w:b/>
          <w:bCs/>
          <w:noProof/>
          <w:sz w:val="24"/>
          <w:szCs w:val="24"/>
        </w:rPr>
        <w:t>подсилен капацитет на ECDC за мобилизиране и разгръщане на работната група на ЕС по въпросите на здравеопазването, за да се подкрепи реакцията на местно равнище, по-специално в държавите членки, и по-активно участие в международните екипи за реагиране</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включително подкрепа на ECDC за изграждане на по-издръжливи здравни системи, за да се осигури устойчива готовност по отношение на здравната сигурност в държавите — партньори на ЕС.</w:t>
      </w:r>
    </w:p>
    <w:tbl>
      <w:tblPr>
        <w:tblStyle w:val="GridTable4Accent5"/>
        <w:tblW w:w="0" w:type="auto"/>
        <w:tblLook w:val="04A0" w:firstRow="1" w:lastRow="0" w:firstColumn="1" w:lastColumn="0" w:noHBand="0" w:noVBand="1"/>
      </w:tblPr>
      <w:tblGrid>
        <w:gridCol w:w="6936"/>
        <w:gridCol w:w="23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ПРЕДЛОЖЕНИ ДЕЙСТВИЯ </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Предложение</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Отговорност</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rPr>
              <w:t>Създаване на работна група на ЕС по въпросите на здравеопазването в рамките на ECDC, която да се мобилизира и разгръща с цел оказване на помощ на местно равнище при реакцията на огнища на заразни болести в държавите членки и в трети държави</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Комисията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Рамка за мобилизиране на работната група на ЕС по въпросите на здравеопазването, за да се осигури принос в рамките на международните екипи за реакция, мобилизирани по механизма на Програмата за извънредни ситуации в областта на здравеопазването на СЗО (Health Emergencies Programme), Глобалната мрежа за предупреждение и реакция във връзка с огнища (Global Outbreak Alert and Response Network — GORAN) и Механизма за гражданска защита на Съюза</w:t>
            </w:r>
          </w:p>
        </w:tc>
        <w:tc>
          <w:tcPr>
            <w:tcW w:w="2126"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 Комисията; държавите членки</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 xml:space="preserve">Изграждане на капацитет за реагиране на място и експертен опит в управлението на кризи сред служителите в ECDC и експертите от държавите от ЕС и ЕИП, държавите на етап на предприсъединяване към ЕС, държавите — партньори по европейската политика за съседство и партньори на ЕС, при поискване от Комисията </w:t>
            </w:r>
          </w:p>
        </w:tc>
        <w:tc>
          <w:tcPr>
            <w:tcW w:w="2126"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ECDC; Комисията; държавите членки; ЕИП; държавите на етап на предприсъединяване към ЕС; държавите — партньори по европейската политика за съседство и държавите — партньори на ЕС</w:t>
            </w:r>
          </w:p>
        </w:tc>
      </w:tr>
    </w:tbl>
    <w:p>
      <w:pPr>
        <w:rPr>
          <w:noProof/>
          <w:lang w:val="bg-BG"/>
        </w:rPr>
      </w:pPr>
    </w:p>
    <w:p>
      <w:pPr>
        <w:pStyle w:val="ManualHeading1"/>
        <w:spacing w:before="0" w:after="360"/>
        <w:rPr>
          <w:noProof/>
          <w:szCs w:val="24"/>
          <w:lang w:val="bg-BG"/>
        </w:rPr>
      </w:pPr>
      <w:r>
        <w:rPr>
          <w:noProof/>
          <w:lang w:val="bg-BG"/>
        </w:rPr>
        <w:t>10.</w:t>
      </w:r>
      <w:r>
        <w:rPr>
          <w:noProof/>
          <w:lang w:val="bg-BG"/>
        </w:rPr>
        <w:tab/>
        <w:t>ОРГАН НА ЕС ЗА ГОТОВНОСТ И РЕАКЦИЯ ПРИ ИЗВЪНРЕДНИ ЗДРАВНИ СИТУАЦИИ (</w:t>
      </w:r>
      <w:r>
        <w:rPr>
          <w:noProof/>
        </w:rPr>
        <w:t>HERA</w:t>
      </w:r>
      <w:r>
        <w:rPr>
          <w:noProof/>
          <w:lang w:val="bg-BG"/>
        </w:rPr>
        <w:t>)</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Пандемията от </w:t>
      </w:r>
      <w:r>
        <w:rPr>
          <w:rFonts w:ascii="Times New Roman" w:hAnsi="Times New Roman"/>
          <w:noProof/>
          <w:sz w:val="24"/>
          <w:szCs w:val="24"/>
        </w:rPr>
        <w:t>COVID</w:t>
      </w:r>
      <w:r>
        <w:rPr>
          <w:rFonts w:ascii="Times New Roman" w:hAnsi="Times New Roman"/>
          <w:noProof/>
          <w:sz w:val="24"/>
          <w:szCs w:val="24"/>
          <w:lang w:val="bg-BG"/>
        </w:rPr>
        <w:t xml:space="preserve">-19 показа необходимостта и важността на координираните действия на равнище ЕС. Благодарение на предварителните споразумения на равнище ЕС за закупуване на ваксини е по-вероятно да съумеем заедно да намерим изход от кризата, а чрез създаването на резерв от медицински мерки за противодействие нейното въздействие вече беше смекчено. Същевременно пандемията разкри структурни слабости и неефективност на пазара, що се отнася до нашето прогнозиране, готовността ни и способността ни да реагираме съгласувано, бързо и целесъобразно, за да защитим нашите граждани от здравни кризи.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Малко вероятно е </w:t>
      </w:r>
      <w:r>
        <w:rPr>
          <w:rFonts w:ascii="Times New Roman" w:hAnsi="Times New Roman"/>
          <w:noProof/>
          <w:sz w:val="24"/>
          <w:szCs w:val="24"/>
        </w:rPr>
        <w:t>COVID</w:t>
      </w:r>
      <w:r>
        <w:rPr>
          <w:rFonts w:ascii="Times New Roman" w:hAnsi="Times New Roman"/>
          <w:noProof/>
          <w:sz w:val="24"/>
          <w:szCs w:val="24"/>
          <w:lang w:val="bg-BG"/>
        </w:rPr>
        <w:t xml:space="preserve">-19 да остане единствената световна или общоевропейска здравна криза на нашия век. За да сме крачка напред, ни е необходим специален европейски орган, който ще засили готовността и способността за реакция на ЕС в случая на нови и нововъзникващи трансгранични заплахи за човешкото здраве.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Мисията на органа ще бъде да даде възможност на ЕС и на неговите държави членки да прилагат бързо най-напредналите медицински и други мерки в случай на извънредна здравна ситуация, като се обхване цялата верига за създаване на стойност —</w:t>
      </w:r>
      <w:r>
        <w:rPr>
          <w:rFonts w:ascii="Times New Roman" w:hAnsi="Times New Roman"/>
          <w:noProof/>
          <w:sz w:val="24"/>
          <w:szCs w:val="24"/>
        </w:rPr>
        <w:t> </w:t>
      </w:r>
      <w:r>
        <w:rPr>
          <w:rFonts w:ascii="Times New Roman" w:hAnsi="Times New Roman"/>
          <w:noProof/>
          <w:sz w:val="24"/>
          <w:szCs w:val="24"/>
          <w:lang w:val="bg-BG"/>
        </w:rPr>
        <w:t xml:space="preserve">от замисъла до разпространението и използването.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За целта той ще предприема например „сканиране на хоризонта“ и ще изготвя прогнози с цел предвиждане на конкретни заплахи, набелязване на обещаващи потенциални мерки за противодействие и съответните необходими умения, както и генериране и разпространение на знания за тях. Той ще наблюдава и обединява производствения капацитет и структурите за развойна дейност, потребностите от суровини и тяхната наличност и ще следи за отстраняване на слабите места на веригата на доставки. Ще подкрепя разработването на междусекторни технологии и практически решения в подкрепа на реакциите на многобройните потенциални бъдещи заплахи (напр. платформени технологии на ваксини или прилагането на цифрови инструменти и изкуствен интелект), както и разработването на специфични мерки за противодействие, включително чрез клинични изпитвания и инфраструктура за данни. Ще гарантира наличие на достатъчен производствен капацитет, когато е необходимо, както и договорености относно създаването на резерв и разпределението. </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Европейският орган ще планира, координира и обединява екосистеми от публични и частни способности, които заедно дават възможност за бърза реакция в случай на нужда. При обявяване в ЕС на извънредна здравна ситуация той ще придобива специфичните допълнителни ресурси, необходими за адекватна реакция в интерес на всички държави членки.</w:t>
      </w:r>
    </w:p>
    <w:p>
      <w:pPr>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Въз основа на опита, натрупан с разработването на ваксини срещу </w:t>
      </w:r>
      <w:r>
        <w:rPr>
          <w:rFonts w:ascii="Times New Roman" w:hAnsi="Times New Roman"/>
          <w:noProof/>
          <w:sz w:val="24"/>
          <w:szCs w:val="24"/>
        </w:rPr>
        <w:t>COVID</w:t>
      </w:r>
      <w:r>
        <w:rPr>
          <w:rFonts w:ascii="Times New Roman" w:hAnsi="Times New Roman"/>
          <w:noProof/>
          <w:sz w:val="24"/>
          <w:szCs w:val="24"/>
          <w:lang w:val="bg-BG"/>
        </w:rPr>
        <w:t>-19 и в рамките на централната Клирингова къща за медицинско оборудване, Комисията ще даде начало на подготвително действие с акцент върху нововъзникващите биологични заплахи за човешкото здраве, като напр. свързаните с коронавируса заразни болести и антимикробната резистентност. Успоредно с това тя ще започне оценка на въздействието и консултация относно създаването на орган на ЕС, така че през 2021</w:t>
      </w:r>
      <w:r>
        <w:rPr>
          <w:rFonts w:ascii="Times New Roman" w:hAnsi="Times New Roman"/>
          <w:noProof/>
          <w:sz w:val="24"/>
          <w:szCs w:val="24"/>
        </w:rPr>
        <w:t> </w:t>
      </w:r>
      <w:r>
        <w:rPr>
          <w:rFonts w:ascii="Times New Roman" w:hAnsi="Times New Roman"/>
          <w:noProof/>
          <w:sz w:val="24"/>
          <w:szCs w:val="24"/>
          <w:lang w:val="bg-BG"/>
        </w:rPr>
        <w:t>г. да предложи специална структура с добре формулиран мандат и подходящи ресурси, която да заработи през 2023</w:t>
      </w:r>
      <w:r>
        <w:rPr>
          <w:rFonts w:ascii="Times New Roman" w:hAnsi="Times New Roman"/>
          <w:noProof/>
          <w:sz w:val="24"/>
          <w:szCs w:val="24"/>
        </w:rPr>
        <w:t> </w:t>
      </w:r>
      <w:r>
        <w:rPr>
          <w:rFonts w:ascii="Times New Roman" w:hAnsi="Times New Roman"/>
          <w:noProof/>
          <w:sz w:val="24"/>
          <w:szCs w:val="24"/>
          <w:lang w:val="bg-BG"/>
        </w:rPr>
        <w:t xml:space="preserve">г. Постигането на синергични взаимодействия и допълването със съществуващите органи на ЕС и съответните разходни програми ще бъде осигурено. </w:t>
      </w:r>
    </w:p>
    <w:p>
      <w:pPr>
        <w:pStyle w:val="ManualHeading1"/>
        <w:spacing w:before="0" w:after="360"/>
        <w:rPr>
          <w:noProof/>
          <w:szCs w:val="24"/>
          <w:lang w:val="bg-BG"/>
        </w:rPr>
      </w:pPr>
      <w:r>
        <w:rPr>
          <w:noProof/>
          <w:lang w:val="bg-BG"/>
        </w:rPr>
        <w:t xml:space="preserve">11. </w:t>
      </w:r>
      <w:r>
        <w:rPr>
          <w:noProof/>
          <w:lang w:val="bg-BG"/>
        </w:rPr>
        <w:tab/>
        <w:t>ЗАКЛЮЧЕНИЕ И СЛЕДВАЩИ СТЪПКИ</w:t>
      </w:r>
    </w:p>
    <w:p>
      <w:pPr>
        <w:autoSpaceDE w:val="0"/>
        <w:autoSpaceDN w:val="0"/>
        <w:adjustRightInd w:val="0"/>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Здравето е в основата на благополучието на хората. Те с основание очакват това да бъде един от основните приоритети на обществената политика. Правителствата трябва да правят всичко възможно за предоставянето на здравни услуги и защитата от заплахи за здравето. Това означава да работим заедно и да използваме потенциала на ЕС за подобряване на реакциите във връзка със здравето и за оказване на подкрепа на държавите членки да изпълняват своите отговорности. За тази цел са необходими ясни насоки на равнище ЕС, тясна координация със Съвета и Европейския парламент и актуализиране на основните инструменти и законодателство, както е посочено в настоящото съобщение. </w:t>
      </w:r>
    </w:p>
    <w:p>
      <w:pPr>
        <w:autoSpaceDE w:val="0"/>
        <w:autoSpaceDN w:val="0"/>
        <w:adjustRightInd w:val="0"/>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Предстоящата Конференция за бъдещето на Европа, на която акцентът се поставя върху информираността на гражданите и с която се цели създаване на форум, чрез който да се откликне на техните опасения и приоритети, предоставя оптимална платформа за започване на дискусии и даване на тласък на развитието на ролята на ЕС по отношение на здравето в бъдеще, за да се отговори на очакванията на гражданите спрямо Съюза. Освен това световната среща на високо равнище по въпросите на здравето, планирана за 2021</w:t>
      </w:r>
      <w:r>
        <w:rPr>
          <w:rFonts w:ascii="Times New Roman" w:hAnsi="Times New Roman"/>
          <w:noProof/>
          <w:sz w:val="24"/>
          <w:szCs w:val="24"/>
        </w:rPr>
        <w:t> </w:t>
      </w:r>
      <w:r>
        <w:rPr>
          <w:rFonts w:ascii="Times New Roman" w:hAnsi="Times New Roman"/>
          <w:noProof/>
          <w:sz w:val="24"/>
          <w:szCs w:val="24"/>
          <w:lang w:val="bg-BG"/>
        </w:rPr>
        <w:t>г. в Италия, ще даде възможност на ЕС да насочи размислите в световен мащаб към въпроса как да се укрепи глобалната здравна сигурност в „епохата на пандемиите“.</w:t>
      </w:r>
    </w:p>
    <w:p>
      <w:pPr>
        <w:autoSpaceDE w:val="0"/>
        <w:autoSpaceDN w:val="0"/>
        <w:adjustRightInd w:val="0"/>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Коронавирусът остави своя отпечатък върху всеки аспект от личния, професионалния, социалния и икономическия живот. За да се справят ефективно със заплахата, която той представлява, европейските здравни органи трябва да работят безпрепятствено заедно, да обединят своите ресурси и експерти познания и да си сътрудничат във възможно най-голяма степен в своята оперативната работа в тясна координация с икономическите органи. Това е единственият начин за ефективно противодействие на трансграничната заплаха за здравето, свързана с </w:t>
      </w:r>
      <w:r>
        <w:rPr>
          <w:rFonts w:ascii="Times New Roman" w:hAnsi="Times New Roman"/>
          <w:noProof/>
          <w:sz w:val="24"/>
          <w:szCs w:val="24"/>
        </w:rPr>
        <w:t>COVID</w:t>
      </w:r>
      <w:r>
        <w:rPr>
          <w:rFonts w:ascii="Times New Roman" w:hAnsi="Times New Roman"/>
          <w:noProof/>
          <w:sz w:val="24"/>
          <w:szCs w:val="24"/>
          <w:lang w:val="bg-BG"/>
        </w:rPr>
        <w:t>-19.</w:t>
      </w:r>
    </w:p>
    <w:p>
      <w:pPr>
        <w:autoSpaceDE w:val="0"/>
        <w:autoSpaceDN w:val="0"/>
        <w:adjustRightInd w:val="0"/>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В настоящото съобщение са представени допълнителните действия, които е необходимо да се предприемат в непосредствено бъдеще, както на европейско, така и на национално равнище, за да се повиши издръжливостта ни на всички трансгранични заплахи за здравето и да се осигури на всички европейски граждани високото равнище на обществено здраве, което те очакват и заслужават. Наша съвместна и неотложна отговорност е да приложим тези мерки бързо и цялостно и да преодолеем разпокъсаността и празнините в инструментите, информацията и нагласите, които в противен случай ще продължат да ни правят колективно уязвими и да застрашават начина ни на живот. </w:t>
      </w:r>
    </w:p>
    <w:p>
      <w:pPr>
        <w:jc w:val="both"/>
        <w:rPr>
          <w:noProof/>
          <w:lang w:val="bg-BG"/>
        </w:rPr>
      </w:pPr>
      <w:r>
        <w:rPr>
          <w:rFonts w:ascii="Times New Roman" w:hAnsi="Times New Roman"/>
          <w:noProof/>
          <w:sz w:val="24"/>
          <w:szCs w:val="24"/>
          <w:lang w:val="bg-BG"/>
        </w:rPr>
        <w:t>Европейският здравен съюз ще бъде толкова силен, колкото поетия ангажимент на държавите членки за осъществяването му.</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9B75C" w16cid:durableId="23541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w:t>
      </w:r>
      <w:hyperlink r:id="rId1" w:history="1">
        <w:r>
          <w:rPr>
            <w:rStyle w:val="FootnoteReference"/>
            <w:rFonts w:ascii="Times New Roman" w:hAnsi="Times New Roman"/>
          </w:rPr>
          <w:t>https://www.ecdc.europa.eu/en/covid-19/situation-updates</w:t>
        </w:r>
      </w:hyperlink>
      <w:r>
        <w:rPr>
          <w:rStyle w:val="FootnoteReference"/>
          <w:rFonts w:ascii="Times New Roman" w:hAnsi="Times New Roman"/>
        </w:rPr>
        <w:t xml:space="preserve"> </w:t>
      </w:r>
    </w:p>
  </w:footnote>
  <w:footnote w:id="3">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Като например ограничения на износа на лични предпазни средства и повторно въвеждане на контрол на вътрешните граници. </w:t>
      </w:r>
    </w:p>
  </w:footnote>
  <w:footnote w:id="4">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https://europarl.europa.eu/at-your-service/en/be-heard/eurobarometer/public-opinion-in-the-eu-in-time-of-coronavirus-crisis-2</w:t>
      </w:r>
    </w:p>
  </w:footnote>
  <w:footnote w:id="5">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Много гранични региони вече имат история на трансгранично сътрудничество, както и съответните структури, включително в областта на здравеопазването. https://ec.europa.eu/info/sites/info/files/guidelines_on_eu_emergency_assistance_in_cross-bordercooperationin_heathcare_related_to_the_covid-19_crisis.pdf</w:t>
      </w:r>
    </w:p>
  </w:footnote>
  <w:footnote w:id="6">
    <w:p>
      <w:pPr>
        <w:pStyle w:val="FootnoteText"/>
      </w:pPr>
      <w:r>
        <w:rPr>
          <w:rStyle w:val="FootnoteReference"/>
        </w:rPr>
        <w:footnoteRef/>
      </w:r>
      <w:r>
        <w:t xml:space="preserve"> </w:t>
      </w:r>
      <w:r>
        <w:rPr>
          <w:rStyle w:val="FootnoteReference"/>
          <w:rFonts w:ascii="Times New Roman" w:hAnsi="Times New Roman"/>
        </w:rPr>
        <w:t>https://ec.europa.eu/commission/presscorner/detail/bg/IP_20_1864</w:t>
      </w:r>
    </w:p>
  </w:footnote>
  <w:footnote w:id="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2" w:history="1">
        <w:r>
          <w:rPr>
            <w:rStyle w:val="FootnoteReference"/>
            <w:rFonts w:ascii="Times New Roman" w:hAnsi="Times New Roman"/>
          </w:rPr>
          <w:t>https://www.weforum.org/agenda/2020/03/coronavirus-global-epidemics-health-pandemic-covid-19/</w:t>
        </w:r>
      </w:hyperlink>
      <w:r>
        <w:rPr>
          <w:rStyle w:val="FootnoteReference"/>
          <w:rFonts w:ascii="Times New Roman" w:hAnsi="Times New Roman"/>
        </w:rPr>
        <w:t xml:space="preserve"> </w:t>
      </w:r>
    </w:p>
  </w:footnote>
  <w:footnote w:id="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https://atlas.ecdc.europa.eu/public/index.aspx?Dataset=27&amp;HealthTopic=4</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3" w:history="1">
        <w:r>
          <w:rPr>
            <w:rStyle w:val="FootnoteReference"/>
            <w:rFonts w:ascii="Times New Roman" w:hAnsi="Times New Roman"/>
          </w:rPr>
          <w:t>https://ipbes.net/pandemics</w:t>
        </w:r>
      </w:hyperlink>
      <w:r>
        <w:rPr>
          <w:rFonts w:ascii="Times New Roman" w:hAnsi="Times New Roman"/>
        </w:rPr>
        <w:t xml:space="preserve"> </w:t>
      </w:r>
    </w:p>
  </w:footnote>
  <w:footnote w:id="1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https://easac.eu/projects/details/climate-change-and-health/</w:t>
      </w:r>
    </w:p>
  </w:footnote>
  <w:footnote w:id="1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Да се добави, когато е на разположение.</w:t>
      </w:r>
    </w:p>
  </w:footnote>
  <w:footnote w:id="1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Механизмът за гражданска защита на Съюза (МГЗС) позволява на Комисията да подкрепя държавите членки в координирането на усилията за предотвратяване и подготовка за бедствия, също и чрез своя Координационен център за реагиране при извънредни ситуации (ERCC), за да реагират, когато техният национален капацитет е претоварен поради някакъв вид бедствия, включително такива като пандемията от COVID-19. Действително в разгара на пандемията държавите — членки на ЕС, държавите, участващи в МГЗС, както и трети държави, прибягнаха до МГЗС за подкрепа, като поискаха помощ в натура под формата на ЛПС, санитарни мерки, но също така поискаха подкрепа и на медицински екипи.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COM(2020) 220 final</w:t>
      </w:r>
    </w:p>
  </w:footnote>
  <w:footnote w:id="14">
    <w:p>
      <w:pPr>
        <w:pStyle w:val="FootnoteText"/>
        <w:rPr>
          <w:rStyle w:val="FootnoteReference"/>
          <w:rFonts w:ascii="Times New Roman" w:hAnsi="Times New Roman" w:cs="Times New Roman"/>
        </w:rPr>
      </w:pPr>
      <w:r>
        <w:rPr>
          <w:rStyle w:val="FootnoteReference"/>
        </w:rPr>
        <w:footnoteRef/>
      </w:r>
      <w:r>
        <w:t xml:space="preserve"> </w:t>
      </w:r>
      <w:r>
        <w:rPr>
          <w:rStyle w:val="FootnoteReference"/>
          <w:rFonts w:ascii="Times New Roman" w:hAnsi="Times New Roman"/>
        </w:rPr>
        <w:t>Регламент (ЕС) 2016/679 (Общ регламент относно защитата на данните) и Регламент (ЕС) 2018/1725.</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Решение № 1082/2013/ЕС: https://eur-lex.europa.eu/legal-content/bg/TXT/?uri=celex:32013D1082</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Например първоначално капацитетът за реакция на Механизма за гражданска защита на Съюза (МГЗС) не можа да се разгърне поради мащаба на пандемията, която засегна едновременно всички държави членки в момент, когато търсенето на пазарите на лични предпазни средства беше задоволено. В резултат на това в началните етапи на пандемията в Европа няколко искания за помощ останаха неизпълнени в продължение на няколко седмици. Този опит показа необходимостта от допълнително укрепване на МГЗС и подтикна Комисията да предложи през юни 2020 г. целеви изменения на правната рамка.</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КЗС е съставен от представители на сектора на общественото здравеопазване на държавите членки и наблюдатели от държавите от Европейското икономическо пространство (ЕИП), агенции на ЕС, преди всичко Европейския център за профилактика и контрол върху заболяванията (ECDC), както и международни партньори като Световната здравна организация.</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На практика така бяха осигурени допълнителни пътища за редовно информиране на държавите членки относно процедурите по съвместно възлагане на обществени поръчки и техните технически детайли, както и за подпомагане на практическото изпълнение на дейностите, финансирани от Инструмента за спешна подкрепа, като дистрибуцията на маски за здравните работници и курсове на лечение с Veklury (ремдезивир).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Това се отнася и до аспекта на реакцията, свързан с научните изследвания.</w:t>
      </w:r>
    </w:p>
  </w:footnote>
  <w:footnote w:id="2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Медицинските мерки за противодействие, свързани с реакцията в областта на общественото здраве, включват фармацевтични продукти, както и нефармацевтични продукти, като например (но не само) медицински изделия, лични предпазни средства, ваксинационни материали, материали и комплекти за тестване и лабораторно оборудване.</w:t>
      </w:r>
    </w:p>
  </w:footnote>
  <w:footnote w:id="2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Пандемията от COVID-19 показа, че равнището на координация и на процесите на вземане на решения относно многонационалните клинични изпитвания не е оптимално. Процесът е бавен и неефикасен, което води до забавяне на приемането на резултатите от изследванията и в крайна сметка — до забавяне и неравенство в достъпа на пациентите до нови лекарства или лекарства с нови терапевтични показания. Бяха представени много голям брой клинични изпитвания за лекарства за COVID-19, както терапевтични средства, така и ваксини (от март до края на септември 2020 г. в поне една държава — членка на ЕС, или в Обединеното кралство са подадени 454 различни заявления за клинични изпитвания); голямата част от клиничните изпитвания (88 %) се провеждат в само една държава членка и се извършват от нетърговски научно-изследователски институции (75 %); дори добре известни международни протоколи за клинични изпитвания се подават в отделните държави членки като самостоятелен проект, което води до разлики в подхода и потенциално до по-слаба съпоставимост на резултатите. И накрая, опитът към днешна дата показа необходимост от ясно, бързо и опростено позициониране и комуникация относно терапевтичните средства и „кандидатите“ за профилактични лекарствени продукти.</w:t>
      </w:r>
    </w:p>
  </w:footnote>
  <w:footnote w:id="2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Системата за гражданска защита се основава на солидарността между държавите членки в смисъл, че тя зависи от доброволното искане и предлагане на помощ от тяхна страна. Тази доброволна система работи много добре при извънредни ситуации с ограничен обхват, които засягат една или няколко държави членки. Но както научихме, това е неефективно в случаите, когато едновременно са засегнати голям брой или всички държави членки. Поради това бе създаден подсилен rescEU, за да се натрупа стратегически резерв от медицински изделия и лични предпазни средства. Стратегическият резерв в rescEU от медицинско оборудване за извънредни ситуации е капацитет, предназначен за крайни случаи, в рамките на Механизма за гражданска защита на Съюза.</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https://ec.europa.eu/health/sites/health/files/human-use/docs/guidance_regulatory_covid19_en.pdf</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Подобна клауза беше успешно включена в Споразумението между Комисията и държавите членки във връзка с предварителните споразумения за закупуване на ваксини срещу COVID-19.</w:t>
      </w:r>
    </w:p>
  </w:footnote>
  <w:footnote w:id="2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Групата се председателства от Европейската комисия и е съставена от представители на ръководителите на агенциите по лекарствата, Европейската агенция по лекарствата, председателите на координационните групи за процедурата по взаимно признаване и за децентрализираната процедура (лекарствени продукти за хуманна употреба и ветеринарни продукти), както и специалисти в областта на комуникацията във връзка с риска.</w:t>
      </w:r>
    </w:p>
  </w:footnote>
  <w:footnote w:id="2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По принцип всички данни относно ефективността, безопасността и качеството на дадено лекарство и всички необходими документи трябва да се подават в първоначалното официално заявление за разрешение за търговия. При т.нар. преглед на текуща основа (rolling review) данните се разглеждат тогава, когато бъдат на разположение в резултат на текущи проучвания, преди да бъде подадено официално заявление. След като пакетът с данни е пълен, разработчикът подава официално заявление за разрешение за търговия, което да бъде оценено в съкратени срокове. Това значително намалява времето, необходимо за предоставяне на лекарството на пазара, като същевременно се спазват принципите за качество, безопасност и ефикасност.</w:t>
      </w:r>
    </w:p>
  </w:footnote>
  <w:footnote w:id="2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До октомври 2020 г. EMA е завършила 39 </w:t>
      </w:r>
      <w:hyperlink r:id="rId4" w:tgtFrame="_blank" w:tooltip="Предоставяне на съвети от Европейската агенция по лекарствата относно подходящите изпитвания и проучвания, необходими за разработването на дадено лекарство, или относно качеството на лекарството.     Повече информация може да бъде намерена в рубриката " w:history="1">
        <w:r>
          <w:rPr>
            <w:rStyle w:val="FootnoteReference"/>
            <w:rFonts w:ascii="Times New Roman" w:hAnsi="Times New Roman"/>
          </w:rPr>
          <w:t>процедури за изготвяне на научни съвети</w:t>
        </w:r>
      </w:hyperlink>
      <w:r>
        <w:rPr>
          <w:rStyle w:val="FootnoteReference"/>
          <w:rFonts w:ascii="Times New Roman" w:hAnsi="Times New Roman"/>
        </w:rPr>
        <w:t xml:space="preserve"> с цел да предостави на разработчиците указания относно най-подходящите методи и планове за изследвания за потенциални лекарства за COVID-19. В ход са още 14 такива процедури. Европейската агенция по лекарствата редовно актуализира информацията относно дейностите на работната група на своя уебсайт: www.ema.europa.eu</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Освен това на експертните групи са поверени и други функции, включително предоставяне на различни видове научни съвети на Комисията, Координационната група по медицинските изделия, държавите членки, нотифицираните органи и производителите. Такива съвети могат да обхващат аспекти на безопасността и ефективността, общи спецификации, клинични стратегии, оценка на съответствието във връзка с най-новите постижения в областта на биологичната съвместимост, механични, електрически, електронни и токсикологични изпитвания.</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Във връзка с оценяването на плановете за готовност и реакция и съответния капацитет.</w:t>
      </w:r>
      <w:r>
        <w:rPr>
          <w:rFonts w:ascii="Times New Roman" w:hAnsi="Times New Roman"/>
        </w:rPr>
        <w:t xml:space="preserve"> </w:t>
      </w:r>
    </w:p>
  </w:footnote>
  <w:footnote w:id="30">
    <w:p>
      <w:pPr>
        <w:pStyle w:val="FootnoteText"/>
      </w:pPr>
      <w:r>
        <w:rPr>
          <w:rStyle w:val="FootnoteReference"/>
        </w:rPr>
        <w:footnoteRef/>
      </w:r>
      <w:r>
        <w:t xml:space="preserve"> </w:t>
      </w:r>
      <w:r>
        <w:rPr>
          <w:rStyle w:val="FootnoteReference"/>
          <w:rFonts w:ascii="Times New Roman" w:hAnsi="Times New Roman"/>
        </w:rPr>
        <w:t>https://ec.europa.eu/info/strategy/priorities-2019-2024/economy-works-people/deeper-and-fairer-economic-and-monetary-union/european-pillar-social-rights_bg</w:t>
      </w:r>
    </w:p>
  </w:footnote>
  <w:footnote w:id="3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Създаването на Механизъм за възстановяване и устойчивост зависи от постигането на споразумение между Европейския парламент и Съвета по предложението за регламент за създаване на Механизъм за възстановяване и устойчивост, COM(2020) 408 final.</w:t>
      </w:r>
    </w:p>
  </w:footnote>
  <w:footnote w:id="32">
    <w:p>
      <w:pPr>
        <w:pStyle w:val="FootnoteText"/>
        <w:rPr>
          <w:sz w:val="14"/>
          <w:szCs w:val="14"/>
        </w:rPr>
      </w:pPr>
      <w:r>
        <w:rPr>
          <w:rStyle w:val="FootnoteReference"/>
          <w:sz w:val="14"/>
          <w:szCs w:val="14"/>
          <w:vertAlign w:val="baseline"/>
        </w:rPr>
        <w:footnoteRef/>
      </w:r>
      <w:r>
        <w:rPr>
          <w:sz w:val="14"/>
          <w:szCs w:val="14"/>
        </w:rPr>
        <w:t xml:space="preserve"> </w:t>
      </w:r>
      <w:r>
        <w:rPr>
          <w:rFonts w:ascii="Times New Roman" w:hAnsi="Times New Roman"/>
          <w:sz w:val="14"/>
          <w:szCs w:val="14"/>
        </w:rPr>
        <w:t>В този контекст е също така важно да се осигури достъп на хората с увреждания до основни услуги за социална подкрепа, както и до информация относно защитните мерки.</w:t>
      </w:r>
    </w:p>
  </w:footnote>
  <w:footnote w:id="3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В този план трябва да бъдат взети предвид междусекторните измерения и критично важните сектори на равнище ЕС, например онези, свързани с транспорта, мобилността, енергетиката, комуникацията и гражданската защита. Тези планове следва да включват раздел относно готовността на научноизследователския сектор.</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Създаването на инструмент за техническа подкрепа зависи от постигането на споразумение между Европейския парламент и Съвета по предложението за регламент за създаване на инструмент за техническа подкрепа, COM(2020) 409 final.</w:t>
      </w:r>
    </w:p>
  </w:footnote>
  <w:footnote w:id="35">
    <w:p>
      <w:pPr>
        <w:pStyle w:val="FootnoteText"/>
      </w:pPr>
      <w:r>
        <w:rPr>
          <w:rStyle w:val="FootnoteReference"/>
        </w:rPr>
        <w:footnoteRef/>
      </w:r>
      <w:r>
        <w:t xml:space="preserve"> </w:t>
      </w:r>
      <w:r>
        <w:rPr>
          <w:rStyle w:val="FootnoteReference"/>
          <w:rFonts w:ascii="Times New Roman" w:hAnsi="Times New Roman"/>
        </w:rPr>
        <w:t>JRC разработва информационни табла за издръжливостта заедно с държавите членки и други заинтересовани лица, като здравеопазването е основен елемент в тях. Те ще представляват подходящ инструмент за наблюдение с цел оценяване на издръжливостта. Тези съобразени със стратегическите прогнози табла могат да спомагат за идентифицирането на възникващи предизвикателства и да предлагат нови ориентирани към бъдещето показатели за оценяване на уязвимите места или капацитета.</w:t>
      </w:r>
    </w:p>
  </w:footnote>
  <w:footnote w:id="3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Като EU4Health, Механизма за възстановяване и устойчивост, политиката на сближаване и инструмента за техническа подкрепа.</w:t>
      </w:r>
    </w:p>
  </w:footnote>
  <w:footnote w:id="3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Специфичните здравни проблеми са антимикробна резистентност и вътреболнични инфекции, свързани със заразни болести.</w:t>
      </w:r>
    </w:p>
  </w:footnote>
  <w:footnote w:id="3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Например от космическото пространство, включително данни от наблюдението на Земята от програмата на ЕС „Коперник“ и данни за географското позициониране от приложения на „Галилео“.</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vertAlign w:val="superscript"/>
        </w:rPr>
        <w:t xml:space="preserve">Например от надзора на инфекциозни агенти в отпадъчните води. </w:t>
      </w:r>
    </w:p>
  </w:footnote>
  <w:footnote w:id="4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При тези системи може също така да се извлече полза и да се използват услуги и данни, осигурени или генерирани от инициативи на ЕС, като космическата програма на ЕС. Опитът вследствие на пандемията от COVID-19 показа, че чрез космическите услуги, например тези, осигурени от програмата „Галилео“ на ЕС, могат да се осигуряват ценни услуги и данни, т.е. услуги за географско позициониране с цел определяне на областите с риск от заразяване, предупреждаване за области, до които е ограничен достъпът или в които е наложена карантина, както и с цел предупреждаване на властите в случай на големи струпвания на хора. По-специално в отговор на COVID-19 „Галилео“ — навигационната спътникова система на ЕС, беше използвана за разработването на ново приложение въз основа на „Галилео“, наречено Galileo Green Lane (Зелена лента за преминаване на „Галилео“), което дава възможност за мониторинг в реално време на движението на стоки между държавите — членки на ЕС, и улеснява товарния превоз по границите.</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Важно е в препоръките относно политиката да бъдат включван научните изследвания чрез по-тясно и активно сътрудничество на агенциите на ЕС.</w:t>
      </w:r>
      <w:r>
        <w:rPr>
          <w:rFonts w:ascii="Times New Roman" w:hAnsi="Times New Roman"/>
        </w:rPr>
        <w:t xml:space="preserve"> </w:t>
      </w:r>
    </w:p>
  </w:footnote>
  <w:footnote w:id="4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За тази цел Комисията, агенциите на ЕС и държавите членки представиха чрез Комитета за здравна сигурност препоръки за общ подход на ЕС за тестване за COVID-19.</w:t>
      </w:r>
    </w:p>
  </w:footnote>
  <w:footnote w:id="4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Които да се управляват от ECDC с подкрепата на службите на JRC на Комисията.</w:t>
      </w:r>
    </w:p>
  </w:footnote>
  <w:footnote w:id="44">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Тази мрежа, наред с другото, ще осигури рамка за оценяване и одобряване на диагностиката и целта ще бъде да се гарантира взаимно признаване в ЕС в тази област.</w:t>
      </w:r>
    </w:p>
  </w:footnote>
  <w:footnote w:id="4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Чрез СРПР беше оказана оперативна подкрепа за обмена на информация относно COVID-19 с цел проследяване на контактите.</w:t>
      </w:r>
    </w:p>
  </w:footnote>
  <w:footnote w:id="4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Чрез Инструмента за спешна подкрепа беше финансирана услугата European Federation Gateway Service за целите на приложенията за проследяване на контактите и предупреждаване, а през юли 2020 г. Комисията също така представи решение за изпълнение, за да даде възможност за оперативна съвместимост между мобилните приложения за проследяване и предупреждаване в целия ЕС.</w:t>
      </w:r>
    </w:p>
  </w:footnote>
  <w:footnote w:id="4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Това следва да позволи използването на модерни технологии, като цифрови мобилни приложения, модели на изкуствен интелект или други нови приложими инструменти.</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Ще се гарантира спазването на разпоредбите на ОРЗД.</w:t>
      </w:r>
    </w:p>
  </w:footnote>
  <w:footnote w:id="49">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Като например, но не само, приложения, ползващи космически технологии.</w:t>
      </w:r>
    </w:p>
  </w:footnote>
  <w:footnote w:id="5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Тези съобщения са свързани например с обмен на информация относно проследяването на контактите, актуализирани епидемиологични данни, обмен на технически експертен опит и актуализирани данни относно приложените здравни мерки.</w:t>
      </w:r>
    </w:p>
  </w:footnote>
  <w:footnote w:id="5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Заедно със Световната здравна организация Комисията въведе специална система за медицинска евакуация (МEDEVAC), за да се улесни медицинската евакуация на здравните работници вследствие на вирусни хеморагични трески. През 2020 г. тя беше разширена, за да включва COVID-19. Комисията използва платформата на СРПР, за да координира операциите по медицинска евакуация между СЗО и държавите членки. </w:t>
      </w:r>
    </w:p>
  </w:footnote>
  <w:footnote w:id="5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СРПР беше включена в пакета за мобилност на ЕС за целите на трансграничното транспортиране на медицински екипи и прехвърлянето на пациенти с COVID-19: https://ec.europa.eu/commission/presscorner/detail/bg/ip_20_1118</w:t>
      </w:r>
    </w:p>
  </w:footnote>
  <w:footnote w:id="5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Когато необходимата оценка на риска е изцяло или частично извън мандатите на агенциите, но се счита, че тя е необходима за координирането на реакцията на равнището на ЕС, Комисията ще осигурява ad hoc оценка на риска по искане на КЗС или по своя собствена инициатива.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Този капацитет ще бъде свързан с МГЗС, и по-специално с работата на Европейския медицински корпус, в който вече е обединен капацитет на държавите членки за медицинска 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E57"/>
    <w:multiLevelType w:val="hybridMultilevel"/>
    <w:tmpl w:val="3FC01AB6"/>
    <w:lvl w:ilvl="0" w:tplc="FD624730">
      <w:start w:val="1"/>
      <w:numFmt w:val="bullet"/>
      <w:lvlText w:val="•"/>
      <w:lvlJc w:val="left"/>
      <w:pPr>
        <w:tabs>
          <w:tab w:val="num" w:pos="720"/>
        </w:tabs>
        <w:ind w:left="720" w:hanging="360"/>
      </w:pPr>
      <w:rPr>
        <w:rFonts w:ascii="Arial" w:hAnsi="Arial" w:hint="default"/>
      </w:rPr>
    </w:lvl>
    <w:lvl w:ilvl="1" w:tplc="6BBC736A">
      <w:start w:val="1"/>
      <w:numFmt w:val="bullet"/>
      <w:lvlText w:val="•"/>
      <w:lvlJc w:val="left"/>
      <w:pPr>
        <w:tabs>
          <w:tab w:val="num" w:pos="1440"/>
        </w:tabs>
        <w:ind w:left="1440" w:hanging="360"/>
      </w:pPr>
      <w:rPr>
        <w:rFonts w:ascii="Arial" w:hAnsi="Arial" w:hint="default"/>
      </w:rPr>
    </w:lvl>
    <w:lvl w:ilvl="2" w:tplc="2A7C1EE8" w:tentative="1">
      <w:start w:val="1"/>
      <w:numFmt w:val="bullet"/>
      <w:lvlText w:val="•"/>
      <w:lvlJc w:val="left"/>
      <w:pPr>
        <w:tabs>
          <w:tab w:val="num" w:pos="2160"/>
        </w:tabs>
        <w:ind w:left="2160" w:hanging="360"/>
      </w:pPr>
      <w:rPr>
        <w:rFonts w:ascii="Arial" w:hAnsi="Arial" w:hint="default"/>
      </w:rPr>
    </w:lvl>
    <w:lvl w:ilvl="3" w:tplc="089A5068" w:tentative="1">
      <w:start w:val="1"/>
      <w:numFmt w:val="bullet"/>
      <w:lvlText w:val="•"/>
      <w:lvlJc w:val="left"/>
      <w:pPr>
        <w:tabs>
          <w:tab w:val="num" w:pos="2880"/>
        </w:tabs>
        <w:ind w:left="2880" w:hanging="360"/>
      </w:pPr>
      <w:rPr>
        <w:rFonts w:ascii="Arial" w:hAnsi="Arial" w:hint="default"/>
      </w:rPr>
    </w:lvl>
    <w:lvl w:ilvl="4" w:tplc="02B4F4BE" w:tentative="1">
      <w:start w:val="1"/>
      <w:numFmt w:val="bullet"/>
      <w:lvlText w:val="•"/>
      <w:lvlJc w:val="left"/>
      <w:pPr>
        <w:tabs>
          <w:tab w:val="num" w:pos="3600"/>
        </w:tabs>
        <w:ind w:left="3600" w:hanging="360"/>
      </w:pPr>
      <w:rPr>
        <w:rFonts w:ascii="Arial" w:hAnsi="Arial" w:hint="default"/>
      </w:rPr>
    </w:lvl>
    <w:lvl w:ilvl="5" w:tplc="D0DAF5B8" w:tentative="1">
      <w:start w:val="1"/>
      <w:numFmt w:val="bullet"/>
      <w:lvlText w:val="•"/>
      <w:lvlJc w:val="left"/>
      <w:pPr>
        <w:tabs>
          <w:tab w:val="num" w:pos="4320"/>
        </w:tabs>
        <w:ind w:left="4320" w:hanging="360"/>
      </w:pPr>
      <w:rPr>
        <w:rFonts w:ascii="Arial" w:hAnsi="Arial" w:hint="default"/>
      </w:rPr>
    </w:lvl>
    <w:lvl w:ilvl="6" w:tplc="4F2CBA40" w:tentative="1">
      <w:start w:val="1"/>
      <w:numFmt w:val="bullet"/>
      <w:lvlText w:val="•"/>
      <w:lvlJc w:val="left"/>
      <w:pPr>
        <w:tabs>
          <w:tab w:val="num" w:pos="5040"/>
        </w:tabs>
        <w:ind w:left="5040" w:hanging="360"/>
      </w:pPr>
      <w:rPr>
        <w:rFonts w:ascii="Arial" w:hAnsi="Arial" w:hint="default"/>
      </w:rPr>
    </w:lvl>
    <w:lvl w:ilvl="7" w:tplc="C35C5D2E" w:tentative="1">
      <w:start w:val="1"/>
      <w:numFmt w:val="bullet"/>
      <w:lvlText w:val="•"/>
      <w:lvlJc w:val="left"/>
      <w:pPr>
        <w:tabs>
          <w:tab w:val="num" w:pos="5760"/>
        </w:tabs>
        <w:ind w:left="5760" w:hanging="360"/>
      </w:pPr>
      <w:rPr>
        <w:rFonts w:ascii="Arial" w:hAnsi="Arial" w:hint="default"/>
      </w:rPr>
    </w:lvl>
    <w:lvl w:ilvl="8" w:tplc="432415B6" w:tentative="1">
      <w:start w:val="1"/>
      <w:numFmt w:val="bullet"/>
      <w:lvlText w:val="•"/>
      <w:lvlJc w:val="left"/>
      <w:pPr>
        <w:tabs>
          <w:tab w:val="num" w:pos="6480"/>
        </w:tabs>
        <w:ind w:left="6480" w:hanging="360"/>
      </w:pPr>
      <w:rPr>
        <w:rFonts w:ascii="Arial" w:hAnsi="Arial" w:hint="default"/>
      </w:rPr>
    </w:lvl>
  </w:abstractNum>
  <w:abstractNum w:abstractNumId="1">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0258E"/>
    <w:multiLevelType w:val="hybridMultilevel"/>
    <w:tmpl w:val="D1B2233A"/>
    <w:lvl w:ilvl="0" w:tplc="DDE65644">
      <w:start w:val="1"/>
      <w:numFmt w:val="bullet"/>
      <w:lvlText w:val="•"/>
      <w:lvlJc w:val="left"/>
      <w:pPr>
        <w:tabs>
          <w:tab w:val="num" w:pos="720"/>
        </w:tabs>
        <w:ind w:left="720" w:hanging="360"/>
      </w:pPr>
      <w:rPr>
        <w:rFonts w:ascii="Arial" w:hAnsi="Arial" w:hint="default"/>
      </w:rPr>
    </w:lvl>
    <w:lvl w:ilvl="1" w:tplc="CC8E1578">
      <w:start w:val="1"/>
      <w:numFmt w:val="bullet"/>
      <w:lvlText w:val="•"/>
      <w:lvlJc w:val="left"/>
      <w:pPr>
        <w:tabs>
          <w:tab w:val="num" w:pos="1440"/>
        </w:tabs>
        <w:ind w:left="1440" w:hanging="360"/>
      </w:pPr>
      <w:rPr>
        <w:rFonts w:ascii="Arial" w:hAnsi="Arial" w:hint="default"/>
      </w:rPr>
    </w:lvl>
    <w:lvl w:ilvl="2" w:tplc="F64C58EA" w:tentative="1">
      <w:start w:val="1"/>
      <w:numFmt w:val="bullet"/>
      <w:lvlText w:val="•"/>
      <w:lvlJc w:val="left"/>
      <w:pPr>
        <w:tabs>
          <w:tab w:val="num" w:pos="2160"/>
        </w:tabs>
        <w:ind w:left="2160" w:hanging="360"/>
      </w:pPr>
      <w:rPr>
        <w:rFonts w:ascii="Arial" w:hAnsi="Arial" w:hint="default"/>
      </w:rPr>
    </w:lvl>
    <w:lvl w:ilvl="3" w:tplc="A4061A74" w:tentative="1">
      <w:start w:val="1"/>
      <w:numFmt w:val="bullet"/>
      <w:lvlText w:val="•"/>
      <w:lvlJc w:val="left"/>
      <w:pPr>
        <w:tabs>
          <w:tab w:val="num" w:pos="2880"/>
        </w:tabs>
        <w:ind w:left="2880" w:hanging="360"/>
      </w:pPr>
      <w:rPr>
        <w:rFonts w:ascii="Arial" w:hAnsi="Arial" w:hint="default"/>
      </w:rPr>
    </w:lvl>
    <w:lvl w:ilvl="4" w:tplc="33E43688" w:tentative="1">
      <w:start w:val="1"/>
      <w:numFmt w:val="bullet"/>
      <w:lvlText w:val="•"/>
      <w:lvlJc w:val="left"/>
      <w:pPr>
        <w:tabs>
          <w:tab w:val="num" w:pos="3600"/>
        </w:tabs>
        <w:ind w:left="3600" w:hanging="360"/>
      </w:pPr>
      <w:rPr>
        <w:rFonts w:ascii="Arial" w:hAnsi="Arial" w:hint="default"/>
      </w:rPr>
    </w:lvl>
    <w:lvl w:ilvl="5" w:tplc="4D902012" w:tentative="1">
      <w:start w:val="1"/>
      <w:numFmt w:val="bullet"/>
      <w:lvlText w:val="•"/>
      <w:lvlJc w:val="left"/>
      <w:pPr>
        <w:tabs>
          <w:tab w:val="num" w:pos="4320"/>
        </w:tabs>
        <w:ind w:left="4320" w:hanging="360"/>
      </w:pPr>
      <w:rPr>
        <w:rFonts w:ascii="Arial" w:hAnsi="Arial" w:hint="default"/>
      </w:rPr>
    </w:lvl>
    <w:lvl w:ilvl="6" w:tplc="BD7CD3A0" w:tentative="1">
      <w:start w:val="1"/>
      <w:numFmt w:val="bullet"/>
      <w:lvlText w:val="•"/>
      <w:lvlJc w:val="left"/>
      <w:pPr>
        <w:tabs>
          <w:tab w:val="num" w:pos="5040"/>
        </w:tabs>
        <w:ind w:left="5040" w:hanging="360"/>
      </w:pPr>
      <w:rPr>
        <w:rFonts w:ascii="Arial" w:hAnsi="Arial" w:hint="default"/>
      </w:rPr>
    </w:lvl>
    <w:lvl w:ilvl="7" w:tplc="2A4AA0AA" w:tentative="1">
      <w:start w:val="1"/>
      <w:numFmt w:val="bullet"/>
      <w:lvlText w:val="•"/>
      <w:lvlJc w:val="left"/>
      <w:pPr>
        <w:tabs>
          <w:tab w:val="num" w:pos="5760"/>
        </w:tabs>
        <w:ind w:left="5760" w:hanging="360"/>
      </w:pPr>
      <w:rPr>
        <w:rFonts w:ascii="Arial" w:hAnsi="Arial" w:hint="default"/>
      </w:rPr>
    </w:lvl>
    <w:lvl w:ilvl="8" w:tplc="3DC89804" w:tentative="1">
      <w:start w:val="1"/>
      <w:numFmt w:val="bullet"/>
      <w:lvlText w:val="•"/>
      <w:lvlJc w:val="left"/>
      <w:pPr>
        <w:tabs>
          <w:tab w:val="num" w:pos="6480"/>
        </w:tabs>
        <w:ind w:left="6480" w:hanging="360"/>
      </w:pPr>
      <w:rPr>
        <w:rFonts w:ascii="Arial" w:hAnsi="Arial" w:hint="default"/>
      </w:rPr>
    </w:lvl>
  </w:abstractNum>
  <w:abstractNum w:abstractNumId="3">
    <w:nsid w:val="0E737506"/>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nsid w:val="13386CAD"/>
    <w:multiLevelType w:val="hybridMultilevel"/>
    <w:tmpl w:val="C9927AB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0642DB"/>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159F3AEC"/>
    <w:multiLevelType w:val="hybridMultilevel"/>
    <w:tmpl w:val="73449B64"/>
    <w:lvl w:ilvl="0" w:tplc="EBCA4E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9395CF9"/>
    <w:multiLevelType w:val="hybridMultilevel"/>
    <w:tmpl w:val="FF9C9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1A43D1"/>
    <w:multiLevelType w:val="multilevel"/>
    <w:tmpl w:val="D90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61A8B"/>
    <w:multiLevelType w:val="hybridMultilevel"/>
    <w:tmpl w:val="0840DE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3D66476"/>
    <w:multiLevelType w:val="hybridMultilevel"/>
    <w:tmpl w:val="C2F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943DB5"/>
    <w:multiLevelType w:val="hybridMultilevel"/>
    <w:tmpl w:val="22B4DE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3693556D"/>
    <w:multiLevelType w:val="hybridMultilevel"/>
    <w:tmpl w:val="F156F2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38AD160C"/>
    <w:multiLevelType w:val="hybridMultilevel"/>
    <w:tmpl w:val="36B055D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nsid w:val="3EDE0B92"/>
    <w:multiLevelType w:val="hybridMultilevel"/>
    <w:tmpl w:val="3998048A"/>
    <w:lvl w:ilvl="0" w:tplc="D7182AE8">
      <w:start w:val="1"/>
      <w:numFmt w:val="bullet"/>
      <w:lvlText w:val=""/>
      <w:lvlJc w:val="left"/>
      <w:pPr>
        <w:tabs>
          <w:tab w:val="num" w:pos="360"/>
        </w:tabs>
        <w:ind w:left="360" w:hanging="360"/>
      </w:pPr>
      <w:rPr>
        <w:rFonts w:ascii="Symbol" w:hAnsi="Symbol" w:hint="default"/>
      </w:rPr>
    </w:lvl>
    <w:lvl w:ilvl="1" w:tplc="4DFC4526">
      <w:start w:val="1"/>
      <w:numFmt w:val="bullet"/>
      <w:lvlText w:val="o"/>
      <w:lvlJc w:val="left"/>
      <w:pPr>
        <w:tabs>
          <w:tab w:val="num" w:pos="1440"/>
        </w:tabs>
        <w:ind w:left="1440" w:hanging="360"/>
      </w:pPr>
      <w:rPr>
        <w:rFonts w:ascii="Courier New" w:hAnsi="Courier New" w:cs="Courier New" w:hint="default"/>
      </w:rPr>
    </w:lvl>
    <w:lvl w:ilvl="2" w:tplc="4C7CA822" w:tentative="1">
      <w:start w:val="1"/>
      <w:numFmt w:val="bullet"/>
      <w:lvlText w:val=""/>
      <w:lvlJc w:val="left"/>
      <w:pPr>
        <w:tabs>
          <w:tab w:val="num" w:pos="2160"/>
        </w:tabs>
        <w:ind w:left="2160" w:hanging="360"/>
      </w:pPr>
      <w:rPr>
        <w:rFonts w:ascii="Wingdings" w:hAnsi="Wingdings" w:hint="default"/>
      </w:rPr>
    </w:lvl>
    <w:lvl w:ilvl="3" w:tplc="B2BEAC2E" w:tentative="1">
      <w:start w:val="1"/>
      <w:numFmt w:val="bullet"/>
      <w:lvlText w:val=""/>
      <w:lvlJc w:val="left"/>
      <w:pPr>
        <w:tabs>
          <w:tab w:val="num" w:pos="2880"/>
        </w:tabs>
        <w:ind w:left="2880" w:hanging="360"/>
      </w:pPr>
      <w:rPr>
        <w:rFonts w:ascii="Symbol" w:hAnsi="Symbol" w:hint="default"/>
      </w:rPr>
    </w:lvl>
    <w:lvl w:ilvl="4" w:tplc="E842EFF4" w:tentative="1">
      <w:start w:val="1"/>
      <w:numFmt w:val="bullet"/>
      <w:lvlText w:val="o"/>
      <w:lvlJc w:val="left"/>
      <w:pPr>
        <w:tabs>
          <w:tab w:val="num" w:pos="3600"/>
        </w:tabs>
        <w:ind w:left="3600" w:hanging="360"/>
      </w:pPr>
      <w:rPr>
        <w:rFonts w:ascii="Courier New" w:hAnsi="Courier New" w:cs="Courier New" w:hint="default"/>
      </w:rPr>
    </w:lvl>
    <w:lvl w:ilvl="5" w:tplc="F3801686" w:tentative="1">
      <w:start w:val="1"/>
      <w:numFmt w:val="bullet"/>
      <w:lvlText w:val=""/>
      <w:lvlJc w:val="left"/>
      <w:pPr>
        <w:tabs>
          <w:tab w:val="num" w:pos="4320"/>
        </w:tabs>
        <w:ind w:left="4320" w:hanging="360"/>
      </w:pPr>
      <w:rPr>
        <w:rFonts w:ascii="Wingdings" w:hAnsi="Wingdings" w:hint="default"/>
      </w:rPr>
    </w:lvl>
    <w:lvl w:ilvl="6" w:tplc="5BC87484" w:tentative="1">
      <w:start w:val="1"/>
      <w:numFmt w:val="bullet"/>
      <w:lvlText w:val=""/>
      <w:lvlJc w:val="left"/>
      <w:pPr>
        <w:tabs>
          <w:tab w:val="num" w:pos="5040"/>
        </w:tabs>
        <w:ind w:left="5040" w:hanging="360"/>
      </w:pPr>
      <w:rPr>
        <w:rFonts w:ascii="Symbol" w:hAnsi="Symbol" w:hint="default"/>
      </w:rPr>
    </w:lvl>
    <w:lvl w:ilvl="7" w:tplc="5C64BEFA" w:tentative="1">
      <w:start w:val="1"/>
      <w:numFmt w:val="bullet"/>
      <w:lvlText w:val="o"/>
      <w:lvlJc w:val="left"/>
      <w:pPr>
        <w:tabs>
          <w:tab w:val="num" w:pos="5760"/>
        </w:tabs>
        <w:ind w:left="5760" w:hanging="360"/>
      </w:pPr>
      <w:rPr>
        <w:rFonts w:ascii="Courier New" w:hAnsi="Courier New" w:cs="Courier New" w:hint="default"/>
      </w:rPr>
    </w:lvl>
    <w:lvl w:ilvl="8" w:tplc="2F7AC64E" w:tentative="1">
      <w:start w:val="1"/>
      <w:numFmt w:val="bullet"/>
      <w:lvlText w:val=""/>
      <w:lvlJc w:val="left"/>
      <w:pPr>
        <w:tabs>
          <w:tab w:val="num" w:pos="6480"/>
        </w:tabs>
        <w:ind w:left="6480" w:hanging="360"/>
      </w:pPr>
      <w:rPr>
        <w:rFonts w:ascii="Wingdings" w:hAnsi="Wingdings" w:hint="default"/>
      </w:rPr>
    </w:lvl>
  </w:abstractNum>
  <w:abstractNum w:abstractNumId="18">
    <w:nsid w:val="459412AA"/>
    <w:multiLevelType w:val="hybridMultilevel"/>
    <w:tmpl w:val="71A409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62A7102"/>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nsid w:val="4E2514A1"/>
    <w:multiLevelType w:val="hybridMultilevel"/>
    <w:tmpl w:val="427282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EBC3850"/>
    <w:multiLevelType w:val="hybridMultilevel"/>
    <w:tmpl w:val="4E684F0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nsid w:val="4F0C4BEB"/>
    <w:multiLevelType w:val="hybridMultilevel"/>
    <w:tmpl w:val="699E55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3">
    <w:nsid w:val="54C97C17"/>
    <w:multiLevelType w:val="hybridMultilevel"/>
    <w:tmpl w:val="AD0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97F68"/>
    <w:multiLevelType w:val="hybridMultilevel"/>
    <w:tmpl w:val="2322101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nsid w:val="59E72FE8"/>
    <w:multiLevelType w:val="hybridMultilevel"/>
    <w:tmpl w:val="3C607D5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BF5123D"/>
    <w:multiLevelType w:val="hybridMultilevel"/>
    <w:tmpl w:val="A42CA1D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BF7CF7"/>
    <w:multiLevelType w:val="hybridMultilevel"/>
    <w:tmpl w:val="A74807C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nsid w:val="62A92BB5"/>
    <w:multiLevelType w:val="hybridMultilevel"/>
    <w:tmpl w:val="FD4A8DDE"/>
    <w:lvl w:ilvl="0" w:tplc="0BE6CC04">
      <w:start w:val="1"/>
      <w:numFmt w:val="bullet"/>
      <w:lvlText w:val="•"/>
      <w:lvlJc w:val="left"/>
      <w:pPr>
        <w:tabs>
          <w:tab w:val="num" w:pos="720"/>
        </w:tabs>
        <w:ind w:left="720" w:hanging="360"/>
      </w:pPr>
      <w:rPr>
        <w:rFonts w:ascii="Arial" w:hAnsi="Arial" w:hint="default"/>
      </w:rPr>
    </w:lvl>
    <w:lvl w:ilvl="1" w:tplc="5ECC1496">
      <w:start w:val="181"/>
      <w:numFmt w:val="bullet"/>
      <w:lvlText w:val="•"/>
      <w:lvlJc w:val="left"/>
      <w:pPr>
        <w:tabs>
          <w:tab w:val="num" w:pos="1440"/>
        </w:tabs>
        <w:ind w:left="1440" w:hanging="360"/>
      </w:pPr>
      <w:rPr>
        <w:rFonts w:ascii="Arial" w:hAnsi="Arial" w:hint="default"/>
      </w:rPr>
    </w:lvl>
    <w:lvl w:ilvl="2" w:tplc="0EE241CA" w:tentative="1">
      <w:start w:val="1"/>
      <w:numFmt w:val="bullet"/>
      <w:lvlText w:val="•"/>
      <w:lvlJc w:val="left"/>
      <w:pPr>
        <w:tabs>
          <w:tab w:val="num" w:pos="2160"/>
        </w:tabs>
        <w:ind w:left="2160" w:hanging="360"/>
      </w:pPr>
      <w:rPr>
        <w:rFonts w:ascii="Arial" w:hAnsi="Arial" w:hint="default"/>
      </w:rPr>
    </w:lvl>
    <w:lvl w:ilvl="3" w:tplc="47201272" w:tentative="1">
      <w:start w:val="1"/>
      <w:numFmt w:val="bullet"/>
      <w:lvlText w:val="•"/>
      <w:lvlJc w:val="left"/>
      <w:pPr>
        <w:tabs>
          <w:tab w:val="num" w:pos="2880"/>
        </w:tabs>
        <w:ind w:left="2880" w:hanging="360"/>
      </w:pPr>
      <w:rPr>
        <w:rFonts w:ascii="Arial" w:hAnsi="Arial" w:hint="default"/>
      </w:rPr>
    </w:lvl>
    <w:lvl w:ilvl="4" w:tplc="DD5E0A8C" w:tentative="1">
      <w:start w:val="1"/>
      <w:numFmt w:val="bullet"/>
      <w:lvlText w:val="•"/>
      <w:lvlJc w:val="left"/>
      <w:pPr>
        <w:tabs>
          <w:tab w:val="num" w:pos="3600"/>
        </w:tabs>
        <w:ind w:left="3600" w:hanging="360"/>
      </w:pPr>
      <w:rPr>
        <w:rFonts w:ascii="Arial" w:hAnsi="Arial" w:hint="default"/>
      </w:rPr>
    </w:lvl>
    <w:lvl w:ilvl="5" w:tplc="EDB8584C" w:tentative="1">
      <w:start w:val="1"/>
      <w:numFmt w:val="bullet"/>
      <w:lvlText w:val="•"/>
      <w:lvlJc w:val="left"/>
      <w:pPr>
        <w:tabs>
          <w:tab w:val="num" w:pos="4320"/>
        </w:tabs>
        <w:ind w:left="4320" w:hanging="360"/>
      </w:pPr>
      <w:rPr>
        <w:rFonts w:ascii="Arial" w:hAnsi="Arial" w:hint="default"/>
      </w:rPr>
    </w:lvl>
    <w:lvl w:ilvl="6" w:tplc="D8049864" w:tentative="1">
      <w:start w:val="1"/>
      <w:numFmt w:val="bullet"/>
      <w:lvlText w:val="•"/>
      <w:lvlJc w:val="left"/>
      <w:pPr>
        <w:tabs>
          <w:tab w:val="num" w:pos="5040"/>
        </w:tabs>
        <w:ind w:left="5040" w:hanging="360"/>
      </w:pPr>
      <w:rPr>
        <w:rFonts w:ascii="Arial" w:hAnsi="Arial" w:hint="default"/>
      </w:rPr>
    </w:lvl>
    <w:lvl w:ilvl="7" w:tplc="E24AE6FC" w:tentative="1">
      <w:start w:val="1"/>
      <w:numFmt w:val="bullet"/>
      <w:lvlText w:val="•"/>
      <w:lvlJc w:val="left"/>
      <w:pPr>
        <w:tabs>
          <w:tab w:val="num" w:pos="5760"/>
        </w:tabs>
        <w:ind w:left="5760" w:hanging="360"/>
      </w:pPr>
      <w:rPr>
        <w:rFonts w:ascii="Arial" w:hAnsi="Arial" w:hint="default"/>
      </w:rPr>
    </w:lvl>
    <w:lvl w:ilvl="8" w:tplc="D5605C60" w:tentative="1">
      <w:start w:val="1"/>
      <w:numFmt w:val="bullet"/>
      <w:lvlText w:val="•"/>
      <w:lvlJc w:val="left"/>
      <w:pPr>
        <w:tabs>
          <w:tab w:val="num" w:pos="6480"/>
        </w:tabs>
        <w:ind w:left="6480" w:hanging="360"/>
      </w:pPr>
      <w:rPr>
        <w:rFonts w:ascii="Arial" w:hAnsi="Arial" w:hint="default"/>
      </w:rPr>
    </w:lvl>
  </w:abstractNum>
  <w:abstractNum w:abstractNumId="29">
    <w:nsid w:val="634F0E7E"/>
    <w:multiLevelType w:val="hybridMultilevel"/>
    <w:tmpl w:val="560A35B4"/>
    <w:lvl w:ilvl="0" w:tplc="42B22A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C252803"/>
    <w:multiLevelType w:val="hybridMultilevel"/>
    <w:tmpl w:val="C920863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D715E90"/>
    <w:multiLevelType w:val="hybridMultilevel"/>
    <w:tmpl w:val="1A462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DB75945"/>
    <w:multiLevelType w:val="hybridMultilevel"/>
    <w:tmpl w:val="D54A2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CC4C5A"/>
    <w:multiLevelType w:val="hybridMultilevel"/>
    <w:tmpl w:val="1E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32A1A"/>
    <w:multiLevelType w:val="hybridMultilevel"/>
    <w:tmpl w:val="9E80FF40"/>
    <w:lvl w:ilvl="0" w:tplc="2DDC97E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9575FFB"/>
    <w:multiLevelType w:val="hybridMultilevel"/>
    <w:tmpl w:val="CB3AFB88"/>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450432"/>
    <w:multiLevelType w:val="hybridMultilevel"/>
    <w:tmpl w:val="7E7A88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7D700CD7"/>
    <w:multiLevelType w:val="hybridMultilevel"/>
    <w:tmpl w:val="8FA88838"/>
    <w:lvl w:ilvl="0" w:tplc="A1A4AC8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0"/>
  </w:num>
  <w:num w:numId="4">
    <w:abstractNumId w:val="38"/>
  </w:num>
  <w:num w:numId="5">
    <w:abstractNumId w:val="10"/>
  </w:num>
  <w:num w:numId="6">
    <w:abstractNumId w:val="1"/>
  </w:num>
  <w:num w:numId="7">
    <w:abstractNumId w:val="31"/>
  </w:num>
  <w:num w:numId="8">
    <w:abstractNumId w:val="24"/>
  </w:num>
  <w:num w:numId="9">
    <w:abstractNumId w:val="11"/>
  </w:num>
  <w:num w:numId="10">
    <w:abstractNumId w:val="13"/>
  </w:num>
  <w:num w:numId="11">
    <w:abstractNumId w:val="12"/>
  </w:num>
  <w:num w:numId="12">
    <w:abstractNumId w:val="33"/>
  </w:num>
  <w:num w:numId="13">
    <w:abstractNumId w:val="0"/>
  </w:num>
  <w:num w:numId="14">
    <w:abstractNumId w:val="2"/>
  </w:num>
  <w:num w:numId="15">
    <w:abstractNumId w:val="16"/>
  </w:num>
  <w:num w:numId="16">
    <w:abstractNumId w:val="28"/>
  </w:num>
  <w:num w:numId="17">
    <w:abstractNumId w:val="19"/>
  </w:num>
  <w:num w:numId="18">
    <w:abstractNumId w:val="3"/>
  </w:num>
  <w:num w:numId="19">
    <w:abstractNumId w:val="32"/>
  </w:num>
  <w:num w:numId="20">
    <w:abstractNumId w:val="21"/>
  </w:num>
  <w:num w:numId="21">
    <w:abstractNumId w:val="27"/>
  </w:num>
  <w:num w:numId="22">
    <w:abstractNumId w:val="18"/>
  </w:num>
  <w:num w:numId="23">
    <w:abstractNumId w:val="15"/>
  </w:num>
  <w:num w:numId="24">
    <w:abstractNumId w:val="39"/>
  </w:num>
  <w:num w:numId="25">
    <w:abstractNumId w:val="20"/>
  </w:num>
  <w:num w:numId="26">
    <w:abstractNumId w:val="37"/>
  </w:num>
  <w:num w:numId="27">
    <w:abstractNumId w:val="5"/>
  </w:num>
  <w:num w:numId="28">
    <w:abstractNumId w:val="34"/>
  </w:num>
  <w:num w:numId="29">
    <w:abstractNumId w:val="4"/>
  </w:num>
  <w:num w:numId="30">
    <w:abstractNumId w:val="25"/>
  </w:num>
  <w:num w:numId="31">
    <w:abstractNumId w:val="26"/>
  </w:num>
  <w:num w:numId="32">
    <w:abstractNumId w:val="22"/>
  </w:num>
  <w:num w:numId="33">
    <w:abstractNumId w:val="23"/>
  </w:num>
  <w:num w:numId="34">
    <w:abstractNumId w:val="35"/>
  </w:num>
  <w:num w:numId="35">
    <w:abstractNumId w:val="40"/>
  </w:num>
  <w:num w:numId="36">
    <w:abstractNumId w:val="6"/>
  </w:num>
  <w:num w:numId="37">
    <w:abstractNumId w:val="29"/>
  </w:num>
  <w:num w:numId="38">
    <w:abstractNumId w:val="8"/>
  </w:num>
  <w:num w:numId="39">
    <w:abstractNumId w:val="17"/>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1741A0-A8EE-4629-8B16-A8C2B186D36C"/>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8?\u1079?\u1075?\u1088?\u1072?\u1078?\u1076?\u1072?\u1085?\u1077? \u1085?\u1072? \u1045?\u1074?\u1088?\u1086?\u1087?\u1077?\u1081?\u1089?\u1082?\u1080? \u1079?\u1076?\u1088?\u1072?\u1074?\u1077?\u1085? \u1089?\u1098?\u1102?\u1079?: \u1087?\u1086?\u1076?\u1089?\u1080?\u1083?\u1074?\u1072?\u1085?\u1077? \u1085?\u1072? \u1080?\u1079?\u1076?\u1088?\u1098?\u1078?\u1083?\u1080?\u1074?\u1086?\u1089?\u1090?\u1090?\u1072? \u1085?\u1072? \u1045?\u1057? \u1085?\u1072? \u1090?\u1088?\u1072?\u1085?\u1089?\u1075?\u1088?\u1072?\u1085?\u1080?\u1095?\u1085?\u1080? \u1079?\u1072?\u1087?\u1083?\u1072?\u1093?\u1080? \u1079?\u1072? \u1079?\u1076?\u1088?\u1072?\u1074?\u1077?\u1090?\u1086?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546">
      <w:bodyDiv w:val="1"/>
      <w:marLeft w:val="0"/>
      <w:marRight w:val="0"/>
      <w:marTop w:val="0"/>
      <w:marBottom w:val="0"/>
      <w:divBdr>
        <w:top w:val="none" w:sz="0" w:space="0" w:color="auto"/>
        <w:left w:val="none" w:sz="0" w:space="0" w:color="auto"/>
        <w:bottom w:val="none" w:sz="0" w:space="0" w:color="auto"/>
        <w:right w:val="none" w:sz="0" w:space="0" w:color="auto"/>
      </w:divBdr>
    </w:div>
    <w:div w:id="106706650">
      <w:bodyDiv w:val="1"/>
      <w:marLeft w:val="0"/>
      <w:marRight w:val="0"/>
      <w:marTop w:val="0"/>
      <w:marBottom w:val="0"/>
      <w:divBdr>
        <w:top w:val="none" w:sz="0" w:space="0" w:color="auto"/>
        <w:left w:val="none" w:sz="0" w:space="0" w:color="auto"/>
        <w:bottom w:val="none" w:sz="0" w:space="0" w:color="auto"/>
        <w:right w:val="none" w:sz="0" w:space="0" w:color="auto"/>
      </w:divBdr>
    </w:div>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366175641">
      <w:bodyDiv w:val="1"/>
      <w:marLeft w:val="0"/>
      <w:marRight w:val="0"/>
      <w:marTop w:val="0"/>
      <w:marBottom w:val="0"/>
      <w:divBdr>
        <w:top w:val="none" w:sz="0" w:space="0" w:color="auto"/>
        <w:left w:val="none" w:sz="0" w:space="0" w:color="auto"/>
        <w:bottom w:val="none" w:sz="0" w:space="0" w:color="auto"/>
        <w:right w:val="none" w:sz="0" w:space="0" w:color="auto"/>
      </w:divBdr>
    </w:div>
    <w:div w:id="386688903">
      <w:bodyDiv w:val="1"/>
      <w:marLeft w:val="0"/>
      <w:marRight w:val="0"/>
      <w:marTop w:val="0"/>
      <w:marBottom w:val="0"/>
      <w:divBdr>
        <w:top w:val="none" w:sz="0" w:space="0" w:color="auto"/>
        <w:left w:val="none" w:sz="0" w:space="0" w:color="auto"/>
        <w:bottom w:val="none" w:sz="0" w:space="0" w:color="auto"/>
        <w:right w:val="none" w:sz="0" w:space="0" w:color="auto"/>
      </w:divBdr>
      <w:divsChild>
        <w:div w:id="661399018">
          <w:marLeft w:val="1080"/>
          <w:marRight w:val="0"/>
          <w:marTop w:val="100"/>
          <w:marBottom w:val="360"/>
          <w:divBdr>
            <w:top w:val="none" w:sz="0" w:space="0" w:color="auto"/>
            <w:left w:val="none" w:sz="0" w:space="0" w:color="auto"/>
            <w:bottom w:val="none" w:sz="0" w:space="0" w:color="auto"/>
            <w:right w:val="none" w:sz="0" w:space="0" w:color="auto"/>
          </w:divBdr>
        </w:div>
      </w:divsChild>
    </w:div>
    <w:div w:id="457457160">
      <w:bodyDiv w:val="1"/>
      <w:marLeft w:val="0"/>
      <w:marRight w:val="0"/>
      <w:marTop w:val="0"/>
      <w:marBottom w:val="0"/>
      <w:divBdr>
        <w:top w:val="none" w:sz="0" w:space="0" w:color="auto"/>
        <w:left w:val="none" w:sz="0" w:space="0" w:color="auto"/>
        <w:bottom w:val="none" w:sz="0" w:space="0" w:color="auto"/>
        <w:right w:val="none" w:sz="0" w:space="0" w:color="auto"/>
      </w:divBdr>
    </w:div>
    <w:div w:id="477572542">
      <w:bodyDiv w:val="1"/>
      <w:marLeft w:val="0"/>
      <w:marRight w:val="0"/>
      <w:marTop w:val="0"/>
      <w:marBottom w:val="0"/>
      <w:divBdr>
        <w:top w:val="none" w:sz="0" w:space="0" w:color="auto"/>
        <w:left w:val="none" w:sz="0" w:space="0" w:color="auto"/>
        <w:bottom w:val="none" w:sz="0" w:space="0" w:color="auto"/>
        <w:right w:val="none" w:sz="0" w:space="0" w:color="auto"/>
      </w:divBdr>
      <w:divsChild>
        <w:div w:id="436559392">
          <w:marLeft w:val="1080"/>
          <w:marRight w:val="0"/>
          <w:marTop w:val="120"/>
          <w:marBottom w:val="0"/>
          <w:divBdr>
            <w:top w:val="none" w:sz="0" w:space="0" w:color="auto"/>
            <w:left w:val="none" w:sz="0" w:space="0" w:color="auto"/>
            <w:bottom w:val="none" w:sz="0" w:space="0" w:color="auto"/>
            <w:right w:val="none" w:sz="0" w:space="0" w:color="auto"/>
          </w:divBdr>
        </w:div>
      </w:divsChild>
    </w:div>
    <w:div w:id="647200651">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961418611">
      <w:bodyDiv w:val="1"/>
      <w:marLeft w:val="0"/>
      <w:marRight w:val="0"/>
      <w:marTop w:val="0"/>
      <w:marBottom w:val="0"/>
      <w:divBdr>
        <w:top w:val="none" w:sz="0" w:space="0" w:color="auto"/>
        <w:left w:val="none" w:sz="0" w:space="0" w:color="auto"/>
        <w:bottom w:val="none" w:sz="0" w:space="0" w:color="auto"/>
        <w:right w:val="none" w:sz="0" w:space="0" w:color="auto"/>
      </w:divBdr>
    </w:div>
    <w:div w:id="967393371">
      <w:bodyDiv w:val="1"/>
      <w:marLeft w:val="0"/>
      <w:marRight w:val="0"/>
      <w:marTop w:val="0"/>
      <w:marBottom w:val="0"/>
      <w:divBdr>
        <w:top w:val="none" w:sz="0" w:space="0" w:color="auto"/>
        <w:left w:val="none" w:sz="0" w:space="0" w:color="auto"/>
        <w:bottom w:val="none" w:sz="0" w:space="0" w:color="auto"/>
        <w:right w:val="none" w:sz="0" w:space="0" w:color="auto"/>
      </w:divBdr>
      <w:divsChild>
        <w:div w:id="21102703">
          <w:marLeft w:val="1080"/>
          <w:marRight w:val="0"/>
          <w:marTop w:val="100"/>
          <w:marBottom w:val="360"/>
          <w:divBdr>
            <w:top w:val="none" w:sz="0" w:space="0" w:color="auto"/>
            <w:left w:val="none" w:sz="0" w:space="0" w:color="auto"/>
            <w:bottom w:val="none" w:sz="0" w:space="0" w:color="auto"/>
            <w:right w:val="none" w:sz="0" w:space="0" w:color="auto"/>
          </w:divBdr>
        </w:div>
      </w:divsChild>
    </w:div>
    <w:div w:id="1195463565">
      <w:bodyDiv w:val="1"/>
      <w:marLeft w:val="0"/>
      <w:marRight w:val="0"/>
      <w:marTop w:val="0"/>
      <w:marBottom w:val="0"/>
      <w:divBdr>
        <w:top w:val="none" w:sz="0" w:space="0" w:color="auto"/>
        <w:left w:val="none" w:sz="0" w:space="0" w:color="auto"/>
        <w:bottom w:val="none" w:sz="0" w:space="0" w:color="auto"/>
        <w:right w:val="none" w:sz="0" w:space="0" w:color="auto"/>
      </w:divBdr>
    </w:div>
    <w:div w:id="1205555929">
      <w:bodyDiv w:val="1"/>
      <w:marLeft w:val="0"/>
      <w:marRight w:val="0"/>
      <w:marTop w:val="0"/>
      <w:marBottom w:val="0"/>
      <w:divBdr>
        <w:top w:val="none" w:sz="0" w:space="0" w:color="auto"/>
        <w:left w:val="none" w:sz="0" w:space="0" w:color="auto"/>
        <w:bottom w:val="none" w:sz="0" w:space="0" w:color="auto"/>
        <w:right w:val="none" w:sz="0" w:space="0" w:color="auto"/>
      </w:divBdr>
    </w:div>
    <w:div w:id="1249465901">
      <w:bodyDiv w:val="1"/>
      <w:marLeft w:val="0"/>
      <w:marRight w:val="0"/>
      <w:marTop w:val="0"/>
      <w:marBottom w:val="0"/>
      <w:divBdr>
        <w:top w:val="none" w:sz="0" w:space="0" w:color="auto"/>
        <w:left w:val="none" w:sz="0" w:space="0" w:color="auto"/>
        <w:bottom w:val="none" w:sz="0" w:space="0" w:color="auto"/>
        <w:right w:val="none" w:sz="0" w:space="0" w:color="auto"/>
      </w:divBdr>
    </w:div>
    <w:div w:id="1282496707">
      <w:bodyDiv w:val="1"/>
      <w:marLeft w:val="0"/>
      <w:marRight w:val="0"/>
      <w:marTop w:val="0"/>
      <w:marBottom w:val="0"/>
      <w:divBdr>
        <w:top w:val="none" w:sz="0" w:space="0" w:color="auto"/>
        <w:left w:val="none" w:sz="0" w:space="0" w:color="auto"/>
        <w:bottom w:val="none" w:sz="0" w:space="0" w:color="auto"/>
        <w:right w:val="none" w:sz="0" w:space="0" w:color="auto"/>
      </w:divBdr>
    </w:div>
    <w:div w:id="1480420927">
      <w:bodyDiv w:val="1"/>
      <w:marLeft w:val="0"/>
      <w:marRight w:val="0"/>
      <w:marTop w:val="0"/>
      <w:marBottom w:val="0"/>
      <w:divBdr>
        <w:top w:val="none" w:sz="0" w:space="0" w:color="auto"/>
        <w:left w:val="none" w:sz="0" w:space="0" w:color="auto"/>
        <w:bottom w:val="none" w:sz="0" w:space="0" w:color="auto"/>
        <w:right w:val="none" w:sz="0" w:space="0" w:color="auto"/>
      </w:divBdr>
    </w:div>
    <w:div w:id="1532844141">
      <w:bodyDiv w:val="1"/>
      <w:marLeft w:val="0"/>
      <w:marRight w:val="0"/>
      <w:marTop w:val="0"/>
      <w:marBottom w:val="0"/>
      <w:divBdr>
        <w:top w:val="none" w:sz="0" w:space="0" w:color="auto"/>
        <w:left w:val="none" w:sz="0" w:space="0" w:color="auto"/>
        <w:bottom w:val="none" w:sz="0" w:space="0" w:color="auto"/>
        <w:right w:val="none" w:sz="0" w:space="0" w:color="auto"/>
      </w:divBdr>
      <w:divsChild>
        <w:div w:id="1145778512">
          <w:marLeft w:val="360"/>
          <w:marRight w:val="0"/>
          <w:marTop w:val="0"/>
          <w:marBottom w:val="360"/>
          <w:divBdr>
            <w:top w:val="none" w:sz="0" w:space="0" w:color="auto"/>
            <w:left w:val="none" w:sz="0" w:space="0" w:color="auto"/>
            <w:bottom w:val="none" w:sz="0" w:space="0" w:color="auto"/>
            <w:right w:val="none" w:sz="0" w:space="0" w:color="auto"/>
          </w:divBdr>
        </w:div>
        <w:div w:id="1203790565">
          <w:marLeft w:val="1080"/>
          <w:marRight w:val="0"/>
          <w:marTop w:val="100"/>
          <w:marBottom w:val="360"/>
          <w:divBdr>
            <w:top w:val="none" w:sz="0" w:space="0" w:color="auto"/>
            <w:left w:val="none" w:sz="0" w:space="0" w:color="auto"/>
            <w:bottom w:val="none" w:sz="0" w:space="0" w:color="auto"/>
            <w:right w:val="none" w:sz="0" w:space="0" w:color="auto"/>
          </w:divBdr>
        </w:div>
        <w:div w:id="1963922045">
          <w:marLeft w:val="1080"/>
          <w:marRight w:val="0"/>
          <w:marTop w:val="100"/>
          <w:marBottom w:val="360"/>
          <w:divBdr>
            <w:top w:val="none" w:sz="0" w:space="0" w:color="auto"/>
            <w:left w:val="none" w:sz="0" w:space="0" w:color="auto"/>
            <w:bottom w:val="none" w:sz="0" w:space="0" w:color="auto"/>
            <w:right w:val="none" w:sz="0" w:space="0" w:color="auto"/>
          </w:divBdr>
        </w:div>
      </w:divsChild>
    </w:div>
    <w:div w:id="1596134150">
      <w:bodyDiv w:val="1"/>
      <w:marLeft w:val="0"/>
      <w:marRight w:val="0"/>
      <w:marTop w:val="0"/>
      <w:marBottom w:val="0"/>
      <w:divBdr>
        <w:top w:val="none" w:sz="0" w:space="0" w:color="auto"/>
        <w:left w:val="none" w:sz="0" w:space="0" w:color="auto"/>
        <w:bottom w:val="none" w:sz="0" w:space="0" w:color="auto"/>
        <w:right w:val="none" w:sz="0" w:space="0" w:color="auto"/>
      </w:divBdr>
    </w:div>
    <w:div w:id="1685789188">
      <w:bodyDiv w:val="1"/>
      <w:marLeft w:val="0"/>
      <w:marRight w:val="0"/>
      <w:marTop w:val="0"/>
      <w:marBottom w:val="0"/>
      <w:divBdr>
        <w:top w:val="none" w:sz="0" w:space="0" w:color="auto"/>
        <w:left w:val="none" w:sz="0" w:space="0" w:color="auto"/>
        <w:bottom w:val="none" w:sz="0" w:space="0" w:color="auto"/>
        <w:right w:val="none" w:sz="0" w:space="0" w:color="auto"/>
      </w:divBdr>
    </w:div>
    <w:div w:id="1708289244">
      <w:bodyDiv w:val="1"/>
      <w:marLeft w:val="0"/>
      <w:marRight w:val="0"/>
      <w:marTop w:val="0"/>
      <w:marBottom w:val="0"/>
      <w:divBdr>
        <w:top w:val="none" w:sz="0" w:space="0" w:color="auto"/>
        <w:left w:val="none" w:sz="0" w:space="0" w:color="auto"/>
        <w:bottom w:val="none" w:sz="0" w:space="0" w:color="auto"/>
        <w:right w:val="none" w:sz="0" w:space="0" w:color="auto"/>
      </w:divBdr>
    </w:div>
    <w:div w:id="1827941386">
      <w:bodyDiv w:val="1"/>
      <w:marLeft w:val="0"/>
      <w:marRight w:val="0"/>
      <w:marTop w:val="0"/>
      <w:marBottom w:val="0"/>
      <w:divBdr>
        <w:top w:val="none" w:sz="0" w:space="0" w:color="auto"/>
        <w:left w:val="none" w:sz="0" w:space="0" w:color="auto"/>
        <w:bottom w:val="none" w:sz="0" w:space="0" w:color="auto"/>
        <w:right w:val="none" w:sz="0" w:space="0" w:color="auto"/>
      </w:divBdr>
      <w:divsChild>
        <w:div w:id="1947617738">
          <w:marLeft w:val="1080"/>
          <w:marRight w:val="0"/>
          <w:marTop w:val="120"/>
          <w:marBottom w:val="0"/>
          <w:divBdr>
            <w:top w:val="none" w:sz="0" w:space="0" w:color="auto"/>
            <w:left w:val="none" w:sz="0" w:space="0" w:color="auto"/>
            <w:bottom w:val="none" w:sz="0" w:space="0" w:color="auto"/>
            <w:right w:val="none" w:sz="0" w:space="0" w:color="auto"/>
          </w:divBdr>
        </w:div>
      </w:divsChild>
    </w:div>
    <w:div w:id="1844859830">
      <w:bodyDiv w:val="1"/>
      <w:marLeft w:val="0"/>
      <w:marRight w:val="0"/>
      <w:marTop w:val="0"/>
      <w:marBottom w:val="0"/>
      <w:divBdr>
        <w:top w:val="none" w:sz="0" w:space="0" w:color="auto"/>
        <w:left w:val="none" w:sz="0" w:space="0" w:color="auto"/>
        <w:bottom w:val="none" w:sz="0" w:space="0" w:color="auto"/>
        <w:right w:val="none" w:sz="0" w:space="0" w:color="auto"/>
      </w:divBdr>
    </w:div>
    <w:div w:id="1845167041">
      <w:bodyDiv w:val="1"/>
      <w:marLeft w:val="0"/>
      <w:marRight w:val="0"/>
      <w:marTop w:val="0"/>
      <w:marBottom w:val="0"/>
      <w:divBdr>
        <w:top w:val="none" w:sz="0" w:space="0" w:color="auto"/>
        <w:left w:val="none" w:sz="0" w:space="0" w:color="auto"/>
        <w:bottom w:val="none" w:sz="0" w:space="0" w:color="auto"/>
        <w:right w:val="none" w:sz="0" w:space="0" w:color="auto"/>
      </w:divBdr>
      <w:divsChild>
        <w:div w:id="306935342">
          <w:marLeft w:val="1080"/>
          <w:marRight w:val="0"/>
          <w:marTop w:val="100"/>
          <w:marBottom w:val="360"/>
          <w:divBdr>
            <w:top w:val="none" w:sz="0" w:space="0" w:color="auto"/>
            <w:left w:val="none" w:sz="0" w:space="0" w:color="auto"/>
            <w:bottom w:val="none" w:sz="0" w:space="0" w:color="auto"/>
            <w:right w:val="none" w:sz="0" w:space="0" w:color="auto"/>
          </w:divBdr>
        </w:div>
      </w:divsChild>
    </w:div>
    <w:div w:id="1874615264">
      <w:bodyDiv w:val="1"/>
      <w:marLeft w:val="0"/>
      <w:marRight w:val="0"/>
      <w:marTop w:val="0"/>
      <w:marBottom w:val="0"/>
      <w:divBdr>
        <w:top w:val="none" w:sz="0" w:space="0" w:color="auto"/>
        <w:left w:val="none" w:sz="0" w:space="0" w:color="auto"/>
        <w:bottom w:val="none" w:sz="0" w:space="0" w:color="auto"/>
        <w:right w:val="none" w:sz="0" w:space="0" w:color="auto"/>
      </w:divBdr>
      <w:divsChild>
        <w:div w:id="944650137">
          <w:marLeft w:val="1080"/>
          <w:marRight w:val="0"/>
          <w:marTop w:val="100"/>
          <w:marBottom w:val="360"/>
          <w:divBdr>
            <w:top w:val="none" w:sz="0" w:space="0" w:color="auto"/>
            <w:left w:val="none" w:sz="0" w:space="0" w:color="auto"/>
            <w:bottom w:val="none" w:sz="0" w:space="0" w:color="auto"/>
            <w:right w:val="none" w:sz="0" w:space="0" w:color="auto"/>
          </w:divBdr>
        </w:div>
      </w:divsChild>
    </w:div>
    <w:div w:id="1907493062">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 w:id="1951432189">
      <w:bodyDiv w:val="1"/>
      <w:marLeft w:val="0"/>
      <w:marRight w:val="0"/>
      <w:marTop w:val="0"/>
      <w:marBottom w:val="0"/>
      <w:divBdr>
        <w:top w:val="none" w:sz="0" w:space="0" w:color="auto"/>
        <w:left w:val="none" w:sz="0" w:space="0" w:color="auto"/>
        <w:bottom w:val="none" w:sz="0" w:space="0" w:color="auto"/>
        <w:right w:val="none" w:sz="0" w:space="0" w:color="auto"/>
      </w:divBdr>
    </w:div>
    <w:div w:id="2064018253">
      <w:bodyDiv w:val="1"/>
      <w:marLeft w:val="0"/>
      <w:marRight w:val="0"/>
      <w:marTop w:val="0"/>
      <w:marBottom w:val="0"/>
      <w:divBdr>
        <w:top w:val="none" w:sz="0" w:space="0" w:color="auto"/>
        <w:left w:val="none" w:sz="0" w:space="0" w:color="auto"/>
        <w:bottom w:val="none" w:sz="0" w:space="0" w:color="auto"/>
        <w:right w:val="none" w:sz="0" w:space="0" w:color="auto"/>
      </w:divBdr>
    </w:div>
    <w:div w:id="2113013968">
      <w:bodyDiv w:val="1"/>
      <w:marLeft w:val="0"/>
      <w:marRight w:val="0"/>
      <w:marTop w:val="0"/>
      <w:marBottom w:val="0"/>
      <w:divBdr>
        <w:top w:val="none" w:sz="0" w:space="0" w:color="auto"/>
        <w:left w:val="none" w:sz="0" w:space="0" w:color="auto"/>
        <w:bottom w:val="none" w:sz="0" w:space="0" w:color="auto"/>
        <w:right w:val="none" w:sz="0" w:space="0" w:color="auto"/>
      </w:divBdr>
      <w:divsChild>
        <w:div w:id="1466464815">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strategy/priorities-2019-2024/economy-works-people/deeper-and-fairer-economic-and-monetary-union/european-pillar-social-rights_b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s:/ipbes.net/pandemics__;!!DOxrgLBm!VShqTB0g9ju7xNNWYDv2D4tCtl4rju_Ktthz7cUQwUdW665_2Vc8rMZbXKODegb9KO6OpCo$" TargetMode="External"/><Relationship Id="rId2" Type="http://schemas.openxmlformats.org/officeDocument/2006/relationships/hyperlink" Target="https://www.weforum.org/agenda/2020/03/coronavirus-global-epidemics-health-pandemic-covid-19/" TargetMode="External"/><Relationship Id="rId1" Type="http://schemas.openxmlformats.org/officeDocument/2006/relationships/hyperlink" Target="https://www.ecdc.europa.eu/en/covid-19/situation-updates" TargetMode="External"/><Relationship Id="rId4" Type="http://schemas.openxmlformats.org/officeDocument/2006/relationships/hyperlink" Target="https://www.ema.europa.eu/en/glossary/scientific-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4C63C7-7DBD-4BD3-9AB7-EE812F8C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9457</Words>
  <Characters>55328</Characters>
  <Application>Microsoft Office Word</Application>
  <DocSecurity>0</DocSecurity>
  <Lines>1024</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2020-11-13T15:03:00Z</dcterms:created>
  <dcterms:modified xsi:type="dcterms:W3CDTF">2020-11-16T18:45:00Z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