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4C18AA7D-9F0F-4773-B4AA-65E251FFBBDA" style="width:450.75pt;height:293.25pt">
            <v:imagedata r:id="rId9" o:title=""/>
          </v:shape>
        </w:pict>
      </w:r>
    </w:p>
    <w:bookmarkEnd w:id="0"/>
    <w:p>
      <w:pPr>
        <w:rPr>
          <w:noProof/>
          <w:lang w:val="en-US"/>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bookmarkStart w:id="1" w:name="_GoBack" w:displacedByCustomXml="next"/>
    <w:bookmarkEnd w:id="1" w:displacedByCustomXml="next"/>
    <w:sdt>
      <w:sdtPr>
        <w:rPr>
          <w:rFonts w:ascii="Times New Roman" w:eastAsia="Calibri" w:hAnsi="Times New Roman"/>
          <w:b w:val="0"/>
          <w:bCs w:val="0"/>
          <w:noProof/>
          <w:color w:val="auto"/>
          <w:sz w:val="24"/>
          <w:szCs w:val="24"/>
          <w:lang w:eastAsia="en-US"/>
        </w:rPr>
        <w:id w:val="-1133089857"/>
        <w:docPartObj>
          <w:docPartGallery w:val="Table of Contents"/>
          <w:docPartUnique/>
        </w:docPartObj>
      </w:sdtPr>
      <w:sdtContent>
        <w:p>
          <w:pPr>
            <w:pStyle w:val="TOCHeading"/>
            <w:rPr>
              <w:rFonts w:ascii="Times New Roman" w:hAnsi="Times New Roman"/>
              <w:noProof/>
              <w:color w:val="auto"/>
              <w:sz w:val="24"/>
              <w:szCs w:val="24"/>
            </w:rPr>
          </w:pPr>
          <w:r>
            <w:rPr>
              <w:rFonts w:ascii="Times New Roman" w:hAnsi="Times New Roman"/>
              <w:noProof/>
              <w:color w:val="auto"/>
              <w:sz w:val="24"/>
              <w:szCs w:val="24"/>
            </w:rPr>
            <w:t>Съдържание</w:t>
          </w:r>
        </w:p>
        <w:p>
          <w:pPr>
            <w:pStyle w:val="TOC1"/>
            <w:rPr>
              <w:rFonts w:ascii="Times New Roman" w:eastAsiaTheme="minorEastAsia" w:hAnsi="Times New Roman"/>
              <w:noProof/>
              <w:sz w:val="24"/>
              <w:szCs w:val="24"/>
              <w:lang w:val="en-US"/>
            </w:rPr>
          </w:pPr>
          <w:r>
            <w:rPr>
              <w:rFonts w:ascii="Times New Roman" w:hAnsi="Times New Roman"/>
              <w:b/>
              <w:bCs/>
              <w:noProof/>
              <w:sz w:val="24"/>
              <w:szCs w:val="24"/>
            </w:rPr>
            <w:fldChar w:fldCharType="begin"/>
          </w:r>
          <w:r>
            <w:rPr>
              <w:rFonts w:ascii="Times New Roman" w:hAnsi="Times New Roman"/>
              <w:b/>
              <w:bCs/>
              <w:noProof/>
              <w:sz w:val="24"/>
              <w:szCs w:val="24"/>
            </w:rPr>
            <w:instrText xml:space="preserve"> TOC \o "1-5" \h \z \u </w:instrText>
          </w:r>
          <w:r>
            <w:rPr>
              <w:rFonts w:ascii="Times New Roman" w:hAnsi="Times New Roman"/>
              <w:b/>
              <w:bCs/>
              <w:noProof/>
              <w:sz w:val="24"/>
              <w:szCs w:val="24"/>
            </w:rPr>
            <w:fldChar w:fldCharType="separate"/>
          </w:r>
          <w:hyperlink w:anchor="_Toc56071825" w:history="1">
            <w:r>
              <w:rPr>
                <w:rStyle w:val="Hyperlink"/>
                <w:rFonts w:ascii="Times New Roman" w:hAnsi="Times New Roman"/>
                <w:noProof/>
                <w:sz w:val="24"/>
                <w:szCs w:val="24"/>
              </w:rPr>
              <w:t>Списък на акронимите и съкращенията</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_Toc56071825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2</w:t>
            </w:r>
            <w:r>
              <w:rPr>
                <w:rFonts w:ascii="Times New Roman" w:hAnsi="Times New Roman"/>
                <w:noProof/>
                <w:webHidden/>
                <w:sz w:val="24"/>
                <w:szCs w:val="24"/>
              </w:rPr>
              <w:fldChar w:fldCharType="end"/>
            </w:r>
          </w:hyperlink>
        </w:p>
        <w:p>
          <w:pPr>
            <w:pStyle w:val="TOC1"/>
            <w:rPr>
              <w:rFonts w:ascii="Times New Roman" w:eastAsiaTheme="minorEastAsia" w:hAnsi="Times New Roman"/>
              <w:noProof/>
              <w:sz w:val="24"/>
              <w:szCs w:val="24"/>
              <w:lang w:val="en-US"/>
            </w:rPr>
          </w:pPr>
          <w:hyperlink w:anchor="_Toc56071826" w:history="1">
            <w:r>
              <w:rPr>
                <w:rStyle w:val="Hyperlink"/>
                <w:rFonts w:ascii="Times New Roman" w:hAnsi="Times New Roman"/>
                <w:noProof/>
                <w:sz w:val="24"/>
                <w:szCs w:val="24"/>
              </w:rPr>
              <w:t>1. ВЪВЕДЕНИЕ</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_Toc56071826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4</w:t>
            </w:r>
            <w:r>
              <w:rPr>
                <w:rFonts w:ascii="Times New Roman" w:hAnsi="Times New Roman"/>
                <w:noProof/>
                <w:webHidden/>
                <w:sz w:val="24"/>
                <w:szCs w:val="24"/>
              </w:rPr>
              <w:fldChar w:fldCharType="end"/>
            </w:r>
          </w:hyperlink>
        </w:p>
        <w:p>
          <w:pPr>
            <w:pStyle w:val="TOC1"/>
            <w:rPr>
              <w:rFonts w:ascii="Times New Roman" w:eastAsiaTheme="minorEastAsia" w:hAnsi="Times New Roman"/>
              <w:noProof/>
              <w:sz w:val="24"/>
              <w:szCs w:val="24"/>
              <w:lang w:val="en-US"/>
            </w:rPr>
          </w:pPr>
          <w:hyperlink w:anchor="_Toc56071827" w:history="1">
            <w:r>
              <w:rPr>
                <w:rStyle w:val="Hyperlink"/>
                <w:rFonts w:ascii="Times New Roman" w:hAnsi="Times New Roman"/>
                <w:noProof/>
                <w:sz w:val="24"/>
                <w:szCs w:val="24"/>
              </w:rPr>
              <w:t>2. ИНФРАСТРУКТУРА НА СТЕ НА ЕС</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_Toc56071827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6</w:t>
            </w:r>
            <w:r>
              <w:rPr>
                <w:rFonts w:ascii="Times New Roman" w:hAnsi="Times New Roman"/>
                <w:noProof/>
                <w:webHidden/>
                <w:sz w:val="24"/>
                <w:szCs w:val="24"/>
              </w:rPr>
              <w:fldChar w:fldCharType="end"/>
            </w:r>
          </w:hyperlink>
        </w:p>
        <w:p>
          <w:pPr>
            <w:pStyle w:val="TOC1"/>
            <w:rPr>
              <w:rFonts w:ascii="Times New Roman" w:eastAsiaTheme="minorEastAsia" w:hAnsi="Times New Roman"/>
              <w:noProof/>
              <w:sz w:val="24"/>
              <w:szCs w:val="24"/>
              <w:lang w:val="en-US"/>
            </w:rPr>
          </w:pPr>
          <w:hyperlink w:anchor="_Toc56071828" w:history="1">
            <w:r>
              <w:rPr>
                <w:rStyle w:val="Hyperlink"/>
                <w:rFonts w:ascii="Times New Roman" w:hAnsi="Times New Roman"/>
                <w:noProof/>
                <w:sz w:val="24"/>
                <w:szCs w:val="24"/>
              </w:rPr>
              <w:t>2.2 Регистър на ЕС и Дневник на ЕС за транзакциите (EUTL)</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_Toc56071828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10</w:t>
            </w:r>
            <w:r>
              <w:rPr>
                <w:rFonts w:ascii="Times New Roman" w:hAnsi="Times New Roman"/>
                <w:noProof/>
                <w:webHidden/>
                <w:sz w:val="24"/>
                <w:szCs w:val="24"/>
              </w:rPr>
              <w:fldChar w:fldCharType="end"/>
            </w:r>
          </w:hyperlink>
        </w:p>
        <w:p>
          <w:pPr>
            <w:pStyle w:val="TOC1"/>
            <w:rPr>
              <w:rFonts w:ascii="Times New Roman" w:eastAsiaTheme="minorEastAsia" w:hAnsi="Times New Roman"/>
              <w:noProof/>
              <w:sz w:val="24"/>
              <w:szCs w:val="24"/>
              <w:lang w:val="en-US"/>
            </w:rPr>
          </w:pPr>
          <w:hyperlink w:anchor="_Toc56071829" w:history="1">
            <w:r>
              <w:rPr>
                <w:rStyle w:val="Hyperlink"/>
                <w:rFonts w:ascii="Times New Roman" w:hAnsi="Times New Roman"/>
                <w:noProof/>
                <w:sz w:val="24"/>
                <w:szCs w:val="24"/>
              </w:rPr>
              <w:t>3. ФУНКЦИОНИРАНЕ НА ПАЗАРА НА ВЪГЛЕРОДНИ ЕМИСИИ ПРЕЗ 2019 Г.</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_Toc56071829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11</w:t>
            </w:r>
            <w:r>
              <w:rPr>
                <w:rFonts w:ascii="Times New Roman" w:hAnsi="Times New Roman"/>
                <w:noProof/>
                <w:webHidden/>
                <w:sz w:val="24"/>
                <w:szCs w:val="24"/>
              </w:rPr>
              <w:fldChar w:fldCharType="end"/>
            </w:r>
          </w:hyperlink>
        </w:p>
        <w:p>
          <w:pPr>
            <w:pStyle w:val="TOC2"/>
            <w:tabs>
              <w:tab w:val="right" w:leader="dot" w:pos="9016"/>
            </w:tabs>
            <w:rPr>
              <w:rFonts w:ascii="Times New Roman" w:eastAsiaTheme="minorEastAsia" w:hAnsi="Times New Roman"/>
              <w:noProof/>
              <w:sz w:val="24"/>
              <w:szCs w:val="24"/>
              <w:lang w:val="en-US"/>
            </w:rPr>
          </w:pPr>
          <w:hyperlink w:anchor="_Toc56071830" w:history="1">
            <w:r>
              <w:rPr>
                <w:rStyle w:val="Hyperlink"/>
                <w:rFonts w:ascii="Times New Roman" w:hAnsi="Times New Roman"/>
                <w:noProof/>
                <w:sz w:val="24"/>
                <w:szCs w:val="24"/>
              </w:rPr>
              <w:t>3.1. Предлагане: квоти, пуснати в обращение</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_Toc56071830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12</w:t>
            </w:r>
            <w:r>
              <w:rPr>
                <w:rFonts w:ascii="Times New Roman" w:hAnsi="Times New Roman"/>
                <w:noProof/>
                <w:webHidden/>
                <w:sz w:val="24"/>
                <w:szCs w:val="24"/>
              </w:rPr>
              <w:fldChar w:fldCharType="end"/>
            </w:r>
          </w:hyperlink>
        </w:p>
        <w:p>
          <w:pPr>
            <w:pStyle w:val="TOC3"/>
            <w:tabs>
              <w:tab w:val="right" w:leader="dot" w:pos="9016"/>
            </w:tabs>
            <w:rPr>
              <w:rFonts w:ascii="Times New Roman" w:eastAsiaTheme="minorEastAsia" w:hAnsi="Times New Roman"/>
              <w:noProof/>
              <w:sz w:val="24"/>
              <w:szCs w:val="24"/>
              <w:lang w:val="en-US"/>
            </w:rPr>
          </w:pPr>
          <w:hyperlink w:anchor="_Toc56071831" w:history="1">
            <w:r>
              <w:rPr>
                <w:rStyle w:val="Hyperlink"/>
                <w:rFonts w:ascii="Times New Roman" w:hAnsi="Times New Roman"/>
                <w:noProof/>
                <w:sz w:val="24"/>
                <w:szCs w:val="24"/>
              </w:rPr>
              <w:t>3.1.1. Лимит</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_Toc56071831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12</w:t>
            </w:r>
            <w:r>
              <w:rPr>
                <w:rFonts w:ascii="Times New Roman" w:hAnsi="Times New Roman"/>
                <w:noProof/>
                <w:webHidden/>
                <w:sz w:val="24"/>
                <w:szCs w:val="24"/>
              </w:rPr>
              <w:fldChar w:fldCharType="end"/>
            </w:r>
          </w:hyperlink>
        </w:p>
        <w:p>
          <w:pPr>
            <w:pStyle w:val="TOC3"/>
            <w:tabs>
              <w:tab w:val="right" w:leader="dot" w:pos="9016"/>
            </w:tabs>
            <w:rPr>
              <w:rFonts w:ascii="Times New Roman" w:eastAsiaTheme="minorEastAsia" w:hAnsi="Times New Roman"/>
              <w:noProof/>
              <w:sz w:val="24"/>
              <w:szCs w:val="24"/>
              <w:lang w:val="en-US"/>
            </w:rPr>
          </w:pPr>
          <w:hyperlink w:anchor="_Toc56071832" w:history="1">
            <w:r>
              <w:rPr>
                <w:rStyle w:val="Hyperlink"/>
                <w:rFonts w:ascii="Times New Roman" w:hAnsi="Times New Roman"/>
                <w:noProof/>
                <w:sz w:val="24"/>
                <w:szCs w:val="24"/>
              </w:rPr>
              <w:t>3.1.2. Издадени квоти</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_Toc56071832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15</w:t>
            </w:r>
            <w:r>
              <w:rPr>
                <w:rFonts w:ascii="Times New Roman" w:hAnsi="Times New Roman"/>
                <w:noProof/>
                <w:webHidden/>
                <w:sz w:val="24"/>
                <w:szCs w:val="24"/>
              </w:rPr>
              <w:fldChar w:fldCharType="end"/>
            </w:r>
          </w:hyperlink>
        </w:p>
        <w:p>
          <w:pPr>
            <w:pStyle w:val="TOC4"/>
            <w:tabs>
              <w:tab w:val="right" w:leader="dot" w:pos="9016"/>
            </w:tabs>
            <w:rPr>
              <w:rFonts w:ascii="Times New Roman" w:eastAsiaTheme="minorEastAsia" w:hAnsi="Times New Roman"/>
              <w:noProof/>
              <w:sz w:val="24"/>
              <w:szCs w:val="24"/>
              <w:lang w:val="en-US"/>
            </w:rPr>
          </w:pPr>
          <w:hyperlink w:anchor="_Toc56071833" w:history="1">
            <w:r>
              <w:rPr>
                <w:rStyle w:val="Hyperlink"/>
                <w:rFonts w:ascii="Times New Roman" w:hAnsi="Times New Roman"/>
                <w:noProof/>
                <w:sz w:val="24"/>
                <w:szCs w:val="24"/>
              </w:rPr>
              <w:t>3.1.2.1. Безплатно разпределение на квоти</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_Toc56071833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15</w:t>
            </w:r>
            <w:r>
              <w:rPr>
                <w:rFonts w:ascii="Times New Roman" w:hAnsi="Times New Roman"/>
                <w:noProof/>
                <w:webHidden/>
                <w:sz w:val="24"/>
                <w:szCs w:val="24"/>
              </w:rPr>
              <w:fldChar w:fldCharType="end"/>
            </w:r>
          </w:hyperlink>
        </w:p>
        <w:p>
          <w:pPr>
            <w:pStyle w:val="TOC4"/>
            <w:tabs>
              <w:tab w:val="right" w:leader="dot" w:pos="9016"/>
            </w:tabs>
            <w:rPr>
              <w:rFonts w:ascii="Times New Roman" w:eastAsiaTheme="minorEastAsia" w:hAnsi="Times New Roman"/>
              <w:noProof/>
              <w:sz w:val="24"/>
              <w:szCs w:val="24"/>
              <w:lang w:val="en-US"/>
            </w:rPr>
          </w:pPr>
          <w:hyperlink w:anchor="_Toc56071834" w:history="1">
            <w:r>
              <w:rPr>
                <w:rStyle w:val="Hyperlink"/>
                <w:rFonts w:ascii="Times New Roman" w:hAnsi="Times New Roman"/>
                <w:bCs/>
                <w:noProof/>
                <w:sz w:val="24"/>
                <w:szCs w:val="24"/>
              </w:rPr>
              <w:t>3.1.2.2. Тръжна продажба на квоти</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_Toc56071834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17</w:t>
            </w:r>
            <w:r>
              <w:rPr>
                <w:rFonts w:ascii="Times New Roman" w:hAnsi="Times New Roman"/>
                <w:noProof/>
                <w:webHidden/>
                <w:sz w:val="24"/>
                <w:szCs w:val="24"/>
              </w:rPr>
              <w:fldChar w:fldCharType="end"/>
            </w:r>
          </w:hyperlink>
        </w:p>
        <w:p>
          <w:pPr>
            <w:pStyle w:val="TOC4"/>
            <w:tabs>
              <w:tab w:val="right" w:leader="dot" w:pos="9016"/>
            </w:tabs>
            <w:rPr>
              <w:rFonts w:ascii="Times New Roman" w:eastAsiaTheme="minorEastAsia" w:hAnsi="Times New Roman"/>
              <w:noProof/>
              <w:sz w:val="24"/>
              <w:szCs w:val="24"/>
              <w:lang w:val="en-US"/>
            </w:rPr>
          </w:pPr>
          <w:hyperlink w:anchor="_Toc56071835" w:history="1">
            <w:r>
              <w:rPr>
                <w:rStyle w:val="Hyperlink"/>
                <w:rFonts w:ascii="Times New Roman" w:hAnsi="Times New Roman"/>
                <w:noProof/>
                <w:sz w:val="24"/>
                <w:szCs w:val="24"/>
              </w:rPr>
              <w:t>3.1.2.3. Дерогация от задължението за тръжна продажба на всички квоти за сектора за производство на електрическа и топлинна енергия</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_Toc56071835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21</w:t>
            </w:r>
            <w:r>
              <w:rPr>
                <w:rFonts w:ascii="Times New Roman" w:hAnsi="Times New Roman"/>
                <w:noProof/>
                <w:webHidden/>
                <w:sz w:val="24"/>
                <w:szCs w:val="24"/>
              </w:rPr>
              <w:fldChar w:fldCharType="end"/>
            </w:r>
          </w:hyperlink>
        </w:p>
        <w:p>
          <w:pPr>
            <w:pStyle w:val="TOC4"/>
            <w:tabs>
              <w:tab w:val="right" w:leader="dot" w:pos="9016"/>
            </w:tabs>
            <w:rPr>
              <w:rFonts w:ascii="Times New Roman" w:eastAsiaTheme="minorEastAsia" w:hAnsi="Times New Roman"/>
              <w:noProof/>
              <w:sz w:val="24"/>
              <w:szCs w:val="24"/>
              <w:lang w:val="en-US"/>
            </w:rPr>
          </w:pPr>
          <w:hyperlink w:anchor="_Toc56071836" w:history="1">
            <w:r>
              <w:rPr>
                <w:rStyle w:val="Hyperlink"/>
                <w:rFonts w:ascii="Times New Roman" w:hAnsi="Times New Roman"/>
                <w:noProof/>
                <w:sz w:val="24"/>
                <w:szCs w:val="24"/>
              </w:rPr>
              <w:t>3.1.2.4. Програма NER 300</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_Toc56071836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24</w:t>
            </w:r>
            <w:r>
              <w:rPr>
                <w:rFonts w:ascii="Times New Roman" w:hAnsi="Times New Roman"/>
                <w:noProof/>
                <w:webHidden/>
                <w:sz w:val="24"/>
                <w:szCs w:val="24"/>
              </w:rPr>
              <w:fldChar w:fldCharType="end"/>
            </w:r>
          </w:hyperlink>
        </w:p>
        <w:p>
          <w:pPr>
            <w:pStyle w:val="TOC4"/>
            <w:tabs>
              <w:tab w:val="right" w:leader="dot" w:pos="9016"/>
            </w:tabs>
            <w:rPr>
              <w:rFonts w:ascii="Times New Roman" w:eastAsiaTheme="minorEastAsia" w:hAnsi="Times New Roman"/>
              <w:noProof/>
              <w:sz w:val="24"/>
              <w:szCs w:val="24"/>
              <w:lang w:val="en-US"/>
            </w:rPr>
          </w:pPr>
          <w:hyperlink w:anchor="_Toc56071837" w:history="1">
            <w:r>
              <w:rPr>
                <w:rStyle w:val="Hyperlink"/>
                <w:rFonts w:ascii="Times New Roman" w:hAnsi="Times New Roman"/>
                <w:noProof/>
                <w:sz w:val="24"/>
                <w:szCs w:val="24"/>
              </w:rPr>
              <w:t>3.1.2.5. Фонд за иновации</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_Toc56071837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26</w:t>
            </w:r>
            <w:r>
              <w:rPr>
                <w:rFonts w:ascii="Times New Roman" w:hAnsi="Times New Roman"/>
                <w:noProof/>
                <w:webHidden/>
                <w:sz w:val="24"/>
                <w:szCs w:val="24"/>
              </w:rPr>
              <w:fldChar w:fldCharType="end"/>
            </w:r>
          </w:hyperlink>
        </w:p>
        <w:p>
          <w:pPr>
            <w:pStyle w:val="TOC4"/>
            <w:tabs>
              <w:tab w:val="right" w:leader="dot" w:pos="9016"/>
            </w:tabs>
            <w:rPr>
              <w:rFonts w:ascii="Times New Roman" w:eastAsiaTheme="minorEastAsia" w:hAnsi="Times New Roman"/>
              <w:noProof/>
              <w:sz w:val="24"/>
              <w:szCs w:val="24"/>
              <w:lang w:val="en-US"/>
            </w:rPr>
          </w:pPr>
          <w:hyperlink w:anchor="_Toc56071838" w:history="1">
            <w:r>
              <w:rPr>
                <w:rStyle w:val="Hyperlink"/>
                <w:rFonts w:ascii="Times New Roman" w:hAnsi="Times New Roman"/>
                <w:noProof/>
                <w:sz w:val="24"/>
                <w:szCs w:val="24"/>
              </w:rPr>
              <w:t>3.1.2.6. Модернизационен фонд</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_Toc56071838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27</w:t>
            </w:r>
            <w:r>
              <w:rPr>
                <w:rFonts w:ascii="Times New Roman" w:hAnsi="Times New Roman"/>
                <w:noProof/>
                <w:webHidden/>
                <w:sz w:val="24"/>
                <w:szCs w:val="24"/>
              </w:rPr>
              <w:fldChar w:fldCharType="end"/>
            </w:r>
          </w:hyperlink>
        </w:p>
        <w:p>
          <w:pPr>
            <w:pStyle w:val="TOC4"/>
            <w:tabs>
              <w:tab w:val="right" w:leader="dot" w:pos="9016"/>
            </w:tabs>
            <w:rPr>
              <w:rFonts w:ascii="Times New Roman" w:eastAsiaTheme="minorEastAsia" w:hAnsi="Times New Roman"/>
              <w:noProof/>
              <w:sz w:val="24"/>
              <w:szCs w:val="24"/>
              <w:lang w:val="en-US"/>
            </w:rPr>
          </w:pPr>
          <w:hyperlink w:anchor="_Toc56071839" w:history="1">
            <w:r>
              <w:rPr>
                <w:rStyle w:val="Hyperlink"/>
                <w:rFonts w:ascii="Times New Roman" w:hAnsi="Times New Roman"/>
                <w:noProof/>
                <w:sz w:val="24"/>
                <w:szCs w:val="24"/>
              </w:rPr>
              <w:t>3.1.2.7. Компенсиране на непреките разходи за ограничаване на въглеродните емисии</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_Toc56071839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28</w:t>
            </w:r>
            <w:r>
              <w:rPr>
                <w:rFonts w:ascii="Times New Roman" w:hAnsi="Times New Roman"/>
                <w:noProof/>
                <w:webHidden/>
                <w:sz w:val="24"/>
                <w:szCs w:val="24"/>
              </w:rPr>
              <w:fldChar w:fldCharType="end"/>
            </w:r>
          </w:hyperlink>
        </w:p>
        <w:p>
          <w:pPr>
            <w:pStyle w:val="TOC3"/>
            <w:tabs>
              <w:tab w:val="right" w:leader="dot" w:pos="9016"/>
            </w:tabs>
            <w:rPr>
              <w:rFonts w:ascii="Times New Roman" w:eastAsiaTheme="minorEastAsia" w:hAnsi="Times New Roman"/>
              <w:noProof/>
              <w:sz w:val="24"/>
              <w:szCs w:val="24"/>
              <w:lang w:val="en-US"/>
            </w:rPr>
          </w:pPr>
          <w:hyperlink w:anchor="_Toc56071840" w:history="1">
            <w:r>
              <w:rPr>
                <w:rStyle w:val="Hyperlink"/>
                <w:rFonts w:ascii="Times New Roman" w:hAnsi="Times New Roman"/>
                <w:noProof/>
                <w:sz w:val="24"/>
                <w:szCs w:val="24"/>
              </w:rPr>
              <w:t>3.1.3. Международни кредити</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_Toc56071840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30</w:t>
            </w:r>
            <w:r>
              <w:rPr>
                <w:rFonts w:ascii="Times New Roman" w:hAnsi="Times New Roman"/>
                <w:noProof/>
                <w:webHidden/>
                <w:sz w:val="24"/>
                <w:szCs w:val="24"/>
              </w:rPr>
              <w:fldChar w:fldCharType="end"/>
            </w:r>
          </w:hyperlink>
        </w:p>
        <w:p>
          <w:pPr>
            <w:pStyle w:val="TOC2"/>
            <w:tabs>
              <w:tab w:val="right" w:leader="dot" w:pos="9016"/>
            </w:tabs>
            <w:rPr>
              <w:rFonts w:ascii="Times New Roman" w:eastAsiaTheme="minorEastAsia" w:hAnsi="Times New Roman"/>
              <w:noProof/>
              <w:sz w:val="24"/>
              <w:szCs w:val="24"/>
              <w:lang w:val="en-US"/>
            </w:rPr>
          </w:pPr>
          <w:hyperlink w:anchor="_Toc56071841" w:history="1">
            <w:r>
              <w:rPr>
                <w:rStyle w:val="Hyperlink"/>
                <w:rFonts w:ascii="Times New Roman" w:hAnsi="Times New Roman"/>
                <w:noProof/>
                <w:sz w:val="24"/>
                <w:szCs w:val="24"/>
              </w:rPr>
              <w:t>3.2. Търсене: извадени от обръщение квоти</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_Toc56071841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32</w:t>
            </w:r>
            <w:r>
              <w:rPr>
                <w:rFonts w:ascii="Times New Roman" w:hAnsi="Times New Roman"/>
                <w:noProof/>
                <w:webHidden/>
                <w:sz w:val="24"/>
                <w:szCs w:val="24"/>
              </w:rPr>
              <w:fldChar w:fldCharType="end"/>
            </w:r>
          </w:hyperlink>
        </w:p>
        <w:p>
          <w:pPr>
            <w:pStyle w:val="TOC2"/>
            <w:tabs>
              <w:tab w:val="right" w:leader="dot" w:pos="9016"/>
            </w:tabs>
            <w:rPr>
              <w:rFonts w:ascii="Times New Roman" w:eastAsiaTheme="minorEastAsia" w:hAnsi="Times New Roman"/>
              <w:noProof/>
              <w:sz w:val="24"/>
              <w:szCs w:val="24"/>
              <w:lang w:val="en-US"/>
            </w:rPr>
          </w:pPr>
          <w:hyperlink w:anchor="_Toc56071842" w:history="1">
            <w:r>
              <w:rPr>
                <w:rStyle w:val="Hyperlink"/>
                <w:rFonts w:ascii="Times New Roman" w:hAnsi="Times New Roman"/>
                <w:noProof/>
                <w:sz w:val="24"/>
                <w:szCs w:val="24"/>
              </w:rPr>
              <w:t>3.3. Постигане на баланс между предлагането и търсенето</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_Toc56071842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33</w:t>
            </w:r>
            <w:r>
              <w:rPr>
                <w:rFonts w:ascii="Times New Roman" w:hAnsi="Times New Roman"/>
                <w:noProof/>
                <w:webHidden/>
                <w:sz w:val="24"/>
                <w:szCs w:val="24"/>
              </w:rPr>
              <w:fldChar w:fldCharType="end"/>
            </w:r>
          </w:hyperlink>
        </w:p>
        <w:p>
          <w:pPr>
            <w:pStyle w:val="TOC1"/>
            <w:rPr>
              <w:rFonts w:ascii="Times New Roman" w:eastAsiaTheme="minorEastAsia" w:hAnsi="Times New Roman"/>
              <w:noProof/>
              <w:sz w:val="24"/>
              <w:szCs w:val="24"/>
              <w:lang w:val="en-US"/>
            </w:rPr>
          </w:pPr>
          <w:hyperlink w:anchor="_Toc56071843" w:history="1">
            <w:r>
              <w:rPr>
                <w:rStyle w:val="Hyperlink"/>
                <w:rFonts w:ascii="Times New Roman" w:hAnsi="Times New Roman"/>
                <w:noProof/>
                <w:sz w:val="24"/>
                <w:szCs w:val="24"/>
              </w:rPr>
              <w:t>4. ВЪЗДУХОПЛАВАНЕ</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_Toc56071843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36</w:t>
            </w:r>
            <w:r>
              <w:rPr>
                <w:rFonts w:ascii="Times New Roman" w:hAnsi="Times New Roman"/>
                <w:noProof/>
                <w:webHidden/>
                <w:sz w:val="24"/>
                <w:szCs w:val="24"/>
              </w:rPr>
              <w:fldChar w:fldCharType="end"/>
            </w:r>
          </w:hyperlink>
        </w:p>
        <w:p>
          <w:pPr>
            <w:pStyle w:val="TOC1"/>
            <w:rPr>
              <w:rFonts w:ascii="Times New Roman" w:eastAsiaTheme="minorEastAsia" w:hAnsi="Times New Roman"/>
              <w:noProof/>
              <w:sz w:val="24"/>
              <w:szCs w:val="24"/>
              <w:lang w:val="en-US"/>
            </w:rPr>
          </w:pPr>
          <w:hyperlink w:anchor="_Toc56071844" w:history="1">
            <w:r>
              <w:rPr>
                <w:rStyle w:val="Hyperlink"/>
                <w:rFonts w:ascii="Times New Roman" w:hAnsi="Times New Roman"/>
                <w:noProof/>
                <w:sz w:val="24"/>
                <w:szCs w:val="24"/>
              </w:rPr>
              <w:t>5. НАДЗОР НА ПАЗАРА</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_Toc56071844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40</w:t>
            </w:r>
            <w:r>
              <w:rPr>
                <w:rFonts w:ascii="Times New Roman" w:hAnsi="Times New Roman"/>
                <w:noProof/>
                <w:webHidden/>
                <w:sz w:val="24"/>
                <w:szCs w:val="24"/>
              </w:rPr>
              <w:fldChar w:fldCharType="end"/>
            </w:r>
          </w:hyperlink>
        </w:p>
        <w:p>
          <w:pPr>
            <w:pStyle w:val="TOC1"/>
            <w:rPr>
              <w:rFonts w:ascii="Times New Roman" w:eastAsiaTheme="minorEastAsia" w:hAnsi="Times New Roman"/>
              <w:noProof/>
              <w:sz w:val="24"/>
              <w:szCs w:val="24"/>
              <w:lang w:val="en-US"/>
            </w:rPr>
          </w:pPr>
          <w:hyperlink w:anchor="_Toc56071845" w:history="1">
            <w:r>
              <w:rPr>
                <w:rStyle w:val="Hyperlink"/>
                <w:rFonts w:ascii="Times New Roman" w:hAnsi="Times New Roman"/>
                <w:noProof/>
                <w:sz w:val="24"/>
                <w:szCs w:val="24"/>
              </w:rPr>
              <w:t>6. МОНИТОРИНГ, ДОКЛАДВАНЕ И ПРОВЕРКА НА ЕМИСИИТЕ</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_Toc56071845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42</w:t>
            </w:r>
            <w:r>
              <w:rPr>
                <w:rFonts w:ascii="Times New Roman" w:hAnsi="Times New Roman"/>
                <w:noProof/>
                <w:webHidden/>
                <w:sz w:val="24"/>
                <w:szCs w:val="24"/>
              </w:rPr>
              <w:fldChar w:fldCharType="end"/>
            </w:r>
          </w:hyperlink>
        </w:p>
        <w:p>
          <w:pPr>
            <w:pStyle w:val="TOC1"/>
            <w:rPr>
              <w:rFonts w:ascii="Times New Roman" w:eastAsiaTheme="minorEastAsia" w:hAnsi="Times New Roman"/>
              <w:noProof/>
              <w:sz w:val="24"/>
              <w:szCs w:val="24"/>
              <w:lang w:val="en-US"/>
            </w:rPr>
          </w:pPr>
          <w:hyperlink w:anchor="_Toc56071846" w:history="1">
            <w:r>
              <w:rPr>
                <w:rStyle w:val="Hyperlink"/>
                <w:rFonts w:ascii="Times New Roman" w:hAnsi="Times New Roman"/>
                <w:noProof/>
                <w:sz w:val="24"/>
                <w:szCs w:val="24"/>
              </w:rPr>
              <w:t>7. ПРЕГЛЕД НА АДМИНИСТРАТИВНИТЕ МЕРКИ</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_Toc56071846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45</w:t>
            </w:r>
            <w:r>
              <w:rPr>
                <w:rFonts w:ascii="Times New Roman" w:hAnsi="Times New Roman"/>
                <w:noProof/>
                <w:webHidden/>
                <w:sz w:val="24"/>
                <w:szCs w:val="24"/>
              </w:rPr>
              <w:fldChar w:fldCharType="end"/>
            </w:r>
          </w:hyperlink>
        </w:p>
        <w:p>
          <w:pPr>
            <w:pStyle w:val="TOC1"/>
            <w:rPr>
              <w:rFonts w:ascii="Times New Roman" w:eastAsiaTheme="minorEastAsia" w:hAnsi="Times New Roman"/>
              <w:noProof/>
              <w:sz w:val="24"/>
              <w:szCs w:val="24"/>
              <w:lang w:val="en-US"/>
            </w:rPr>
          </w:pPr>
          <w:hyperlink w:anchor="_Toc56071847" w:history="1">
            <w:r>
              <w:rPr>
                <w:rStyle w:val="Hyperlink"/>
                <w:rFonts w:ascii="Times New Roman" w:hAnsi="Times New Roman"/>
                <w:noProof/>
                <w:sz w:val="24"/>
                <w:szCs w:val="24"/>
              </w:rPr>
              <w:t>8. СЪОТВЕТСТВИЕ И ПРИЛАГАНЕ</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_Toc56071847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46</w:t>
            </w:r>
            <w:r>
              <w:rPr>
                <w:rFonts w:ascii="Times New Roman" w:hAnsi="Times New Roman"/>
                <w:noProof/>
                <w:webHidden/>
                <w:sz w:val="24"/>
                <w:szCs w:val="24"/>
              </w:rPr>
              <w:fldChar w:fldCharType="end"/>
            </w:r>
          </w:hyperlink>
        </w:p>
        <w:p>
          <w:pPr>
            <w:pStyle w:val="TOC1"/>
            <w:rPr>
              <w:rFonts w:ascii="Times New Roman" w:eastAsiaTheme="minorEastAsia" w:hAnsi="Times New Roman"/>
              <w:noProof/>
              <w:sz w:val="24"/>
              <w:szCs w:val="24"/>
              <w:lang w:val="en-US"/>
            </w:rPr>
          </w:pPr>
          <w:hyperlink w:anchor="_Toc56071848" w:history="1">
            <w:r>
              <w:rPr>
                <w:rStyle w:val="Hyperlink"/>
                <w:rFonts w:ascii="Times New Roman" w:hAnsi="Times New Roman"/>
                <w:noProof/>
                <w:sz w:val="24"/>
                <w:szCs w:val="24"/>
              </w:rPr>
              <w:t>9. ЗАКЛЮЧЕНИЯ И ПЕРСПЕКТИВИ</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_Toc56071848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48</w:t>
            </w:r>
            <w:r>
              <w:rPr>
                <w:rFonts w:ascii="Times New Roman" w:hAnsi="Times New Roman"/>
                <w:noProof/>
                <w:webHidden/>
                <w:sz w:val="24"/>
                <w:szCs w:val="24"/>
              </w:rPr>
              <w:fldChar w:fldCharType="end"/>
            </w:r>
          </w:hyperlink>
        </w:p>
        <w:p>
          <w:pPr>
            <w:pStyle w:val="TOC1"/>
            <w:rPr>
              <w:rFonts w:ascii="Times New Roman" w:eastAsiaTheme="minorEastAsia" w:hAnsi="Times New Roman"/>
              <w:noProof/>
              <w:sz w:val="24"/>
              <w:szCs w:val="24"/>
              <w:lang w:val="en-US"/>
            </w:rPr>
          </w:pPr>
          <w:hyperlink w:anchor="_Toc56071849" w:history="1">
            <w:r>
              <w:rPr>
                <w:rStyle w:val="Hyperlink"/>
                <w:rFonts w:ascii="Times New Roman" w:hAnsi="Times New Roman"/>
                <w:noProof/>
                <w:sz w:val="24"/>
                <w:szCs w:val="24"/>
              </w:rPr>
              <w:t>ПРИЛОЖЕНИЕ</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_Toc56071849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50</w:t>
            </w:r>
            <w:r>
              <w:rPr>
                <w:rFonts w:ascii="Times New Roman" w:hAnsi="Times New Roman"/>
                <w:noProof/>
                <w:webHidden/>
                <w:sz w:val="24"/>
                <w:szCs w:val="24"/>
              </w:rPr>
              <w:fldChar w:fldCharType="end"/>
            </w:r>
          </w:hyperlink>
        </w:p>
        <w:p>
          <w:pPr>
            <w:rPr>
              <w:rFonts w:ascii="Times New Roman" w:hAnsi="Times New Roman"/>
              <w:noProof/>
              <w:sz w:val="24"/>
              <w:szCs w:val="24"/>
            </w:rPr>
          </w:pPr>
          <w:r>
            <w:rPr>
              <w:rFonts w:ascii="Times New Roman" w:hAnsi="Times New Roman"/>
              <w:b/>
              <w:bCs/>
              <w:noProof/>
              <w:sz w:val="24"/>
              <w:szCs w:val="24"/>
            </w:rPr>
            <w:fldChar w:fldCharType="end"/>
          </w:r>
        </w:p>
      </w:sdtContent>
    </w:sdt>
    <w:bookmarkStart w:id="2" w:name="_Toc519009670" w:displacedByCustomXml="prev"/>
    <w:p>
      <w:pPr>
        <w:pStyle w:val="Heading1"/>
        <w:spacing w:before="0" w:after="120"/>
        <w:rPr>
          <w:noProof/>
          <w:szCs w:val="24"/>
        </w:rPr>
      </w:pPr>
      <w:bookmarkStart w:id="3" w:name="_Toc56071825"/>
      <w:r>
        <w:rPr>
          <w:noProof/>
        </w:rPr>
        <w:t>Списък на акронимите и съкращенията</w:t>
      </w:r>
      <w:bookmarkEnd w:id="3"/>
      <w:bookmarkEnd w:id="2"/>
    </w:p>
    <w:p>
      <w:pPr>
        <w:spacing w:after="120"/>
        <w:rPr>
          <w:rFonts w:ascii="Times New Roman" w:hAnsi="Times New Roman"/>
          <w:noProof/>
          <w:sz w:val="24"/>
          <w:szCs w:val="24"/>
        </w:rPr>
      </w:pPr>
      <w:r>
        <w:rPr>
          <w:rFonts w:ascii="Times New Roman" w:hAnsi="Times New Roman"/>
          <w:noProof/>
          <w:szCs w:val="24"/>
        </w:rPr>
        <w:t>РАП</w:t>
      </w:r>
      <w:r>
        <w:rPr>
          <w:noProof/>
        </w:rPr>
        <w:tab/>
      </w:r>
      <w:r>
        <w:rPr>
          <w:noProof/>
        </w:rPr>
        <w:tab/>
      </w:r>
      <w:r>
        <w:rPr>
          <w:rFonts w:ascii="Times New Roman" w:hAnsi="Times New Roman"/>
          <w:noProof/>
          <w:sz w:val="24"/>
          <w:szCs w:val="24"/>
        </w:rPr>
        <w:t>Регламент относно акредитацията и проверката</w:t>
      </w:r>
    </w:p>
    <w:p>
      <w:pPr>
        <w:spacing w:after="120"/>
        <w:rPr>
          <w:rFonts w:ascii="Times New Roman" w:hAnsi="Times New Roman"/>
          <w:noProof/>
          <w:sz w:val="24"/>
          <w:szCs w:val="24"/>
        </w:rPr>
      </w:pPr>
      <w:r>
        <w:rPr>
          <w:rFonts w:ascii="Times New Roman" w:hAnsi="Times New Roman"/>
          <w:noProof/>
          <w:sz w:val="24"/>
          <w:szCs w:val="24"/>
        </w:rPr>
        <w:t>КО</w:t>
      </w:r>
      <w:r>
        <w:rPr>
          <w:noProof/>
        </w:rPr>
        <w:tab/>
      </w:r>
      <w:r>
        <w:rPr>
          <w:noProof/>
        </w:rPr>
        <w:tab/>
      </w:r>
      <w:r>
        <w:rPr>
          <w:rFonts w:ascii="Times New Roman" w:hAnsi="Times New Roman"/>
          <w:noProof/>
          <w:sz w:val="24"/>
          <w:szCs w:val="24"/>
        </w:rPr>
        <w:t>Компетентен орган</w:t>
      </w:r>
    </w:p>
    <w:p>
      <w:pPr>
        <w:spacing w:after="120"/>
        <w:rPr>
          <w:rFonts w:ascii="Times New Roman" w:hAnsi="Times New Roman"/>
          <w:noProof/>
          <w:sz w:val="24"/>
          <w:szCs w:val="24"/>
        </w:rPr>
      </w:pPr>
      <w:r>
        <w:rPr>
          <w:rFonts w:ascii="Times New Roman" w:hAnsi="Times New Roman"/>
          <w:noProof/>
          <w:sz w:val="24"/>
          <w:szCs w:val="24"/>
        </w:rPr>
        <w:t>CCS</w:t>
      </w:r>
      <w:r>
        <w:rPr>
          <w:noProof/>
        </w:rPr>
        <w:tab/>
      </w:r>
      <w:r>
        <w:rPr>
          <w:noProof/>
        </w:rPr>
        <w:tab/>
      </w:r>
      <w:r>
        <w:rPr>
          <w:rFonts w:ascii="Times New Roman" w:hAnsi="Times New Roman"/>
          <w:noProof/>
          <w:sz w:val="24"/>
          <w:szCs w:val="24"/>
        </w:rPr>
        <w:t>Улавяне и съхранение на въглероден диоксид</w:t>
      </w:r>
    </w:p>
    <w:p>
      <w:pPr>
        <w:spacing w:after="120"/>
        <w:rPr>
          <w:rFonts w:ascii="Times New Roman" w:hAnsi="Times New Roman"/>
          <w:noProof/>
          <w:sz w:val="24"/>
          <w:szCs w:val="24"/>
        </w:rPr>
      </w:pPr>
      <w:r>
        <w:rPr>
          <w:rFonts w:ascii="Times New Roman" w:hAnsi="Times New Roman"/>
          <w:noProof/>
          <w:sz w:val="24"/>
          <w:szCs w:val="24"/>
        </w:rPr>
        <w:t>CCU</w:t>
      </w:r>
      <w:r>
        <w:rPr>
          <w:noProof/>
        </w:rPr>
        <w:tab/>
      </w:r>
      <w:r>
        <w:rPr>
          <w:noProof/>
        </w:rPr>
        <w:tab/>
      </w:r>
      <w:r>
        <w:rPr>
          <w:rFonts w:ascii="Times New Roman" w:hAnsi="Times New Roman"/>
          <w:noProof/>
          <w:sz w:val="24"/>
          <w:szCs w:val="24"/>
        </w:rPr>
        <w:t>Улавяне и използване на въглероден диоксид</w:t>
      </w:r>
    </w:p>
    <w:p>
      <w:pPr>
        <w:spacing w:after="120"/>
        <w:rPr>
          <w:rFonts w:ascii="Times New Roman" w:hAnsi="Times New Roman"/>
          <w:noProof/>
          <w:sz w:val="24"/>
          <w:szCs w:val="24"/>
        </w:rPr>
      </w:pPr>
      <w:r>
        <w:rPr>
          <w:rFonts w:ascii="Times New Roman" w:hAnsi="Times New Roman"/>
          <w:noProof/>
          <w:sz w:val="24"/>
          <w:szCs w:val="24"/>
        </w:rPr>
        <w:t>МЧР</w:t>
      </w:r>
      <w:r>
        <w:rPr>
          <w:noProof/>
        </w:rPr>
        <w:tab/>
      </w:r>
      <w:r>
        <w:rPr>
          <w:noProof/>
        </w:rPr>
        <w:tab/>
      </w:r>
      <w:r>
        <w:rPr>
          <w:rFonts w:ascii="Times New Roman" w:hAnsi="Times New Roman"/>
          <w:noProof/>
          <w:sz w:val="24"/>
          <w:szCs w:val="24"/>
        </w:rPr>
        <w:t>Механизъм за чисто развитие</w:t>
      </w:r>
    </w:p>
    <w:p>
      <w:pPr>
        <w:spacing w:after="120"/>
        <w:rPr>
          <w:rFonts w:ascii="Times New Roman" w:hAnsi="Times New Roman"/>
          <w:noProof/>
          <w:sz w:val="24"/>
          <w:szCs w:val="24"/>
        </w:rPr>
      </w:pPr>
      <w:r>
        <w:rPr>
          <w:rFonts w:ascii="Times New Roman" w:hAnsi="Times New Roman"/>
          <w:noProof/>
          <w:sz w:val="24"/>
          <w:szCs w:val="24"/>
        </w:rPr>
        <w:t>СЕРЕ</w:t>
      </w:r>
      <w:r>
        <w:rPr>
          <w:noProof/>
        </w:rPr>
        <w:tab/>
      </w:r>
      <w:r>
        <w:rPr>
          <w:noProof/>
        </w:rPr>
        <w:tab/>
      </w:r>
      <w:r>
        <w:rPr>
          <w:rFonts w:ascii="Times New Roman" w:hAnsi="Times New Roman"/>
          <w:noProof/>
          <w:sz w:val="24"/>
          <w:szCs w:val="24"/>
        </w:rPr>
        <w:t>Сертифицирани единици редуцирани емисии</w:t>
      </w:r>
    </w:p>
    <w:p>
      <w:pPr>
        <w:spacing w:after="120"/>
        <w:rPr>
          <w:rFonts w:ascii="Times New Roman" w:hAnsi="Times New Roman"/>
          <w:noProof/>
          <w:sz w:val="24"/>
          <w:szCs w:val="24"/>
        </w:rPr>
      </w:pPr>
      <w:r>
        <w:rPr>
          <w:rFonts w:ascii="Times New Roman" w:hAnsi="Times New Roman"/>
          <w:noProof/>
          <w:sz w:val="24"/>
          <w:szCs w:val="24"/>
        </w:rPr>
        <w:t>СОRSIA</w:t>
      </w:r>
      <w:r>
        <w:rPr>
          <w:noProof/>
        </w:rPr>
        <w:tab/>
      </w:r>
      <w:r>
        <w:rPr>
          <w:rFonts w:ascii="Times New Roman" w:hAnsi="Times New Roman"/>
          <w:noProof/>
          <w:sz w:val="24"/>
          <w:szCs w:val="24"/>
        </w:rPr>
        <w:t>Схема за компенсиране и намаляване на въглеродните емисии в международното въздухоплаване</w:t>
      </w:r>
    </w:p>
    <w:p>
      <w:pPr>
        <w:spacing w:after="120"/>
        <w:rPr>
          <w:rFonts w:ascii="Times New Roman" w:hAnsi="Times New Roman"/>
          <w:noProof/>
          <w:sz w:val="24"/>
          <w:szCs w:val="24"/>
        </w:rPr>
      </w:pPr>
      <w:r>
        <w:rPr>
          <w:rFonts w:ascii="Times New Roman" w:hAnsi="Times New Roman"/>
          <w:noProof/>
          <w:sz w:val="24"/>
          <w:szCs w:val="24"/>
        </w:rPr>
        <w:t>МКК</w:t>
      </w:r>
      <w:r>
        <w:rPr>
          <w:noProof/>
        </w:rPr>
        <w:tab/>
      </w:r>
      <w:r>
        <w:rPr>
          <w:noProof/>
        </w:rPr>
        <w:tab/>
      </w:r>
      <w:r>
        <w:rPr>
          <w:rFonts w:ascii="Times New Roman" w:hAnsi="Times New Roman"/>
          <w:noProof/>
          <w:sz w:val="24"/>
          <w:szCs w:val="24"/>
        </w:rPr>
        <w:t>Междуотраслов корекционен коефициент</w:t>
      </w:r>
    </w:p>
    <w:p>
      <w:pPr>
        <w:spacing w:after="120"/>
        <w:rPr>
          <w:rFonts w:ascii="Times New Roman" w:hAnsi="Times New Roman"/>
          <w:noProof/>
          <w:sz w:val="24"/>
          <w:szCs w:val="24"/>
        </w:rPr>
      </w:pPr>
      <w:r>
        <w:rPr>
          <w:rFonts w:ascii="Times New Roman" w:hAnsi="Times New Roman"/>
          <w:noProof/>
          <w:sz w:val="24"/>
          <w:szCs w:val="24"/>
        </w:rPr>
        <w:t>ЕОА</w:t>
      </w:r>
      <w:r>
        <w:rPr>
          <w:noProof/>
        </w:rPr>
        <w:tab/>
      </w:r>
      <w:r>
        <w:rPr>
          <w:noProof/>
        </w:rPr>
        <w:tab/>
      </w:r>
      <w:r>
        <w:rPr>
          <w:rFonts w:ascii="Times New Roman" w:hAnsi="Times New Roman"/>
          <w:noProof/>
          <w:sz w:val="24"/>
          <w:szCs w:val="24"/>
        </w:rPr>
        <w:t>Европейска организация за акредитация</w:t>
      </w:r>
    </w:p>
    <w:p>
      <w:pPr>
        <w:spacing w:after="120"/>
        <w:rPr>
          <w:rFonts w:ascii="Times New Roman" w:hAnsi="Times New Roman"/>
          <w:noProof/>
          <w:sz w:val="24"/>
          <w:szCs w:val="24"/>
        </w:rPr>
      </w:pPr>
      <w:r>
        <w:rPr>
          <w:rFonts w:ascii="Times New Roman" w:hAnsi="Times New Roman"/>
          <w:noProof/>
          <w:sz w:val="24"/>
          <w:szCs w:val="24"/>
        </w:rPr>
        <w:t>ЕИП</w:t>
      </w:r>
      <w:r>
        <w:rPr>
          <w:noProof/>
        </w:rPr>
        <w:tab/>
      </w:r>
      <w:r>
        <w:rPr>
          <w:noProof/>
        </w:rPr>
        <w:tab/>
      </w:r>
      <w:r>
        <w:rPr>
          <w:rFonts w:ascii="Times New Roman" w:hAnsi="Times New Roman"/>
          <w:noProof/>
          <w:sz w:val="24"/>
          <w:szCs w:val="24"/>
        </w:rPr>
        <w:t>Европейско икономическо пространство</w:t>
      </w:r>
    </w:p>
    <w:p>
      <w:pPr>
        <w:spacing w:after="120"/>
        <w:rPr>
          <w:rFonts w:ascii="Times New Roman" w:hAnsi="Times New Roman"/>
          <w:noProof/>
          <w:sz w:val="24"/>
          <w:szCs w:val="24"/>
        </w:rPr>
      </w:pPr>
      <w:r>
        <w:rPr>
          <w:rFonts w:ascii="Times New Roman" w:hAnsi="Times New Roman"/>
          <w:noProof/>
          <w:sz w:val="24"/>
          <w:szCs w:val="24"/>
        </w:rPr>
        <w:t>ЕЕХ</w:t>
      </w:r>
      <w:r>
        <w:rPr>
          <w:noProof/>
        </w:rPr>
        <w:tab/>
      </w:r>
      <w:r>
        <w:rPr>
          <w:noProof/>
        </w:rPr>
        <w:tab/>
      </w:r>
      <w:r>
        <w:rPr>
          <w:rFonts w:ascii="Times New Roman" w:hAnsi="Times New Roman"/>
          <w:noProof/>
          <w:sz w:val="24"/>
          <w:szCs w:val="24"/>
        </w:rPr>
        <w:t>Европейска енергийна борса</w:t>
      </w:r>
    </w:p>
    <w:p>
      <w:pPr>
        <w:spacing w:after="120"/>
        <w:rPr>
          <w:rFonts w:ascii="Times New Roman" w:hAnsi="Times New Roman"/>
          <w:noProof/>
          <w:sz w:val="24"/>
          <w:szCs w:val="24"/>
        </w:rPr>
      </w:pPr>
      <w:r>
        <w:rPr>
          <w:rFonts w:ascii="Times New Roman" w:hAnsi="Times New Roman"/>
          <w:noProof/>
          <w:sz w:val="24"/>
          <w:szCs w:val="24"/>
        </w:rPr>
        <w:t>ЕИБ</w:t>
      </w:r>
      <w:r>
        <w:rPr>
          <w:noProof/>
        </w:rPr>
        <w:tab/>
      </w:r>
      <w:r>
        <w:rPr>
          <w:noProof/>
        </w:rPr>
        <w:tab/>
      </w:r>
      <w:r>
        <w:rPr>
          <w:rFonts w:ascii="Times New Roman" w:hAnsi="Times New Roman"/>
          <w:noProof/>
          <w:sz w:val="24"/>
          <w:szCs w:val="24"/>
        </w:rPr>
        <w:t>Европейска инвестиционна банка</w:t>
      </w:r>
    </w:p>
    <w:p>
      <w:pPr>
        <w:spacing w:after="120"/>
        <w:rPr>
          <w:rFonts w:ascii="Times New Roman" w:hAnsi="Times New Roman"/>
          <w:noProof/>
          <w:sz w:val="24"/>
          <w:szCs w:val="24"/>
        </w:rPr>
      </w:pPr>
      <w:r>
        <w:rPr>
          <w:rFonts w:ascii="Times New Roman" w:hAnsi="Times New Roman"/>
          <w:noProof/>
          <w:sz w:val="24"/>
          <w:szCs w:val="24"/>
        </w:rPr>
        <w:t>ЕРЕ</w:t>
      </w:r>
      <w:r>
        <w:rPr>
          <w:noProof/>
        </w:rPr>
        <w:tab/>
      </w:r>
      <w:r>
        <w:rPr>
          <w:noProof/>
        </w:rPr>
        <w:tab/>
      </w:r>
      <w:r>
        <w:rPr>
          <w:rFonts w:ascii="Times New Roman" w:hAnsi="Times New Roman"/>
          <w:noProof/>
          <w:sz w:val="24"/>
          <w:szCs w:val="24"/>
        </w:rPr>
        <w:t>Единици редуцирани емисии</w:t>
      </w:r>
    </w:p>
    <w:p>
      <w:pPr>
        <w:spacing w:after="120"/>
        <w:rPr>
          <w:rFonts w:ascii="Times New Roman" w:hAnsi="Times New Roman"/>
          <w:noProof/>
          <w:sz w:val="24"/>
          <w:szCs w:val="24"/>
        </w:rPr>
      </w:pPr>
      <w:r>
        <w:rPr>
          <w:rFonts w:ascii="Times New Roman" w:hAnsi="Times New Roman"/>
          <w:noProof/>
          <w:sz w:val="24"/>
          <w:szCs w:val="24"/>
        </w:rPr>
        <w:t>ЕОЦКП</w:t>
      </w:r>
      <w:r>
        <w:rPr>
          <w:noProof/>
        </w:rPr>
        <w:tab/>
      </w:r>
      <w:r>
        <w:rPr>
          <w:noProof/>
        </w:rPr>
        <w:tab/>
      </w:r>
      <w:r>
        <w:rPr>
          <w:rFonts w:ascii="Times New Roman" w:hAnsi="Times New Roman"/>
          <w:noProof/>
          <w:sz w:val="24"/>
          <w:szCs w:val="24"/>
        </w:rPr>
        <w:t>Европейски орган за ценни книжа и пазари</w:t>
      </w:r>
    </w:p>
    <w:p>
      <w:pPr>
        <w:spacing w:after="120"/>
        <w:rPr>
          <w:rFonts w:ascii="Times New Roman" w:hAnsi="Times New Roman"/>
          <w:noProof/>
          <w:sz w:val="24"/>
          <w:szCs w:val="24"/>
        </w:rPr>
      </w:pPr>
      <w:r>
        <w:rPr>
          <w:rFonts w:ascii="Times New Roman" w:hAnsi="Times New Roman"/>
          <w:noProof/>
          <w:sz w:val="24"/>
          <w:szCs w:val="24"/>
        </w:rPr>
        <w:t>СТЕ на ЕС</w:t>
      </w:r>
      <w:r>
        <w:rPr>
          <w:noProof/>
        </w:rPr>
        <w:tab/>
      </w:r>
      <w:r>
        <w:rPr>
          <w:rFonts w:ascii="Times New Roman" w:hAnsi="Times New Roman"/>
          <w:noProof/>
          <w:sz w:val="24"/>
          <w:szCs w:val="24"/>
        </w:rPr>
        <w:t>Система на Европейския съюз за търговия с емисии</w:t>
      </w:r>
    </w:p>
    <w:p>
      <w:pPr>
        <w:spacing w:after="120"/>
        <w:rPr>
          <w:rFonts w:ascii="Times New Roman" w:hAnsi="Times New Roman"/>
          <w:noProof/>
          <w:sz w:val="24"/>
          <w:szCs w:val="24"/>
        </w:rPr>
      </w:pPr>
      <w:r>
        <w:rPr>
          <w:rFonts w:ascii="Times New Roman" w:hAnsi="Times New Roman"/>
          <w:noProof/>
          <w:sz w:val="24"/>
          <w:szCs w:val="24"/>
        </w:rPr>
        <w:t>ЕUTL</w:t>
      </w:r>
      <w:r>
        <w:rPr>
          <w:noProof/>
        </w:rPr>
        <w:tab/>
      </w:r>
      <w:r>
        <w:rPr>
          <w:noProof/>
        </w:rPr>
        <w:tab/>
      </w:r>
      <w:r>
        <w:rPr>
          <w:rFonts w:ascii="Times New Roman" w:hAnsi="Times New Roman"/>
          <w:noProof/>
          <w:sz w:val="24"/>
          <w:szCs w:val="24"/>
        </w:rPr>
        <w:t>Дневник на ЕС за транзакциите</w:t>
      </w:r>
    </w:p>
    <w:p>
      <w:pPr>
        <w:spacing w:after="120"/>
        <w:rPr>
          <w:rFonts w:ascii="Times New Roman" w:hAnsi="Times New Roman"/>
          <w:noProof/>
          <w:sz w:val="24"/>
          <w:szCs w:val="24"/>
        </w:rPr>
      </w:pPr>
      <w:r>
        <w:rPr>
          <w:rFonts w:ascii="Times New Roman" w:hAnsi="Times New Roman"/>
          <w:noProof/>
          <w:sz w:val="24"/>
          <w:szCs w:val="24"/>
        </w:rPr>
        <w:t xml:space="preserve">ПГ  </w:t>
      </w:r>
      <w:r>
        <w:rPr>
          <w:noProof/>
        </w:rPr>
        <w:tab/>
      </w:r>
      <w:r>
        <w:rPr>
          <w:noProof/>
        </w:rPr>
        <w:tab/>
      </w:r>
      <w:r>
        <w:rPr>
          <w:rFonts w:ascii="Times New Roman" w:hAnsi="Times New Roman"/>
          <w:noProof/>
          <w:sz w:val="24"/>
          <w:szCs w:val="24"/>
        </w:rPr>
        <w:t>Парников газ</w:t>
      </w:r>
    </w:p>
    <w:p>
      <w:pPr>
        <w:spacing w:after="120"/>
        <w:rPr>
          <w:rFonts w:ascii="Times New Roman" w:hAnsi="Times New Roman"/>
          <w:noProof/>
          <w:sz w:val="24"/>
          <w:szCs w:val="24"/>
        </w:rPr>
      </w:pPr>
      <w:r>
        <w:rPr>
          <w:rFonts w:ascii="Times New Roman" w:hAnsi="Times New Roman"/>
          <w:noProof/>
          <w:sz w:val="24"/>
          <w:szCs w:val="24"/>
        </w:rPr>
        <w:t>ИКАО</w:t>
      </w:r>
      <w:r>
        <w:rPr>
          <w:noProof/>
        </w:rPr>
        <w:tab/>
      </w:r>
      <w:r>
        <w:rPr>
          <w:noProof/>
        </w:rPr>
        <w:tab/>
      </w:r>
      <w:r>
        <w:rPr>
          <w:rFonts w:ascii="Times New Roman" w:hAnsi="Times New Roman"/>
          <w:noProof/>
          <w:sz w:val="24"/>
          <w:szCs w:val="24"/>
        </w:rPr>
        <w:t>Международна организация за гражданско въздухоплаване</w:t>
      </w:r>
    </w:p>
    <w:p>
      <w:pPr>
        <w:spacing w:after="120"/>
        <w:rPr>
          <w:rFonts w:ascii="Times New Roman" w:hAnsi="Times New Roman"/>
          <w:noProof/>
          <w:sz w:val="24"/>
          <w:szCs w:val="24"/>
        </w:rPr>
      </w:pPr>
      <w:r>
        <w:rPr>
          <w:rFonts w:ascii="Times New Roman" w:hAnsi="Times New Roman"/>
          <w:noProof/>
          <w:sz w:val="24"/>
          <w:szCs w:val="24"/>
        </w:rPr>
        <w:t>ICE</w:t>
      </w:r>
      <w:r>
        <w:rPr>
          <w:noProof/>
        </w:rPr>
        <w:tab/>
      </w:r>
      <w:r>
        <w:rPr>
          <w:noProof/>
        </w:rPr>
        <w:tab/>
      </w:r>
      <w:r>
        <w:rPr>
          <w:rFonts w:ascii="Times New Roman" w:hAnsi="Times New Roman"/>
          <w:noProof/>
          <w:sz w:val="24"/>
          <w:szCs w:val="24"/>
        </w:rPr>
        <w:t xml:space="preserve">ICE Futures Europe (Междуконтинентална борса) </w:t>
      </w:r>
    </w:p>
    <w:p>
      <w:pPr>
        <w:spacing w:after="120"/>
        <w:rPr>
          <w:rFonts w:ascii="Times New Roman" w:hAnsi="Times New Roman"/>
          <w:noProof/>
          <w:sz w:val="24"/>
          <w:szCs w:val="24"/>
        </w:rPr>
      </w:pPr>
      <w:r>
        <w:rPr>
          <w:rFonts w:ascii="Times New Roman" w:hAnsi="Times New Roman"/>
          <w:noProof/>
          <w:sz w:val="24"/>
          <w:szCs w:val="24"/>
        </w:rPr>
        <w:t xml:space="preserve">InnovFin EDP Енергийни демонстрационни проекти InnovFin </w:t>
      </w:r>
    </w:p>
    <w:p>
      <w:pPr>
        <w:spacing w:after="120"/>
        <w:rPr>
          <w:rFonts w:ascii="Times New Roman" w:hAnsi="Times New Roman"/>
          <w:noProof/>
          <w:sz w:val="24"/>
          <w:szCs w:val="24"/>
        </w:rPr>
      </w:pPr>
      <w:r>
        <w:rPr>
          <w:rFonts w:ascii="Times New Roman" w:hAnsi="Times New Roman"/>
          <w:noProof/>
          <w:sz w:val="24"/>
          <w:szCs w:val="24"/>
        </w:rPr>
        <w:t>JI</w:t>
      </w:r>
      <w:r>
        <w:rPr>
          <w:noProof/>
        </w:rPr>
        <w:tab/>
      </w:r>
      <w:r>
        <w:rPr>
          <w:noProof/>
        </w:rPr>
        <w:tab/>
      </w:r>
      <w:r>
        <w:rPr>
          <w:rFonts w:ascii="Times New Roman" w:hAnsi="Times New Roman"/>
          <w:noProof/>
          <w:sz w:val="24"/>
          <w:szCs w:val="24"/>
        </w:rPr>
        <w:t>Съвместно изпълнение</w:t>
      </w:r>
    </w:p>
    <w:p>
      <w:pPr>
        <w:spacing w:after="120"/>
        <w:rPr>
          <w:rFonts w:ascii="Times New Roman" w:hAnsi="Times New Roman"/>
          <w:noProof/>
          <w:sz w:val="24"/>
          <w:szCs w:val="24"/>
        </w:rPr>
      </w:pPr>
      <w:r>
        <w:rPr>
          <w:rFonts w:ascii="Times New Roman" w:hAnsi="Times New Roman"/>
          <w:noProof/>
          <w:sz w:val="24"/>
          <w:szCs w:val="24"/>
        </w:rPr>
        <w:t>РПЗ</w:t>
      </w:r>
      <w:r>
        <w:rPr>
          <w:noProof/>
        </w:rPr>
        <w:tab/>
      </w:r>
      <w:r>
        <w:rPr>
          <w:noProof/>
        </w:rPr>
        <w:tab/>
      </w:r>
      <w:r>
        <w:rPr>
          <w:rFonts w:ascii="Times New Roman" w:hAnsi="Times New Roman"/>
          <w:noProof/>
          <w:sz w:val="24"/>
          <w:szCs w:val="24"/>
        </w:rPr>
        <w:t>Регламент относно пазарната злоупотреба</w:t>
      </w:r>
    </w:p>
    <w:p>
      <w:pPr>
        <w:spacing w:after="120"/>
        <w:rPr>
          <w:rFonts w:ascii="Times New Roman" w:hAnsi="Times New Roman"/>
          <w:noProof/>
          <w:sz w:val="24"/>
          <w:szCs w:val="24"/>
        </w:rPr>
      </w:pPr>
      <w:r>
        <w:rPr>
          <w:rFonts w:ascii="Times New Roman" w:hAnsi="Times New Roman"/>
          <w:noProof/>
          <w:sz w:val="24"/>
          <w:szCs w:val="24"/>
        </w:rPr>
        <w:t>ДПФИ II</w:t>
      </w:r>
      <w:r>
        <w:rPr>
          <w:noProof/>
        </w:rPr>
        <w:tab/>
      </w:r>
      <w:r>
        <w:rPr>
          <w:rFonts w:ascii="Times New Roman" w:hAnsi="Times New Roman"/>
          <w:noProof/>
          <w:sz w:val="24"/>
          <w:szCs w:val="24"/>
        </w:rPr>
        <w:t>Директива за пазарите на финансови инструменти</w:t>
      </w:r>
    </w:p>
    <w:p>
      <w:pPr>
        <w:spacing w:after="120"/>
        <w:rPr>
          <w:rFonts w:ascii="Times New Roman" w:hAnsi="Times New Roman"/>
          <w:noProof/>
          <w:sz w:val="24"/>
          <w:szCs w:val="24"/>
        </w:rPr>
      </w:pPr>
      <w:r>
        <w:rPr>
          <w:rFonts w:ascii="Times New Roman" w:hAnsi="Times New Roman"/>
          <w:noProof/>
          <w:sz w:val="24"/>
          <w:szCs w:val="24"/>
        </w:rPr>
        <w:t>РПФИ</w:t>
      </w:r>
      <w:r>
        <w:rPr>
          <w:noProof/>
        </w:rPr>
        <w:tab/>
      </w:r>
      <w:r>
        <w:rPr>
          <w:noProof/>
        </w:rPr>
        <w:tab/>
      </w:r>
      <w:r>
        <w:rPr>
          <w:rFonts w:ascii="Times New Roman" w:hAnsi="Times New Roman"/>
          <w:noProof/>
          <w:sz w:val="24"/>
          <w:szCs w:val="24"/>
        </w:rPr>
        <w:t>Регламент за пазарите на финансови инструменти</w:t>
      </w:r>
    </w:p>
    <w:p>
      <w:pPr>
        <w:spacing w:after="120"/>
        <w:rPr>
          <w:rFonts w:ascii="Times New Roman" w:hAnsi="Times New Roman"/>
          <w:noProof/>
          <w:sz w:val="24"/>
          <w:szCs w:val="24"/>
        </w:rPr>
      </w:pPr>
      <w:r>
        <w:rPr>
          <w:rFonts w:ascii="Times New Roman" w:hAnsi="Times New Roman"/>
          <w:noProof/>
          <w:sz w:val="24"/>
          <w:szCs w:val="24"/>
        </w:rPr>
        <w:t>РМД</w:t>
      </w:r>
      <w:r>
        <w:rPr>
          <w:noProof/>
        </w:rPr>
        <w:tab/>
      </w:r>
      <w:r>
        <w:rPr>
          <w:noProof/>
        </w:rPr>
        <w:tab/>
      </w:r>
      <w:r>
        <w:rPr>
          <w:rFonts w:ascii="Times New Roman" w:hAnsi="Times New Roman"/>
          <w:noProof/>
          <w:sz w:val="24"/>
          <w:szCs w:val="24"/>
        </w:rPr>
        <w:t>Регламент относно мониторинга и докладването</w:t>
      </w:r>
    </w:p>
    <w:p>
      <w:pPr>
        <w:spacing w:after="120"/>
        <w:rPr>
          <w:rFonts w:ascii="Times New Roman" w:hAnsi="Times New Roman"/>
          <w:noProof/>
          <w:sz w:val="24"/>
          <w:szCs w:val="24"/>
        </w:rPr>
      </w:pPr>
      <w:r>
        <w:rPr>
          <w:rFonts w:ascii="Times New Roman" w:hAnsi="Times New Roman"/>
          <w:noProof/>
          <w:sz w:val="24"/>
          <w:szCs w:val="24"/>
        </w:rPr>
        <w:t>МДПА</w:t>
      </w:r>
      <w:r>
        <w:rPr>
          <w:noProof/>
        </w:rPr>
        <w:tab/>
      </w:r>
      <w:r>
        <w:rPr>
          <w:rFonts w:ascii="Times New Roman" w:hAnsi="Times New Roman"/>
          <w:noProof/>
          <w:sz w:val="24"/>
          <w:szCs w:val="24"/>
        </w:rPr>
        <w:t>Мониторинг, докладване, проверка и акредитация</w:t>
      </w:r>
    </w:p>
    <w:p>
      <w:pPr>
        <w:spacing w:after="120"/>
        <w:rPr>
          <w:rFonts w:ascii="Times New Roman" w:hAnsi="Times New Roman"/>
          <w:noProof/>
          <w:sz w:val="24"/>
          <w:szCs w:val="24"/>
        </w:rPr>
      </w:pPr>
      <w:r>
        <w:rPr>
          <w:rFonts w:ascii="Times New Roman" w:hAnsi="Times New Roman"/>
          <w:noProof/>
          <w:sz w:val="24"/>
          <w:szCs w:val="24"/>
        </w:rPr>
        <w:t xml:space="preserve">МSR  </w:t>
      </w:r>
      <w:r>
        <w:rPr>
          <w:noProof/>
        </w:rPr>
        <w:tab/>
      </w:r>
      <w:r>
        <w:rPr>
          <w:noProof/>
        </w:rPr>
        <w:tab/>
      </w:r>
      <w:r>
        <w:rPr>
          <w:rFonts w:ascii="Times New Roman" w:hAnsi="Times New Roman"/>
          <w:noProof/>
          <w:sz w:val="24"/>
          <w:szCs w:val="24"/>
        </w:rPr>
        <w:t>Резерв за стабилност на пазара</w:t>
      </w:r>
    </w:p>
    <w:p>
      <w:pPr>
        <w:spacing w:after="120"/>
        <w:rPr>
          <w:rFonts w:ascii="Times New Roman" w:hAnsi="Times New Roman"/>
          <w:noProof/>
          <w:sz w:val="24"/>
          <w:szCs w:val="24"/>
        </w:rPr>
      </w:pPr>
      <w:r>
        <w:rPr>
          <w:rFonts w:ascii="Times New Roman" w:hAnsi="Times New Roman"/>
          <w:noProof/>
          <w:sz w:val="24"/>
          <w:szCs w:val="24"/>
        </w:rPr>
        <w:t>НОА</w:t>
      </w:r>
      <w:r>
        <w:rPr>
          <w:noProof/>
        </w:rPr>
        <w:tab/>
      </w:r>
      <w:r>
        <w:rPr>
          <w:noProof/>
        </w:rPr>
        <w:tab/>
      </w:r>
      <w:r>
        <w:rPr>
          <w:rFonts w:ascii="Times New Roman" w:hAnsi="Times New Roman"/>
          <w:noProof/>
          <w:sz w:val="24"/>
          <w:szCs w:val="24"/>
        </w:rPr>
        <w:t>Национален орган по акредитация</w:t>
      </w:r>
    </w:p>
    <w:p>
      <w:pPr>
        <w:spacing w:after="120"/>
        <w:rPr>
          <w:rFonts w:ascii="Times New Roman" w:hAnsi="Times New Roman"/>
          <w:noProof/>
          <w:sz w:val="24"/>
          <w:szCs w:val="24"/>
        </w:rPr>
      </w:pPr>
      <w:r>
        <w:rPr>
          <w:rFonts w:ascii="Times New Roman" w:hAnsi="Times New Roman"/>
          <w:noProof/>
          <w:sz w:val="24"/>
          <w:szCs w:val="24"/>
        </w:rPr>
        <w:t>NER</w:t>
      </w:r>
      <w:r>
        <w:rPr>
          <w:noProof/>
        </w:rPr>
        <w:tab/>
      </w:r>
      <w:r>
        <w:rPr>
          <w:noProof/>
        </w:rPr>
        <w:tab/>
      </w:r>
      <w:r>
        <w:rPr>
          <w:rFonts w:ascii="Times New Roman" w:hAnsi="Times New Roman"/>
          <w:noProof/>
          <w:sz w:val="24"/>
          <w:szCs w:val="24"/>
        </w:rPr>
        <w:t>Резерв за нови участници</w:t>
      </w:r>
    </w:p>
    <w:p>
      <w:pPr>
        <w:spacing w:after="120"/>
        <w:rPr>
          <w:rFonts w:ascii="Times New Roman" w:hAnsi="Times New Roman"/>
          <w:noProof/>
          <w:sz w:val="24"/>
          <w:szCs w:val="24"/>
        </w:rPr>
      </w:pPr>
      <w:r>
        <w:rPr>
          <w:rFonts w:ascii="Times New Roman" w:hAnsi="Times New Roman"/>
          <w:noProof/>
          <w:sz w:val="24"/>
          <w:szCs w:val="24"/>
        </w:rPr>
        <w:t>OTC</w:t>
      </w:r>
      <w:r>
        <w:rPr>
          <w:noProof/>
        </w:rPr>
        <w:tab/>
      </w:r>
      <w:r>
        <w:rPr>
          <w:noProof/>
        </w:rPr>
        <w:tab/>
      </w:r>
      <w:r>
        <w:rPr>
          <w:rFonts w:ascii="Times New Roman" w:hAnsi="Times New Roman"/>
          <w:noProof/>
          <w:sz w:val="24"/>
          <w:szCs w:val="24"/>
        </w:rPr>
        <w:t>Извънборсови сделки</w:t>
      </w:r>
    </w:p>
    <w:p>
      <w:pPr>
        <w:spacing w:after="120"/>
        <w:rPr>
          <w:rFonts w:ascii="Times New Roman" w:hAnsi="Times New Roman"/>
          <w:noProof/>
          <w:sz w:val="24"/>
          <w:szCs w:val="24"/>
        </w:rPr>
      </w:pPr>
      <w:r>
        <w:rPr>
          <w:rFonts w:ascii="Times New Roman" w:hAnsi="Times New Roman"/>
          <w:noProof/>
          <w:sz w:val="24"/>
          <w:szCs w:val="24"/>
        </w:rPr>
        <w:t>PFC</w:t>
      </w:r>
      <w:r>
        <w:rPr>
          <w:noProof/>
        </w:rPr>
        <w:tab/>
      </w:r>
      <w:r>
        <w:rPr>
          <w:noProof/>
        </w:rPr>
        <w:tab/>
      </w:r>
      <w:r>
        <w:rPr>
          <w:rFonts w:ascii="Times New Roman" w:hAnsi="Times New Roman"/>
          <w:noProof/>
          <w:sz w:val="24"/>
          <w:szCs w:val="24"/>
        </w:rPr>
        <w:t>Перфлуоровъглероди</w:t>
      </w:r>
    </w:p>
    <w:p>
      <w:pPr>
        <w:spacing w:after="120"/>
        <w:rPr>
          <w:rFonts w:ascii="Times New Roman" w:hAnsi="Times New Roman"/>
          <w:noProof/>
          <w:sz w:val="24"/>
          <w:szCs w:val="24"/>
        </w:rPr>
      </w:pPr>
      <w:r>
        <w:rPr>
          <w:rFonts w:ascii="Times New Roman" w:hAnsi="Times New Roman"/>
          <w:noProof/>
          <w:sz w:val="24"/>
          <w:szCs w:val="24"/>
        </w:rPr>
        <w:t>ВЕИ</w:t>
      </w:r>
      <w:r>
        <w:rPr>
          <w:noProof/>
        </w:rPr>
        <w:tab/>
      </w:r>
      <w:r>
        <w:rPr>
          <w:noProof/>
        </w:rPr>
        <w:tab/>
      </w:r>
      <w:r>
        <w:rPr>
          <w:rFonts w:ascii="Times New Roman" w:hAnsi="Times New Roman"/>
          <w:noProof/>
          <w:sz w:val="24"/>
          <w:szCs w:val="24"/>
        </w:rPr>
        <w:t>Възобновяеми енергийни източници</w:t>
      </w:r>
    </w:p>
    <w:p>
      <w:pPr>
        <w:spacing w:after="120"/>
        <w:rPr>
          <w:rFonts w:ascii="Times New Roman" w:hAnsi="Times New Roman"/>
          <w:noProof/>
          <w:sz w:val="24"/>
          <w:szCs w:val="24"/>
        </w:rPr>
      </w:pPr>
      <w:r>
        <w:rPr>
          <w:rFonts w:ascii="Times New Roman" w:hAnsi="Times New Roman"/>
          <w:noProof/>
          <w:sz w:val="24"/>
          <w:szCs w:val="24"/>
        </w:rPr>
        <w:t>СПП</w:t>
      </w:r>
      <w:r>
        <w:rPr>
          <w:noProof/>
        </w:rPr>
        <w:tab/>
      </w:r>
      <w:r>
        <w:rPr>
          <w:noProof/>
        </w:rPr>
        <w:tab/>
      </w:r>
      <w:r>
        <w:rPr>
          <w:rFonts w:ascii="Times New Roman" w:hAnsi="Times New Roman"/>
          <w:noProof/>
          <w:sz w:val="24"/>
          <w:szCs w:val="24"/>
        </w:rPr>
        <w:t>Стандарти и препоръчителни практики по Схемата за компенсиране и намаляване на въглеродните емисии в международното въздухоплаване (CORSIA)</w:t>
      </w:r>
    </w:p>
    <w:p>
      <w:pPr>
        <w:rPr>
          <w:rFonts w:ascii="Times New Roman" w:hAnsi="Times New Roman"/>
          <w:noProof/>
          <w:sz w:val="24"/>
          <w:szCs w:val="24"/>
        </w:rPr>
      </w:pPr>
      <w:r>
        <w:rPr>
          <w:rFonts w:ascii="Times New Roman" w:hAnsi="Times New Roman"/>
          <w:noProof/>
          <w:sz w:val="24"/>
          <w:szCs w:val="24"/>
        </w:rPr>
        <w:t>ОБКО</w:t>
      </w:r>
      <w:r>
        <w:rPr>
          <w:noProof/>
        </w:rPr>
        <w:tab/>
      </w:r>
      <w:r>
        <w:rPr>
          <w:noProof/>
        </w:rPr>
        <w:tab/>
      </w:r>
      <w:r>
        <w:rPr>
          <w:rFonts w:ascii="Times New Roman" w:hAnsi="Times New Roman"/>
          <w:noProof/>
          <w:sz w:val="24"/>
          <w:szCs w:val="24"/>
        </w:rPr>
        <w:t>Общ брой квоти в обръщение</w:t>
      </w:r>
    </w:p>
    <w:p>
      <w:pPr>
        <w:rPr>
          <w:rFonts w:ascii="Times New Roman" w:hAnsi="Times New Roman"/>
          <w:noProof/>
          <w:szCs w:val="24"/>
        </w:rPr>
      </w:pPr>
    </w:p>
    <w:p>
      <w:pPr>
        <w:rPr>
          <w:rFonts w:ascii="Times New Roman" w:hAnsi="Times New Roman"/>
          <w:noProof/>
          <w:szCs w:val="24"/>
        </w:rPr>
      </w:pPr>
    </w:p>
    <w:p>
      <w:pPr>
        <w:rPr>
          <w:rFonts w:ascii="Times New Roman" w:hAnsi="Times New Roman"/>
          <w:noProof/>
          <w:szCs w:val="24"/>
        </w:rPr>
      </w:pPr>
    </w:p>
    <w:p>
      <w:pPr>
        <w:rPr>
          <w:rFonts w:ascii="Times New Roman" w:hAnsi="Times New Roman"/>
          <w:noProof/>
          <w:szCs w:val="24"/>
        </w:rPr>
      </w:pPr>
    </w:p>
    <w:p>
      <w:pPr>
        <w:rPr>
          <w:rFonts w:ascii="Times New Roman" w:hAnsi="Times New Roman"/>
          <w:noProof/>
          <w:szCs w:val="24"/>
        </w:rPr>
      </w:pPr>
    </w:p>
    <w:p>
      <w:pPr>
        <w:rPr>
          <w:rFonts w:ascii="Times New Roman" w:hAnsi="Times New Roman"/>
          <w:noProof/>
          <w:szCs w:val="24"/>
        </w:rPr>
      </w:pPr>
    </w:p>
    <w:p>
      <w:pPr>
        <w:rPr>
          <w:rFonts w:ascii="Times New Roman" w:hAnsi="Times New Roman"/>
          <w:noProof/>
          <w:szCs w:val="24"/>
        </w:rPr>
      </w:pPr>
    </w:p>
    <w:p>
      <w:pPr>
        <w:rPr>
          <w:rFonts w:ascii="Times New Roman" w:hAnsi="Times New Roman"/>
          <w:noProof/>
          <w:szCs w:val="24"/>
        </w:rPr>
      </w:pPr>
    </w:p>
    <w:p>
      <w:pPr>
        <w:rPr>
          <w:rFonts w:ascii="Times New Roman" w:hAnsi="Times New Roman"/>
          <w:noProof/>
          <w:szCs w:val="24"/>
        </w:rPr>
      </w:pPr>
    </w:p>
    <w:p>
      <w:pPr>
        <w:pStyle w:val="Heading1"/>
        <w:rPr>
          <w:noProof/>
        </w:rPr>
      </w:pPr>
    </w:p>
    <w:p>
      <w:pPr>
        <w:rPr>
          <w:rFonts w:ascii="Times New Roman" w:hAnsi="Times New Roman"/>
          <w:noProof/>
          <w:sz w:val="24"/>
          <w:szCs w:val="24"/>
        </w:rPr>
      </w:pPr>
      <w:bookmarkStart w:id="4" w:name="_Toc490850418"/>
      <w:bookmarkStart w:id="5" w:name="_Toc519009671"/>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rPr>
          <w:noProof/>
        </w:rPr>
      </w:pPr>
    </w:p>
    <w:p>
      <w:pPr>
        <w:pStyle w:val="Heading1"/>
        <w:rPr>
          <w:noProof/>
        </w:rPr>
      </w:pPr>
    </w:p>
    <w:p>
      <w:pPr>
        <w:pStyle w:val="Heading1"/>
        <w:rPr>
          <w:noProof/>
        </w:rPr>
      </w:pPr>
    </w:p>
    <w:p>
      <w:pPr>
        <w:pStyle w:val="Heading1"/>
        <w:rPr>
          <w:noProof/>
        </w:rPr>
      </w:pPr>
      <w:bookmarkStart w:id="6" w:name="_Toc56071826"/>
      <w:r>
        <w:rPr>
          <w:noProof/>
        </w:rPr>
        <w:t>1. ВЪВЕДЕНИ</w:t>
      </w:r>
      <w:bookmarkEnd w:id="4"/>
      <w:bookmarkEnd w:id="5"/>
      <w:r>
        <w:rPr>
          <w:noProof/>
        </w:rPr>
        <w:t>Е</w:t>
      </w:r>
      <w:bookmarkEnd w:id="6"/>
    </w:p>
    <w:p>
      <w:pPr>
        <w:jc w:val="both"/>
        <w:rPr>
          <w:rFonts w:ascii="Times New Roman" w:hAnsi="Times New Roman"/>
          <w:noProof/>
          <w:sz w:val="24"/>
          <w:szCs w:val="24"/>
        </w:rPr>
      </w:pPr>
      <w:r>
        <w:rPr>
          <w:rFonts w:ascii="Times New Roman" w:hAnsi="Times New Roman"/>
          <w:noProof/>
          <w:sz w:val="24"/>
          <w:szCs w:val="24"/>
        </w:rPr>
        <w:t xml:space="preserve">От 2005 г. насам системата за търговия с емисии на ЕС (СТЕ на ЕС) е в основата на стратегията на ЕС за намаляване на емисиите на парникови газове (ПГ) от промишлеността и производството на електрическа и топлинна енергия. Тя има съществен принос за постигането на общата цел на ЕС за намаляване на емисиите на ПГ с 20 % спрямо равнищата от 1990 г. до 2020 г, която ЕС е на път да преизпълни. </w:t>
      </w:r>
    </w:p>
    <w:p>
      <w:pPr>
        <w:jc w:val="both"/>
        <w:rPr>
          <w:rFonts w:ascii="Times New Roman" w:hAnsi="Times New Roman"/>
          <w:noProof/>
          <w:sz w:val="24"/>
          <w:szCs w:val="24"/>
        </w:rPr>
      </w:pPr>
      <w:r>
        <w:rPr>
          <w:rFonts w:ascii="Times New Roman" w:hAnsi="Times New Roman"/>
          <w:noProof/>
          <w:sz w:val="24"/>
          <w:szCs w:val="24"/>
        </w:rPr>
        <w:t>Настоящият доклад за функционирането на европейския пазар на въглеродни емисии е представен в съответствие с изискванията на член 10, параграф 5 и член 21, параграф 2 от Директива 2003/87/ЕО</w:t>
      </w:r>
      <w:r>
        <w:rPr>
          <w:rStyle w:val="FootnoteReference"/>
          <w:rFonts w:ascii="Times New Roman" w:hAnsi="Times New Roman"/>
          <w:noProof/>
          <w:sz w:val="24"/>
          <w:szCs w:val="24"/>
        </w:rPr>
        <w:footnoteReference w:id="1"/>
      </w:r>
      <w:r>
        <w:rPr>
          <w:rFonts w:ascii="Times New Roman" w:hAnsi="Times New Roman"/>
          <w:noProof/>
          <w:sz w:val="24"/>
          <w:szCs w:val="24"/>
        </w:rPr>
        <w:t xml:space="preserve"> (Директива за СТЕ на ЕС). Целта на доклада е да предоставя ежегодно картина на развитието на европейския пазар на въглеродни емисии. Докладът обхваща 2019 г., но представя и развитието през първата половина на 2020 г.</w:t>
      </w:r>
    </w:p>
    <w:p>
      <w:pPr>
        <w:jc w:val="both"/>
        <w:rPr>
          <w:rFonts w:ascii="Times New Roman" w:hAnsi="Times New Roman"/>
          <w:b/>
          <w:noProof/>
          <w:sz w:val="24"/>
          <w:szCs w:val="24"/>
        </w:rPr>
      </w:pPr>
      <w:r>
        <w:rPr>
          <w:rFonts w:ascii="Times New Roman" w:hAnsi="Times New Roman"/>
          <w:noProof/>
          <w:sz w:val="24"/>
          <w:szCs w:val="24"/>
        </w:rPr>
        <w:t>С поглед към следващото десетилетие в съобщението на Комисията относно плана във връзка с целта в областта на климата до 2030 г.</w:t>
      </w:r>
      <w:r>
        <w:rPr>
          <w:rStyle w:val="FootnoteReference"/>
          <w:rFonts w:ascii="Times New Roman" w:hAnsi="Times New Roman"/>
          <w:noProof/>
          <w:sz w:val="24"/>
          <w:szCs w:val="24"/>
        </w:rPr>
        <w:footnoteReference w:id="2"/>
      </w:r>
      <w:r>
        <w:rPr>
          <w:rFonts w:ascii="Times New Roman" w:hAnsi="Times New Roman"/>
          <w:noProof/>
          <w:sz w:val="24"/>
          <w:szCs w:val="24"/>
        </w:rPr>
        <w:t xml:space="preserve"> се предлага да се увеличи целта на ЕС за намаляване на емисиите на ПГ до 2030 г. от 40 % на най-малко 55 % в сравнение с равнищата от 1990 г. За постигането на тази по-висока амбиция, до юни 2021 г. Комисията ще преразгледа и предложи преразглеждането, когато е необходимо, на цялата съответна свързана с климата политика. Като част от по-широкия пакет от законодателни актове по линия на Европейския зелен пакт</w:t>
      </w:r>
      <w:r>
        <w:rPr>
          <w:rStyle w:val="FootnoteReference"/>
          <w:rFonts w:ascii="Times New Roman" w:hAnsi="Times New Roman"/>
          <w:noProof/>
          <w:sz w:val="24"/>
          <w:szCs w:val="24"/>
        </w:rPr>
        <w:footnoteReference w:id="3"/>
      </w:r>
      <w:r>
        <w:rPr>
          <w:rFonts w:ascii="Times New Roman" w:hAnsi="Times New Roman"/>
          <w:noProof/>
          <w:sz w:val="24"/>
          <w:szCs w:val="24"/>
        </w:rPr>
        <w:t>, СТЕ на ЕС също ще бъде преразгледана, включително евентуално разширяване на системата и включване на нови сектори.</w:t>
      </w:r>
      <w:r>
        <w:rPr>
          <w:noProof/>
        </w:rPr>
        <w:t xml:space="preserve"> </w:t>
      </w:r>
    </w:p>
    <w:p>
      <w:pPr>
        <w:jc w:val="both"/>
        <w:rPr>
          <w:rFonts w:ascii="Times New Roman" w:hAnsi="Times New Roman"/>
          <w:noProof/>
          <w:sz w:val="24"/>
          <w:szCs w:val="24"/>
        </w:rPr>
      </w:pPr>
      <w:r>
        <w:rPr>
          <w:rFonts w:ascii="Times New Roman" w:hAnsi="Times New Roman"/>
          <w:noProof/>
          <w:sz w:val="24"/>
          <w:szCs w:val="24"/>
        </w:rPr>
        <w:t>След преразглеждането на Директивата за СТЕ</w:t>
      </w:r>
      <w:r>
        <w:rPr>
          <w:rStyle w:val="FootnoteReference"/>
          <w:rFonts w:ascii="Times New Roman" w:hAnsi="Times New Roman"/>
          <w:noProof/>
          <w:sz w:val="24"/>
          <w:szCs w:val="24"/>
        </w:rPr>
        <w:footnoteReference w:id="4"/>
      </w:r>
      <w:r>
        <w:rPr>
          <w:rFonts w:ascii="Times New Roman" w:hAnsi="Times New Roman"/>
          <w:noProof/>
          <w:sz w:val="24"/>
          <w:szCs w:val="24"/>
        </w:rPr>
        <w:t xml:space="preserve"> работата по прилагането на фаза 4</w:t>
      </w:r>
      <w:r>
        <w:rPr>
          <w:rStyle w:val="FootnoteReference"/>
          <w:rFonts w:ascii="Times New Roman" w:hAnsi="Times New Roman"/>
          <w:noProof/>
          <w:sz w:val="24"/>
          <w:szCs w:val="24"/>
        </w:rPr>
        <w:footnoteReference w:id="5"/>
      </w:r>
      <w:r>
        <w:rPr>
          <w:rFonts w:ascii="Times New Roman" w:hAnsi="Times New Roman"/>
          <w:noProof/>
          <w:sz w:val="24"/>
          <w:szCs w:val="24"/>
        </w:rPr>
        <w:t xml:space="preserve"> е започната и напредва бързо. През изминалата година беше прието законодателство за прилагане за коригиране на безплатното разпределение на квоти въз основа на промени</w:t>
      </w:r>
      <w:r>
        <w:rPr>
          <w:rStyle w:val="FootnoteReference"/>
          <w:rFonts w:ascii="Times New Roman" w:hAnsi="Times New Roman"/>
          <w:noProof/>
          <w:sz w:val="24"/>
          <w:szCs w:val="24"/>
        </w:rPr>
        <w:footnoteReference w:id="6"/>
      </w:r>
      <w:r>
        <w:rPr>
          <w:rFonts w:ascii="Times New Roman" w:hAnsi="Times New Roman"/>
          <w:noProof/>
          <w:sz w:val="24"/>
          <w:szCs w:val="24"/>
        </w:rPr>
        <w:t xml:space="preserve"> на равнището на активност и на функционирането на Модернизационния фонд</w:t>
      </w:r>
      <w:r>
        <w:rPr>
          <w:rStyle w:val="FootnoteReference"/>
          <w:rFonts w:ascii="Times New Roman" w:hAnsi="Times New Roman"/>
          <w:noProof/>
          <w:sz w:val="24"/>
          <w:szCs w:val="24"/>
        </w:rPr>
        <w:footnoteReference w:id="7"/>
      </w:r>
      <w:r>
        <w:rPr>
          <w:rFonts w:ascii="Times New Roman" w:hAnsi="Times New Roman"/>
          <w:noProof/>
          <w:sz w:val="24"/>
          <w:szCs w:val="24"/>
        </w:rPr>
        <w:t xml:space="preserve"> и беше завършено второто преразглеждане на Регламента за тръжната продажба</w:t>
      </w:r>
      <w:r>
        <w:rPr>
          <w:rStyle w:val="FootnoteReference"/>
          <w:rFonts w:ascii="Times New Roman" w:hAnsi="Times New Roman"/>
          <w:noProof/>
          <w:sz w:val="24"/>
          <w:szCs w:val="24"/>
        </w:rPr>
        <w:footnoteReference w:id="8"/>
      </w:r>
      <w:r>
        <w:rPr>
          <w:rFonts w:ascii="Times New Roman" w:hAnsi="Times New Roman"/>
          <w:noProof/>
          <w:sz w:val="24"/>
          <w:szCs w:val="24"/>
        </w:rPr>
        <w:t xml:space="preserve"> за прилагане на изискванията на фаза 4 (вж. глави 3.1.2.1, 3.1.2.2 и 3.1.2.6). Останалите разпоредби за прилагане понастоящем се довършват, с цел да бъдат приети преди януари 2021 г.</w:t>
      </w:r>
    </w:p>
    <w:p>
      <w:pPr>
        <w:jc w:val="both"/>
        <w:rPr>
          <w:rFonts w:ascii="Times New Roman" w:hAnsi="Times New Roman"/>
          <w:noProof/>
          <w:sz w:val="24"/>
          <w:szCs w:val="24"/>
        </w:rPr>
      </w:pPr>
      <w:r>
        <w:rPr>
          <w:rFonts w:ascii="Times New Roman" w:hAnsi="Times New Roman"/>
          <w:noProof/>
          <w:sz w:val="24"/>
          <w:szCs w:val="24"/>
        </w:rPr>
        <w:t>От публикуването на последния доклад за пазара на въглеродни емисии</w:t>
      </w:r>
      <w:r>
        <w:rPr>
          <w:rStyle w:val="FootnoteReference"/>
          <w:rFonts w:ascii="Times New Roman" w:hAnsi="Times New Roman"/>
          <w:noProof/>
          <w:sz w:val="24"/>
          <w:szCs w:val="24"/>
        </w:rPr>
        <w:footnoteReference w:id="9"/>
      </w:r>
      <w:r>
        <w:rPr>
          <w:rFonts w:ascii="Times New Roman" w:hAnsi="Times New Roman"/>
          <w:noProof/>
          <w:sz w:val="24"/>
          <w:szCs w:val="24"/>
        </w:rPr>
        <w:t>, показателят за излишък на резерва за стабилност на пазара бе публикуван за четвърти път, като показва, че през 2019 г. излишъкът от квоти е намалял от 1,65 милиарда през 2018 г. на около 1,39 милиарда квоти</w:t>
      </w:r>
      <w:r>
        <w:rPr>
          <w:rStyle w:val="FootnoteReference"/>
          <w:rFonts w:ascii="Times New Roman" w:hAnsi="Times New Roman"/>
          <w:noProof/>
          <w:sz w:val="24"/>
          <w:szCs w:val="24"/>
        </w:rPr>
        <w:footnoteReference w:id="10"/>
      </w:r>
      <w:r>
        <w:rPr>
          <w:rFonts w:ascii="Times New Roman" w:hAnsi="Times New Roman"/>
          <w:noProof/>
          <w:sz w:val="24"/>
          <w:szCs w:val="24"/>
        </w:rPr>
        <w:t xml:space="preserve">. Въз основа на този показател и на преразгледаното законодателство на ЕС за СТЕ тръжното предлагане на квоти през 2020 г. ще бъде намалено с около 375 милиона квоти (почти 35 %) (вж. глава 3.3).  </w:t>
      </w:r>
    </w:p>
    <w:p>
      <w:pPr>
        <w:jc w:val="both"/>
        <w:rPr>
          <w:rFonts w:ascii="Times New Roman" w:hAnsi="Times New Roman"/>
          <w:noProof/>
          <w:sz w:val="24"/>
          <w:szCs w:val="24"/>
        </w:rPr>
      </w:pPr>
      <w:r>
        <w:rPr>
          <w:rFonts w:ascii="Times New Roman" w:hAnsi="Times New Roman"/>
          <w:noProof/>
          <w:sz w:val="24"/>
          <w:szCs w:val="24"/>
        </w:rPr>
        <w:t xml:space="preserve">През 2019 г. е наблюдавано значително намаление на емисиите от стационарни инсталации с 9,1 % в сравнение с 2018 г. (вж. глава 3.2). Спадът се дължи основно на енергийния сектор, където емисиите са спаднали с близо 15 % в резултат на замяната на въглищата с електроенергия от възобновяеми източници и производство на електроенергия от газ. С това последно намаление общите емисии от стационарни инсталации от началото на фаза 3 на СТЕ на ЕС са намалели с близо 20 %. В сектора на въздухоплаването емисиите продължиха да нарастват, като се отбелязва леко увеличение от 1 % в сравнение с 2018 г. (вж. глава 4). </w:t>
      </w:r>
    </w:p>
    <w:p>
      <w:pPr>
        <w:jc w:val="both"/>
        <w:rPr>
          <w:rFonts w:ascii="Times New Roman" w:hAnsi="Times New Roman"/>
          <w:noProof/>
          <w:sz w:val="24"/>
          <w:szCs w:val="24"/>
        </w:rPr>
      </w:pPr>
      <w:r>
        <w:rPr>
          <w:rFonts w:ascii="Times New Roman" w:hAnsi="Times New Roman"/>
          <w:noProof/>
          <w:sz w:val="24"/>
          <w:szCs w:val="24"/>
        </w:rPr>
        <w:t>Имаше също така нови важни политически събития във връзка със СТЕ, като влизането в сила на споразумението за свързване на СТЕ на ЕС със СТЕ на Швейцария на 1 януари 2020 г. и отмяната на временното прекратяване на процесите на тръжна продажба и на безплатно разпределение в Обединеното кралство след влизането в сила на Споразумението за оттегляне на Обединеното кралство от ЕС (вж. глава 2.2).</w:t>
      </w:r>
    </w:p>
    <w:p>
      <w:pPr>
        <w:jc w:val="both"/>
        <w:rPr>
          <w:rFonts w:ascii="Times New Roman" w:hAnsi="Times New Roman"/>
          <w:noProof/>
          <w:sz w:val="24"/>
          <w:szCs w:val="24"/>
        </w:rPr>
      </w:pPr>
      <w:r>
        <w:rPr>
          <w:rFonts w:ascii="Times New Roman" w:hAnsi="Times New Roman"/>
          <w:noProof/>
          <w:sz w:val="24"/>
          <w:szCs w:val="24"/>
        </w:rPr>
        <w:t>Не на последно място, извънредното положение във връзка с COVID-19 доведе до значително краткосрочно понижение на цената на въглеродния диоксид през март/април 2020 г. Въпреки това, ценовият сигнал за емисиите на въглероден диоксид остана стабилен на около 24 EUR</w:t>
      </w:r>
      <w:r>
        <w:rPr>
          <w:rStyle w:val="FootnoteReference"/>
          <w:rFonts w:ascii="Times New Roman" w:hAnsi="Times New Roman"/>
          <w:noProof/>
          <w:sz w:val="24"/>
          <w:szCs w:val="24"/>
        </w:rPr>
        <w:footnoteReference w:id="11"/>
      </w:r>
      <w:r>
        <w:rPr>
          <w:rFonts w:ascii="Times New Roman" w:hAnsi="Times New Roman"/>
          <w:noProof/>
          <w:sz w:val="24"/>
          <w:szCs w:val="24"/>
        </w:rPr>
        <w:t xml:space="preserve"> средно между януари 2019 г. и края на юни 2020 г. Приходите от тръжната продажба на квоти за емисии надхвърлят 14 млрд. евро само през 2019 г. и 7,9 млрд. евро за първите шест месеца на 2020 г. Въз основа на данните, подадени от държавите членки, през 2019 г. общо 77 % от тези приходи са били изразходвани (или е било планирано да се изразходват) за определени цели, свързани с климата и енергетиката (вж. глава 3.1.2.2).</w:t>
      </w:r>
    </w:p>
    <w:p>
      <w:pPr>
        <w:jc w:val="both"/>
        <w:rPr>
          <w:rFonts w:ascii="Times New Roman" w:hAnsi="Times New Roman"/>
          <w:noProof/>
          <w:sz w:val="24"/>
          <w:szCs w:val="24"/>
        </w:rPr>
      </w:pPr>
      <w:r>
        <w:rPr>
          <w:rFonts w:ascii="Times New Roman" w:hAnsi="Times New Roman"/>
          <w:noProof/>
          <w:sz w:val="24"/>
          <w:szCs w:val="24"/>
        </w:rPr>
        <w:t>Освен ако не е посочено друго, в настоящия доклад са използвани публично достъпни данни и данни, с които Комисията е разполагала към месец юни 2020 г</w:t>
      </w:r>
      <w:r>
        <w:rPr>
          <w:rStyle w:val="FootnoteReference"/>
          <w:rFonts w:ascii="Times New Roman" w:hAnsi="Times New Roman"/>
          <w:noProof/>
          <w:sz w:val="24"/>
          <w:szCs w:val="24"/>
        </w:rPr>
        <w:footnoteReference w:id="12"/>
      </w:r>
      <w:r>
        <w:rPr>
          <w:rFonts w:ascii="Times New Roman" w:hAnsi="Times New Roman"/>
          <w:noProof/>
          <w:sz w:val="24"/>
          <w:szCs w:val="24"/>
        </w:rPr>
        <w:t>. Обща и описателна информация относно СТЕ на ЕС е включена в текстови карета, разположени в текста на доклада.</w:t>
      </w:r>
      <w:bookmarkStart w:id="7" w:name="_Toc427931123"/>
      <w:bookmarkEnd w:id="7"/>
    </w:p>
    <w:p>
      <w:pPr>
        <w:jc w:val="both"/>
        <w:rPr>
          <w:rFonts w:ascii="Times New Roman" w:hAnsi="Times New Roman"/>
          <w:noProof/>
          <w:sz w:val="24"/>
          <w:szCs w:val="24"/>
        </w:rPr>
      </w:pPr>
    </w:p>
    <w:p>
      <w:pPr>
        <w:jc w:val="both"/>
        <w:rPr>
          <w:rFonts w:ascii="Times New Roman" w:hAnsi="Times New Roman"/>
          <w:noProof/>
          <w:sz w:val="24"/>
          <w:szCs w:val="24"/>
        </w:rPr>
      </w:pPr>
    </w:p>
    <w:p>
      <w:pPr>
        <w:pStyle w:val="Heading1"/>
        <w:rPr>
          <w:noProof/>
        </w:rPr>
      </w:pPr>
      <w:bookmarkStart w:id="8" w:name="_Toc56071827"/>
      <w:r>
        <w:rPr>
          <w:noProof/>
        </w:rPr>
        <w:t>2. ИНФРАСТРУКТУРА НА СТЕ НА ЕС</w:t>
      </w:r>
      <w:bookmarkStart w:id="9" w:name="_Toc490850420"/>
      <w:bookmarkStart w:id="10" w:name="_Toc519009676"/>
      <w:bookmarkEnd w:id="8"/>
    </w:p>
    <w:p>
      <w:pPr>
        <w:jc w:val="both"/>
        <w:rPr>
          <w:rFonts w:ascii="Times New Roman" w:eastAsia="Times New Roman" w:hAnsi="Times New Roman"/>
          <w:b/>
          <w:bCs/>
          <w:noProof/>
          <w:kern w:val="32"/>
          <w:sz w:val="24"/>
          <w:szCs w:val="32"/>
        </w:rPr>
      </w:pPr>
      <w:r>
        <w:rPr>
          <w:rFonts w:ascii="Times New Roman" w:hAnsi="Times New Roman"/>
          <w:b/>
          <w:bCs/>
          <w:noProof/>
          <w:sz w:val="24"/>
          <w:szCs w:val="32"/>
        </w:rPr>
        <w:t>2.1 Обхванати дейности, инсталации и оператори на въздухоплавателни средства</w:t>
      </w:r>
    </w:p>
    <w:p>
      <w:pPr>
        <w:rPr>
          <w:rFonts w:ascii="Times New Roman" w:eastAsia="Times New Roman" w:hAnsi="Times New Roman"/>
          <w:b/>
          <w:bCs/>
          <w:noProof/>
          <w:kern w:val="32"/>
          <w:sz w:val="24"/>
          <w:szCs w:val="32"/>
        </w:rPr>
      </w:pPr>
      <w:r>
        <w:rPr>
          <w:rFonts w:ascii="Times New Roman" w:hAnsi="Times New Roman"/>
          <w:b/>
          <w:bCs/>
          <w:noProof/>
          <w:sz w:val="24"/>
          <w:szCs w:val="32"/>
          <w:lang w:val="en-GB" w:eastAsia="en-GB"/>
        </w:rPr>
        <mc:AlternateContent>
          <mc:Choice Requires="wps">
            <w:drawing>
              <wp:inline distT="0" distB="0" distL="0" distR="0">
                <wp:extent cx="5691226" cy="9315450"/>
                <wp:effectExtent l="0" t="0" r="2413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1226" cy="9315450"/>
                        </a:xfrm>
                        <a:prstGeom prst="rect">
                          <a:avLst/>
                        </a:prstGeom>
                        <a:solidFill>
                          <a:sysClr val="window" lastClr="FFFFFF">
                            <a:lumMod val="85000"/>
                          </a:sysClr>
                        </a:solidFill>
                        <a:ln w="12700">
                          <a:solidFill>
                            <a:srgbClr val="000000"/>
                          </a:solidFill>
                          <a:miter lim="800000"/>
                          <a:headEnd/>
                          <a:tailEnd/>
                        </a:ln>
                      </wps:spPr>
                      <wps:txbx>
                        <w:txbxContent>
                          <w:p>
                            <w:pPr>
                              <w:suppressAutoHyphens/>
                              <w:jc w:val="both"/>
                              <w:rPr>
                                <w:rFonts w:ascii="Times New Roman" w:hAnsi="Times New Roman"/>
                                <w:sz w:val="24"/>
                                <w:szCs w:val="24"/>
                              </w:rPr>
                            </w:pPr>
                            <w:r>
                              <w:rPr>
                                <w:rFonts w:ascii="Times New Roman" w:hAnsi="Times New Roman"/>
                                <w:sz w:val="24"/>
                                <w:szCs w:val="24"/>
                              </w:rPr>
                              <w:t>СТЕ на ЕС понастоящем функционира в 27-те държави — членки на ЕС, Исландия, Лихтенщайн и Норвегия, както и в Обединеното кралство до края на 2020 г. Считано от 1 януари 2020 г., СТЕ на ЕС е свързана и с швейцарския пазар на въглеродни емисии (вж. глава 2.2). От 2021 г., освен държавите от ЕС и ЕИП/ЕАСТ, СТЕ на ЕС ще обхваща инсталациите за производство на електроенергия в Северна Ирландия. Системата регулира емисии от почти 11 000 електроцентрали и производствени инсталации, както и около 600 оператора на въздухоплавателни средства, които изпълняват полети от/към летищата на ЕИП. Тя обхваща около 38 % от емисиите на ПГ в ЕС.</w:t>
                            </w:r>
                          </w:p>
                          <w:p>
                            <w:pPr>
                              <w:jc w:val="both"/>
                              <w:rPr>
                                <w:rFonts w:ascii="Times New Roman" w:hAnsi="Times New Roman"/>
                                <w:sz w:val="24"/>
                                <w:szCs w:val="24"/>
                              </w:rPr>
                            </w:pPr>
                            <w:r>
                              <w:rPr>
                                <w:rFonts w:ascii="Times New Roman" w:hAnsi="Times New Roman"/>
                                <w:sz w:val="24"/>
                                <w:szCs w:val="24"/>
                              </w:rPr>
                              <w:t>През фаза 3 от СТЕ на ЕС (2013—2020 г.)* секторите със стационарни инсталации, регулирани от СТЕ на ЕС, са енергоемките промишлени отрасли, включително електроцентрали и други горивни инсталации с номинална входяща топлинна мощност &gt; 20 MW (с изключение на инсталациите за изгаряне на опасни или битови отпадъци), нефтените рафинерии, коксовите пещи, производството на чугун и стомана, цимент и клинкер, стъкло, вар, тухли, керамични продукти, целулоза, хартия и картон, алуминий, нефтохимични продукти, амоняк, азотна и адипинова киселина, глиоксал и глиоксилова киселина, улавянето на CO</w:t>
                            </w:r>
                            <w:r>
                              <w:rPr>
                                <w:rFonts w:ascii="Times New Roman" w:hAnsi="Times New Roman"/>
                                <w:sz w:val="24"/>
                                <w:szCs w:val="24"/>
                                <w:vertAlign w:val="subscript"/>
                              </w:rPr>
                              <w:t>2</w:t>
                            </w:r>
                            <w:r>
                              <w:rPr>
                                <w:rFonts w:ascii="Times New Roman" w:hAnsi="Times New Roman"/>
                                <w:sz w:val="24"/>
                                <w:szCs w:val="24"/>
                              </w:rPr>
                              <w:t>, преносът по тръбопроводи и съхранението на CO</w:t>
                            </w:r>
                            <w:r>
                              <w:rPr>
                                <w:rFonts w:ascii="Times New Roman" w:hAnsi="Times New Roman"/>
                                <w:sz w:val="24"/>
                                <w:szCs w:val="24"/>
                                <w:vertAlign w:val="subscript"/>
                              </w:rPr>
                              <w:t>2</w:t>
                            </w:r>
                            <w:r>
                              <w:rPr>
                                <w:rFonts w:ascii="Times New Roman" w:hAnsi="Times New Roman"/>
                                <w:sz w:val="24"/>
                                <w:szCs w:val="24"/>
                              </w:rPr>
                              <w:t xml:space="preserve"> в геоложки формации. </w:t>
                            </w:r>
                          </w:p>
                          <w:p>
                            <w:pPr>
                              <w:jc w:val="both"/>
                              <w:rPr>
                                <w:rFonts w:ascii="Times New Roman" w:hAnsi="Times New Roman"/>
                                <w:sz w:val="24"/>
                                <w:szCs w:val="24"/>
                              </w:rPr>
                            </w:pPr>
                            <w:r>
                              <w:rPr>
                                <w:rFonts w:ascii="Times New Roman" w:hAnsi="Times New Roman"/>
                                <w:sz w:val="24"/>
                                <w:szCs w:val="24"/>
                              </w:rPr>
                              <w:t>В периода 2013—2016 г. обхватът по отношение на въздухоплаването на СТЕ на ЕС беше ограничен до полети в рамките на Европейското икономическо пространство (ЕИП), за да се поддържа динамиката в Международната организация за гражданско въздухоплаване (ИКАО) с цел</w:t>
                            </w:r>
                            <w:r>
                              <w:t xml:space="preserve"> </w:t>
                            </w:r>
                            <w:r>
                              <w:rPr>
                                <w:rFonts w:ascii="Times New Roman" w:hAnsi="Times New Roman"/>
                                <w:sz w:val="24"/>
                                <w:szCs w:val="24"/>
                              </w:rPr>
                              <w:t xml:space="preserve"> договаряне на международно споразумение за контрол на емисиите на парникови газове от въздухоплаването. За да продължи да се поддържа динамиката и да се улесни привеждането в действие на схемата за компенсиране и намаляване на въглеродните емисии на ИКАО за международното въздухоплаване (CORSIA), както и да се улесни функционирането на схемата, през 2017 г. ограничението за полетите в рамките на ЕИП беше удължено до 2023 г. (вж. глава 4). </w:t>
                            </w:r>
                          </w:p>
                          <w:p>
                            <w:pPr>
                              <w:jc w:val="both"/>
                              <w:rPr>
                                <w:rFonts w:ascii="Times New Roman" w:hAnsi="Times New Roman"/>
                                <w:sz w:val="24"/>
                                <w:szCs w:val="24"/>
                              </w:rPr>
                            </w:pPr>
                            <w:r>
                              <w:rPr>
                                <w:rFonts w:ascii="Times New Roman" w:hAnsi="Times New Roman"/>
                                <w:sz w:val="24"/>
                                <w:szCs w:val="24"/>
                              </w:rPr>
                              <w:t>СТЕ на ЕС обхваща емисиите на въглероден диоксид (CO</w:t>
                            </w:r>
                            <w:r>
                              <w:rPr>
                                <w:rFonts w:ascii="Times New Roman" w:hAnsi="Times New Roman"/>
                                <w:sz w:val="24"/>
                                <w:szCs w:val="24"/>
                                <w:vertAlign w:val="subscript"/>
                              </w:rPr>
                              <w:t>2</w:t>
                            </w:r>
                            <w:r>
                              <w:rPr>
                                <w:rFonts w:ascii="Times New Roman" w:hAnsi="Times New Roman"/>
                                <w:sz w:val="24"/>
                                <w:szCs w:val="24"/>
                              </w:rPr>
                              <w:t>), емисиите на двуазотен оксид (N</w:t>
                            </w:r>
                            <w:r>
                              <w:rPr>
                                <w:rFonts w:ascii="Times New Roman" w:hAnsi="Times New Roman"/>
                                <w:sz w:val="24"/>
                                <w:szCs w:val="24"/>
                                <w:vertAlign w:val="subscript"/>
                              </w:rPr>
                              <w:t>2</w:t>
                            </w:r>
                            <w:r>
                              <w:rPr>
                                <w:rFonts w:ascii="Times New Roman" w:hAnsi="Times New Roman"/>
                                <w:sz w:val="24"/>
                                <w:szCs w:val="24"/>
                              </w:rPr>
                              <w:t>O) от производства на азотна, адипинова и глиоксилова киселина и на глиоксал, както и емисиите на перфлуоровъглероди (PFC) от производството на алуминий. Макар че участието в СТЕ на ЕС е задължително, в някои сектори са включени само инсталации над определена големина. Освен това участващите държави могат да изключват от обхвата на схемата малки инсталации (емитиращи по-малко от 25 000 тона CO</w:t>
                            </w:r>
                            <w:r>
                              <w:rPr>
                                <w:rFonts w:ascii="Times New Roman" w:hAnsi="Times New Roman"/>
                                <w:sz w:val="24"/>
                                <w:szCs w:val="24"/>
                                <w:vertAlign w:val="subscript"/>
                              </w:rPr>
                              <w:t>2e</w:t>
                            </w:r>
                            <w:r>
                              <w:rPr>
                                <w:rFonts w:ascii="Times New Roman" w:hAnsi="Times New Roman"/>
                                <w:sz w:val="24"/>
                                <w:szCs w:val="24"/>
                              </w:rPr>
                              <w:t>), ако са въведени алтернативни и еквивалентни мерки. През фаза 4 (2021—2030 г.) инсталации с много малко емисии (с докладвани емисии, които не надвишават 2 500 тона CO</w:t>
                            </w:r>
                            <w:r>
                              <w:rPr>
                                <w:rFonts w:ascii="Times New Roman" w:hAnsi="Times New Roman"/>
                                <w:sz w:val="24"/>
                                <w:szCs w:val="24"/>
                                <w:vertAlign w:val="subscript"/>
                              </w:rPr>
                              <w:t xml:space="preserve">2e </w:t>
                            </w:r>
                            <w:r>
                              <w:rPr>
                                <w:rFonts w:ascii="Times New Roman" w:hAnsi="Times New Roman"/>
                                <w:sz w:val="24"/>
                                <w:szCs w:val="24"/>
                              </w:rPr>
                              <w:t xml:space="preserve"> през последните три години) могат да бъдат изключени от СТЕ на ЕС при наличието на опростени условия за мониторинг за оценка на количеството на техните емисии. Участващите държави могат също така да добавят повече сектори и ПГ в СТЕ на ЕС (т.нар. сектори/ПГ „по избор“).</w:t>
                            </w:r>
                          </w:p>
                          <w:p>
                            <w:pPr>
                              <w:jc w:val="both"/>
                              <w:rPr>
                                <w:rFonts w:ascii="Times New Roman" w:hAnsi="Times New Roman"/>
                                <w:sz w:val="18"/>
                                <w:szCs w:val="18"/>
                              </w:rPr>
                            </w:pPr>
                            <w:r>
                              <w:rPr>
                                <w:rFonts w:ascii="Times New Roman" w:hAnsi="Times New Roman"/>
                                <w:sz w:val="18"/>
                                <w:szCs w:val="18"/>
                              </w:rPr>
                              <w:t>* Информация относно фази 1 и 2 на СТЕ на ЕС може да бъде намерена на следния адрес:</w:t>
                            </w:r>
                            <w:r>
                              <w:rPr>
                                <w:rFonts w:ascii="Times New Roman" w:hAnsi="Times New Roman"/>
                                <w:sz w:val="24"/>
                                <w:szCs w:val="24"/>
                              </w:rPr>
                              <w:t xml:space="preserve"> </w:t>
                            </w:r>
                            <w:hyperlink r:id="rId16" w:history="1">
                              <w:r>
                                <w:rPr>
                                  <w:rStyle w:val="Hyperlink"/>
                                  <w:rFonts w:ascii="Times New Roman" w:hAnsi="Times New Roman"/>
                                  <w:sz w:val="18"/>
                                  <w:szCs w:val="18"/>
                                </w:rPr>
                                <w:t>https://ec.europa.eu/clima/policies/ets/pre2013_en</w:t>
                              </w:r>
                            </w:hyperlink>
                            <w:r>
                              <w:rPr>
                                <w:rFonts w:ascii="Times New Roman" w:hAnsi="Times New Roman"/>
                                <w:sz w:val="18"/>
                                <w:szCs w:val="18"/>
                              </w:rPr>
                              <w:t xml:space="preserve"> </w:t>
                            </w:r>
                          </w:p>
                          <w:p>
                            <w:pPr>
                              <w:jc w:val="both"/>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48.15pt;height:7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" fillcolor="#d9d9d9" strokeweight="1pt">
                <v:textbox>
                  <w:txbxContent>
                    <w:p>
                      <w:pPr>
                        <w:suppressAutoHyphens/>
                        <w:jc w:val="both"/>
                        <w:rPr>
                          <w:rFonts w:ascii="Times New Roman" w:hAnsi="Times New Roman"/>
                          <w:sz w:val="24"/>
                          <w:szCs w:val="24"/>
                        </w:rPr>
                      </w:pPr>
                      <w:r>
                        <w:rPr>
                          <w:rFonts w:ascii="Times New Roman" w:hAnsi="Times New Roman"/>
                          <w:sz w:val="24"/>
                          <w:szCs w:val="24"/>
                        </w:rPr>
                        <w:t>СТЕ на ЕС понастоящем функционира в 27-те държави — членки на ЕС, Исландия, Лихтенщайн и Норвегия, както и в Обединеното кралство до края на 2020 г. Считано от 1 януари 2020 г., СТЕ на ЕС е свързана и с швейцарския пазар на въглеродни емисии (вж. глава 2.2). От 2021 г., освен държавите от ЕС и ЕИП/ЕАСТ, СТЕ на ЕС ще обхваща инсталациите за производство на електроенергия в Северна Ирландия. Системата регулира емисии от почти 11 000 електроцентрали и производствени инсталации, както и около 600 оператора на въздухоплавателни средства, които изпълняват полети от/към летищата на ЕИП. Тя обхваща около 38 % от емисиите на ПГ в ЕС.</w:t>
                      </w:r>
                    </w:p>
                    <w:p>
                      <w:pPr>
                        <w:jc w:val="both"/>
                        <w:rPr>
                          <w:rFonts w:ascii="Times New Roman" w:hAnsi="Times New Roman"/>
                          <w:sz w:val="24"/>
                          <w:szCs w:val="24"/>
                        </w:rPr>
                      </w:pPr>
                      <w:r>
                        <w:rPr>
                          <w:rFonts w:ascii="Times New Roman" w:hAnsi="Times New Roman"/>
                          <w:sz w:val="24"/>
                          <w:szCs w:val="24"/>
                        </w:rPr>
                        <w:t>През фаза 3 от СТЕ на ЕС (2013—2020 г.)* секторите със стационарни инсталации, регулирани от СТЕ на ЕС, са енергоемките промишлени отрасли, включително електроцентрали и други горивни инсталации с номинална входяща топлинна мощност &gt; 20 MW (с изключение на инсталациите за изгаряне на опасни или битови отпадъци), нефтените рафинерии, коксовите пещи, производството на чугун и стомана, цимент и клинкер, стъкло, вар, тухли, керамични продукти, целулоза, хартия и картон, алуминий, нефтохимични продукти, амоняк, азотна и адипинова киселина, глиоксал и глиоксилова киселина, улавянето на CO</w:t>
                      </w:r>
                      <w:r>
                        <w:rPr>
                          <w:rFonts w:ascii="Times New Roman" w:hAnsi="Times New Roman"/>
                          <w:sz w:val="24"/>
                          <w:szCs w:val="24"/>
                          <w:vertAlign w:val="subscript"/>
                        </w:rPr>
                        <w:t>2</w:t>
                      </w:r>
                      <w:r>
                        <w:rPr>
                          <w:rFonts w:ascii="Times New Roman" w:hAnsi="Times New Roman"/>
                          <w:sz w:val="24"/>
                          <w:szCs w:val="24"/>
                        </w:rPr>
                        <w:t>, преносът по тръбопроводи и съхранението на CO</w:t>
                      </w:r>
                      <w:r>
                        <w:rPr>
                          <w:rFonts w:ascii="Times New Roman" w:hAnsi="Times New Roman"/>
                          <w:sz w:val="24"/>
                          <w:szCs w:val="24"/>
                          <w:vertAlign w:val="subscript"/>
                        </w:rPr>
                        <w:t>2</w:t>
                      </w:r>
                      <w:r>
                        <w:rPr>
                          <w:rFonts w:ascii="Times New Roman" w:hAnsi="Times New Roman"/>
                          <w:sz w:val="24"/>
                          <w:szCs w:val="24"/>
                        </w:rPr>
                        <w:t xml:space="preserve"> в геоложки формации. </w:t>
                      </w:r>
                    </w:p>
                    <w:p>
                      <w:pPr>
                        <w:jc w:val="both"/>
                        <w:rPr>
                          <w:rFonts w:ascii="Times New Roman" w:hAnsi="Times New Roman"/>
                          <w:sz w:val="24"/>
                          <w:szCs w:val="24"/>
                        </w:rPr>
                      </w:pPr>
                      <w:r>
                        <w:rPr>
                          <w:rFonts w:ascii="Times New Roman" w:hAnsi="Times New Roman"/>
                          <w:sz w:val="24"/>
                          <w:szCs w:val="24"/>
                        </w:rPr>
                        <w:t>В периода 2013—2016 г. обхватът по отношение на въздухоплаването на СТЕ на ЕС беше ограничен до полети в рамките на Европейското икономическо пространство (ЕИП), за да се поддържа динамиката в Международната организация за гражданско въздухоплаване (ИКАО) с цел</w:t>
                      </w:r>
                      <w:r>
                        <w:t xml:space="preserve"> </w:t>
                      </w:r>
                      <w:r>
                        <w:rPr>
                          <w:rFonts w:ascii="Times New Roman" w:hAnsi="Times New Roman"/>
                          <w:sz w:val="24"/>
                          <w:szCs w:val="24"/>
                        </w:rPr>
                        <w:t xml:space="preserve"> договаряне на международно споразумение за контрол на емисиите на парникови газове от въздухоплаването. За да продължи да се поддържа динамиката и да се улесни привеждането в действие на схемата за компенсиране и намаляване на въглеродните емисии на ИКАО за международното въздухоплаване (CORSIA), както и да се улесни функционирането на схемата, през 2017 г. ограничението за полетите в рамките на ЕИП беше удължено до 2023 г. (вж. глава 4). </w:t>
                      </w:r>
                    </w:p>
                    <w:p>
                      <w:pPr>
                        <w:jc w:val="both"/>
                        <w:rPr>
                          <w:rFonts w:ascii="Times New Roman" w:hAnsi="Times New Roman"/>
                          <w:sz w:val="24"/>
                          <w:szCs w:val="24"/>
                        </w:rPr>
                      </w:pPr>
                      <w:r>
                        <w:rPr>
                          <w:rFonts w:ascii="Times New Roman" w:hAnsi="Times New Roman"/>
                          <w:sz w:val="24"/>
                          <w:szCs w:val="24"/>
                        </w:rPr>
                        <w:t>СТЕ на ЕС обхваща емисиите на въглероден диоксид (CO</w:t>
                      </w:r>
                      <w:r>
                        <w:rPr>
                          <w:rFonts w:ascii="Times New Roman" w:hAnsi="Times New Roman"/>
                          <w:sz w:val="24"/>
                          <w:szCs w:val="24"/>
                          <w:vertAlign w:val="subscript"/>
                        </w:rPr>
                        <w:t>2</w:t>
                      </w:r>
                      <w:r>
                        <w:rPr>
                          <w:rFonts w:ascii="Times New Roman" w:hAnsi="Times New Roman"/>
                          <w:sz w:val="24"/>
                          <w:szCs w:val="24"/>
                        </w:rPr>
                        <w:t>), емисиите на двуазотен оксид (N</w:t>
                      </w:r>
                      <w:r>
                        <w:rPr>
                          <w:rFonts w:ascii="Times New Roman" w:hAnsi="Times New Roman"/>
                          <w:sz w:val="24"/>
                          <w:szCs w:val="24"/>
                          <w:vertAlign w:val="subscript"/>
                        </w:rPr>
                        <w:t>2</w:t>
                      </w:r>
                      <w:r>
                        <w:rPr>
                          <w:rFonts w:ascii="Times New Roman" w:hAnsi="Times New Roman"/>
                          <w:sz w:val="24"/>
                          <w:szCs w:val="24"/>
                        </w:rPr>
                        <w:t>O) от производства на азотна, адипинова и глиоксилова киселина и на глиоксал, както и емисиите на перфлуоровъглероди (PFC) от производството на алуминий. Макар че участието в СТЕ на ЕС е задължително, в някои сектори са включени само инсталации над определена големина. Освен това участващите държави могат да изключват от обхвата на схемата малки инсталации (емитиращи по-малко от 25 000 тона CO</w:t>
                      </w:r>
                      <w:r>
                        <w:rPr>
                          <w:rFonts w:ascii="Times New Roman" w:hAnsi="Times New Roman"/>
                          <w:sz w:val="24"/>
                          <w:szCs w:val="24"/>
                          <w:vertAlign w:val="subscript"/>
                        </w:rPr>
                        <w:t>2e</w:t>
                      </w:r>
                      <w:r>
                        <w:rPr>
                          <w:rFonts w:ascii="Times New Roman" w:hAnsi="Times New Roman"/>
                          <w:sz w:val="24"/>
                          <w:szCs w:val="24"/>
                        </w:rPr>
                        <w:t>), ако са въведени алтернативни и еквивалентни мерки. През фаза 4 (2021—2030 г.) инсталации с много малко емисии (с докладвани емисии, които не надвишават 2 500 тона CO</w:t>
                      </w:r>
                      <w:r>
                        <w:rPr>
                          <w:rFonts w:ascii="Times New Roman" w:hAnsi="Times New Roman"/>
                          <w:sz w:val="24"/>
                          <w:szCs w:val="24"/>
                          <w:vertAlign w:val="subscript"/>
                        </w:rPr>
                        <w:t xml:space="preserve">2e </w:t>
                      </w:r>
                      <w:r>
                        <w:rPr>
                          <w:rFonts w:ascii="Times New Roman" w:hAnsi="Times New Roman"/>
                          <w:sz w:val="24"/>
                          <w:szCs w:val="24"/>
                        </w:rPr>
                        <w:t xml:space="preserve"> през последните три години) могат да бъдат изключени от СТЕ на ЕС при наличието на опростени условия за мониторинг за оценка на количеството на техните емисии. Участващите държави могат също така да добавят повече сектори и ПГ в СТЕ на ЕС (т.нар. сектори/ПГ „по избор“).</w:t>
                      </w:r>
                    </w:p>
                    <w:p>
                      <w:pPr>
                        <w:jc w:val="both"/>
                        <w:rPr>
                          <w:rFonts w:ascii="Times New Roman" w:hAnsi="Times New Roman"/>
                          <w:sz w:val="18"/>
                          <w:szCs w:val="18"/>
                        </w:rPr>
                      </w:pPr>
                      <w:r>
                        <w:rPr>
                          <w:rFonts w:ascii="Times New Roman" w:hAnsi="Times New Roman"/>
                          <w:sz w:val="18"/>
                          <w:szCs w:val="18"/>
                        </w:rPr>
                        <w:t>* Информация относно фази 1 и 2 на СТЕ на ЕС може да бъде намерена на следния адрес:</w:t>
                      </w:r>
                      <w:r>
                        <w:rPr>
                          <w:rFonts w:ascii="Times New Roman" w:hAnsi="Times New Roman"/>
                          <w:sz w:val="24"/>
                          <w:szCs w:val="24"/>
                        </w:rPr>
                        <w:t xml:space="preserve"> </w:t>
                      </w:r>
                      <w:hyperlink r:id="rId17" w:history="1">
                        <w:r>
                          <w:rPr>
                            <w:rStyle w:val="Hyperlink"/>
                            <w:rFonts w:ascii="Times New Roman" w:hAnsi="Times New Roman"/>
                            <w:sz w:val="18"/>
                            <w:szCs w:val="18"/>
                          </w:rPr>
                          <w:t>https://ec.europa.eu/clima/policies/ets/pre2013_en</w:t>
                        </w:r>
                      </w:hyperlink>
                      <w:r>
                        <w:rPr>
                          <w:rFonts w:ascii="Times New Roman" w:hAnsi="Times New Roman"/>
                          <w:sz w:val="18"/>
                          <w:szCs w:val="18"/>
                        </w:rPr>
                        <w:t xml:space="preserve"> </w:t>
                      </w:r>
                    </w:p>
                    <w:p>
                      <w:pPr>
                        <w:jc w:val="both"/>
                      </w:pPr>
                    </w:p>
                  </w:txbxContent>
                </v:textbox>
                <w10:anchorlock/>
              </v:shape>
            </w:pict>
          </mc:Fallback>
        </mc:AlternateContent>
      </w:r>
    </w:p>
    <w:p>
      <w:pPr>
        <w:jc w:val="both"/>
        <w:rPr>
          <w:rFonts w:ascii="Times New Roman" w:eastAsia="Times New Roman" w:hAnsi="Times New Roman"/>
          <w:bCs/>
          <w:noProof/>
          <w:kern w:val="32"/>
          <w:sz w:val="24"/>
          <w:szCs w:val="32"/>
        </w:rPr>
      </w:pPr>
      <w:r>
        <w:rPr>
          <w:rFonts w:ascii="Times New Roman" w:hAnsi="Times New Roman"/>
          <w:bCs/>
          <w:noProof/>
          <w:sz w:val="24"/>
          <w:szCs w:val="32"/>
        </w:rPr>
        <w:t>В съответствие с докладите по член 21, представени от участващите държави</w:t>
      </w:r>
      <w:r>
        <w:rPr>
          <w:rFonts w:ascii="Times New Roman" w:eastAsia="Times New Roman" w:hAnsi="Times New Roman"/>
          <w:bCs/>
          <w:noProof/>
          <w:kern w:val="32"/>
          <w:sz w:val="24"/>
          <w:szCs w:val="32"/>
          <w:vertAlign w:val="superscript"/>
        </w:rPr>
        <w:footnoteReference w:id="13"/>
      </w:r>
      <w:r>
        <w:rPr>
          <w:rFonts w:ascii="Times New Roman" w:hAnsi="Times New Roman"/>
          <w:bCs/>
          <w:noProof/>
          <w:sz w:val="24"/>
          <w:szCs w:val="32"/>
        </w:rPr>
        <w:t xml:space="preserve"> през 2020 г., през 2019 г. е имало общо 10 569 инсталации, обхванати от СТЕ, с необходимото разрешително за СТЕ.</w:t>
      </w:r>
    </w:p>
    <w:p>
      <w:pPr>
        <w:jc w:val="both"/>
        <w:rPr>
          <w:rFonts w:ascii="Times New Roman" w:eastAsia="Times New Roman" w:hAnsi="Times New Roman"/>
          <w:bCs/>
          <w:noProof/>
          <w:kern w:val="32"/>
          <w:sz w:val="24"/>
          <w:szCs w:val="32"/>
        </w:rPr>
      </w:pPr>
      <w:r>
        <w:rPr>
          <w:rFonts w:ascii="Times New Roman" w:hAnsi="Times New Roman"/>
          <w:bCs/>
          <w:noProof/>
          <w:sz w:val="24"/>
          <w:szCs w:val="32"/>
        </w:rPr>
        <w:t>Емисиите от биомаса, използвана от инсталациите, обхванати от СТЕ, се увеличи с 4 % през 2019 в сравнение с предходната година, докато делът на въглищата намаля с 19 %, което е допринесло за значителното намаление от 15 % на емисиите от енергийния сектор. Единствено по отношение на горивата, както и през предходните години, горивата, изгорени в рамките на СТЕ на ЕС през 2019 г., продължават да са предимно изкопаеми. Все пак 29 държави съобщиха и за използване на биомаса в 2197 инсталации (20,8 % от всички инсталации). Най-високият процент на емисии от биомаса в сравнение с емисиите, обхванати от СТЕ на ЕС по страни, бе докладван от Литва: 68 %. Две държави (Лихтенщайн и Малта) не съобщиха за използване на биомаса. Общите емисии от биомаса през 2019 г. са възлизали на около 170 милиона тона CO</w:t>
      </w:r>
      <w:r>
        <w:rPr>
          <w:rFonts w:ascii="Times New Roman" w:hAnsi="Times New Roman"/>
          <w:bCs/>
          <w:noProof/>
          <w:sz w:val="24"/>
          <w:szCs w:val="32"/>
          <w:vertAlign w:val="subscript"/>
        </w:rPr>
        <w:t>2</w:t>
      </w:r>
      <w:r>
        <w:rPr>
          <w:rFonts w:ascii="Times New Roman" w:hAnsi="Times New Roman"/>
          <w:bCs/>
          <w:noProof/>
          <w:sz w:val="24"/>
          <w:szCs w:val="32"/>
        </w:rPr>
        <w:t xml:space="preserve"> (11 % от докладваните емисии, обхванати от СТЕ), което е ясно изразено увеличение в сравнение с 145 милиона тона CO</w:t>
      </w:r>
      <w:r>
        <w:rPr>
          <w:rFonts w:ascii="Times New Roman" w:hAnsi="Times New Roman"/>
          <w:bCs/>
          <w:noProof/>
          <w:sz w:val="24"/>
          <w:szCs w:val="32"/>
          <w:vertAlign w:val="subscript"/>
        </w:rPr>
        <w:t>2</w:t>
      </w:r>
      <w:r>
        <w:rPr>
          <w:rFonts w:ascii="Times New Roman" w:hAnsi="Times New Roman"/>
          <w:bCs/>
          <w:noProof/>
          <w:sz w:val="24"/>
          <w:szCs w:val="32"/>
        </w:rPr>
        <w:t xml:space="preserve"> през 2018 г. (8 % от докладваните емисии по СТЕ). От тях 99,2 % са били с нулева ставка</w:t>
      </w:r>
      <w:r>
        <w:rPr>
          <w:rFonts w:ascii="Times New Roman" w:eastAsia="Times New Roman" w:hAnsi="Times New Roman"/>
          <w:bCs/>
          <w:noProof/>
          <w:kern w:val="32"/>
          <w:sz w:val="24"/>
          <w:szCs w:val="32"/>
          <w:vertAlign w:val="superscript"/>
        </w:rPr>
        <w:footnoteReference w:id="14"/>
      </w:r>
      <w:r>
        <w:rPr>
          <w:rFonts w:ascii="Times New Roman" w:hAnsi="Times New Roman"/>
          <w:bCs/>
          <w:noProof/>
          <w:sz w:val="24"/>
          <w:szCs w:val="32"/>
        </w:rPr>
        <w:t xml:space="preserve">. През 2019 г. бе докладвано за пръв път за използването на малко количество биогориво. Два оператора на въздухоплавателни средства (един в Германия и един в Швеция) докладваха, че покриват 0,01 % от емисиите по СТЕ от авиацията за 2019 г. </w:t>
      </w:r>
    </w:p>
    <w:p>
      <w:pPr>
        <w:jc w:val="both"/>
        <w:rPr>
          <w:rFonts w:ascii="Times New Roman" w:eastAsia="Times New Roman" w:hAnsi="Times New Roman"/>
          <w:bCs/>
          <w:noProof/>
          <w:kern w:val="32"/>
          <w:sz w:val="24"/>
          <w:szCs w:val="32"/>
        </w:rPr>
      </w:pPr>
      <w:r>
        <w:rPr>
          <w:rFonts w:ascii="Times New Roman" w:hAnsi="Times New Roman"/>
          <w:bCs/>
          <w:noProof/>
          <w:sz w:val="24"/>
          <w:szCs w:val="32"/>
        </w:rPr>
        <w:t>В рамките на категориите инсталации, определени въз основа на годишните емисии</w:t>
      </w:r>
      <w:r>
        <w:rPr>
          <w:rFonts w:ascii="Times New Roman" w:eastAsia="Times New Roman" w:hAnsi="Times New Roman"/>
          <w:bCs/>
          <w:noProof/>
          <w:kern w:val="32"/>
          <w:sz w:val="24"/>
          <w:szCs w:val="32"/>
          <w:vertAlign w:val="superscript"/>
        </w:rPr>
        <w:footnoteReference w:id="15"/>
      </w:r>
      <w:r>
        <w:rPr>
          <w:rFonts w:ascii="Times New Roman" w:hAnsi="Times New Roman"/>
          <w:bCs/>
          <w:noProof/>
          <w:sz w:val="24"/>
          <w:szCs w:val="32"/>
        </w:rPr>
        <w:t>, данните за 2019 г. показват, че както и през предходните години, 72 % от инсталациите са в категория А, 21 % — в категория Б и 7 % — в категория В. 6053 инсталации са били докладвани като „инсталации с малки емисии“</w:t>
      </w:r>
      <w:r>
        <w:rPr>
          <w:rFonts w:ascii="Times New Roman" w:eastAsia="Times New Roman" w:hAnsi="Times New Roman"/>
          <w:bCs/>
          <w:noProof/>
          <w:kern w:val="32"/>
          <w:sz w:val="24"/>
          <w:szCs w:val="32"/>
          <w:vertAlign w:val="superscript"/>
        </w:rPr>
        <w:footnoteReference w:id="16"/>
      </w:r>
      <w:r>
        <w:rPr>
          <w:rFonts w:ascii="Times New Roman" w:hAnsi="Times New Roman"/>
          <w:bCs/>
          <w:noProof/>
          <w:sz w:val="24"/>
          <w:szCs w:val="32"/>
        </w:rPr>
        <w:t xml:space="preserve"> (57 % от общия брой). </w:t>
      </w:r>
    </w:p>
    <w:p>
      <w:pPr>
        <w:jc w:val="both"/>
        <w:rPr>
          <w:rFonts w:ascii="Times New Roman" w:eastAsia="Times New Roman" w:hAnsi="Times New Roman"/>
          <w:bCs/>
          <w:noProof/>
          <w:kern w:val="32"/>
          <w:sz w:val="24"/>
          <w:szCs w:val="32"/>
        </w:rPr>
      </w:pPr>
      <w:r>
        <w:rPr>
          <w:rFonts w:ascii="Times New Roman" w:hAnsi="Times New Roman"/>
          <w:bCs/>
          <w:noProof/>
          <w:sz w:val="24"/>
          <w:szCs w:val="32"/>
        </w:rPr>
        <w:t>Що се отнася до дейностите по СТЕ на ЕС, включени допълнително в списъка на емисиите на парникови газове, различни от CO</w:t>
      </w:r>
      <w:r>
        <w:rPr>
          <w:rFonts w:ascii="Times New Roman" w:hAnsi="Times New Roman"/>
          <w:bCs/>
          <w:noProof/>
          <w:sz w:val="24"/>
          <w:szCs w:val="32"/>
          <w:vertAlign w:val="subscript"/>
        </w:rPr>
        <w:t>2</w:t>
      </w:r>
      <w:r>
        <w:rPr>
          <w:rFonts w:ascii="Times New Roman" w:hAnsi="Times New Roman"/>
          <w:bCs/>
          <w:noProof/>
          <w:sz w:val="24"/>
          <w:szCs w:val="32"/>
        </w:rPr>
        <w:t>, издаването на разрешителни за първичен алуминий и перфлуоровъглероди (PFC) е докладвано в 13 държави (Германия, Гърция, Исландия, Испания, Италия, Нидерландия, Норвегия, Обединеното кралство, Румъния, Словакия, Словения, Франция и Швеция), а за производство на азотна киселина и N</w:t>
      </w:r>
      <w:r>
        <w:rPr>
          <w:rFonts w:ascii="Times New Roman" w:hAnsi="Times New Roman"/>
          <w:bCs/>
          <w:noProof/>
          <w:sz w:val="24"/>
          <w:szCs w:val="32"/>
          <w:vertAlign w:val="subscript"/>
        </w:rPr>
        <w:t>2</w:t>
      </w:r>
      <w:r>
        <w:rPr>
          <w:rFonts w:ascii="Times New Roman" w:hAnsi="Times New Roman"/>
          <w:bCs/>
          <w:noProof/>
          <w:sz w:val="24"/>
          <w:szCs w:val="32"/>
        </w:rPr>
        <w:t>O — в 21 държави (всички без Дания, Естония, Ирландия, Исландия, Кипър, Латвия, Лихтенщайн, Люксембург, Малта и Словения). Другите сектори с емисии на N</w:t>
      </w:r>
      <w:r>
        <w:rPr>
          <w:rFonts w:ascii="Times New Roman" w:hAnsi="Times New Roman"/>
          <w:bCs/>
          <w:noProof/>
          <w:sz w:val="24"/>
          <w:szCs w:val="32"/>
          <w:vertAlign w:val="subscript"/>
        </w:rPr>
        <w:t>2</w:t>
      </w:r>
      <w:r>
        <w:rPr>
          <w:rFonts w:ascii="Times New Roman" w:hAnsi="Times New Roman"/>
          <w:bCs/>
          <w:noProof/>
          <w:sz w:val="24"/>
          <w:szCs w:val="32"/>
        </w:rPr>
        <w:t>O — производство на адипинова киселина и производство на глиоксал и глиоксилова киселина — са докладвани съответно в три (Германия, Италия и Франция) и две (Германия и Франция) държави. Само Австрия и Норвегия са докладвали дейности за улавяне и съхранение на CO</w:t>
      </w:r>
      <w:r>
        <w:rPr>
          <w:rFonts w:ascii="Times New Roman" w:hAnsi="Times New Roman"/>
          <w:bCs/>
          <w:noProof/>
          <w:sz w:val="24"/>
          <w:szCs w:val="32"/>
          <w:vertAlign w:val="subscript"/>
        </w:rPr>
        <w:t>2</w:t>
      </w:r>
      <w:r>
        <w:rPr>
          <w:rFonts w:ascii="Times New Roman" w:hAnsi="Times New Roman"/>
          <w:bCs/>
          <w:noProof/>
          <w:sz w:val="24"/>
          <w:szCs w:val="32"/>
        </w:rPr>
        <w:t>.</w:t>
      </w:r>
    </w:p>
    <w:p>
      <w:pPr>
        <w:jc w:val="both"/>
        <w:rPr>
          <w:rFonts w:ascii="Times New Roman" w:eastAsia="Times New Roman" w:hAnsi="Times New Roman"/>
          <w:bCs/>
          <w:noProof/>
          <w:kern w:val="32"/>
          <w:sz w:val="24"/>
          <w:szCs w:val="32"/>
        </w:rPr>
      </w:pPr>
      <w:r>
        <w:rPr>
          <w:rFonts w:ascii="Times New Roman" w:hAnsi="Times New Roman"/>
          <w:bCs/>
          <w:noProof/>
          <w:sz w:val="24"/>
          <w:szCs w:val="32"/>
        </w:rPr>
        <w:t>Както за предходната година, седем държави (Исландия, Испания, Италия, Словения, Франция, Хърватия и Обединеното кралство) са използвали възможността да изключат от СТЕ на ЕС инсталациите с малки емисии в съответствие с член 27 от Директивата за СТЕ на ЕС. Емисиите, изключени за 2019 г., са възлизали на 3,81 милиона тона CO</w:t>
      </w:r>
      <w:r>
        <w:rPr>
          <w:rFonts w:ascii="Times New Roman" w:hAnsi="Times New Roman"/>
          <w:bCs/>
          <w:noProof/>
          <w:sz w:val="24"/>
          <w:szCs w:val="32"/>
          <w:vertAlign w:val="subscript"/>
        </w:rPr>
        <w:t>2</w:t>
      </w:r>
      <w:r>
        <w:rPr>
          <w:rFonts w:ascii="Times New Roman" w:hAnsi="Times New Roman"/>
          <w:bCs/>
          <w:noProof/>
          <w:sz w:val="24"/>
          <w:szCs w:val="32"/>
        </w:rPr>
        <w:t xml:space="preserve"> (около 0,25 % от общите емисии от стационарни инсталации по СТЕ на ЕС в сравнение с 0,17 % за предходната година).</w:t>
      </w:r>
    </w:p>
    <w:p>
      <w:pPr>
        <w:jc w:val="both"/>
        <w:rPr>
          <w:rFonts w:ascii="Times New Roman" w:eastAsia="Times New Roman" w:hAnsi="Times New Roman"/>
          <w:bCs/>
          <w:noProof/>
          <w:kern w:val="32"/>
          <w:sz w:val="24"/>
          <w:szCs w:val="32"/>
        </w:rPr>
      </w:pPr>
      <w:r>
        <w:rPr>
          <w:rFonts w:ascii="Times New Roman" w:hAnsi="Times New Roman"/>
          <w:bCs/>
          <w:noProof/>
          <w:sz w:val="24"/>
          <w:szCs w:val="32"/>
        </w:rPr>
        <w:t>Съгласно докладите по член 21, подадени през 2020 г., както за предходните години, осем държави (Белгия, Дания, Литва, Лихтенщайн, Нидерландия, Унгария, Франция и Хърватия) са се възползвали от разпоредбата, предвидена в член 13 от Регламента относно мониторинга и докладването (РМД)</w:t>
      </w:r>
      <w:r>
        <w:rPr>
          <w:rFonts w:ascii="Times New Roman" w:eastAsia="Times New Roman" w:hAnsi="Times New Roman"/>
          <w:bCs/>
          <w:noProof/>
          <w:kern w:val="32"/>
          <w:sz w:val="24"/>
          <w:szCs w:val="32"/>
          <w:vertAlign w:val="superscript"/>
        </w:rPr>
        <w:footnoteReference w:id="17"/>
      </w:r>
      <w:r>
        <w:rPr>
          <w:rFonts w:ascii="Times New Roman" w:hAnsi="Times New Roman"/>
          <w:bCs/>
          <w:noProof/>
          <w:sz w:val="24"/>
          <w:szCs w:val="32"/>
        </w:rPr>
        <w:t>, за да разрешат използването на опростени планове за мониторинг в случаите с нисък риск за стационарни инсталации. В случая с оператори на въздухоплавателни средства с малки емисии две държави са докладвали за използване на тази разпоредба през 2019 г. (Белгия и Исландия).</w:t>
      </w:r>
    </w:p>
    <w:p>
      <w:pPr>
        <w:jc w:val="both"/>
        <w:rPr>
          <w:rFonts w:ascii="Times New Roman" w:eastAsia="Times New Roman" w:hAnsi="Times New Roman"/>
          <w:b/>
          <w:bCs/>
          <w:noProof/>
          <w:kern w:val="32"/>
          <w:sz w:val="24"/>
          <w:szCs w:val="32"/>
        </w:rPr>
      </w:pPr>
      <w:r>
        <w:rPr>
          <w:rFonts w:ascii="Times New Roman" w:hAnsi="Times New Roman"/>
          <w:bCs/>
          <w:noProof/>
          <w:sz w:val="24"/>
          <w:szCs w:val="32"/>
        </w:rPr>
        <w:t>През 2019 г. за 611 оператори на въздухоплавателни средства е докладвано, че имат план за мониторинг (със 7 % по-малко, отколкото през 2018 г.). 50 % (308) от докладваните оператори са търговски, докато останалите</w:t>
      </w:r>
      <w:r>
        <w:rPr>
          <w:rFonts w:ascii="Times New Roman" w:hAnsi="Times New Roman"/>
          <w:b/>
          <w:bCs/>
          <w:noProof/>
          <w:sz w:val="24"/>
          <w:szCs w:val="32"/>
        </w:rPr>
        <w:t xml:space="preserve"> </w:t>
      </w:r>
      <w:r>
        <w:rPr>
          <w:rFonts w:ascii="Times New Roman" w:hAnsi="Times New Roman"/>
          <w:bCs/>
          <w:noProof/>
          <w:sz w:val="24"/>
          <w:szCs w:val="32"/>
        </w:rPr>
        <w:t>50 % (303) са нетърговски.</w:t>
      </w:r>
      <w:r>
        <w:rPr>
          <w:rFonts w:ascii="Times New Roman" w:eastAsia="Times New Roman" w:hAnsi="Times New Roman"/>
          <w:bCs/>
          <w:noProof/>
          <w:kern w:val="32"/>
          <w:sz w:val="24"/>
          <w:szCs w:val="32"/>
          <w:vertAlign w:val="superscript"/>
        </w:rPr>
        <w:footnoteReference w:id="18"/>
      </w:r>
      <w:r>
        <w:rPr>
          <w:rFonts w:ascii="Times New Roman" w:hAnsi="Times New Roman"/>
          <w:bCs/>
          <w:noProof/>
          <w:sz w:val="24"/>
          <w:szCs w:val="32"/>
        </w:rPr>
        <w:t xml:space="preserve"> Общо 262 (43%) са квалифицирани като такива с малки емисии (в сравнение с 287 (44 %) през 2018 г.).</w:t>
      </w:r>
      <w:r>
        <w:rPr>
          <w:rFonts w:ascii="Times New Roman" w:hAnsi="Times New Roman"/>
          <w:b/>
          <w:bCs/>
          <w:noProof/>
          <w:sz w:val="24"/>
          <w:szCs w:val="32"/>
        </w:rPr>
        <w:t xml:space="preserve"> </w:t>
      </w:r>
      <w:bookmarkEnd w:id="9"/>
      <w:bookmarkEnd w:id="10"/>
    </w:p>
    <w:p>
      <w:pPr>
        <w:pStyle w:val="Heading1"/>
        <w:spacing w:before="0" w:after="200"/>
        <w:rPr>
          <w:noProof/>
        </w:rPr>
      </w:pPr>
      <w:bookmarkStart w:id="11" w:name="_Toc426378556"/>
      <w:bookmarkStart w:id="12" w:name="_Toc490850421"/>
      <w:bookmarkStart w:id="13" w:name="_Toc519009677"/>
      <w:bookmarkStart w:id="14" w:name="_Toc56071828"/>
      <w:bookmarkEnd w:id="11"/>
      <w:r>
        <w:rPr>
          <w:noProof/>
        </w:rPr>
        <w:t>2.2 Регистър на ЕС и Дневник на ЕС за транзакциите (EUTL)</w:t>
      </w:r>
      <w:bookmarkEnd w:id="12"/>
      <w:bookmarkEnd w:id="13"/>
      <w:bookmarkEnd w:id="14"/>
    </w:p>
    <w:p>
      <w:pPr>
        <w:jc w:val="both"/>
        <w:rPr>
          <w:rFonts w:ascii="Times New Roman" w:hAnsi="Times New Roman"/>
          <w:noProof/>
          <w:sz w:val="24"/>
          <w:szCs w:val="24"/>
        </w:rPr>
      </w:pPr>
      <w:r>
        <w:rPr>
          <w:rFonts w:ascii="Times New Roman" w:hAnsi="Times New Roman"/>
          <w:noProof/>
          <w:sz w:val="24"/>
          <w:szCs w:val="24"/>
          <w:lang w:val="en-GB" w:eastAsia="en-GB"/>
        </w:rPr>
        <mc:AlternateContent>
          <mc:Choice Requires="wps">
            <w:drawing>
              <wp:inline distT="0" distB="0" distL="0" distR="0">
                <wp:extent cx="5727802" cy="4600575"/>
                <wp:effectExtent l="0" t="0" r="25400"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802" cy="4600575"/>
                        </a:xfrm>
                        <a:prstGeom prst="rect">
                          <a:avLst/>
                        </a:prstGeom>
                        <a:solidFill>
                          <a:schemeClr val="bg1">
                            <a:lumMod val="85000"/>
                          </a:schemeClr>
                        </a:solidFill>
                        <a:ln w="12700" cmpd="sng">
                          <a:solidFill>
                            <a:srgbClr val="000000">
                              <a:alpha val="70000"/>
                            </a:srgbClr>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 xml:space="preserve">Регистърът на ЕС и Дневникът на ЕС за транзакциите (EUTL) проследяват собствеността на квотите за общи и авиационни емисии, като записват количествата по партидите и транзакциите между партидите. Освен това тези системи регистрират емисиите на стационарни инсталации и оператори на въздухоплавателни средства и спазването на задълженията, произтичащи от тези емисии. Работата и поддръжката на двете системи се осъществяват от Комисията, като в същото време националните администратори на регистри в участващите държави продължават да са лица за контакт за титулярите и представителите на партидите (дружества и физически лица). В Регистъра на ЕС се водят партидите и се регистрира информация за изпълнение на задълженията, а ЕUTL автоматично проверява, записва и разрешава всички транзакции между партидите, което гарантира съответствие на всички прехвърляния с правилата на СТЕ на ЕС. </w:t>
                            </w:r>
                          </w:p>
                          <w:p>
                            <w:pPr>
                              <w:shd w:val="clear" w:color="auto" w:fill="D9D9D9" w:themeFill="background1" w:themeFillShade="D9"/>
                              <w:jc w:val="both"/>
                              <w:rPr>
                                <w:rFonts w:ascii="Times New Roman" w:hAnsi="Times New Roman"/>
                                <w:sz w:val="24"/>
                                <w:szCs w:val="24"/>
                              </w:rPr>
                            </w:pPr>
                            <w:r>
                              <w:rPr>
                                <w:rFonts w:ascii="Times New Roman" w:hAnsi="Times New Roman"/>
                                <w:sz w:val="24"/>
                                <w:szCs w:val="24"/>
                              </w:rPr>
                              <w:t>Данните, записани в Регистъра на ЕС и EUTL, са важен източник на информация за различните видове докладване по СТЕ, като например изчисляването на показателя за излишък на резерва за стабилност на пазара (вж. глава 3.3) и докладването, извършвано от Европейската агенция за околната среда. EUTL също осигурява прозрачност по отношение на СТЕ на ЕС посредством публикуване* на информация относно съответствието на стационарните инсталации и операторите на въздухоплавателни средства с разпоредбите на СТЕ и относно транзакциите между партидите.</w:t>
                            </w:r>
                          </w:p>
                          <w:p>
                            <w:pPr>
                              <w:shd w:val="clear" w:color="auto" w:fill="D9D9D9" w:themeFill="background1" w:themeFillShade="D9"/>
                              <w:jc w:val="both"/>
                              <w:rPr>
                                <w:rFonts w:ascii="Times New Roman" w:hAnsi="Times New Roman"/>
                                <w:sz w:val="24"/>
                                <w:szCs w:val="24"/>
                              </w:rPr>
                            </w:pPr>
                            <w:r>
                              <w:rPr>
                                <w:rFonts w:ascii="Times New Roman" w:hAnsi="Times New Roman"/>
                                <w:sz w:val="18"/>
                                <w:szCs w:val="18"/>
                              </w:rPr>
                              <w:t>* Информацията, публикувана от EUTL, може да бъде намерена на адрес: https://ec.europa.eu/clima/ets/</w:t>
                            </w:r>
                          </w:p>
                          <w:p/>
                        </w:txbxContent>
                      </wps:txbx>
                      <wps:bodyPr rot="0" vert="horz" wrap="square" lIns="91440" tIns="45720" rIns="91440" bIns="45720" anchor="t" anchorCtr="0">
                        <a:noAutofit/>
                      </wps:bodyPr>
                    </wps:wsp>
                  </a:graphicData>
                </a:graphic>
              </wp:inline>
            </w:drawing>
          </mc:Choice>
          <mc:Fallback>
            <w:pict>
              <v:shape id="_x0000_s1027" type="#_x0000_t202" style="width:451pt;height:3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" fillcolor="#d8d8d8 [2732]" strokeweight="1pt">
                <v:stroke opacity="46003f"/>
                <v:textbox>
                  <w:txbxContent>
                    <w:p>
                      <w:pPr>
                        <w:jc w:val="both"/>
                        <w:rPr>
                          <w:rFonts w:ascii="Times New Roman" w:hAnsi="Times New Roman"/>
                          <w:sz w:val="24"/>
                          <w:szCs w:val="24"/>
                        </w:rPr>
                      </w:pPr>
                      <w:r>
                        <w:rPr>
                          <w:rFonts w:ascii="Times New Roman" w:hAnsi="Times New Roman"/>
                          <w:sz w:val="24"/>
                          <w:szCs w:val="24"/>
                        </w:rPr>
                        <w:t xml:space="preserve">Регистърът на ЕС и Дневникът на ЕС за транзакциите (EUTL) проследяват собствеността на квотите за общи и авиационни емисии, като записват количествата по партидите и транзакциите между партидите. Освен това тези системи регистрират емисиите на стационарни инсталации и оператори на въздухоплавателни средства и спазването на задълженията, произтичащи от тези емисии. Работата и поддръжката на двете системи се осъществяват от Комисията, като в същото време националните администратори на регистри в участващите държави продължават да са лица за контакт за титулярите и представителите на партидите (дружества и физически лица). В Регистъра на ЕС се водят партидите и се регистрира информация за изпълнение на задълженията, а ЕUTL автоматично проверява, записва и разрешава всички транзакции между партидите, което гарантира съответствие на всички прехвърляния с правилата на СТЕ на ЕС. </w:t>
                      </w:r>
                    </w:p>
                    <w:p>
                      <w:pPr>
                        <w:shd w:val="clear" w:color="auto" w:fill="D9D9D9" w:themeFill="background1" w:themeFillShade="D9"/>
                        <w:jc w:val="both"/>
                        <w:rPr>
                          <w:rFonts w:ascii="Times New Roman" w:hAnsi="Times New Roman"/>
                          <w:sz w:val="24"/>
                          <w:szCs w:val="24"/>
                        </w:rPr>
                      </w:pPr>
                      <w:r>
                        <w:rPr>
                          <w:rFonts w:ascii="Times New Roman" w:hAnsi="Times New Roman"/>
                          <w:sz w:val="24"/>
                          <w:szCs w:val="24"/>
                        </w:rPr>
                        <w:t>Данните, записани в Регистъра на ЕС и EUTL, са важен източник на информация за различните видове докладване по СТЕ, като например изчисляването на показателя за излишък на резерва за стабилност на пазара (вж. глава 3.3) и докладването, извършвано от Европейската агенция за околната среда. EUTL също осигурява прозрачност по отношение на СТЕ на ЕС посредством публикуване* на информация относно съответствието на стационарните инсталации и операторите на въздухоплавателни средства с разпоредбите на СТЕ и относно транзакциите между партидите.</w:t>
                      </w:r>
                    </w:p>
                    <w:p>
                      <w:pPr>
                        <w:shd w:val="clear" w:color="auto" w:fill="D9D9D9" w:themeFill="background1" w:themeFillShade="D9"/>
                        <w:jc w:val="both"/>
                        <w:rPr>
                          <w:rFonts w:ascii="Times New Roman" w:hAnsi="Times New Roman"/>
                          <w:sz w:val="24"/>
                          <w:szCs w:val="24"/>
                        </w:rPr>
                      </w:pPr>
                      <w:r>
                        <w:rPr>
                          <w:rFonts w:ascii="Times New Roman" w:hAnsi="Times New Roman"/>
                          <w:sz w:val="18"/>
                          <w:szCs w:val="18"/>
                        </w:rPr>
                        <w:t>* Информацията, публикувана от EUTL, може да бъде намерена на адрес: https://ec.europa.eu/clima/ets/</w:t>
                      </w:r>
                    </w:p>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szCs w:val="24"/>
        </w:rPr>
        <w:t>През 2019 г. Регистърът на ЕС, EUTL и публичният уебсайт на EUTL са били напълно действащи денонощно, седем дни в седмицата, в продължение на 365 дни, като е имало само незначителни прекъсвания поради извършването на технически актуализации, възлизащи на общо около 7 часа.</w:t>
      </w:r>
    </w:p>
    <w:p>
      <w:pPr>
        <w:jc w:val="both"/>
        <w:rPr>
          <w:rFonts w:ascii="Times New Roman" w:hAnsi="Times New Roman"/>
          <w:noProof/>
          <w:sz w:val="24"/>
          <w:szCs w:val="24"/>
        </w:rPr>
      </w:pPr>
      <w:r>
        <w:rPr>
          <w:rFonts w:ascii="Times New Roman" w:hAnsi="Times New Roman"/>
          <w:noProof/>
          <w:sz w:val="24"/>
          <w:szCs w:val="24"/>
        </w:rPr>
        <w:t>От 1 януари 2019 г. Комисията преустанови</w:t>
      </w:r>
      <w:r>
        <w:rPr>
          <w:rFonts w:ascii="Times New Roman" w:hAnsi="Times New Roman"/>
          <w:noProof/>
          <w:sz w:val="24"/>
          <w:szCs w:val="24"/>
          <w:vertAlign w:val="superscript"/>
        </w:rPr>
        <w:footnoteReference w:id="19"/>
      </w:r>
      <w:r>
        <w:rPr>
          <w:rFonts w:ascii="Times New Roman" w:hAnsi="Times New Roman"/>
          <w:noProof/>
          <w:sz w:val="24"/>
          <w:szCs w:val="24"/>
          <w:vertAlign w:val="superscript"/>
        </w:rPr>
        <w:t xml:space="preserve"> </w:t>
      </w:r>
      <w:r>
        <w:rPr>
          <w:rFonts w:ascii="Times New Roman" w:hAnsi="Times New Roman"/>
          <w:noProof/>
          <w:sz w:val="24"/>
          <w:szCs w:val="24"/>
        </w:rPr>
        <w:t xml:space="preserve"> по отношение на Обединеното кралство всички обработвания, свързани с безплатното разпределяне, тръжната продажба и обмена на международни кредити, в съответствие със защитните мерки</w:t>
      </w:r>
      <w:r>
        <w:rPr>
          <w:rFonts w:ascii="Times New Roman" w:hAnsi="Times New Roman"/>
          <w:noProof/>
          <w:sz w:val="24"/>
          <w:szCs w:val="24"/>
          <w:vertAlign w:val="superscript"/>
        </w:rPr>
        <w:footnoteReference w:id="20"/>
      </w:r>
      <w:r>
        <w:rPr>
          <w:rFonts w:ascii="Times New Roman" w:hAnsi="Times New Roman"/>
          <w:noProof/>
          <w:sz w:val="24"/>
          <w:szCs w:val="24"/>
        </w:rPr>
        <w:t xml:space="preserve"> за запазване на целостта на СТЕ на ЕС в областта на околната среда в случаите, когато правото на ЕС престава да се прилага за държава членка, която се отделя от ЕС. Това преустановяване беше автоматично отменено на 1 февруари 2020 г., когато Споразумението за оттеглянето на Обединеното кралство</w:t>
      </w:r>
      <w:r>
        <w:rPr>
          <w:rFonts w:ascii="Times New Roman" w:hAnsi="Times New Roman"/>
          <w:noProof/>
          <w:sz w:val="24"/>
          <w:szCs w:val="24"/>
          <w:vertAlign w:val="superscript"/>
        </w:rPr>
        <w:footnoteReference w:id="21"/>
      </w:r>
      <w:r>
        <w:rPr>
          <w:rFonts w:ascii="Times New Roman" w:hAnsi="Times New Roman"/>
          <w:noProof/>
          <w:sz w:val="24"/>
          <w:szCs w:val="24"/>
        </w:rPr>
        <w:t xml:space="preserve"> от ЕС влезе в сила и гарантира, че инсталациите и операторите на въздухоплавателни средства в Обединеното кралство ще продължат да спазват задълженията си за съответствие, които произтичат от емисиите през 2019 г. и 2020 г.</w:t>
      </w:r>
    </w:p>
    <w:p>
      <w:pPr>
        <w:jc w:val="both"/>
        <w:rPr>
          <w:rFonts w:ascii="Times New Roman" w:hAnsi="Times New Roman"/>
          <w:noProof/>
          <w:sz w:val="24"/>
          <w:szCs w:val="24"/>
        </w:rPr>
      </w:pPr>
      <w:r>
        <w:rPr>
          <w:rFonts w:ascii="Times New Roman" w:hAnsi="Times New Roman"/>
          <w:noProof/>
          <w:sz w:val="24"/>
          <w:szCs w:val="24"/>
        </w:rPr>
        <w:t>Споразумението за свързване на СТЕ на ЕС със СТЕ</w:t>
      </w:r>
      <w:r>
        <w:rPr>
          <w:rFonts w:ascii="Times New Roman" w:hAnsi="Times New Roman"/>
          <w:noProof/>
          <w:sz w:val="24"/>
          <w:szCs w:val="24"/>
          <w:vertAlign w:val="superscript"/>
        </w:rPr>
        <w:footnoteReference w:id="22"/>
      </w:r>
      <w:r>
        <w:rPr>
          <w:rFonts w:ascii="Times New Roman" w:hAnsi="Times New Roman"/>
          <w:noProof/>
          <w:sz w:val="24"/>
          <w:szCs w:val="24"/>
        </w:rPr>
        <w:t xml:space="preserve"> на Швейцария влезе в сила на 1 януари 2020 г. За осъществяване на връзката между системите за търговия с емисии, страните се споразумяха да създадат временно решение</w:t>
      </w:r>
      <w:r>
        <w:rPr>
          <w:rStyle w:val="FootnoteReference"/>
          <w:rFonts w:ascii="Times New Roman" w:hAnsi="Times New Roman"/>
          <w:noProof/>
          <w:sz w:val="24"/>
          <w:szCs w:val="24"/>
        </w:rPr>
        <w:footnoteReference w:id="23"/>
      </w:r>
      <w:r>
        <w:rPr>
          <w:rFonts w:ascii="Times New Roman" w:hAnsi="Times New Roman"/>
          <w:noProof/>
          <w:sz w:val="24"/>
          <w:szCs w:val="24"/>
        </w:rPr>
        <w:t xml:space="preserve"> за свързване на двата регистъра и да се даде възможност за прехвърляне на квоти между тях. Временното решение започна да функционира на 21 септември 2020 г.</w:t>
      </w:r>
    </w:p>
    <w:p>
      <w:pPr>
        <w:jc w:val="both"/>
        <w:rPr>
          <w:rFonts w:ascii="Times New Roman" w:hAnsi="Times New Roman"/>
          <w:noProof/>
          <w:sz w:val="24"/>
          <w:szCs w:val="24"/>
        </w:rPr>
      </w:pPr>
      <w:r>
        <w:rPr>
          <w:rFonts w:ascii="Times New Roman" w:hAnsi="Times New Roman"/>
          <w:noProof/>
          <w:sz w:val="24"/>
          <w:szCs w:val="24"/>
        </w:rPr>
        <w:t>През март 2019 г. беше приет Делегиран регламент (ЕС) 2019/1122</w:t>
      </w:r>
      <w:r>
        <w:rPr>
          <w:rStyle w:val="FootnoteReference"/>
          <w:rFonts w:ascii="Times New Roman" w:hAnsi="Times New Roman"/>
          <w:noProof/>
          <w:sz w:val="24"/>
          <w:szCs w:val="24"/>
        </w:rPr>
        <w:footnoteReference w:id="24"/>
      </w:r>
      <w:r>
        <w:rPr>
          <w:noProof/>
        </w:rPr>
        <w:t xml:space="preserve"> </w:t>
      </w:r>
      <w:r>
        <w:rPr>
          <w:rFonts w:ascii="Times New Roman" w:hAnsi="Times New Roman"/>
          <w:noProof/>
          <w:sz w:val="24"/>
          <w:szCs w:val="24"/>
        </w:rPr>
        <w:t xml:space="preserve">на Комисията, в който бяха определени правилата за функционирането на Регистъра на ЕС през 2021—2030 г. Техническото прилагане на новите правила, въведени с регламента, продължава и новите функционалности ще бъдат налични в Регистъра на ЕС от 1 януари 2021 г. </w:t>
      </w:r>
    </w:p>
    <w:p>
      <w:pPr>
        <w:pStyle w:val="Heading1"/>
        <w:spacing w:before="0" w:after="200"/>
        <w:rPr>
          <w:noProof/>
        </w:rPr>
      </w:pPr>
      <w:bookmarkStart w:id="15" w:name="_Toc490850422"/>
      <w:bookmarkStart w:id="16" w:name="_Toc519009678"/>
      <w:bookmarkStart w:id="17" w:name="_Toc56071829"/>
      <w:r>
        <w:rPr>
          <w:noProof/>
        </w:rPr>
        <w:t>3. ФУНКЦИОНИРАНЕ НА ПАЗАРА НА ВЪГЛЕРОДНИ ЕМИСИИ ПРЕЗ 2019 Г.</w:t>
      </w:r>
      <w:bookmarkEnd w:id="15"/>
      <w:bookmarkEnd w:id="16"/>
      <w:bookmarkEnd w:id="17"/>
      <w:r>
        <w:rPr>
          <w:noProof/>
        </w:rPr>
        <w:t xml:space="preserve"> </w:t>
      </w:r>
    </w:p>
    <w:p>
      <w:pPr>
        <w:jc w:val="both"/>
        <w:rPr>
          <w:rFonts w:ascii="Times New Roman" w:hAnsi="Times New Roman"/>
          <w:noProof/>
          <w:sz w:val="24"/>
          <w:szCs w:val="24"/>
        </w:rPr>
      </w:pPr>
      <w:r>
        <w:rPr>
          <w:rFonts w:ascii="Times New Roman" w:hAnsi="Times New Roman"/>
          <w:noProof/>
          <w:sz w:val="24"/>
          <w:szCs w:val="24"/>
        </w:rPr>
        <w:t xml:space="preserve">В настоящата глава се предоставя информация за аспекти, свързани с предлагането и търсенето на квоти в СТЕ на ЕС. В раздела за предлагането е включена информация по въпросите за лимита, безплатното разпределяне на квоти, тръжната продажба на квоти, дерогацията от задължението за тръжна продажба на всички квоти за сектора за производство на електрическа и топлинна енергия (член 10в), програмата NER 300 и подготовката за Фонда за иновации и Модернизационния фонд, глава относно схемите за компенсиране на непреките разходи за ограничаване на въглеродните емисии и използването на международни кредити. </w:t>
      </w:r>
    </w:p>
    <w:p>
      <w:pPr>
        <w:jc w:val="both"/>
        <w:rPr>
          <w:rFonts w:ascii="Times New Roman" w:hAnsi="Times New Roman"/>
          <w:noProof/>
          <w:sz w:val="24"/>
          <w:szCs w:val="24"/>
        </w:rPr>
      </w:pPr>
      <w:r>
        <w:rPr>
          <w:rFonts w:ascii="Times New Roman" w:hAnsi="Times New Roman"/>
          <w:noProof/>
          <w:sz w:val="24"/>
          <w:szCs w:val="24"/>
        </w:rPr>
        <w:t xml:space="preserve">По отношение на търсенето се предоставя информация за количеството на верифицираните емисии. След това се представя балансирането на различните елементи на предлагането и търсенето на квоти на пазара на въглеродни емисии чрез резерва за стабилност на пазара (MSR). </w:t>
      </w:r>
    </w:p>
    <w:p>
      <w:pPr>
        <w:pStyle w:val="Heading2"/>
        <w:spacing w:before="0" w:after="200"/>
        <w:rPr>
          <w:i w:val="0"/>
          <w:noProof/>
        </w:rPr>
      </w:pPr>
      <w:bookmarkStart w:id="18" w:name="_Toc490850423"/>
      <w:bookmarkStart w:id="19" w:name="_Toc519009679"/>
      <w:bookmarkStart w:id="20" w:name="_Toc56071830"/>
      <w:r>
        <w:rPr>
          <w:i w:val="0"/>
          <w:noProof/>
        </w:rPr>
        <w:t>3.1. Предлагане: квоти, пуснати в обращение</w:t>
      </w:r>
      <w:bookmarkEnd w:id="18"/>
      <w:bookmarkEnd w:id="19"/>
      <w:bookmarkEnd w:id="20"/>
      <w:r>
        <w:rPr>
          <w:i w:val="0"/>
          <w:noProof/>
        </w:rPr>
        <w:t xml:space="preserve"> </w:t>
      </w:r>
    </w:p>
    <w:p>
      <w:pPr>
        <w:pStyle w:val="Heading3"/>
        <w:spacing w:before="0" w:after="200"/>
        <w:ind w:left="720"/>
        <w:rPr>
          <w:noProof/>
        </w:rPr>
      </w:pPr>
      <w:bookmarkStart w:id="21" w:name="_Toc490850424"/>
      <w:bookmarkStart w:id="22" w:name="_Toc519009680"/>
      <w:bookmarkStart w:id="23" w:name="_Toc56071831"/>
      <w:r>
        <w:rPr>
          <w:noProof/>
        </w:rPr>
        <w:t>3.1.1. Лимит</w:t>
      </w:r>
      <w:bookmarkEnd w:id="21"/>
      <w:bookmarkEnd w:id="22"/>
      <w:bookmarkEnd w:id="23"/>
    </w:p>
    <w:p>
      <w:pPr>
        <w:jc w:val="both"/>
        <w:rPr>
          <w:rFonts w:ascii="Times New Roman" w:hAnsi="Times New Roman"/>
          <w:noProof/>
          <w:sz w:val="24"/>
          <w:szCs w:val="24"/>
        </w:rPr>
      </w:pPr>
      <w:r>
        <w:rPr>
          <w:noProof/>
          <w:lang w:val="en-GB" w:eastAsia="en-GB"/>
        </w:rPr>
        <mc:AlternateContent>
          <mc:Choice Requires="wps">
            <w:drawing>
              <wp:inline distT="0" distB="0" distL="0" distR="0">
                <wp:extent cx="5771693" cy="6515100"/>
                <wp:effectExtent l="0" t="0" r="19685"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693" cy="6515100"/>
                        </a:xfrm>
                        <a:prstGeom prst="rect">
                          <a:avLst/>
                        </a:prstGeom>
                        <a:solidFill>
                          <a:schemeClr val="bg1">
                            <a:lumMod val="85000"/>
                          </a:scheme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Лимитът е максималното абсолютно количество парникови газове, което може да бъде отделено от обхванатите субекти, така че да се осигури изпълнение на целта за намаляване на емисиите; той съответства на броя на квотите, пускани в обращение през даден период на търгуване. За цялата СТЕ на ЕС се прилага общ лимит за целия ЕС.</w:t>
                            </w:r>
                          </w:p>
                          <w:p>
                            <w:pPr>
                              <w:jc w:val="both"/>
                              <w:rPr>
                                <w:rFonts w:ascii="Times New Roman" w:hAnsi="Times New Roman"/>
                                <w:sz w:val="24"/>
                                <w:szCs w:val="24"/>
                              </w:rPr>
                            </w:pPr>
                            <w:r>
                              <w:rPr>
                                <w:rFonts w:ascii="Times New Roman" w:hAnsi="Times New Roman"/>
                                <w:sz w:val="24"/>
                                <w:szCs w:val="24"/>
                              </w:rPr>
                              <w:t xml:space="preserve">Лимитът от 2013 г. за емисиите от стационарни инсталации бе определен на 2 084 301 856 квоти. Този лимит намалява всяка година с линеен коефициент на намаление, равен на 1,74 % от средното общо количество годишно издадени квоти през периода 2008—2012 г., което гарантира, че максималният брой на квотите, които могат да бъдат използвани от стационарните инсталации, ще бъде с 21 % по-малък през 2020 г., отколкото през 2005 г. </w:t>
                            </w:r>
                          </w:p>
                          <w:p>
                            <w:pPr>
                              <w:jc w:val="both"/>
                              <w:rPr>
                                <w:rFonts w:ascii="Times New Roman" w:hAnsi="Times New Roman"/>
                                <w:sz w:val="24"/>
                                <w:szCs w:val="24"/>
                              </w:rPr>
                            </w:pPr>
                            <w:r>
                              <w:rPr>
                                <w:rFonts w:ascii="Times New Roman" w:hAnsi="Times New Roman"/>
                                <w:sz w:val="24"/>
                                <w:szCs w:val="24"/>
                              </w:rPr>
                              <w:t>Лимитът за сектора на въздухоплаването бе определен първоначално на 210 349 264 годишни квоти за авиационни емисии, което е с 5 % по-малко от средния годишен брой на авиационните емисии през периода 2004—2006 г. Той бе повишен със 116 524 квоти за авиационни емисии на 1 януари 2014 г., за да се даде възможност на Хърватия да се присъедини към СТЕ на ЕС. Този лимит имаше за цел да отрази законодателството от 2008 г.*, което включваше всички полети от, до и в рамките на ЕИП в СТЕ на ЕС. Обхватът на СТЕ на ЕС бе обаче временно ограничен до полети в рамките на ЕИП през периода 2013—2016 г. в подкрепа на разработването на глобална мярка от ИКАО, която да стабилизира емисиите от международното въздухоплаване на равнищата от 2020 г. Поради това броят на авиационните квоти, пуснати в обръщение през периода 2013—2016 г., беше значително по-нисък от първоначалния лимит. За да се подкрепи разработването на глобалната мярка от ИКАО, през 2017 г. ограничението за полети в рамките на ЕИП беше удължено до 2023 г. (вж. глава 4).</w:t>
                            </w:r>
                          </w:p>
                          <w:p>
                            <w:pPr>
                              <w:jc w:val="both"/>
                              <w:rPr>
                                <w:rFonts w:ascii="Times New Roman" w:hAnsi="Times New Roman"/>
                                <w:sz w:val="24"/>
                                <w:szCs w:val="24"/>
                              </w:rPr>
                            </w:pPr>
                            <w:r>
                              <w:rPr>
                                <w:rFonts w:ascii="Times New Roman" w:hAnsi="Times New Roman"/>
                                <w:sz w:val="24"/>
                                <w:szCs w:val="24"/>
                              </w:rPr>
                              <w:t xml:space="preserve">Във фаза 4 на СТЕ на ЕС (2021—2030 г.) лимитът както за стационарни инсталации, така и за въздухоплаването ще намалява с линеен коефициент на намаление от 2,2 %. </w:t>
                            </w:r>
                          </w:p>
                          <w:p>
                            <w:pPr>
                              <w:jc w:val="both"/>
                              <w:rPr>
                                <w:rFonts w:ascii="Times New Roman" w:hAnsi="Times New Roman"/>
                                <w:sz w:val="18"/>
                                <w:szCs w:val="18"/>
                              </w:rPr>
                            </w:pPr>
                            <w:r>
                              <w:rPr>
                                <w:rFonts w:ascii="Times New Roman" w:hAnsi="Times New Roman"/>
                                <w:sz w:val="18"/>
                                <w:szCs w:val="18"/>
                              </w:rPr>
                              <w:t>* Директива 2008/101/ЕО на Европейския парламент и на Съвета от 19 ноември 2008 г. за изменение на Директива 2003/87/ЕО с цел включване на авиационните дейности в схемата за търговия с квоти за емисии на парникови газове в рамките на Общността.</w:t>
                            </w:r>
                          </w:p>
                          <w:p>
                            <w:pPr>
                              <w:jc w:val="both"/>
                              <w:rPr>
                                <w:rFonts w:ascii="Times New Roman" w:hAnsi="Times New Roman"/>
                                <w:sz w:val="24"/>
                                <w:szCs w:val="24"/>
                              </w:rPr>
                            </w:pPr>
                          </w:p>
                          <w:p>
                            <w:pPr>
                              <w:jc w:val="both"/>
                              <w:rPr>
                                <w:rFonts w:ascii="Times New Roman" w:hAnsi="Times New Roman"/>
                                <w:sz w:val="24"/>
                                <w:szCs w:val="24"/>
                              </w:rPr>
                            </w:pPr>
                          </w:p>
                          <w:p>
                            <w:pPr>
                              <w:jc w:val="both"/>
                              <w:rPr>
                                <w:rFonts w:ascii="Times New Roman" w:hAnsi="Times New Roman"/>
                                <w:sz w:val="24"/>
                                <w:szCs w:val="24"/>
                              </w:rPr>
                            </w:pPr>
                          </w:p>
                          <w:p>
                            <w:pPr>
                              <w:jc w:val="both"/>
                              <w:rPr>
                                <w:lang w:val="ru-RU"/>
                              </w:rPr>
                            </w:pPr>
                          </w:p>
                          <w:p>
                            <w:pPr>
                              <w:jc w:val="both"/>
                              <w:rPr>
                                <w:rFonts w:ascii="Times New Roman" w:hAnsi="Times New Roman"/>
                                <w:sz w:val="24"/>
                                <w:szCs w:val="24"/>
                                <w:lang w:val="ru-RU"/>
                              </w:rPr>
                            </w:pPr>
                          </w:p>
                          <w:p/>
                        </w:txbxContent>
                      </wps:txbx>
                      <wps:bodyPr rot="0" vert="horz" wrap="square" lIns="91440" tIns="45720" rIns="91440" bIns="45720" anchor="t" anchorCtr="0">
                        <a:noAutofit/>
                      </wps:bodyPr>
                    </wps:wsp>
                  </a:graphicData>
                </a:graphic>
              </wp:inline>
            </w:drawing>
          </mc:Choice>
          <mc:Fallback>
            <w:pict>
              <v:shape id="_x0000_s1028" type="#_x0000_t202" style="width:454.45pt;height:5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" fillcolor="#d8d8d8 [2732]" strokeweight="1pt">
                <v:textbox>
                  <w:txbxContent>
                    <w:p>
                      <w:pPr>
                        <w:jc w:val="both"/>
                        <w:rPr>
                          <w:rFonts w:ascii="Times New Roman" w:hAnsi="Times New Roman"/>
                          <w:sz w:val="24"/>
                          <w:szCs w:val="24"/>
                        </w:rPr>
                      </w:pPr>
                      <w:r>
                        <w:rPr>
                          <w:rFonts w:ascii="Times New Roman" w:hAnsi="Times New Roman"/>
                          <w:sz w:val="24"/>
                          <w:szCs w:val="24"/>
                        </w:rPr>
                        <w:t>Лимитът е максималното абсолютно количество парникови газове, което може да бъде отделено от обхванатите субекти, така че да се осигури изпълнение на целта за намаляване на емисиите; той съответства на броя на квотите, пускани в обращение през даден период на търгуване. За цялата СТЕ на ЕС се прилага общ лимит за целия ЕС.</w:t>
                      </w:r>
                    </w:p>
                    <w:p>
                      <w:pPr>
                        <w:jc w:val="both"/>
                        <w:rPr>
                          <w:rFonts w:ascii="Times New Roman" w:hAnsi="Times New Roman"/>
                          <w:sz w:val="24"/>
                          <w:szCs w:val="24"/>
                        </w:rPr>
                      </w:pPr>
                      <w:r>
                        <w:rPr>
                          <w:rFonts w:ascii="Times New Roman" w:hAnsi="Times New Roman"/>
                          <w:sz w:val="24"/>
                          <w:szCs w:val="24"/>
                        </w:rPr>
                        <w:t xml:space="preserve">Лимитът от 2013 г. за емисиите от стационарни инсталации бе определен на 2 084 301 856 квоти. Този лимит намалява всяка година с линеен коефициент на намаление, равен на 1,74 % от средното общо количество годишно издадени квоти през периода 2008—2012 г., което гарантира, че максималният брой на квотите, които могат да бъдат използвани от стационарните инсталации, ще бъде с 21 % по-малък през 2020 г., отколкото през 2005 г. </w:t>
                      </w:r>
                    </w:p>
                    <w:p>
                      <w:pPr>
                        <w:jc w:val="both"/>
                        <w:rPr>
                          <w:rFonts w:ascii="Times New Roman" w:hAnsi="Times New Roman"/>
                          <w:sz w:val="24"/>
                          <w:szCs w:val="24"/>
                        </w:rPr>
                      </w:pPr>
                      <w:r>
                        <w:rPr>
                          <w:rFonts w:ascii="Times New Roman" w:hAnsi="Times New Roman"/>
                          <w:sz w:val="24"/>
                          <w:szCs w:val="24"/>
                        </w:rPr>
                        <w:t>Лимитът за сектора на въздухоплаването бе определен първоначално на 210 349 264 годишни квоти за авиационни емисии, което е с 5 % по-малко от средния годишен брой на авиационните емисии през периода 2004—2006 г. Той бе повишен със 116 524 квоти за авиационни емисии на 1 януари 2014 г., за да се даде възможност на Хърватия да се присъедини към СТЕ на ЕС. Този лимит имаше за цел да отрази законодателството от 2008 г.*, което включваше всички полети от, до и в рамките на ЕИП в СТЕ на ЕС. Обхватът на СТЕ на ЕС бе обаче временно ограничен до полети в рамките на ЕИП през периода 2013—2016 г. в подкрепа на разработването на глобална мярка от ИКАО, която да стабилизира емисиите от международното въздухоплаване на равнищата от 2020 г. Поради това броят на авиационните квоти, пуснати в обръщение през периода 2013—2016 г., беше значително по-нисък от първоначалния лимит. За да се подкрепи разработването на глобалната мярка от ИКАО, през 2017 г. ограничението за полети в рамките на ЕИП беше удължено до 2023 г. (вж. глава 4).</w:t>
                      </w:r>
                    </w:p>
                    <w:p>
                      <w:pPr>
                        <w:jc w:val="both"/>
                        <w:rPr>
                          <w:rFonts w:ascii="Times New Roman" w:hAnsi="Times New Roman"/>
                          <w:sz w:val="24"/>
                          <w:szCs w:val="24"/>
                        </w:rPr>
                      </w:pPr>
                      <w:r>
                        <w:rPr>
                          <w:rFonts w:ascii="Times New Roman" w:hAnsi="Times New Roman"/>
                          <w:sz w:val="24"/>
                          <w:szCs w:val="24"/>
                        </w:rPr>
                        <w:t xml:space="preserve">Във фаза 4 на СТЕ на ЕС (2021—2030 г.) лимитът както за стационарни инсталации, така и за въздухоплаването ще намалява с линеен коефициент на намаление от 2,2 %. </w:t>
                      </w:r>
                    </w:p>
                    <w:p>
                      <w:pPr>
                        <w:jc w:val="both"/>
                        <w:rPr>
                          <w:rFonts w:ascii="Times New Roman" w:hAnsi="Times New Roman"/>
                          <w:sz w:val="18"/>
                          <w:szCs w:val="18"/>
                        </w:rPr>
                      </w:pPr>
                      <w:r>
                        <w:rPr>
                          <w:rFonts w:ascii="Times New Roman" w:hAnsi="Times New Roman"/>
                          <w:sz w:val="18"/>
                          <w:szCs w:val="18"/>
                        </w:rPr>
                        <w:t>* Директива 2008/101/ЕО на Европейския парламент и на Съвета от 19 ноември 2008 г. за изменение на Директива 2003/87/ЕО с цел включване на авиационните дейности в схемата за търговия с квоти за емисии на парникови газове в рамките на Общността.</w:t>
                      </w:r>
                    </w:p>
                    <w:p>
                      <w:pPr>
                        <w:jc w:val="both"/>
                        <w:rPr>
                          <w:rFonts w:ascii="Times New Roman" w:hAnsi="Times New Roman"/>
                          <w:sz w:val="24"/>
                          <w:szCs w:val="24"/>
                        </w:rPr>
                      </w:pPr>
                    </w:p>
                    <w:p>
                      <w:pPr>
                        <w:jc w:val="both"/>
                        <w:rPr>
                          <w:rFonts w:ascii="Times New Roman" w:hAnsi="Times New Roman"/>
                          <w:sz w:val="24"/>
                          <w:szCs w:val="24"/>
                        </w:rPr>
                      </w:pPr>
                    </w:p>
                    <w:p>
                      <w:pPr>
                        <w:jc w:val="both"/>
                        <w:rPr>
                          <w:rFonts w:ascii="Times New Roman" w:hAnsi="Times New Roman"/>
                          <w:sz w:val="24"/>
                          <w:szCs w:val="24"/>
                        </w:rPr>
                      </w:pPr>
                    </w:p>
                    <w:p>
                      <w:pPr>
                        <w:jc w:val="both"/>
                        <w:rPr>
                          <w:lang w:val="ru-RU"/>
                        </w:rPr>
                      </w:pPr>
                    </w:p>
                    <w:p>
                      <w:pPr>
                        <w:jc w:val="both"/>
                        <w:rPr>
                          <w:rFonts w:ascii="Times New Roman" w:hAnsi="Times New Roman"/>
                          <w:sz w:val="24"/>
                          <w:szCs w:val="24"/>
                          <w:lang w:val="ru-RU"/>
                        </w:rPr>
                      </w:pPr>
                    </w:p>
                    <w:p/>
                  </w:txbxContent>
                </v:textbox>
                <w10:anchorlock/>
              </v:shape>
            </w:pict>
          </mc:Fallback>
        </mc:AlternateContent>
      </w:r>
    </w:p>
    <w:p>
      <w:pPr>
        <w:spacing w:after="0"/>
        <w:jc w:val="both"/>
        <w:rPr>
          <w:rFonts w:ascii="Times New Roman" w:hAnsi="Times New Roman"/>
          <w:noProof/>
          <w:sz w:val="24"/>
          <w:szCs w:val="24"/>
        </w:rPr>
      </w:pPr>
      <w:r>
        <w:rPr>
          <w:rFonts w:ascii="Times New Roman" w:hAnsi="Times New Roman"/>
          <w:noProof/>
          <w:sz w:val="24"/>
          <w:szCs w:val="24"/>
        </w:rPr>
        <w:t>В таблица 1 са дадени числените данни за лимита за стационарните инсталации и броят на квотите за авиационни емисии, пускани ежегодно в обръщение</w:t>
      </w:r>
      <w:r>
        <w:rPr>
          <w:rStyle w:val="FootnoteReference"/>
          <w:rFonts w:ascii="Times New Roman" w:hAnsi="Times New Roman"/>
          <w:noProof/>
          <w:sz w:val="24"/>
          <w:szCs w:val="24"/>
        </w:rPr>
        <w:footnoteReference w:id="25"/>
      </w:r>
      <w:r>
        <w:rPr>
          <w:rFonts w:ascii="Times New Roman" w:hAnsi="Times New Roman"/>
          <w:noProof/>
          <w:sz w:val="24"/>
          <w:szCs w:val="24"/>
        </w:rPr>
        <w:t xml:space="preserve"> за всяка година през фаза 3 на СТЕ на ЕС. </w:t>
      </w:r>
    </w:p>
    <w:p>
      <w:pPr>
        <w:jc w:val="both"/>
        <w:rPr>
          <w:rFonts w:ascii="Times New Roman" w:hAnsi="Times New Roman"/>
          <w:b/>
          <w:noProof/>
        </w:rPr>
      </w:pPr>
    </w:p>
    <w:p>
      <w:pPr>
        <w:jc w:val="both"/>
        <w:rPr>
          <w:rFonts w:ascii="Times New Roman" w:hAnsi="Times New Roman"/>
          <w:b/>
          <w:bCs/>
          <w:noProof/>
          <w:sz w:val="20"/>
          <w:szCs w:val="20"/>
        </w:rPr>
      </w:pPr>
      <w:r>
        <w:rPr>
          <w:rFonts w:ascii="Times New Roman" w:hAnsi="Times New Roman"/>
          <w:b/>
          <w:noProof/>
        </w:rPr>
        <w:t>Таблица 1: Лимити по СТЕ на ЕС през периода 2013—2020 г.</w:t>
      </w: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94"/>
        <w:gridCol w:w="3207"/>
        <w:gridCol w:w="3810"/>
      </w:tblGrid>
      <w:tr>
        <w:trPr>
          <w:trHeight w:val="615"/>
          <w:jc w:val="center"/>
        </w:trPr>
        <w:tc>
          <w:tcPr>
            <w:tcW w:w="1994" w:type="dxa"/>
          </w:tcPr>
          <w:p>
            <w:pPr>
              <w:jc w:val="center"/>
              <w:rPr>
                <w:rFonts w:ascii="Times New Roman" w:hAnsi="Times New Roman"/>
                <w:b/>
                <w:noProof/>
              </w:rPr>
            </w:pPr>
            <w:r>
              <w:rPr>
                <w:noProof/>
              </w:rPr>
              <w:t xml:space="preserve"> </w:t>
            </w:r>
            <w:r>
              <w:rPr>
                <w:noProof/>
              </w:rPr>
              <w:br/>
            </w:r>
            <w:r>
              <w:rPr>
                <w:rFonts w:ascii="Times New Roman" w:hAnsi="Times New Roman"/>
                <w:b/>
                <w:noProof/>
              </w:rPr>
              <w:t>Година</w:t>
            </w:r>
          </w:p>
          <w:p>
            <w:pPr>
              <w:jc w:val="center"/>
              <w:rPr>
                <w:b/>
                <w:noProof/>
              </w:rPr>
            </w:pPr>
          </w:p>
        </w:tc>
        <w:tc>
          <w:tcPr>
            <w:tcW w:w="3207" w:type="dxa"/>
          </w:tcPr>
          <w:p>
            <w:pPr>
              <w:jc w:val="center"/>
              <w:rPr>
                <w:b/>
                <w:noProof/>
              </w:rPr>
            </w:pPr>
            <w:r>
              <w:rPr>
                <w:noProof/>
              </w:rPr>
              <w:t xml:space="preserve"> </w:t>
            </w:r>
            <w:r>
              <w:rPr>
                <w:noProof/>
              </w:rPr>
              <w:br/>
            </w:r>
            <w:r>
              <w:rPr>
                <w:rFonts w:ascii="Times New Roman" w:hAnsi="Times New Roman"/>
                <w:b/>
                <w:noProof/>
              </w:rPr>
              <w:t>Годишен лимит (инсталации)</w:t>
            </w:r>
          </w:p>
        </w:tc>
        <w:tc>
          <w:tcPr>
            <w:tcW w:w="3810" w:type="dxa"/>
          </w:tcPr>
          <w:p>
            <w:pPr>
              <w:jc w:val="center"/>
              <w:rPr>
                <w:rFonts w:ascii="Times New Roman" w:hAnsi="Times New Roman"/>
                <w:b/>
                <w:noProof/>
              </w:rPr>
            </w:pPr>
          </w:p>
          <w:p>
            <w:pPr>
              <w:jc w:val="center"/>
              <w:rPr>
                <w:rFonts w:ascii="Times New Roman" w:hAnsi="Times New Roman"/>
                <w:b/>
                <w:noProof/>
              </w:rPr>
            </w:pPr>
            <w:r>
              <w:rPr>
                <w:rFonts w:ascii="Times New Roman" w:hAnsi="Times New Roman"/>
                <w:b/>
                <w:noProof/>
              </w:rPr>
              <w:t>Годишни квоти за авиационни емисии, пуснати в обръщение</w:t>
            </w:r>
            <w:r>
              <w:rPr>
                <w:rStyle w:val="FootnoteReference"/>
                <w:rFonts w:ascii="Times New Roman" w:hAnsi="Times New Roman"/>
                <w:b/>
                <w:noProof/>
              </w:rPr>
              <w:footnoteReference w:id="26"/>
            </w:r>
          </w:p>
        </w:tc>
      </w:tr>
      <w:tr>
        <w:trPr>
          <w:trHeight w:val="546"/>
          <w:jc w:val="center"/>
        </w:trPr>
        <w:tc>
          <w:tcPr>
            <w:tcW w:w="1994" w:type="dxa"/>
          </w:tcPr>
          <w:p>
            <w:pPr>
              <w:jc w:val="center"/>
              <w:rPr>
                <w:rFonts w:ascii="Times New Roman" w:hAnsi="Times New Roman"/>
                <w:noProof/>
              </w:rPr>
            </w:pPr>
            <w:r>
              <w:rPr>
                <w:noProof/>
              </w:rPr>
              <w:t xml:space="preserve"> </w:t>
            </w:r>
            <w:r>
              <w:rPr>
                <w:noProof/>
              </w:rPr>
              <w:br/>
            </w:r>
            <w:r>
              <w:rPr>
                <w:rFonts w:ascii="Times New Roman" w:hAnsi="Times New Roman"/>
                <w:noProof/>
              </w:rPr>
              <w:t>2013 г.</w:t>
            </w:r>
          </w:p>
          <w:p>
            <w:pPr>
              <w:jc w:val="center"/>
              <w:rPr>
                <w:noProof/>
              </w:rPr>
            </w:pPr>
          </w:p>
        </w:tc>
        <w:tc>
          <w:tcPr>
            <w:tcW w:w="3207" w:type="dxa"/>
          </w:tcPr>
          <w:p>
            <w:pPr>
              <w:jc w:val="center"/>
              <w:rPr>
                <w:noProof/>
              </w:rPr>
            </w:pPr>
            <w:r>
              <w:rPr>
                <w:noProof/>
              </w:rPr>
              <w:t xml:space="preserve"> </w:t>
            </w:r>
            <w:r>
              <w:rPr>
                <w:noProof/>
              </w:rPr>
              <w:br/>
            </w:r>
            <w:r>
              <w:rPr>
                <w:rFonts w:ascii="Times New Roman" w:hAnsi="Times New Roman"/>
                <w:noProof/>
              </w:rPr>
              <w:t>2 084 301 856</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32 455 296</w:t>
            </w:r>
          </w:p>
        </w:tc>
      </w:tr>
      <w:tr>
        <w:trPr>
          <w:trHeight w:val="534"/>
          <w:jc w:val="center"/>
        </w:trPr>
        <w:tc>
          <w:tcPr>
            <w:tcW w:w="1994" w:type="dxa"/>
          </w:tcPr>
          <w:p>
            <w:pPr>
              <w:jc w:val="center"/>
              <w:rPr>
                <w:rFonts w:ascii="Times New Roman" w:hAnsi="Times New Roman"/>
                <w:noProof/>
              </w:rPr>
            </w:pPr>
            <w:r>
              <w:rPr>
                <w:noProof/>
              </w:rPr>
              <w:t xml:space="preserve"> </w:t>
            </w:r>
            <w:r>
              <w:rPr>
                <w:noProof/>
              </w:rPr>
              <w:br/>
            </w:r>
            <w:r>
              <w:rPr>
                <w:rFonts w:ascii="Times New Roman" w:hAnsi="Times New Roman"/>
                <w:noProof/>
              </w:rPr>
              <w:t>2014 г.</w:t>
            </w:r>
          </w:p>
          <w:p>
            <w:pPr>
              <w:jc w:val="center"/>
              <w:rPr>
                <w:noProof/>
              </w:rPr>
            </w:pPr>
          </w:p>
        </w:tc>
        <w:tc>
          <w:tcPr>
            <w:tcW w:w="3207" w:type="dxa"/>
          </w:tcPr>
          <w:p>
            <w:pPr>
              <w:jc w:val="center"/>
              <w:rPr>
                <w:noProof/>
              </w:rPr>
            </w:pPr>
            <w:r>
              <w:rPr>
                <w:noProof/>
              </w:rPr>
              <w:t xml:space="preserve"> </w:t>
            </w:r>
            <w:r>
              <w:rPr>
                <w:noProof/>
              </w:rPr>
              <w:br/>
            </w:r>
            <w:r>
              <w:rPr>
                <w:rFonts w:ascii="Times New Roman" w:hAnsi="Times New Roman"/>
                <w:noProof/>
              </w:rPr>
              <w:t>2 046 037 610</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41 866 834</w:t>
            </w:r>
          </w:p>
        </w:tc>
      </w:tr>
      <w:tr>
        <w:trPr>
          <w:trHeight w:val="522"/>
          <w:jc w:val="center"/>
        </w:trPr>
        <w:tc>
          <w:tcPr>
            <w:tcW w:w="1994" w:type="dxa"/>
          </w:tcPr>
          <w:p>
            <w:pPr>
              <w:jc w:val="center"/>
              <w:rPr>
                <w:rFonts w:ascii="Times New Roman" w:hAnsi="Times New Roman"/>
                <w:noProof/>
              </w:rPr>
            </w:pPr>
            <w:r>
              <w:rPr>
                <w:noProof/>
              </w:rPr>
              <w:t xml:space="preserve"> </w:t>
            </w:r>
            <w:r>
              <w:rPr>
                <w:noProof/>
              </w:rPr>
              <w:br/>
            </w:r>
            <w:r>
              <w:rPr>
                <w:rFonts w:ascii="Times New Roman" w:hAnsi="Times New Roman"/>
                <w:noProof/>
              </w:rPr>
              <w:t>2015 г.</w:t>
            </w:r>
          </w:p>
          <w:p>
            <w:pPr>
              <w:jc w:val="center"/>
              <w:rPr>
                <w:noProof/>
              </w:rPr>
            </w:pPr>
          </w:p>
        </w:tc>
        <w:tc>
          <w:tcPr>
            <w:tcW w:w="3207" w:type="dxa"/>
          </w:tcPr>
          <w:p>
            <w:pPr>
              <w:jc w:val="center"/>
              <w:rPr>
                <w:noProof/>
              </w:rPr>
            </w:pPr>
            <w:r>
              <w:rPr>
                <w:noProof/>
              </w:rPr>
              <w:t xml:space="preserve"> </w:t>
            </w:r>
            <w:r>
              <w:rPr>
                <w:noProof/>
              </w:rPr>
              <w:br/>
            </w:r>
            <w:r>
              <w:rPr>
                <w:rFonts w:ascii="Times New Roman" w:hAnsi="Times New Roman"/>
                <w:noProof/>
              </w:rPr>
              <w:t>2 007 773 364</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50 669 024</w:t>
            </w:r>
          </w:p>
        </w:tc>
      </w:tr>
      <w:tr>
        <w:trPr>
          <w:trHeight w:val="510"/>
          <w:jc w:val="center"/>
        </w:trPr>
        <w:tc>
          <w:tcPr>
            <w:tcW w:w="1994" w:type="dxa"/>
          </w:tcPr>
          <w:p>
            <w:pPr>
              <w:jc w:val="center"/>
              <w:rPr>
                <w:rFonts w:ascii="Times New Roman" w:hAnsi="Times New Roman"/>
                <w:noProof/>
              </w:rPr>
            </w:pPr>
            <w:r>
              <w:rPr>
                <w:noProof/>
              </w:rPr>
              <w:t xml:space="preserve"> </w:t>
            </w:r>
            <w:r>
              <w:rPr>
                <w:noProof/>
              </w:rPr>
              <w:br/>
            </w:r>
            <w:r>
              <w:rPr>
                <w:rFonts w:ascii="Times New Roman" w:hAnsi="Times New Roman"/>
                <w:noProof/>
              </w:rPr>
              <w:t>2016 г.</w:t>
            </w:r>
          </w:p>
          <w:p>
            <w:pPr>
              <w:jc w:val="center"/>
              <w:rPr>
                <w:rFonts w:ascii="Times New Roman" w:hAnsi="Times New Roman"/>
                <w:noProof/>
              </w:rPr>
            </w:pPr>
          </w:p>
        </w:tc>
        <w:tc>
          <w:tcPr>
            <w:tcW w:w="3207" w:type="dxa"/>
          </w:tcPr>
          <w:p>
            <w:pPr>
              <w:jc w:val="center"/>
              <w:rPr>
                <w:rFonts w:ascii="Times New Roman" w:hAnsi="Times New Roman"/>
                <w:noProof/>
              </w:rPr>
            </w:pPr>
            <w:r>
              <w:rPr>
                <w:noProof/>
              </w:rPr>
              <w:t xml:space="preserve"> </w:t>
            </w:r>
            <w:r>
              <w:rPr>
                <w:noProof/>
              </w:rPr>
              <w:br/>
            </w:r>
            <w:r>
              <w:rPr>
                <w:rFonts w:ascii="Times New Roman" w:hAnsi="Times New Roman"/>
                <w:noProof/>
              </w:rPr>
              <w:t>1 969 509 118</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38 879 316</w:t>
            </w:r>
          </w:p>
          <w:p>
            <w:pPr>
              <w:jc w:val="center"/>
              <w:rPr>
                <w:rFonts w:ascii="Times New Roman" w:hAnsi="Times New Roman"/>
                <w:noProof/>
              </w:rPr>
            </w:pPr>
          </w:p>
        </w:tc>
      </w:tr>
      <w:tr>
        <w:trPr>
          <w:trHeight w:val="603"/>
          <w:jc w:val="center"/>
        </w:trPr>
        <w:tc>
          <w:tcPr>
            <w:tcW w:w="1994" w:type="dxa"/>
          </w:tcPr>
          <w:p>
            <w:pPr>
              <w:jc w:val="center"/>
              <w:rPr>
                <w:rFonts w:ascii="Times New Roman" w:hAnsi="Times New Roman"/>
                <w:noProof/>
              </w:rPr>
            </w:pPr>
            <w:r>
              <w:rPr>
                <w:noProof/>
              </w:rPr>
              <w:t xml:space="preserve"> </w:t>
            </w:r>
            <w:r>
              <w:rPr>
                <w:noProof/>
              </w:rPr>
              <w:br/>
            </w:r>
            <w:r>
              <w:rPr>
                <w:rFonts w:ascii="Times New Roman" w:hAnsi="Times New Roman"/>
                <w:noProof/>
              </w:rPr>
              <w:t>2017 г.</w:t>
            </w:r>
          </w:p>
          <w:p>
            <w:pPr>
              <w:jc w:val="center"/>
              <w:rPr>
                <w:rFonts w:ascii="Times New Roman" w:hAnsi="Times New Roman"/>
                <w:noProof/>
              </w:rPr>
            </w:pPr>
          </w:p>
        </w:tc>
        <w:tc>
          <w:tcPr>
            <w:tcW w:w="3207" w:type="dxa"/>
          </w:tcPr>
          <w:p>
            <w:pPr>
              <w:jc w:val="center"/>
              <w:rPr>
                <w:rFonts w:ascii="Times New Roman" w:hAnsi="Times New Roman"/>
                <w:noProof/>
              </w:rPr>
            </w:pPr>
            <w:r>
              <w:rPr>
                <w:noProof/>
              </w:rPr>
              <w:t xml:space="preserve"> </w:t>
            </w:r>
            <w:r>
              <w:rPr>
                <w:noProof/>
              </w:rPr>
              <w:br/>
            </w:r>
            <w:r>
              <w:rPr>
                <w:rFonts w:ascii="Times New Roman" w:hAnsi="Times New Roman"/>
                <w:noProof/>
              </w:rPr>
              <w:t>1 931 244 873</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38 711 651</w:t>
            </w:r>
          </w:p>
        </w:tc>
      </w:tr>
      <w:tr>
        <w:trPr>
          <w:trHeight w:val="603"/>
          <w:jc w:val="center"/>
        </w:trPr>
        <w:tc>
          <w:tcPr>
            <w:tcW w:w="1994" w:type="dxa"/>
          </w:tcPr>
          <w:p>
            <w:pPr>
              <w:jc w:val="center"/>
              <w:rPr>
                <w:rFonts w:ascii="Times New Roman" w:hAnsi="Times New Roman"/>
                <w:noProof/>
              </w:rPr>
            </w:pPr>
            <w:r>
              <w:rPr>
                <w:noProof/>
              </w:rPr>
              <w:t xml:space="preserve"> </w:t>
            </w:r>
            <w:r>
              <w:rPr>
                <w:noProof/>
              </w:rPr>
              <w:br/>
            </w:r>
            <w:r>
              <w:rPr>
                <w:rFonts w:ascii="Times New Roman" w:hAnsi="Times New Roman"/>
                <w:noProof/>
              </w:rPr>
              <w:t>2018 г.</w:t>
            </w:r>
          </w:p>
          <w:p>
            <w:pPr>
              <w:jc w:val="center"/>
              <w:rPr>
                <w:rFonts w:ascii="Times New Roman" w:hAnsi="Times New Roman"/>
                <w:noProof/>
              </w:rPr>
            </w:pPr>
          </w:p>
        </w:tc>
        <w:tc>
          <w:tcPr>
            <w:tcW w:w="3207" w:type="dxa"/>
          </w:tcPr>
          <w:p>
            <w:pPr>
              <w:jc w:val="center"/>
              <w:rPr>
                <w:rFonts w:ascii="Times New Roman" w:hAnsi="Times New Roman"/>
                <w:noProof/>
              </w:rPr>
            </w:pPr>
            <w:r>
              <w:rPr>
                <w:noProof/>
              </w:rPr>
              <w:t xml:space="preserve"> </w:t>
            </w:r>
            <w:r>
              <w:rPr>
                <w:noProof/>
              </w:rPr>
              <w:br/>
            </w:r>
            <w:r>
              <w:rPr>
                <w:rFonts w:ascii="Times New Roman" w:hAnsi="Times New Roman"/>
                <w:noProof/>
              </w:rPr>
              <w:t>1 892 980 627</w:t>
            </w:r>
          </w:p>
        </w:tc>
        <w:tc>
          <w:tcPr>
            <w:tcW w:w="3810" w:type="dxa"/>
          </w:tcPr>
          <w:p>
            <w:pPr>
              <w:jc w:val="center"/>
              <w:rPr>
                <w:rFonts w:ascii="Times New Roman" w:hAnsi="Times New Roman"/>
                <w:noProof/>
              </w:rPr>
            </w:pPr>
          </w:p>
          <w:p>
            <w:pPr>
              <w:jc w:val="center"/>
              <w:rPr>
                <w:rFonts w:ascii="Times New Roman" w:hAnsi="Times New Roman"/>
                <w:noProof/>
              </w:rPr>
            </w:pPr>
            <w:r>
              <w:rPr>
                <w:rFonts w:ascii="Times New Roman" w:hAnsi="Times New Roman"/>
                <w:noProof/>
              </w:rPr>
              <w:t>38 909 585</w:t>
            </w:r>
          </w:p>
        </w:tc>
      </w:tr>
      <w:tr>
        <w:trPr>
          <w:trHeight w:val="603"/>
          <w:jc w:val="center"/>
        </w:trPr>
        <w:tc>
          <w:tcPr>
            <w:tcW w:w="1994" w:type="dxa"/>
          </w:tcPr>
          <w:p>
            <w:pPr>
              <w:jc w:val="center"/>
              <w:rPr>
                <w:rFonts w:ascii="Times New Roman" w:hAnsi="Times New Roman"/>
                <w:noProof/>
              </w:rPr>
            </w:pPr>
            <w:r>
              <w:rPr>
                <w:noProof/>
              </w:rPr>
              <w:t xml:space="preserve"> </w:t>
            </w:r>
            <w:r>
              <w:rPr>
                <w:noProof/>
              </w:rPr>
              <w:br/>
            </w:r>
            <w:r>
              <w:rPr>
                <w:rFonts w:ascii="Times New Roman" w:hAnsi="Times New Roman"/>
                <w:noProof/>
              </w:rPr>
              <w:t>2019 г.</w:t>
            </w:r>
          </w:p>
          <w:p>
            <w:pPr>
              <w:jc w:val="center"/>
              <w:rPr>
                <w:rFonts w:ascii="Times New Roman" w:hAnsi="Times New Roman"/>
                <w:noProof/>
              </w:rPr>
            </w:pPr>
          </w:p>
        </w:tc>
        <w:tc>
          <w:tcPr>
            <w:tcW w:w="3207" w:type="dxa"/>
          </w:tcPr>
          <w:p>
            <w:pPr>
              <w:jc w:val="center"/>
              <w:rPr>
                <w:rFonts w:ascii="Times New Roman" w:hAnsi="Times New Roman"/>
                <w:noProof/>
              </w:rPr>
            </w:pPr>
            <w:r>
              <w:rPr>
                <w:noProof/>
              </w:rPr>
              <w:t xml:space="preserve"> </w:t>
            </w:r>
            <w:r>
              <w:rPr>
                <w:noProof/>
              </w:rPr>
              <w:br/>
            </w:r>
            <w:r>
              <w:rPr>
                <w:rFonts w:ascii="Times New Roman" w:hAnsi="Times New Roman"/>
                <w:noProof/>
              </w:rPr>
              <w:t>1 854 716 381</w:t>
            </w:r>
          </w:p>
        </w:tc>
        <w:tc>
          <w:tcPr>
            <w:tcW w:w="3810" w:type="dxa"/>
          </w:tcPr>
          <w:p>
            <w:pPr>
              <w:jc w:val="center"/>
              <w:rPr>
                <w:rFonts w:ascii="Times New Roman" w:hAnsi="Times New Roman"/>
                <w:noProof/>
              </w:rPr>
            </w:pPr>
          </w:p>
          <w:p>
            <w:pPr>
              <w:jc w:val="center"/>
              <w:rPr>
                <w:rFonts w:ascii="Times New Roman" w:hAnsi="Times New Roman"/>
                <w:noProof/>
                <w:color w:val="000000"/>
              </w:rPr>
            </w:pPr>
            <w:r>
              <w:rPr>
                <w:rFonts w:ascii="Times New Roman" w:hAnsi="Times New Roman"/>
                <w:noProof/>
                <w:color w:val="000000"/>
              </w:rPr>
              <w:t xml:space="preserve">38 946 562 </w:t>
            </w:r>
          </w:p>
          <w:p>
            <w:pPr>
              <w:jc w:val="center"/>
              <w:rPr>
                <w:rFonts w:ascii="Times New Roman" w:hAnsi="Times New Roman"/>
                <w:noProof/>
              </w:rPr>
            </w:pPr>
          </w:p>
        </w:tc>
      </w:tr>
      <w:tr>
        <w:trPr>
          <w:trHeight w:val="510"/>
          <w:jc w:val="center"/>
        </w:trPr>
        <w:tc>
          <w:tcPr>
            <w:tcW w:w="1994" w:type="dxa"/>
          </w:tcPr>
          <w:p>
            <w:pPr>
              <w:jc w:val="center"/>
              <w:rPr>
                <w:rFonts w:ascii="Times New Roman" w:hAnsi="Times New Roman"/>
                <w:noProof/>
              </w:rPr>
            </w:pPr>
            <w:r>
              <w:rPr>
                <w:noProof/>
              </w:rPr>
              <w:t xml:space="preserve"> </w:t>
            </w:r>
            <w:r>
              <w:rPr>
                <w:noProof/>
              </w:rPr>
              <w:br/>
            </w:r>
            <w:r>
              <w:rPr>
                <w:rFonts w:ascii="Times New Roman" w:hAnsi="Times New Roman"/>
                <w:noProof/>
              </w:rPr>
              <w:t>2020 г.</w:t>
            </w:r>
          </w:p>
          <w:p>
            <w:pPr>
              <w:jc w:val="center"/>
              <w:rPr>
                <w:rFonts w:ascii="Times New Roman" w:hAnsi="Times New Roman"/>
                <w:noProof/>
              </w:rPr>
            </w:pPr>
          </w:p>
        </w:tc>
        <w:tc>
          <w:tcPr>
            <w:tcW w:w="3207" w:type="dxa"/>
          </w:tcPr>
          <w:p>
            <w:pPr>
              <w:jc w:val="center"/>
              <w:rPr>
                <w:noProof/>
              </w:rPr>
            </w:pPr>
            <w:r>
              <w:rPr>
                <w:noProof/>
              </w:rPr>
              <w:t xml:space="preserve"> </w:t>
            </w:r>
            <w:r>
              <w:rPr>
                <w:noProof/>
              </w:rPr>
              <w:br/>
            </w:r>
            <w:r>
              <w:rPr>
                <w:rFonts w:ascii="Times New Roman" w:hAnsi="Times New Roman"/>
                <w:noProof/>
              </w:rPr>
              <w:t>1 816 452 135</w:t>
            </w:r>
          </w:p>
        </w:tc>
        <w:tc>
          <w:tcPr>
            <w:tcW w:w="3810" w:type="dxa"/>
          </w:tcPr>
          <w:p>
            <w:pPr>
              <w:jc w:val="center"/>
              <w:rPr>
                <w:rFonts w:ascii="Times New Roman" w:hAnsi="Times New Roman"/>
                <w:noProof/>
              </w:rPr>
            </w:pPr>
          </w:p>
          <w:p>
            <w:pPr>
              <w:jc w:val="center"/>
              <w:rPr>
                <w:rFonts w:ascii="Times New Roman" w:hAnsi="Times New Roman"/>
                <w:noProof/>
              </w:rPr>
            </w:pPr>
          </w:p>
        </w:tc>
      </w:tr>
    </w:tbl>
    <w:p>
      <w:pPr>
        <w:spacing w:after="0"/>
        <w:jc w:val="both"/>
        <w:rPr>
          <w:rFonts w:ascii="Times New Roman" w:hAnsi="Times New Roman"/>
          <w:noProof/>
          <w:sz w:val="24"/>
          <w:szCs w:val="24"/>
        </w:rPr>
      </w:pPr>
      <w:bookmarkStart w:id="24" w:name="_Toc490850425"/>
      <w:bookmarkStart w:id="25" w:name="_Toc519009681"/>
    </w:p>
    <w:p>
      <w:pPr>
        <w:spacing w:after="0"/>
        <w:jc w:val="both"/>
        <w:rPr>
          <w:rFonts w:ascii="Times New Roman" w:hAnsi="Times New Roman"/>
          <w:noProof/>
          <w:sz w:val="24"/>
          <w:szCs w:val="24"/>
        </w:rPr>
      </w:pPr>
      <w:r>
        <w:rPr>
          <w:rFonts w:ascii="Times New Roman" w:hAnsi="Times New Roman"/>
          <w:noProof/>
          <w:sz w:val="24"/>
          <w:szCs w:val="24"/>
        </w:rPr>
        <w:t>На 1 февруари 2020 г. влезе в сила Споразумението за оттеглянето на Обединеното кралство от Европейския съюз</w:t>
      </w:r>
      <w:r>
        <w:rPr>
          <w:rStyle w:val="FootnoteReference"/>
          <w:rFonts w:ascii="Times New Roman" w:hAnsi="Times New Roman"/>
          <w:noProof/>
          <w:sz w:val="24"/>
          <w:szCs w:val="24"/>
        </w:rPr>
        <w:footnoteReference w:id="27"/>
      </w:r>
      <w:r>
        <w:rPr>
          <w:rFonts w:ascii="Times New Roman" w:hAnsi="Times New Roman"/>
          <w:noProof/>
          <w:sz w:val="24"/>
          <w:szCs w:val="24"/>
        </w:rPr>
        <w:t>. Директивата за СТЕ се прилага за Обединеното кралство до края на 31 декември 2020 г. и съгласно Протокола за Ирландия и Северна Ирландия</w:t>
      </w:r>
      <w:r>
        <w:rPr>
          <w:rStyle w:val="FootnoteReference"/>
          <w:rFonts w:ascii="Times New Roman" w:hAnsi="Times New Roman"/>
          <w:noProof/>
          <w:sz w:val="24"/>
          <w:szCs w:val="24"/>
        </w:rPr>
        <w:footnoteReference w:id="28"/>
      </w:r>
      <w:r>
        <w:rPr>
          <w:rFonts w:ascii="Times New Roman" w:hAnsi="Times New Roman"/>
          <w:noProof/>
          <w:sz w:val="24"/>
          <w:szCs w:val="24"/>
        </w:rPr>
        <w:t xml:space="preserve"> производството на електроенергия, разположено в Северна Ирландия (NI), остава в СТЕ на ЕС със съответните права и задължения. </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rPr>
        <w:t>Комисията взе предвид тези събития, като прие Решение на Комисията</w:t>
      </w:r>
      <w:r>
        <w:rPr>
          <w:rStyle w:val="FootnoteReference"/>
          <w:rFonts w:ascii="Times New Roman" w:hAnsi="Times New Roman"/>
          <w:noProof/>
          <w:sz w:val="24"/>
          <w:szCs w:val="24"/>
        </w:rPr>
        <w:footnoteReference w:id="29"/>
      </w:r>
      <w:r>
        <w:rPr>
          <w:rFonts w:ascii="Times New Roman" w:hAnsi="Times New Roman"/>
          <w:noProof/>
          <w:sz w:val="24"/>
          <w:szCs w:val="24"/>
        </w:rPr>
        <w:t xml:space="preserve"> относно коригираното количество квоти за целия Съюз на 16 ноември 2020 г. Фигура 1 обобщава намаляването на лимита след увеличаването на коефициента на линейно намаление до 2,2 %, считано от 2021 г., като същевременно се визуализира ролята на поставянето на квоти в резерва за стабилност на пазара (MSR) и приносът на „отложените квоти“ в MSR (вж. също глава 3.3). </w:t>
      </w:r>
    </w:p>
    <w:p>
      <w:pPr>
        <w:spacing w:after="0"/>
        <w:jc w:val="both"/>
        <w:rPr>
          <w:rFonts w:ascii="Times New Roman" w:hAnsi="Times New Roman"/>
          <w:noProof/>
          <w:sz w:val="24"/>
          <w:szCs w:val="24"/>
        </w:rPr>
      </w:pPr>
    </w:p>
    <w:p>
      <w:pPr>
        <w:spacing w:after="0"/>
        <w:jc w:val="both"/>
        <w:rPr>
          <w:rFonts w:ascii="Times New Roman" w:hAnsi="Times New Roman"/>
          <w:b/>
          <w:bCs/>
          <w:noProof/>
        </w:rPr>
      </w:pPr>
    </w:p>
    <w:p>
      <w:pPr>
        <w:spacing w:after="0"/>
        <w:jc w:val="both"/>
        <w:rPr>
          <w:rFonts w:ascii="Times New Roman" w:hAnsi="Times New Roman"/>
          <w:b/>
          <w:bCs/>
          <w:noProof/>
        </w:rPr>
      </w:pPr>
    </w:p>
    <w:p>
      <w:pPr>
        <w:spacing w:after="0"/>
        <w:jc w:val="both"/>
        <w:rPr>
          <w:rFonts w:ascii="Times New Roman" w:hAnsi="Times New Roman"/>
          <w:b/>
          <w:bCs/>
          <w:noProof/>
        </w:rPr>
      </w:pPr>
    </w:p>
    <w:p>
      <w:pPr>
        <w:spacing w:after="0"/>
        <w:jc w:val="both"/>
        <w:rPr>
          <w:rFonts w:ascii="Times New Roman" w:hAnsi="Times New Roman"/>
          <w:b/>
          <w:bCs/>
          <w:noProof/>
        </w:rPr>
      </w:pPr>
      <w:r>
        <w:rPr>
          <w:rFonts w:ascii="Times New Roman" w:hAnsi="Times New Roman"/>
          <w:b/>
          <w:bCs/>
          <w:noProof/>
        </w:rPr>
        <w:t>Фигура 1: Намаляване на лимита с увеличаване на коефициента на линейно намаление до 2,2 %, считано от 2021 г.</w:t>
      </w:r>
      <w:r>
        <w:rPr>
          <w:rFonts w:ascii="Times New Roman" w:hAnsi="Times New Roman"/>
          <w:b/>
          <w:bCs/>
          <w:noProof/>
          <w:vertAlign w:val="superscript"/>
        </w:rPr>
        <w:footnoteReference w:id="30"/>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lang w:val="en-GB" w:eastAsia="en-GB"/>
        </w:rPr>
        <w:drawing>
          <wp:inline distT="0" distB="0" distL="0" distR="0">
            <wp:extent cx="6270461" cy="3228975"/>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74561" cy="3231086"/>
                    </a:xfrm>
                    <a:prstGeom prst="rect">
                      <a:avLst/>
                    </a:prstGeom>
                    <a:noFill/>
                    <a:ln>
                      <a:noFill/>
                    </a:ln>
                  </pic:spPr>
                </pic:pic>
              </a:graphicData>
            </a:graphic>
          </wp:inline>
        </w:drawing>
      </w:r>
    </w:p>
    <w:p>
      <w:pPr>
        <w:pStyle w:val="Heading3"/>
        <w:spacing w:before="0" w:after="200"/>
        <w:ind w:left="720"/>
        <w:rPr>
          <w:noProof/>
        </w:rPr>
      </w:pPr>
      <w:bookmarkStart w:id="26" w:name="_Toc56071832"/>
      <w:r>
        <w:rPr>
          <w:noProof/>
        </w:rPr>
        <w:t>3.1.2. Издадени квоти</w:t>
      </w:r>
      <w:bookmarkEnd w:id="24"/>
      <w:bookmarkEnd w:id="25"/>
      <w:bookmarkEnd w:id="26"/>
    </w:p>
    <w:p>
      <w:pPr>
        <w:pStyle w:val="Heading4"/>
        <w:spacing w:before="0" w:after="200"/>
        <w:ind w:left="720"/>
        <w:rPr>
          <w:noProof/>
        </w:rPr>
      </w:pPr>
      <w:bookmarkStart w:id="27" w:name="_Toc490850426"/>
      <w:bookmarkStart w:id="28" w:name="_Toc56071833"/>
      <w:r>
        <w:rPr>
          <w:noProof/>
        </w:rPr>
        <w:t>3.1.2.1. Безплатно разпределение на квоти</w:t>
      </w:r>
      <w:bookmarkEnd w:id="27"/>
      <w:bookmarkEnd w:id="28"/>
      <w:r>
        <w:rPr>
          <w:noProof/>
        </w:rPr>
        <w:t xml:space="preserve"> </w:t>
      </w:r>
    </w:p>
    <w:p>
      <w:pPr>
        <w:jc w:val="both"/>
        <w:rPr>
          <w:rFonts w:ascii="Times New Roman" w:hAnsi="Times New Roman"/>
          <w:noProof/>
          <w:sz w:val="24"/>
          <w:szCs w:val="24"/>
        </w:rPr>
      </w:pPr>
      <w:r>
        <w:rPr>
          <w:rFonts w:ascii="Times New Roman" w:hAnsi="Times New Roman"/>
          <w:noProof/>
          <w:sz w:val="24"/>
          <w:szCs w:val="24"/>
          <w:lang w:val="en-GB" w:eastAsia="en-GB"/>
        </w:rPr>
        <mc:AlternateContent>
          <mc:Choice Requires="wps">
            <w:drawing>
              <wp:inline distT="0" distB="0" distL="0" distR="0">
                <wp:extent cx="5749747" cy="6705600"/>
                <wp:effectExtent l="0" t="0" r="22860"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747" cy="6705600"/>
                        </a:xfrm>
                        <a:prstGeom prst="rect">
                          <a:avLst/>
                        </a:prstGeom>
                        <a:solidFill>
                          <a:schemeClr val="bg1">
                            <a:lumMod val="85000"/>
                          </a:scheme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Въпреки че във фаза 3 на СТЕ на ЕС тръжната продажба е методът на разпределение по подразбиране, значително количество квоти са разпределени безплатно за промишлени инсталации за справяне с риска от изместване на въглеродни емисии (състояние, при което предприятията прехвърлят производството си в трети държави с не толкова стриктни ограничения относно емисиите на парникови газове, което може да доведе до увеличаване на общото им количество емисии). Прилагат се следните принципи:</w:t>
                            </w:r>
                          </w:p>
                          <w:p>
                            <w:pPr>
                              <w:pStyle w:val="ListParagraph"/>
                              <w:numPr>
                                <w:ilvl w:val="0"/>
                                <w:numId w:val="10"/>
                              </w:numPr>
                              <w:spacing w:after="200" w:line="276" w:lineRule="auto"/>
                              <w:jc w:val="both"/>
                              <w:rPr>
                                <w:rFonts w:ascii="Times New Roman" w:hAnsi="Times New Roman"/>
                                <w:sz w:val="24"/>
                                <w:szCs w:val="24"/>
                              </w:rPr>
                            </w:pPr>
                            <w:r>
                              <w:rPr>
                                <w:rFonts w:ascii="Times New Roman" w:hAnsi="Times New Roman"/>
                                <w:sz w:val="24"/>
                                <w:szCs w:val="24"/>
                              </w:rPr>
                              <w:t>Производството на електроенергия не отговаря на условията за безплатни квоти;</w:t>
                            </w:r>
                          </w:p>
                          <w:p>
                            <w:pPr>
                              <w:pStyle w:val="ListParagraph"/>
                              <w:numPr>
                                <w:ilvl w:val="0"/>
                                <w:numId w:val="10"/>
                              </w:numPr>
                              <w:spacing w:after="200" w:line="276" w:lineRule="auto"/>
                              <w:jc w:val="both"/>
                              <w:rPr>
                                <w:rFonts w:ascii="Times New Roman" w:hAnsi="Times New Roman"/>
                                <w:sz w:val="24"/>
                                <w:szCs w:val="24"/>
                              </w:rPr>
                            </w:pPr>
                            <w:r>
                              <w:rPr>
                                <w:rFonts w:ascii="Times New Roman" w:hAnsi="Times New Roman"/>
                                <w:sz w:val="24"/>
                                <w:szCs w:val="24"/>
                              </w:rPr>
                              <w:t>Безплатни квоти за промишлените производства се разпределят в съответствие с правила, хармонизирани за целия ЕС;</w:t>
                            </w:r>
                          </w:p>
                          <w:p>
                            <w:pPr>
                              <w:pStyle w:val="ListParagraph"/>
                              <w:numPr>
                                <w:ilvl w:val="0"/>
                                <w:numId w:val="10"/>
                              </w:numPr>
                              <w:spacing w:after="200" w:line="276" w:lineRule="auto"/>
                              <w:jc w:val="both"/>
                              <w:rPr>
                                <w:rFonts w:ascii="Times New Roman" w:hAnsi="Times New Roman"/>
                                <w:sz w:val="24"/>
                                <w:szCs w:val="24"/>
                              </w:rPr>
                            </w:pPr>
                            <w:r>
                              <w:rPr>
                                <w:rFonts w:ascii="Times New Roman" w:hAnsi="Times New Roman"/>
                                <w:sz w:val="24"/>
                                <w:szCs w:val="24"/>
                              </w:rPr>
                              <w:t>Безплатното разпределение се основава на показатели за ефективност, така че да се засилят стимулите за намаляване на емисиите на парникови газове и иновациите и да се възнаградят най-ефективните инсталации;</w:t>
                            </w:r>
                          </w:p>
                          <w:p>
                            <w:pPr>
                              <w:pStyle w:val="ListParagraph"/>
                              <w:numPr>
                                <w:ilvl w:val="0"/>
                                <w:numId w:val="10"/>
                              </w:numPr>
                              <w:spacing w:after="200" w:line="276" w:lineRule="auto"/>
                              <w:jc w:val="both"/>
                              <w:rPr>
                                <w:rFonts w:ascii="Times New Roman" w:hAnsi="Times New Roman"/>
                                <w:sz w:val="24"/>
                                <w:szCs w:val="24"/>
                              </w:rPr>
                            </w:pPr>
                            <w:r>
                              <w:rPr>
                                <w:rFonts w:ascii="Times New Roman" w:hAnsi="Times New Roman"/>
                                <w:sz w:val="24"/>
                                <w:szCs w:val="24"/>
                              </w:rPr>
                              <w:t>Установен е обхващащ целия ЕС резерв за нови участници (NER) за нови промишлени инсталации и инсталации със значително увеличен капацитет, който се равнява на 5 % от сумарното количество квоти за фаза 3.</w:t>
                            </w:r>
                          </w:p>
                          <w:p>
                            <w:pPr>
                              <w:jc w:val="both"/>
                              <w:rPr>
                                <w:rFonts w:ascii="Times New Roman" w:hAnsi="Times New Roman"/>
                                <w:sz w:val="24"/>
                                <w:szCs w:val="24"/>
                              </w:rPr>
                            </w:pPr>
                            <w:r>
                              <w:rPr>
                                <w:rFonts w:ascii="Times New Roman" w:hAnsi="Times New Roman"/>
                                <w:sz w:val="24"/>
                                <w:szCs w:val="24"/>
                              </w:rPr>
                              <w:t>Секторите и подсекторите, за които се смята, че са изложени на значителен риск от изместване на въглеродни емисии, са включени в списък за изместване на въглеродни емисии*. Въпреки че първоначално списъкът обхващаше периода 2015—2019 г., преразгледаната Директива за СТЕ на ЕС удължи действието му до 31 декември 2020 г.</w:t>
                            </w:r>
                          </w:p>
                          <w:p>
                            <w:pPr>
                              <w:jc w:val="both"/>
                              <w:rPr>
                                <w:rFonts w:ascii="Times New Roman" w:hAnsi="Times New Roman"/>
                                <w:sz w:val="24"/>
                                <w:szCs w:val="24"/>
                              </w:rPr>
                            </w:pPr>
                            <w:r>
                              <w:rPr>
                                <w:rFonts w:ascii="Times New Roman" w:hAnsi="Times New Roman"/>
                                <w:sz w:val="24"/>
                                <w:szCs w:val="24"/>
                              </w:rPr>
                              <w:t>Във фаза 3, тъй като търсенето на безплатни квоти е надхвърлило наличните количества, разпределението за всички инсталации в обхвата на СТЕ на ЕС беше намалено със същия процент чрез прилагането на „междуотраслов корекционен коефициент (CSCF)“**. През 2017 г. първоначалните стойности на коефициента CSFC бяха преразгледани.***</w:t>
                            </w:r>
                          </w:p>
                          <w:p>
                            <w:pPr>
                              <w:spacing w:line="240" w:lineRule="auto"/>
                              <w:rPr>
                                <w:rFonts w:ascii="Times New Roman" w:hAnsi="Times New Roman"/>
                                <w:sz w:val="18"/>
                                <w:szCs w:val="18"/>
                              </w:rPr>
                            </w:pPr>
                            <w:r>
                              <w:rPr>
                                <w:rFonts w:ascii="Times New Roman" w:hAnsi="Times New Roman"/>
                                <w:sz w:val="18"/>
                                <w:szCs w:val="18"/>
                              </w:rPr>
                              <w:t xml:space="preserve">* Настоящият списък за изместване на въглеродни емисии може да бъде намерен тук: </w:t>
                            </w:r>
                            <w:hyperlink r:id="rId19" w:history="1">
                              <w:r>
                                <w:rPr>
                                  <w:rStyle w:val="Hyperlink"/>
                                  <w:rFonts w:ascii="Times New Roman" w:hAnsi="Times New Roman"/>
                                  <w:sz w:val="18"/>
                                  <w:szCs w:val="18"/>
                                </w:rPr>
                                <w:t>https://eur-lex.europa.eu/legal-content/BG/ALL/?uri=CELEX%3A32014D0746</w:t>
                              </w:r>
                            </w:hyperlink>
                          </w:p>
                          <w:p>
                            <w:pPr>
                              <w:spacing w:line="240" w:lineRule="auto"/>
                              <w:rPr>
                                <w:rFonts w:ascii="Times New Roman" w:hAnsi="Times New Roman"/>
                                <w:sz w:val="18"/>
                                <w:szCs w:val="18"/>
                              </w:rPr>
                            </w:pPr>
                            <w:r>
                              <w:rPr>
                                <w:rFonts w:ascii="Times New Roman" w:hAnsi="Times New Roman"/>
                                <w:sz w:val="18"/>
                                <w:szCs w:val="18"/>
                              </w:rPr>
                              <w:t>** Решение 2013/448/EС на Комисията, OВ L 240, 7.9.2013 г., стр. 27.</w:t>
                            </w:r>
                          </w:p>
                          <w:p>
                            <w:pPr>
                              <w:spacing w:line="240" w:lineRule="auto"/>
                              <w:rPr>
                                <w:rFonts w:ascii="Times New Roman" w:hAnsi="Times New Roman"/>
                                <w:sz w:val="18"/>
                                <w:szCs w:val="18"/>
                              </w:rPr>
                            </w:pPr>
                            <w:r>
                              <w:rPr>
                                <w:rFonts w:ascii="Times New Roman" w:hAnsi="Times New Roman"/>
                                <w:sz w:val="18"/>
                                <w:szCs w:val="18"/>
                              </w:rPr>
                              <w:t>***</w:t>
                            </w:r>
                            <w:r>
                              <w:t xml:space="preserve"> </w:t>
                            </w:r>
                            <w:r>
                              <w:rPr>
                                <w:rFonts w:ascii="Times New Roman" w:hAnsi="Times New Roman"/>
                                <w:sz w:val="18"/>
                                <w:szCs w:val="18"/>
                              </w:rPr>
                              <w:t>Решение 2017/126/EС на Комисията, OВ L 19, 25.1.2017 г., стр. 93.</w:t>
                            </w:r>
                          </w:p>
                        </w:txbxContent>
                      </wps:txbx>
                      <wps:bodyPr rot="0" vert="horz" wrap="square" lIns="91440" tIns="45720" rIns="91440" bIns="45720" anchor="t" anchorCtr="0">
                        <a:noAutofit/>
                      </wps:bodyPr>
                    </wps:wsp>
                  </a:graphicData>
                </a:graphic>
              </wp:inline>
            </w:drawing>
          </mc:Choice>
          <mc:Fallback>
            <w:pict>
              <v:shape id="_x0000_s1029" type="#_x0000_t202" style="width:452.75pt;height:5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" fillcolor="#d8d8d8 [2732]" strokeweight="1pt">
                <v:textbox>
                  <w:txbxContent>
                    <w:p>
                      <w:pPr>
                        <w:jc w:val="both"/>
                        <w:rPr>
                          <w:rFonts w:ascii="Times New Roman" w:hAnsi="Times New Roman"/>
                          <w:sz w:val="24"/>
                          <w:szCs w:val="24"/>
                        </w:rPr>
                      </w:pPr>
                      <w:r>
                        <w:rPr>
                          <w:rFonts w:ascii="Times New Roman" w:hAnsi="Times New Roman"/>
                          <w:sz w:val="24"/>
                          <w:szCs w:val="24"/>
                        </w:rPr>
                        <w:t>Въпреки че във фаза 3 на СТЕ на ЕС тръжната продажба е методът на разпределение по подразбиране, значително количество квоти са разпределени безплатно за промишлени инсталации за справяне с риска от изместване на въглеродни емисии (състояние, при което предприятията прехвърлят производството си в трети държави с не толкова стриктни ограничения относно емисиите на парникови газове, което може да доведе до увеличаване на общото им количество емисии). Прилагат се следните принципи:</w:t>
                      </w:r>
                    </w:p>
                    <w:p>
                      <w:pPr>
                        <w:pStyle w:val="ListParagraph"/>
                        <w:numPr>
                          <w:ilvl w:val="0"/>
                          <w:numId w:val="10"/>
                        </w:numPr>
                        <w:spacing w:after="200" w:line="276" w:lineRule="auto"/>
                        <w:jc w:val="both"/>
                        <w:rPr>
                          <w:rFonts w:ascii="Times New Roman" w:hAnsi="Times New Roman"/>
                          <w:sz w:val="24"/>
                          <w:szCs w:val="24"/>
                        </w:rPr>
                      </w:pPr>
                      <w:r>
                        <w:rPr>
                          <w:rFonts w:ascii="Times New Roman" w:hAnsi="Times New Roman"/>
                          <w:sz w:val="24"/>
                          <w:szCs w:val="24"/>
                        </w:rPr>
                        <w:t>Производството на електроенергия не отговаря на условията за безплатни квоти;</w:t>
                      </w:r>
                    </w:p>
                    <w:p>
                      <w:pPr>
                        <w:pStyle w:val="ListParagraph"/>
                        <w:numPr>
                          <w:ilvl w:val="0"/>
                          <w:numId w:val="10"/>
                        </w:numPr>
                        <w:spacing w:after="200" w:line="276" w:lineRule="auto"/>
                        <w:jc w:val="both"/>
                        <w:rPr>
                          <w:rFonts w:ascii="Times New Roman" w:hAnsi="Times New Roman"/>
                          <w:sz w:val="24"/>
                          <w:szCs w:val="24"/>
                        </w:rPr>
                      </w:pPr>
                      <w:r>
                        <w:rPr>
                          <w:rFonts w:ascii="Times New Roman" w:hAnsi="Times New Roman"/>
                          <w:sz w:val="24"/>
                          <w:szCs w:val="24"/>
                        </w:rPr>
                        <w:t>Безплатни квоти за промишлените производства се разпределят в съответствие с правила, хармонизирани за целия ЕС;</w:t>
                      </w:r>
                    </w:p>
                    <w:p>
                      <w:pPr>
                        <w:pStyle w:val="ListParagraph"/>
                        <w:numPr>
                          <w:ilvl w:val="0"/>
                          <w:numId w:val="10"/>
                        </w:numPr>
                        <w:spacing w:after="200" w:line="276" w:lineRule="auto"/>
                        <w:jc w:val="both"/>
                        <w:rPr>
                          <w:rFonts w:ascii="Times New Roman" w:hAnsi="Times New Roman"/>
                          <w:sz w:val="24"/>
                          <w:szCs w:val="24"/>
                        </w:rPr>
                      </w:pPr>
                      <w:r>
                        <w:rPr>
                          <w:rFonts w:ascii="Times New Roman" w:hAnsi="Times New Roman"/>
                          <w:sz w:val="24"/>
                          <w:szCs w:val="24"/>
                        </w:rPr>
                        <w:t>Безплатното разпределение се основава на показатели за ефективност, така че да се засилят стимулите за намаляване на емисиите на парникови газове и иновациите и да се възнаградят най-ефективните инсталации;</w:t>
                      </w:r>
                    </w:p>
                    <w:p>
                      <w:pPr>
                        <w:pStyle w:val="ListParagraph"/>
                        <w:numPr>
                          <w:ilvl w:val="0"/>
                          <w:numId w:val="10"/>
                        </w:numPr>
                        <w:spacing w:after="200" w:line="276" w:lineRule="auto"/>
                        <w:jc w:val="both"/>
                        <w:rPr>
                          <w:rFonts w:ascii="Times New Roman" w:hAnsi="Times New Roman"/>
                          <w:sz w:val="24"/>
                          <w:szCs w:val="24"/>
                        </w:rPr>
                      </w:pPr>
                      <w:r>
                        <w:rPr>
                          <w:rFonts w:ascii="Times New Roman" w:hAnsi="Times New Roman"/>
                          <w:sz w:val="24"/>
                          <w:szCs w:val="24"/>
                        </w:rPr>
                        <w:t>Установен е обхващащ целия ЕС резерв за нови участници (NER) за нови промишлени инсталации и инсталации със значително увеличен капацитет, който се равнява на 5 % от сумарното количество квоти за фаза 3.</w:t>
                      </w:r>
                    </w:p>
                    <w:p>
                      <w:pPr>
                        <w:jc w:val="both"/>
                        <w:rPr>
                          <w:rFonts w:ascii="Times New Roman" w:hAnsi="Times New Roman"/>
                          <w:sz w:val="24"/>
                          <w:szCs w:val="24"/>
                        </w:rPr>
                      </w:pPr>
                      <w:r>
                        <w:rPr>
                          <w:rFonts w:ascii="Times New Roman" w:hAnsi="Times New Roman"/>
                          <w:sz w:val="24"/>
                          <w:szCs w:val="24"/>
                        </w:rPr>
                        <w:t>Секторите и подсекторите, за които се смята, че са изложени на значителен риск от изместване на въглеродни емисии, са включени в списък за изместване на въглеродни емисии*. Въпреки че първоначално списъкът обхващаше периода 2015—2019 г., преразгледаната Директива за СТЕ на ЕС удължи действието му до 31 декември 2020 г.</w:t>
                      </w:r>
                    </w:p>
                    <w:p>
                      <w:pPr>
                        <w:jc w:val="both"/>
                        <w:rPr>
                          <w:rFonts w:ascii="Times New Roman" w:hAnsi="Times New Roman"/>
                          <w:sz w:val="24"/>
                          <w:szCs w:val="24"/>
                        </w:rPr>
                      </w:pPr>
                      <w:r>
                        <w:rPr>
                          <w:rFonts w:ascii="Times New Roman" w:hAnsi="Times New Roman"/>
                          <w:sz w:val="24"/>
                          <w:szCs w:val="24"/>
                        </w:rPr>
                        <w:t>Във фаза 3, тъй като търсенето на безплатни квоти е надхвърлило наличните количества, разпределението за всички инсталации в обхвата на СТЕ на ЕС беше намалено със същия процент чрез прилагането на „междуотраслов корекционен коефициент (CSCF)“**. През 2017 г. първоначалните стойности на коефициента CSFC бяха преразгледани.***</w:t>
                      </w:r>
                    </w:p>
                    <w:p>
                      <w:pPr>
                        <w:spacing w:line="240" w:lineRule="auto"/>
                        <w:rPr>
                          <w:rFonts w:ascii="Times New Roman" w:hAnsi="Times New Roman"/>
                          <w:sz w:val="18"/>
                          <w:szCs w:val="18"/>
                        </w:rPr>
                      </w:pPr>
                      <w:r>
                        <w:rPr>
                          <w:rFonts w:ascii="Times New Roman" w:hAnsi="Times New Roman"/>
                          <w:sz w:val="18"/>
                          <w:szCs w:val="18"/>
                        </w:rPr>
                        <w:t xml:space="preserve">* Настоящият списък за изместване на въглеродни емисии може да бъде намерен тук: </w:t>
                      </w:r>
                      <w:hyperlink r:id="rId20" w:history="1">
                        <w:r>
                          <w:rPr>
                            <w:rStyle w:val="Hyperlink"/>
                            <w:rFonts w:ascii="Times New Roman" w:hAnsi="Times New Roman"/>
                            <w:sz w:val="18"/>
                            <w:szCs w:val="18"/>
                          </w:rPr>
                          <w:t>https://eur-lex.europa.eu/legal-content/BG/ALL/?uri=CELEX%3A32014D0746</w:t>
                        </w:r>
                      </w:hyperlink>
                    </w:p>
                    <w:p>
                      <w:pPr>
                        <w:spacing w:line="240" w:lineRule="auto"/>
                        <w:rPr>
                          <w:rFonts w:ascii="Times New Roman" w:hAnsi="Times New Roman"/>
                          <w:sz w:val="18"/>
                          <w:szCs w:val="18"/>
                        </w:rPr>
                      </w:pPr>
                      <w:r>
                        <w:rPr>
                          <w:rFonts w:ascii="Times New Roman" w:hAnsi="Times New Roman"/>
                          <w:sz w:val="18"/>
                          <w:szCs w:val="18"/>
                        </w:rPr>
                        <w:t>** Решение 2013/448/EС на Комисията, OВ L 240, 7.9.2013 г., стр. 27.</w:t>
                      </w:r>
                    </w:p>
                    <w:p>
                      <w:pPr>
                        <w:spacing w:line="240" w:lineRule="auto"/>
                        <w:rPr>
                          <w:rFonts w:ascii="Times New Roman" w:hAnsi="Times New Roman"/>
                          <w:sz w:val="18"/>
                          <w:szCs w:val="18"/>
                        </w:rPr>
                      </w:pPr>
                      <w:r>
                        <w:rPr>
                          <w:rFonts w:ascii="Times New Roman" w:hAnsi="Times New Roman"/>
                          <w:sz w:val="18"/>
                          <w:szCs w:val="18"/>
                        </w:rPr>
                        <w:t>***</w:t>
                      </w:r>
                      <w:r>
                        <w:t xml:space="preserve"> </w:t>
                      </w:r>
                      <w:r>
                        <w:rPr>
                          <w:rFonts w:ascii="Times New Roman" w:hAnsi="Times New Roman"/>
                          <w:sz w:val="18"/>
                          <w:szCs w:val="18"/>
                        </w:rPr>
                        <w:t>Решение 2017/126/EС на Комисията, OВ L 19, 25.1.2017 г., стр. 93.</w:t>
                      </w:r>
                    </w:p>
                  </w:txbxContent>
                </v:textbox>
                <w10:anchorlock/>
              </v:shape>
            </w:pict>
          </mc:Fallback>
        </mc:AlternateContent>
      </w:r>
    </w:p>
    <w:p>
      <w:pPr>
        <w:pStyle w:val="NormalWeb"/>
        <w:spacing w:line="276" w:lineRule="auto"/>
        <w:jc w:val="both"/>
        <w:rPr>
          <w:noProof/>
        </w:rPr>
      </w:pPr>
      <w:r>
        <w:rPr>
          <w:noProof/>
        </w:rPr>
        <w:t>Във фаза 3 около 43 % от общото количество налични квоти се разпределя безплатно, докато делът на квотите, подлежащи на продажба на търг от държавите членки, възлиза на около 57 %.</w:t>
      </w:r>
    </w:p>
    <w:p>
      <w:pPr>
        <w:pStyle w:val="NormalWeb"/>
        <w:spacing w:before="0" w:beforeAutospacing="0" w:after="300" w:afterAutospacing="0" w:line="276" w:lineRule="auto"/>
        <w:jc w:val="both"/>
        <w:rPr>
          <w:noProof/>
        </w:rPr>
      </w:pPr>
      <w:r>
        <w:rPr>
          <w:noProof/>
        </w:rPr>
        <w:t>В първоначалния резерв за нови участници (NER), след изваждането на 300 милиона квоти за програмата NER 300, която има за цел да подпомогне иновациите, е имало 480,2 милиона квоти. До юни 2020 г. 171,1 милиона квоти са били резервирани за 1089 инсталации за целия период на фаза 3. Оставащият резерв за нови участници възлиза на 309,1 милиона квоти. Въпреки че се очаква да има промени в разпределението до края на фаза 3, значителен брой от тези квоти ще останат неразпределени. В края на фаза 3 неразпределените квоти от резерва за нови участници от фаза 3 ще бъдат прибавени към резерва за стабилност на пазара (MSR), от който 200 милиона квоти ще бъдат прибавени към резерва за нови участници за фаза 4.</w:t>
      </w:r>
    </w:p>
    <w:p>
      <w:pPr>
        <w:pStyle w:val="NormalWeb"/>
        <w:spacing w:before="0" w:beforeAutospacing="0" w:after="300" w:afterAutospacing="0" w:line="276" w:lineRule="auto"/>
        <w:jc w:val="both"/>
        <w:rPr>
          <w:noProof/>
        </w:rPr>
      </w:pPr>
      <w:r>
        <w:rPr>
          <w:noProof/>
        </w:rPr>
        <w:t>До края на юни 2020 г. първоначално одобреното безплатно разпределение до края на фаза 3 беше намалено с около 570 милиона квоти поради инсталации, които са затворили или намалили своето производство или производствен капацитет.</w:t>
      </w:r>
    </w:p>
    <w:p>
      <w:pPr>
        <w:pStyle w:val="Caption"/>
        <w:keepNext/>
        <w:rPr>
          <w:rFonts w:ascii="Times New Roman" w:hAnsi="Times New Roman"/>
          <w:noProof/>
          <w:sz w:val="22"/>
          <w:szCs w:val="22"/>
        </w:rPr>
      </w:pPr>
      <w:r>
        <w:rPr>
          <w:rFonts w:ascii="Times New Roman" w:hAnsi="Times New Roman"/>
          <w:noProof/>
          <w:sz w:val="22"/>
          <w:szCs w:val="22"/>
        </w:rPr>
        <w:t>Таблица 2: Брой квоти (в милиони), които са разпределени безплатно на промишлени предприятия в периода 2013—юни 2020 г.</w:t>
      </w:r>
      <w:r>
        <w:rPr>
          <w:rStyle w:val="FootnoteReference"/>
          <w:rFonts w:ascii="Times New Roman" w:hAnsi="Times New Roman"/>
          <w:b w:val="0"/>
          <w:noProof/>
          <w:sz w:val="22"/>
          <w:szCs w:val="22"/>
          <w:lang w:eastAsia="en-GB"/>
        </w:rPr>
        <w:footnoteReference w:id="31"/>
      </w:r>
    </w:p>
    <w:tbl>
      <w:tblPr>
        <w:tblW w:w="8983"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158"/>
        <w:gridCol w:w="854"/>
        <w:gridCol w:w="861"/>
        <w:gridCol w:w="861"/>
        <w:gridCol w:w="861"/>
        <w:gridCol w:w="862"/>
        <w:gridCol w:w="842"/>
        <w:gridCol w:w="842"/>
        <w:gridCol w:w="842"/>
      </w:tblGrid>
      <w:tr>
        <w:trPr>
          <w:trHeight w:val="510"/>
        </w:trPr>
        <w:tc>
          <w:tcPr>
            <w:tcW w:w="2158" w:type="dxa"/>
            <w:shd w:val="clear" w:color="auto" w:fill="auto"/>
            <w:vAlign w:val="center"/>
          </w:tcPr>
          <w:p>
            <w:pPr>
              <w:jc w:val="center"/>
              <w:rPr>
                <w:rFonts w:ascii="Times New Roman" w:hAnsi="Times New Roman"/>
                <w:b/>
                <w:noProof/>
                <w:sz w:val="20"/>
                <w:szCs w:val="20"/>
                <w:lang w:eastAsia="en-GB"/>
              </w:rPr>
            </w:pPr>
          </w:p>
        </w:tc>
        <w:tc>
          <w:tcPr>
            <w:tcW w:w="854" w:type="dxa"/>
            <w:shd w:val="clear" w:color="auto" w:fill="auto"/>
            <w:vAlign w:val="center"/>
          </w:tcPr>
          <w:p>
            <w:pPr>
              <w:jc w:val="center"/>
              <w:rPr>
                <w:rFonts w:ascii="Times New Roman" w:hAnsi="Times New Roman"/>
                <w:b/>
                <w:noProof/>
                <w:sz w:val="20"/>
                <w:szCs w:val="20"/>
              </w:rPr>
            </w:pPr>
            <w:r>
              <w:rPr>
                <w:rFonts w:ascii="Times New Roman" w:hAnsi="Times New Roman"/>
                <w:b/>
                <w:noProof/>
                <w:sz w:val="20"/>
                <w:szCs w:val="20"/>
              </w:rPr>
              <w:t>2013 г.</w:t>
            </w:r>
          </w:p>
        </w:tc>
        <w:tc>
          <w:tcPr>
            <w:tcW w:w="861" w:type="dxa"/>
            <w:shd w:val="clear" w:color="auto" w:fill="auto"/>
            <w:vAlign w:val="center"/>
          </w:tcPr>
          <w:p>
            <w:pPr>
              <w:jc w:val="center"/>
              <w:rPr>
                <w:rFonts w:ascii="Times New Roman" w:hAnsi="Times New Roman"/>
                <w:b/>
                <w:noProof/>
                <w:sz w:val="20"/>
                <w:szCs w:val="20"/>
              </w:rPr>
            </w:pPr>
            <w:r>
              <w:rPr>
                <w:rFonts w:ascii="Times New Roman" w:hAnsi="Times New Roman"/>
                <w:b/>
                <w:noProof/>
                <w:sz w:val="20"/>
                <w:szCs w:val="20"/>
              </w:rPr>
              <w:t>2014 г.</w:t>
            </w:r>
          </w:p>
        </w:tc>
        <w:tc>
          <w:tcPr>
            <w:tcW w:w="861" w:type="dxa"/>
            <w:vAlign w:val="center"/>
          </w:tcPr>
          <w:p>
            <w:pPr>
              <w:jc w:val="center"/>
              <w:rPr>
                <w:rFonts w:ascii="Times New Roman" w:hAnsi="Times New Roman"/>
                <w:b/>
                <w:noProof/>
                <w:sz w:val="20"/>
                <w:szCs w:val="20"/>
              </w:rPr>
            </w:pPr>
            <w:r>
              <w:rPr>
                <w:rFonts w:ascii="Times New Roman" w:hAnsi="Times New Roman"/>
                <w:b/>
                <w:noProof/>
                <w:sz w:val="20"/>
                <w:szCs w:val="20"/>
              </w:rPr>
              <w:t>2015 г.</w:t>
            </w:r>
          </w:p>
        </w:tc>
        <w:tc>
          <w:tcPr>
            <w:tcW w:w="861" w:type="dxa"/>
            <w:vAlign w:val="center"/>
          </w:tcPr>
          <w:p>
            <w:pPr>
              <w:jc w:val="center"/>
              <w:rPr>
                <w:rFonts w:ascii="Times New Roman" w:hAnsi="Times New Roman"/>
                <w:b/>
                <w:noProof/>
                <w:sz w:val="20"/>
                <w:szCs w:val="20"/>
              </w:rPr>
            </w:pPr>
            <w:r>
              <w:rPr>
                <w:rFonts w:ascii="Times New Roman" w:hAnsi="Times New Roman"/>
                <w:b/>
                <w:noProof/>
                <w:sz w:val="20"/>
                <w:szCs w:val="20"/>
              </w:rPr>
              <w:t>2016 г.</w:t>
            </w:r>
          </w:p>
        </w:tc>
        <w:tc>
          <w:tcPr>
            <w:tcW w:w="862" w:type="dxa"/>
            <w:vAlign w:val="center"/>
          </w:tcPr>
          <w:p>
            <w:pPr>
              <w:jc w:val="center"/>
              <w:rPr>
                <w:rFonts w:ascii="Times New Roman" w:hAnsi="Times New Roman"/>
                <w:b/>
                <w:noProof/>
                <w:sz w:val="20"/>
                <w:szCs w:val="20"/>
              </w:rPr>
            </w:pPr>
            <w:r>
              <w:rPr>
                <w:rFonts w:ascii="Times New Roman" w:hAnsi="Times New Roman"/>
                <w:b/>
                <w:noProof/>
                <w:sz w:val="20"/>
                <w:szCs w:val="20"/>
              </w:rPr>
              <w:t>2017 г.</w:t>
            </w:r>
          </w:p>
        </w:tc>
        <w:tc>
          <w:tcPr>
            <w:tcW w:w="842" w:type="dxa"/>
            <w:vAlign w:val="center"/>
          </w:tcPr>
          <w:p>
            <w:pPr>
              <w:jc w:val="center"/>
              <w:rPr>
                <w:rFonts w:ascii="Times New Roman" w:hAnsi="Times New Roman"/>
                <w:b/>
                <w:noProof/>
                <w:sz w:val="20"/>
                <w:szCs w:val="20"/>
                <w:highlight w:val="yellow"/>
              </w:rPr>
            </w:pPr>
            <w:r>
              <w:rPr>
                <w:rFonts w:ascii="Times New Roman" w:hAnsi="Times New Roman"/>
                <w:b/>
                <w:noProof/>
                <w:sz w:val="20"/>
                <w:szCs w:val="20"/>
              </w:rPr>
              <w:t>2018 г.</w:t>
            </w:r>
          </w:p>
        </w:tc>
        <w:tc>
          <w:tcPr>
            <w:tcW w:w="842" w:type="dxa"/>
            <w:vAlign w:val="center"/>
          </w:tcPr>
          <w:p>
            <w:pPr>
              <w:jc w:val="center"/>
              <w:rPr>
                <w:rFonts w:ascii="Times New Roman" w:hAnsi="Times New Roman"/>
                <w:b/>
                <w:noProof/>
                <w:sz w:val="20"/>
                <w:szCs w:val="20"/>
              </w:rPr>
            </w:pPr>
            <w:r>
              <w:rPr>
                <w:rFonts w:ascii="Times New Roman" w:hAnsi="Times New Roman"/>
                <w:b/>
                <w:noProof/>
                <w:sz w:val="20"/>
                <w:szCs w:val="20"/>
              </w:rPr>
              <w:t>2019 г.</w:t>
            </w:r>
          </w:p>
        </w:tc>
        <w:tc>
          <w:tcPr>
            <w:tcW w:w="842" w:type="dxa"/>
          </w:tcPr>
          <w:p>
            <w:pPr>
              <w:spacing w:before="20"/>
              <w:jc w:val="center"/>
              <w:rPr>
                <w:rFonts w:ascii="Times New Roman" w:hAnsi="Times New Roman"/>
                <w:b/>
                <w:noProof/>
                <w:sz w:val="20"/>
                <w:szCs w:val="20"/>
              </w:rPr>
            </w:pPr>
            <w:r>
              <w:rPr>
                <w:rFonts w:ascii="Times New Roman" w:hAnsi="Times New Roman"/>
                <w:b/>
                <w:noProof/>
                <w:sz w:val="20"/>
                <w:szCs w:val="20"/>
              </w:rPr>
              <w:t>2020 г.</w:t>
            </w:r>
          </w:p>
        </w:tc>
      </w:tr>
      <w:tr>
        <w:trPr>
          <w:trHeight w:val="1174"/>
        </w:trPr>
        <w:tc>
          <w:tcPr>
            <w:tcW w:w="2158" w:type="dxa"/>
            <w:shd w:val="clear" w:color="auto" w:fill="auto"/>
            <w:vAlign w:val="center"/>
          </w:tcPr>
          <w:p>
            <w:pPr>
              <w:jc w:val="center"/>
              <w:rPr>
                <w:rFonts w:ascii="Times New Roman" w:hAnsi="Times New Roman"/>
                <w:b/>
                <w:noProof/>
                <w:sz w:val="20"/>
                <w:szCs w:val="20"/>
              </w:rPr>
            </w:pPr>
            <w:r>
              <w:rPr>
                <w:noProof/>
              </w:rPr>
              <w:t xml:space="preserve">Безплатно разпределение на квоти </w:t>
            </w:r>
            <w:r>
              <w:rPr>
                <w:rFonts w:ascii="Times New Roman" w:hAnsi="Times New Roman"/>
                <w:b/>
                <w:noProof/>
                <w:sz w:val="20"/>
                <w:szCs w:val="20"/>
                <w:vertAlign w:val="superscript"/>
                <w:lang w:eastAsia="en-GB"/>
              </w:rPr>
              <w:footnoteReference w:id="32"/>
            </w:r>
            <w:r>
              <w:rPr>
                <w:noProof/>
              </w:rPr>
              <w:br/>
              <w:t>(ЕС27+UK+държавите от ЕИП/ЕАСТ)</w:t>
            </w:r>
          </w:p>
        </w:tc>
        <w:tc>
          <w:tcPr>
            <w:tcW w:w="854" w:type="dxa"/>
            <w:shd w:val="clear" w:color="auto" w:fill="auto"/>
            <w:vAlign w:val="center"/>
          </w:tcPr>
          <w:p>
            <w:pPr>
              <w:jc w:val="center"/>
              <w:rPr>
                <w:rFonts w:ascii="Times New Roman" w:hAnsi="Times New Roman"/>
                <w:noProof/>
                <w:sz w:val="20"/>
                <w:szCs w:val="20"/>
              </w:rPr>
            </w:pPr>
            <w:r>
              <w:rPr>
                <w:rFonts w:ascii="Times New Roman" w:hAnsi="Times New Roman"/>
                <w:noProof/>
                <w:sz w:val="20"/>
                <w:szCs w:val="20"/>
              </w:rPr>
              <w:t>903,0</w:t>
            </w:r>
          </w:p>
        </w:tc>
        <w:tc>
          <w:tcPr>
            <w:tcW w:w="861" w:type="dxa"/>
            <w:shd w:val="clear" w:color="auto" w:fill="auto"/>
            <w:vAlign w:val="center"/>
          </w:tcPr>
          <w:p>
            <w:pPr>
              <w:jc w:val="center"/>
              <w:rPr>
                <w:rFonts w:ascii="Times New Roman" w:hAnsi="Times New Roman"/>
                <w:noProof/>
                <w:sz w:val="20"/>
                <w:szCs w:val="20"/>
              </w:rPr>
            </w:pPr>
            <w:r>
              <w:rPr>
                <w:rFonts w:ascii="Times New Roman" w:hAnsi="Times New Roman"/>
                <w:noProof/>
                <w:sz w:val="20"/>
                <w:szCs w:val="20"/>
              </w:rPr>
              <w:t>874,8</w:t>
            </w:r>
          </w:p>
        </w:tc>
        <w:tc>
          <w:tcPr>
            <w:tcW w:w="861" w:type="dxa"/>
            <w:vAlign w:val="center"/>
          </w:tcPr>
          <w:p>
            <w:pPr>
              <w:jc w:val="center"/>
              <w:rPr>
                <w:rFonts w:ascii="Times New Roman" w:hAnsi="Times New Roman"/>
                <w:noProof/>
                <w:sz w:val="20"/>
                <w:szCs w:val="20"/>
              </w:rPr>
            </w:pPr>
            <w:r>
              <w:rPr>
                <w:rFonts w:ascii="Times New Roman" w:hAnsi="Times New Roman"/>
                <w:noProof/>
                <w:sz w:val="20"/>
                <w:szCs w:val="20"/>
              </w:rPr>
              <w:t>847,6</w:t>
            </w:r>
          </w:p>
        </w:tc>
        <w:tc>
          <w:tcPr>
            <w:tcW w:w="861" w:type="dxa"/>
            <w:vAlign w:val="center"/>
          </w:tcPr>
          <w:p>
            <w:pPr>
              <w:jc w:val="center"/>
              <w:rPr>
                <w:rFonts w:ascii="Times New Roman" w:hAnsi="Times New Roman"/>
                <w:noProof/>
                <w:sz w:val="20"/>
                <w:szCs w:val="20"/>
              </w:rPr>
            </w:pPr>
            <w:r>
              <w:rPr>
                <w:rFonts w:ascii="Times New Roman" w:hAnsi="Times New Roman"/>
                <w:noProof/>
                <w:sz w:val="20"/>
                <w:szCs w:val="20"/>
              </w:rPr>
              <w:t>821,3</w:t>
            </w:r>
          </w:p>
        </w:tc>
        <w:tc>
          <w:tcPr>
            <w:tcW w:w="862" w:type="dxa"/>
            <w:vAlign w:val="center"/>
          </w:tcPr>
          <w:p>
            <w:pPr>
              <w:jc w:val="center"/>
              <w:rPr>
                <w:rFonts w:ascii="Times New Roman" w:hAnsi="Times New Roman"/>
                <w:noProof/>
                <w:sz w:val="20"/>
                <w:szCs w:val="20"/>
              </w:rPr>
            </w:pPr>
            <w:r>
              <w:rPr>
                <w:rFonts w:ascii="Times New Roman" w:hAnsi="Times New Roman"/>
                <w:noProof/>
                <w:sz w:val="20"/>
                <w:szCs w:val="20"/>
              </w:rPr>
              <w:t>796,2</w:t>
            </w:r>
          </w:p>
        </w:tc>
        <w:tc>
          <w:tcPr>
            <w:tcW w:w="842" w:type="dxa"/>
            <w:vAlign w:val="center"/>
          </w:tcPr>
          <w:p>
            <w:pPr>
              <w:jc w:val="center"/>
              <w:rPr>
                <w:rFonts w:ascii="Times New Roman" w:hAnsi="Times New Roman"/>
                <w:noProof/>
                <w:sz w:val="20"/>
                <w:szCs w:val="20"/>
              </w:rPr>
            </w:pPr>
            <w:r>
              <w:rPr>
                <w:rFonts w:ascii="Times New Roman" w:hAnsi="Times New Roman"/>
                <w:noProof/>
                <w:sz w:val="20"/>
                <w:szCs w:val="20"/>
              </w:rPr>
              <w:t>771,9</w:t>
            </w:r>
          </w:p>
        </w:tc>
        <w:tc>
          <w:tcPr>
            <w:tcW w:w="842" w:type="dxa"/>
            <w:vAlign w:val="center"/>
          </w:tcPr>
          <w:p>
            <w:pPr>
              <w:jc w:val="center"/>
              <w:rPr>
                <w:rFonts w:ascii="Times New Roman" w:hAnsi="Times New Roman"/>
                <w:noProof/>
                <w:sz w:val="20"/>
                <w:szCs w:val="20"/>
              </w:rPr>
            </w:pPr>
            <w:r>
              <w:rPr>
                <w:rFonts w:ascii="Times New Roman" w:hAnsi="Times New Roman"/>
                <w:noProof/>
                <w:sz w:val="20"/>
                <w:szCs w:val="20"/>
              </w:rPr>
              <w:t>748,1</w:t>
            </w:r>
            <w:r>
              <w:rPr>
                <w:rStyle w:val="FootnoteReference"/>
                <w:rFonts w:ascii="Times New Roman" w:hAnsi="Times New Roman"/>
                <w:noProof/>
                <w:sz w:val="20"/>
                <w:szCs w:val="20"/>
                <w:lang w:eastAsia="en-GB"/>
              </w:rPr>
              <w:footnoteReference w:id="33"/>
            </w:r>
          </w:p>
        </w:tc>
        <w:tc>
          <w:tcPr>
            <w:tcW w:w="842" w:type="dxa"/>
            <w:vAlign w:val="center"/>
          </w:tcPr>
          <w:p>
            <w:pPr>
              <w:jc w:val="center"/>
              <w:rPr>
                <w:rFonts w:ascii="Times New Roman" w:hAnsi="Times New Roman"/>
                <w:noProof/>
                <w:sz w:val="20"/>
                <w:szCs w:val="20"/>
                <w:lang w:eastAsia="en-GB"/>
              </w:rPr>
            </w:pPr>
          </w:p>
          <w:p>
            <w:pPr>
              <w:jc w:val="center"/>
              <w:rPr>
                <w:rFonts w:ascii="Times New Roman" w:hAnsi="Times New Roman"/>
                <w:noProof/>
                <w:sz w:val="20"/>
                <w:szCs w:val="20"/>
              </w:rPr>
            </w:pPr>
            <w:r>
              <w:rPr>
                <w:rFonts w:ascii="Times New Roman" w:hAnsi="Times New Roman"/>
                <w:noProof/>
                <w:sz w:val="20"/>
                <w:szCs w:val="20"/>
              </w:rPr>
              <w:t>724,8</w:t>
            </w:r>
          </w:p>
          <w:p>
            <w:pPr>
              <w:jc w:val="center"/>
              <w:rPr>
                <w:rFonts w:ascii="Times New Roman" w:hAnsi="Times New Roman"/>
                <w:noProof/>
                <w:sz w:val="20"/>
                <w:szCs w:val="20"/>
                <w:lang w:eastAsia="en-GB"/>
              </w:rPr>
            </w:pPr>
          </w:p>
        </w:tc>
      </w:tr>
      <w:tr>
        <w:trPr>
          <w:trHeight w:val="1172"/>
        </w:trPr>
        <w:tc>
          <w:tcPr>
            <w:tcW w:w="2158" w:type="dxa"/>
            <w:shd w:val="clear" w:color="auto" w:fill="auto"/>
            <w:vAlign w:val="center"/>
          </w:tcPr>
          <w:p>
            <w:pPr>
              <w:jc w:val="center"/>
              <w:rPr>
                <w:rFonts w:ascii="Times New Roman" w:hAnsi="Times New Roman"/>
                <w:b/>
                <w:noProof/>
                <w:sz w:val="20"/>
                <w:szCs w:val="20"/>
              </w:rPr>
            </w:pPr>
            <w:r>
              <w:rPr>
                <w:rFonts w:ascii="Times New Roman" w:hAnsi="Times New Roman"/>
                <w:b/>
                <w:noProof/>
                <w:sz w:val="20"/>
                <w:szCs w:val="20"/>
              </w:rPr>
              <w:t>Квоти, разпределени от резерва за нови участници (за инвестиции на зелено и за увеличения на капацитета)</w:t>
            </w:r>
          </w:p>
        </w:tc>
        <w:tc>
          <w:tcPr>
            <w:tcW w:w="854" w:type="dxa"/>
            <w:shd w:val="clear" w:color="auto" w:fill="auto"/>
            <w:vAlign w:val="center"/>
          </w:tcPr>
          <w:p>
            <w:pPr>
              <w:jc w:val="center"/>
              <w:rPr>
                <w:rFonts w:ascii="Times New Roman" w:hAnsi="Times New Roman"/>
                <w:noProof/>
                <w:sz w:val="20"/>
                <w:szCs w:val="20"/>
              </w:rPr>
            </w:pPr>
            <w:r>
              <w:rPr>
                <w:rFonts w:ascii="Times New Roman" w:hAnsi="Times New Roman"/>
                <w:noProof/>
                <w:sz w:val="20"/>
                <w:szCs w:val="20"/>
              </w:rPr>
              <w:t>11,7</w:t>
            </w:r>
          </w:p>
        </w:tc>
        <w:tc>
          <w:tcPr>
            <w:tcW w:w="861" w:type="dxa"/>
            <w:shd w:val="clear" w:color="auto" w:fill="auto"/>
            <w:vAlign w:val="center"/>
          </w:tcPr>
          <w:p>
            <w:pPr>
              <w:jc w:val="center"/>
              <w:rPr>
                <w:rFonts w:ascii="Times New Roman" w:hAnsi="Times New Roman"/>
                <w:noProof/>
                <w:sz w:val="20"/>
                <w:szCs w:val="20"/>
              </w:rPr>
            </w:pPr>
            <w:r>
              <w:rPr>
                <w:rFonts w:ascii="Times New Roman" w:hAnsi="Times New Roman"/>
                <w:noProof/>
                <w:sz w:val="20"/>
                <w:szCs w:val="20"/>
              </w:rPr>
              <w:t>15,2</w:t>
            </w:r>
          </w:p>
        </w:tc>
        <w:tc>
          <w:tcPr>
            <w:tcW w:w="861" w:type="dxa"/>
            <w:vAlign w:val="center"/>
          </w:tcPr>
          <w:p>
            <w:pPr>
              <w:jc w:val="center"/>
              <w:rPr>
                <w:rFonts w:ascii="Times New Roman" w:hAnsi="Times New Roman"/>
                <w:noProof/>
                <w:sz w:val="20"/>
                <w:szCs w:val="20"/>
              </w:rPr>
            </w:pPr>
            <w:r>
              <w:rPr>
                <w:rFonts w:ascii="Times New Roman" w:hAnsi="Times New Roman"/>
                <w:noProof/>
                <w:sz w:val="20"/>
                <w:szCs w:val="20"/>
              </w:rPr>
              <w:t>18,9</w:t>
            </w:r>
          </w:p>
        </w:tc>
        <w:tc>
          <w:tcPr>
            <w:tcW w:w="861" w:type="dxa"/>
            <w:vAlign w:val="center"/>
          </w:tcPr>
          <w:p>
            <w:pPr>
              <w:jc w:val="center"/>
              <w:rPr>
                <w:rFonts w:ascii="Times New Roman" w:hAnsi="Times New Roman"/>
                <w:noProof/>
                <w:sz w:val="20"/>
                <w:szCs w:val="20"/>
              </w:rPr>
            </w:pPr>
            <w:r>
              <w:rPr>
                <w:rFonts w:ascii="Times New Roman" w:hAnsi="Times New Roman"/>
                <w:noProof/>
                <w:sz w:val="20"/>
                <w:szCs w:val="20"/>
              </w:rPr>
              <w:t>22,7</w:t>
            </w:r>
          </w:p>
        </w:tc>
        <w:tc>
          <w:tcPr>
            <w:tcW w:w="862" w:type="dxa"/>
            <w:vAlign w:val="center"/>
          </w:tcPr>
          <w:p>
            <w:pPr>
              <w:jc w:val="center"/>
              <w:rPr>
                <w:rFonts w:ascii="Times New Roman" w:hAnsi="Times New Roman"/>
                <w:noProof/>
                <w:sz w:val="20"/>
                <w:szCs w:val="20"/>
              </w:rPr>
            </w:pPr>
            <w:r>
              <w:rPr>
                <w:rFonts w:ascii="Times New Roman" w:hAnsi="Times New Roman"/>
                <w:noProof/>
                <w:sz w:val="20"/>
                <w:szCs w:val="20"/>
              </w:rPr>
              <w:t>24,4</w:t>
            </w:r>
          </w:p>
        </w:tc>
        <w:tc>
          <w:tcPr>
            <w:tcW w:w="842" w:type="dxa"/>
            <w:vAlign w:val="center"/>
          </w:tcPr>
          <w:p>
            <w:pPr>
              <w:jc w:val="center"/>
              <w:rPr>
                <w:rFonts w:ascii="Times New Roman" w:hAnsi="Times New Roman"/>
                <w:noProof/>
                <w:sz w:val="20"/>
                <w:szCs w:val="20"/>
              </w:rPr>
            </w:pPr>
            <w:r>
              <w:rPr>
                <w:rFonts w:ascii="Times New Roman" w:hAnsi="Times New Roman"/>
                <w:noProof/>
                <w:sz w:val="20"/>
                <w:szCs w:val="20"/>
              </w:rPr>
              <w:t>26,0</w:t>
            </w:r>
          </w:p>
        </w:tc>
        <w:tc>
          <w:tcPr>
            <w:tcW w:w="842" w:type="dxa"/>
            <w:vAlign w:val="center"/>
          </w:tcPr>
          <w:p>
            <w:pPr>
              <w:jc w:val="center"/>
              <w:rPr>
                <w:rFonts w:ascii="Times New Roman" w:hAnsi="Times New Roman"/>
                <w:noProof/>
                <w:sz w:val="20"/>
                <w:szCs w:val="20"/>
              </w:rPr>
            </w:pPr>
            <w:r>
              <w:rPr>
                <w:rFonts w:ascii="Times New Roman" w:hAnsi="Times New Roman"/>
                <w:noProof/>
                <w:sz w:val="20"/>
                <w:szCs w:val="20"/>
              </w:rPr>
              <w:t>26,5</w:t>
            </w:r>
          </w:p>
        </w:tc>
        <w:tc>
          <w:tcPr>
            <w:tcW w:w="842" w:type="dxa"/>
            <w:vAlign w:val="center"/>
          </w:tcPr>
          <w:p>
            <w:pPr>
              <w:jc w:val="center"/>
              <w:rPr>
                <w:rFonts w:ascii="Times New Roman" w:hAnsi="Times New Roman"/>
                <w:noProof/>
                <w:sz w:val="20"/>
                <w:szCs w:val="20"/>
              </w:rPr>
            </w:pPr>
            <w:r>
              <w:rPr>
                <w:rFonts w:ascii="Times New Roman" w:hAnsi="Times New Roman"/>
                <w:noProof/>
                <w:sz w:val="20"/>
                <w:szCs w:val="20"/>
              </w:rPr>
              <w:t>25,4</w:t>
            </w:r>
          </w:p>
        </w:tc>
      </w:tr>
      <w:tr>
        <w:trPr>
          <w:trHeight w:val="931"/>
        </w:trPr>
        <w:tc>
          <w:tcPr>
            <w:tcW w:w="2158" w:type="dxa"/>
            <w:shd w:val="clear" w:color="auto" w:fill="auto"/>
            <w:vAlign w:val="center"/>
          </w:tcPr>
          <w:p>
            <w:pPr>
              <w:jc w:val="center"/>
              <w:rPr>
                <w:rFonts w:ascii="Times New Roman" w:hAnsi="Times New Roman"/>
                <w:b/>
                <w:noProof/>
                <w:sz w:val="20"/>
                <w:szCs w:val="20"/>
              </w:rPr>
            </w:pPr>
            <w:r>
              <w:rPr>
                <w:rFonts w:ascii="Times New Roman" w:hAnsi="Times New Roman"/>
                <w:b/>
                <w:noProof/>
                <w:sz w:val="20"/>
                <w:szCs w:val="20"/>
              </w:rPr>
              <w:t>Безплатни квоти, останали неразпределени поради затваряне на инсталации или поради промени в производството или производствения капацитет</w:t>
            </w:r>
          </w:p>
        </w:tc>
        <w:tc>
          <w:tcPr>
            <w:tcW w:w="854" w:type="dxa"/>
            <w:shd w:val="clear" w:color="auto" w:fill="auto"/>
            <w:vAlign w:val="center"/>
          </w:tcPr>
          <w:p>
            <w:pPr>
              <w:jc w:val="center"/>
              <w:rPr>
                <w:rFonts w:ascii="Times New Roman" w:hAnsi="Times New Roman"/>
                <w:noProof/>
                <w:sz w:val="20"/>
                <w:szCs w:val="20"/>
                <w:highlight w:val="yellow"/>
              </w:rPr>
            </w:pPr>
            <w:r>
              <w:rPr>
                <w:rFonts w:ascii="Times New Roman" w:hAnsi="Times New Roman"/>
                <w:noProof/>
                <w:sz w:val="20"/>
                <w:szCs w:val="20"/>
              </w:rPr>
              <w:t>40,6</w:t>
            </w:r>
          </w:p>
        </w:tc>
        <w:tc>
          <w:tcPr>
            <w:tcW w:w="861" w:type="dxa"/>
            <w:shd w:val="clear" w:color="auto" w:fill="auto"/>
            <w:vAlign w:val="center"/>
          </w:tcPr>
          <w:p>
            <w:pPr>
              <w:jc w:val="center"/>
              <w:rPr>
                <w:rFonts w:ascii="Times New Roman" w:hAnsi="Times New Roman"/>
                <w:noProof/>
                <w:sz w:val="20"/>
                <w:szCs w:val="20"/>
              </w:rPr>
            </w:pPr>
            <w:r>
              <w:rPr>
                <w:rFonts w:ascii="Times New Roman" w:hAnsi="Times New Roman"/>
                <w:noProof/>
                <w:sz w:val="20"/>
                <w:szCs w:val="20"/>
              </w:rPr>
              <w:t>59,5</w:t>
            </w:r>
          </w:p>
        </w:tc>
        <w:tc>
          <w:tcPr>
            <w:tcW w:w="861" w:type="dxa"/>
            <w:vAlign w:val="center"/>
          </w:tcPr>
          <w:p>
            <w:pPr>
              <w:jc w:val="center"/>
              <w:rPr>
                <w:rFonts w:ascii="Times New Roman" w:hAnsi="Times New Roman"/>
                <w:noProof/>
                <w:sz w:val="20"/>
                <w:szCs w:val="20"/>
              </w:rPr>
            </w:pPr>
            <w:r>
              <w:rPr>
                <w:rFonts w:ascii="Times New Roman" w:hAnsi="Times New Roman"/>
                <w:noProof/>
                <w:sz w:val="20"/>
                <w:szCs w:val="20"/>
              </w:rPr>
              <w:t>73,1</w:t>
            </w:r>
          </w:p>
        </w:tc>
        <w:tc>
          <w:tcPr>
            <w:tcW w:w="861" w:type="dxa"/>
            <w:vAlign w:val="center"/>
          </w:tcPr>
          <w:p>
            <w:pPr>
              <w:jc w:val="center"/>
              <w:rPr>
                <w:rFonts w:ascii="Times New Roman" w:hAnsi="Times New Roman"/>
                <w:noProof/>
                <w:sz w:val="20"/>
                <w:szCs w:val="20"/>
              </w:rPr>
            </w:pPr>
            <w:r>
              <w:rPr>
                <w:rFonts w:ascii="Times New Roman" w:hAnsi="Times New Roman"/>
                <w:noProof/>
                <w:sz w:val="20"/>
                <w:szCs w:val="20"/>
              </w:rPr>
              <w:t>70,5</w:t>
            </w:r>
          </w:p>
        </w:tc>
        <w:tc>
          <w:tcPr>
            <w:tcW w:w="862" w:type="dxa"/>
            <w:vAlign w:val="center"/>
          </w:tcPr>
          <w:p>
            <w:pPr>
              <w:jc w:val="center"/>
              <w:rPr>
                <w:rFonts w:ascii="Times New Roman" w:hAnsi="Times New Roman"/>
                <w:noProof/>
                <w:sz w:val="20"/>
                <w:szCs w:val="20"/>
              </w:rPr>
            </w:pPr>
            <w:r>
              <w:rPr>
                <w:rFonts w:ascii="Times New Roman" w:hAnsi="Times New Roman"/>
                <w:noProof/>
                <w:sz w:val="20"/>
                <w:szCs w:val="20"/>
              </w:rPr>
              <w:t>79,1</w:t>
            </w:r>
          </w:p>
        </w:tc>
        <w:tc>
          <w:tcPr>
            <w:tcW w:w="842" w:type="dxa"/>
            <w:vAlign w:val="center"/>
          </w:tcPr>
          <w:p>
            <w:pPr>
              <w:jc w:val="center"/>
              <w:rPr>
                <w:rFonts w:ascii="Times New Roman" w:hAnsi="Times New Roman"/>
                <w:noProof/>
                <w:sz w:val="20"/>
                <w:szCs w:val="20"/>
              </w:rPr>
            </w:pPr>
            <w:r>
              <w:rPr>
                <w:rFonts w:ascii="Times New Roman" w:hAnsi="Times New Roman"/>
                <w:noProof/>
                <w:sz w:val="20"/>
                <w:szCs w:val="20"/>
              </w:rPr>
              <w:t>83,4</w:t>
            </w:r>
          </w:p>
        </w:tc>
        <w:tc>
          <w:tcPr>
            <w:tcW w:w="842" w:type="dxa"/>
            <w:vAlign w:val="center"/>
          </w:tcPr>
          <w:p>
            <w:pPr>
              <w:jc w:val="center"/>
              <w:rPr>
                <w:rFonts w:ascii="Times New Roman" w:hAnsi="Times New Roman"/>
                <w:noProof/>
                <w:sz w:val="20"/>
                <w:szCs w:val="20"/>
              </w:rPr>
            </w:pPr>
            <w:r>
              <w:rPr>
                <w:rFonts w:ascii="Times New Roman" w:hAnsi="Times New Roman"/>
                <w:noProof/>
                <w:sz w:val="20"/>
                <w:szCs w:val="20"/>
              </w:rPr>
              <w:t>79,8</w:t>
            </w:r>
          </w:p>
        </w:tc>
        <w:tc>
          <w:tcPr>
            <w:tcW w:w="842" w:type="dxa"/>
            <w:vAlign w:val="center"/>
          </w:tcPr>
          <w:p>
            <w:pPr>
              <w:jc w:val="center"/>
              <w:rPr>
                <w:rFonts w:ascii="Times New Roman" w:hAnsi="Times New Roman"/>
                <w:noProof/>
                <w:sz w:val="20"/>
                <w:szCs w:val="20"/>
              </w:rPr>
            </w:pPr>
            <w:r>
              <w:rPr>
                <w:rFonts w:ascii="Times New Roman" w:hAnsi="Times New Roman"/>
                <w:noProof/>
                <w:sz w:val="20"/>
                <w:szCs w:val="20"/>
              </w:rPr>
              <w:t>84,6</w:t>
            </w:r>
          </w:p>
        </w:tc>
      </w:tr>
    </w:tbl>
    <w:p>
      <w:pPr>
        <w:pStyle w:val="NormalWeb"/>
        <w:spacing w:line="276" w:lineRule="auto"/>
        <w:jc w:val="both"/>
        <w:rPr>
          <w:noProof/>
        </w:rPr>
      </w:pPr>
      <w:r>
        <w:rPr>
          <w:noProof/>
        </w:rPr>
        <w:t xml:space="preserve">За да се избегне рискът от изместване на въглеродни емисии, безплатното предоставяне на квоти ще продължи и след 2020 г. въз основа на актуализирани стойности на показателите за ефективност, получени от 10 % от най-ефективните инсталации в ЕС. През февруари 2019 г. Комисията прие списъка за изместване на въглеродни емисии за 2021—2030 г. </w:t>
      </w:r>
      <w:r>
        <w:rPr>
          <w:rStyle w:val="FootnoteReference"/>
          <w:noProof/>
        </w:rPr>
        <w:footnoteReference w:id="34"/>
      </w:r>
      <w:r>
        <w:rPr>
          <w:noProof/>
        </w:rPr>
        <w:t xml:space="preserve">, който ще бъде валиден за целия период. В списъка са определени промишлените сектори, които ще се възползват от по-висок дял на безплатно разпределени квоти. </w:t>
      </w:r>
    </w:p>
    <w:p>
      <w:pPr>
        <w:jc w:val="both"/>
        <w:rPr>
          <w:rFonts w:ascii="Times New Roman" w:eastAsia="Times New Roman" w:hAnsi="Times New Roman"/>
          <w:noProof/>
          <w:sz w:val="24"/>
          <w:szCs w:val="24"/>
        </w:rPr>
      </w:pPr>
      <w:r>
        <w:rPr>
          <w:rFonts w:ascii="Times New Roman" w:hAnsi="Times New Roman"/>
          <w:noProof/>
          <w:sz w:val="24"/>
          <w:szCs w:val="24"/>
        </w:rPr>
        <w:t>За отразяване на напредъка в технологиите и иновациите референтните стойности ще бъдат актуализирани за 2021—2025 г. и 2026—2030 г. въз основа на реални данни. Делегираният акт за преразглеждане на правилата за безплатно разпределение за 2021—2030 г. беше приет през декември 2018 г.</w:t>
      </w:r>
      <w:r>
        <w:rPr>
          <w:rFonts w:ascii="Times New Roman" w:eastAsia="Times New Roman" w:hAnsi="Times New Roman"/>
          <w:noProof/>
          <w:sz w:val="24"/>
          <w:szCs w:val="24"/>
          <w:vertAlign w:val="superscript"/>
          <w:lang w:eastAsia="en-GB"/>
        </w:rPr>
        <w:footnoteReference w:id="35"/>
      </w:r>
      <w:r>
        <w:rPr>
          <w:rFonts w:ascii="Times New Roman" w:hAnsi="Times New Roman"/>
          <w:noProof/>
          <w:sz w:val="24"/>
          <w:szCs w:val="24"/>
        </w:rPr>
        <w:t xml:space="preserve">. Очаква се регламентът за изпълнение относно преразгледаните референтни стойности, които да се прилагат в периода 2021—2025 г., да бъде приет до края на 2020 г. (вж. допълнение 6 към приложението). </w:t>
      </w:r>
    </w:p>
    <w:p>
      <w:pPr>
        <w:jc w:val="both"/>
        <w:rPr>
          <w:rFonts w:ascii="Times New Roman" w:hAnsi="Times New Roman"/>
          <w:noProof/>
          <w:sz w:val="24"/>
          <w:szCs w:val="24"/>
        </w:rPr>
      </w:pPr>
      <w:r>
        <w:rPr>
          <w:rFonts w:ascii="Times New Roman" w:hAnsi="Times New Roman"/>
          <w:noProof/>
          <w:sz w:val="24"/>
          <w:szCs w:val="24"/>
        </w:rPr>
        <w:t>През фаза 4 квотите за отделните инсталации ще бъдат коригирани своевременно, за да отразяват значително увеличаване или намаляване на дейността. За предотвратяване на манипулирането и злоупотребата със системата за корекции на разпределението и за избягване на всякаква неоправдана административна тежест Комисията прие акт за изпълнение, който определя допълнителни договорености за корекциите през октомври 2019 г.</w:t>
      </w:r>
      <w:r>
        <w:rPr>
          <w:rStyle w:val="FootnoteReference"/>
          <w:rFonts w:ascii="Times New Roman" w:eastAsia="Times New Roman" w:hAnsi="Times New Roman"/>
          <w:noProof/>
          <w:sz w:val="24"/>
          <w:szCs w:val="24"/>
          <w:lang w:eastAsia="en-GB"/>
        </w:rPr>
        <w:footnoteReference w:id="36"/>
      </w:r>
      <w:r>
        <w:rPr>
          <w:rFonts w:ascii="Times New Roman" w:hAnsi="Times New Roman"/>
          <w:noProof/>
          <w:sz w:val="24"/>
          <w:szCs w:val="24"/>
        </w:rPr>
        <w:t xml:space="preserve"> (вж. допълнение 6 към приложението).</w:t>
      </w:r>
    </w:p>
    <w:p>
      <w:pPr>
        <w:keepNext/>
        <w:ind w:firstLine="720"/>
        <w:outlineLvl w:val="3"/>
        <w:rPr>
          <w:rFonts w:ascii="Times New Roman" w:eastAsia="Times New Roman" w:hAnsi="Times New Roman"/>
          <w:noProof/>
          <w:color w:val="000000" w:themeColor="text1"/>
          <w:sz w:val="24"/>
          <w:szCs w:val="24"/>
        </w:rPr>
      </w:pPr>
      <w:bookmarkStart w:id="29" w:name="_Toc56071834"/>
      <w:r>
        <w:rPr>
          <w:rFonts w:ascii="Times New Roman" w:hAnsi="Times New Roman"/>
          <w:bCs/>
          <w:i/>
          <w:noProof/>
          <w:sz w:val="24"/>
          <w:szCs w:val="28"/>
        </w:rPr>
        <w:t>3.1.2.2. Тръжна продажба на квоти</w:t>
      </w:r>
      <w:bookmarkEnd w:id="29"/>
    </w:p>
    <w:p>
      <w:pPr>
        <w:pStyle w:val="a3520normalp11"/>
        <w:spacing w:line="276" w:lineRule="auto"/>
        <w:rPr>
          <w:noProof/>
        </w:rPr>
      </w:pPr>
      <w:r>
        <w:rPr>
          <w:noProof/>
          <w:lang w:val="en-GB"/>
        </w:rPr>
        <mc:AlternateContent>
          <mc:Choice Requires="wps">
            <w:drawing>
              <wp:inline distT="0" distB="0" distL="0" distR="0">
                <wp:extent cx="5719648" cy="1857375"/>
                <wp:effectExtent l="0" t="0" r="14605" b="2857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648" cy="1857375"/>
                        </a:xfrm>
                        <a:prstGeom prst="rect">
                          <a:avLst/>
                        </a:prstGeom>
                        <a:solidFill>
                          <a:sysClr val="window" lastClr="FFFFFF">
                            <a:lumMod val="85000"/>
                          </a:sysClr>
                        </a:solidFill>
                        <a:ln w="12700">
                          <a:solidFill>
                            <a:srgbClr val="000000"/>
                          </a:solidFill>
                          <a:miter lim="800000"/>
                          <a:headEnd/>
                          <a:tailEnd/>
                        </a:ln>
                      </wps:spPr>
                      <wps:txbx>
                        <w:txbxContent>
                          <w:p>
                            <w:pPr>
                              <w:spacing w:after="120"/>
                              <w:ind w:right="57"/>
                              <w:jc w:val="both"/>
                              <w:rPr>
                                <w:rFonts w:ascii="Times New Roman" w:eastAsia="Times New Roman" w:hAnsi="Times New Roman"/>
                                <w:sz w:val="24"/>
                                <w:szCs w:val="24"/>
                              </w:rPr>
                            </w:pPr>
                            <w:r>
                              <w:rPr>
                                <w:rFonts w:ascii="Times New Roman" w:hAnsi="Times New Roman"/>
                                <w:sz w:val="24"/>
                                <w:szCs w:val="24"/>
                              </w:rPr>
                              <w:t xml:space="preserve">Тръжната продажба е начинът по подразбиране за разпределяне на квоти. Първичните търгове се уреждат от Регламента за тръжната продажба*, който определя графика, управлението и други аспекти, свързани с провеждането на търговете, с цел да се гарантира открит, прозрачен, хармонизиран и недискриминационен процес. </w:t>
                            </w:r>
                          </w:p>
                          <w:p>
                            <w:pPr>
                              <w:spacing w:after="120"/>
                              <w:ind w:right="57"/>
                              <w:jc w:val="both"/>
                              <w:rPr>
                                <w:rFonts w:ascii="Times New Roman" w:eastAsia="Times New Roman" w:hAnsi="Times New Roman"/>
                                <w:sz w:val="18"/>
                                <w:szCs w:val="18"/>
                              </w:rPr>
                            </w:pPr>
                            <w:r>
                              <w:rPr>
                                <w:rFonts w:ascii="Times New Roman" w:hAnsi="Times New Roman"/>
                                <w:sz w:val="18"/>
                                <w:szCs w:val="18"/>
                              </w:rPr>
                              <w:t>* Регламент (ЕС) № 1031/2010 на Комисията от 12 ноември 2010 г. относно графика, управлението и други аспекти на търга на квоти за емисии на парникови газове съгласно Директива 2003/87/ЕО на Европейския парламент и на Съвета за установяване на схема за търговия с квоти за емисии на парникови газове в рамките на Общността, ОВ L 302, 18.11.2010 г., стр. 1.</w:t>
                            </w:r>
                          </w:p>
                          <w:p>
                            <w:pPr>
                              <w:pStyle w:val="a3520normalp11"/>
                              <w:spacing w:line="276" w:lineRule="auto"/>
                            </w:pPr>
                          </w:p>
                          <w:p>
                            <w:pPr>
                              <w:ind w:left="-142" w:firstLine="142"/>
                            </w:pPr>
                          </w:p>
                        </w:txbxContent>
                      </wps:txbx>
                      <wps:bodyPr rot="0" vert="horz" wrap="square" lIns="91440" tIns="45720" rIns="91440" bIns="45720" anchor="t" anchorCtr="0">
                        <a:noAutofit/>
                      </wps:bodyPr>
                    </wps:wsp>
                  </a:graphicData>
                </a:graphic>
              </wp:inline>
            </w:drawing>
          </mc:Choice>
          <mc:Fallback>
            <w:pict>
              <v:shape id="_x0000_s1030" type="#_x0000_t202" style="width:450.35pt;height:14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" fillcolor="#d9d9d9" strokeweight="1pt">
                <v:textbox>
                  <w:txbxContent>
                    <w:p>
                      <w:pPr>
                        <w:spacing w:after="120"/>
                        <w:ind w:right="57"/>
                        <w:jc w:val="both"/>
                        <w:rPr>
                          <w:rFonts w:ascii="Times New Roman" w:eastAsia="Times New Roman" w:hAnsi="Times New Roman"/>
                          <w:sz w:val="24"/>
                          <w:szCs w:val="24"/>
                        </w:rPr>
                      </w:pPr>
                      <w:r>
                        <w:rPr>
                          <w:rFonts w:ascii="Times New Roman" w:hAnsi="Times New Roman"/>
                          <w:sz w:val="24"/>
                          <w:szCs w:val="24"/>
                        </w:rPr>
                        <w:t xml:space="preserve">Тръжната продажба е начинът по подразбиране за разпределяне на квоти. Първичните търгове се уреждат от Регламента за тръжната продажба*, който определя графика, управлението и други аспекти, свързани с провеждането на търговете, с цел да се гарантира открит, прозрачен, хармонизиран и недискриминационен процес. </w:t>
                      </w:r>
                    </w:p>
                    <w:p>
                      <w:pPr>
                        <w:spacing w:after="120"/>
                        <w:ind w:right="57"/>
                        <w:jc w:val="both"/>
                        <w:rPr>
                          <w:rFonts w:ascii="Times New Roman" w:eastAsia="Times New Roman" w:hAnsi="Times New Roman"/>
                          <w:sz w:val="18"/>
                          <w:szCs w:val="18"/>
                        </w:rPr>
                      </w:pPr>
                      <w:r>
                        <w:rPr>
                          <w:rFonts w:ascii="Times New Roman" w:hAnsi="Times New Roman"/>
                          <w:sz w:val="18"/>
                          <w:szCs w:val="18"/>
                        </w:rPr>
                        <w:t>* Регламент (ЕС) № 1031/2010 на Комисията от 12 ноември 2010 г. относно графика, управлението и други аспекти на търга на квоти за емисии на парникови газове съгласно Директива 2003/87/ЕО на Европейския парламент и на Съвета за установяване на схема за търговия с квоти за емисии на парникови газове в рамките на Общността, ОВ L 302, 18.11.2010 г., стр. 1.</w:t>
                      </w:r>
                    </w:p>
                    <w:p>
                      <w:pPr>
                        <w:pStyle w:val="a3520normalp11"/>
                        <w:spacing w:line="276" w:lineRule="auto"/>
                      </w:pPr>
                    </w:p>
                    <w:p>
                      <w:pPr>
                        <w:ind w:left="-142" w:firstLine="142"/>
                      </w:pPr>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szCs w:val="24"/>
        </w:rPr>
        <w:t xml:space="preserve">Търговете за 2019 г. се проведоха чрез тръжната платформа EEX, която осигурява търгове като обща тръжна платформа за 25-те държави членки, които участват в процедура за съвместно възлагане за Полша, която се отказа от участие в процедурата за съвместно възлагане, но не е избрала отделна тръжна платформа, както и за Германия като алтернативна тръжна платформа. </w:t>
      </w:r>
    </w:p>
    <w:p>
      <w:pPr>
        <w:jc w:val="both"/>
        <w:rPr>
          <w:rFonts w:ascii="Times New Roman" w:hAnsi="Times New Roman"/>
          <w:noProof/>
          <w:sz w:val="24"/>
          <w:szCs w:val="24"/>
        </w:rPr>
      </w:pPr>
      <w:r>
        <w:rPr>
          <w:rFonts w:ascii="Times New Roman" w:hAnsi="Times New Roman"/>
          <w:noProof/>
          <w:sz w:val="24"/>
          <w:szCs w:val="24"/>
        </w:rPr>
        <w:t xml:space="preserve">EEX започна тръжна продажба за Исландия, Лихтенщайн и Норвегия през юни 2019 г., след като Споразумението за ЕИП бе изменено, за да им позволи да участват в Споразумението за съвместно възлагане за общата тръжна платформа. Съгласно договореностите с трите държави тръжно търгуваните количества за 2013—2018 г. са разпределени през 2019 г. и 2020 г. за гарантиране на стабилно и предвидимо предлагане на квоти на пазара. </w:t>
      </w:r>
    </w:p>
    <w:p>
      <w:pPr>
        <w:jc w:val="both"/>
        <w:rPr>
          <w:rFonts w:ascii="Times New Roman" w:hAnsi="Times New Roman"/>
          <w:noProof/>
          <w:sz w:val="24"/>
          <w:szCs w:val="24"/>
        </w:rPr>
      </w:pPr>
      <w:r>
        <w:rPr>
          <w:rFonts w:ascii="Times New Roman" w:hAnsi="Times New Roman"/>
          <w:noProof/>
          <w:sz w:val="24"/>
          <w:szCs w:val="24"/>
        </w:rPr>
        <w:t>В съответствие с предпазните мерки, приети за защита на екологичната цялост на СТЕ на ЕС</w:t>
      </w:r>
      <w:r>
        <w:rPr>
          <w:rFonts w:ascii="Times New Roman" w:hAnsi="Times New Roman"/>
          <w:noProof/>
          <w:sz w:val="24"/>
          <w:szCs w:val="24"/>
          <w:vertAlign w:val="superscript"/>
          <w:lang w:val="en-IE"/>
        </w:rPr>
        <w:footnoteReference w:id="37"/>
      </w:r>
      <w:r>
        <w:rPr>
          <w:rFonts w:ascii="Times New Roman" w:hAnsi="Times New Roman"/>
          <w:noProof/>
          <w:sz w:val="24"/>
          <w:szCs w:val="24"/>
        </w:rPr>
        <w:t>, през 2019 г. не са били продавани на търг квоти от името на Обединеното кралство. С влизането в сила на Споразумението за оттегляне на 1 февруари 2020 г. търговете за Обединеното кралство са подновени на 4 март 2020 г. и се провеждат чрез тръжната платформа ICE. Количеството, включено в тръжния календар на Обединеното кралство за 2020 г., възлиза на сумираните количества, подлежащи на продажба на търг за календарните години 2019 г. и 2020 г.</w:t>
      </w:r>
    </w:p>
    <w:p>
      <w:pPr>
        <w:keepNext/>
        <w:jc w:val="both"/>
        <w:rPr>
          <w:rFonts w:ascii="Times New Roman" w:hAnsi="Times New Roman"/>
          <w:b/>
          <w:bCs/>
          <w:noProof/>
        </w:rPr>
      </w:pPr>
      <w:r>
        <w:rPr>
          <w:rFonts w:ascii="Times New Roman" w:hAnsi="Times New Roman"/>
          <w:noProof/>
          <w:sz w:val="24"/>
          <w:szCs w:val="24"/>
        </w:rPr>
        <w:t>До 30 юни 2020 г. са проведени над 1700 търга. В таблица 3 е представен преглед на обемите на квотите</w:t>
      </w:r>
      <w:r>
        <w:rPr>
          <w:rFonts w:ascii="Times New Roman" w:hAnsi="Times New Roman"/>
          <w:noProof/>
          <w:sz w:val="24"/>
          <w:szCs w:val="24"/>
          <w:vertAlign w:val="superscript"/>
          <w:lang w:val="en-IE"/>
        </w:rPr>
        <w:footnoteReference w:id="38"/>
      </w:r>
      <w:r>
        <w:rPr>
          <w:rFonts w:ascii="Times New Roman" w:hAnsi="Times New Roman"/>
          <w:noProof/>
          <w:sz w:val="24"/>
          <w:szCs w:val="24"/>
        </w:rPr>
        <w:t>, предназначени за тръжна продажба от EEX и ІСЕ, до 30 юни 2020 г., включително ранните търгове</w:t>
      </w:r>
      <w:r>
        <w:rPr>
          <w:rFonts w:ascii="Times New Roman" w:hAnsi="Times New Roman"/>
          <w:noProof/>
          <w:sz w:val="24"/>
          <w:szCs w:val="24"/>
          <w:vertAlign w:val="superscript"/>
          <w:lang w:val="en-IE"/>
        </w:rPr>
        <w:footnoteReference w:id="39"/>
      </w:r>
      <w:r>
        <w:rPr>
          <w:rFonts w:ascii="Times New Roman" w:hAnsi="Times New Roman"/>
          <w:noProof/>
          <w:sz w:val="24"/>
          <w:szCs w:val="24"/>
        </w:rPr>
        <w:t xml:space="preserve"> на общите квоти.</w:t>
      </w:r>
    </w:p>
    <w:p>
      <w:pPr>
        <w:keepNext/>
        <w:rPr>
          <w:rFonts w:ascii="Times New Roman" w:hAnsi="Times New Roman"/>
          <w:b/>
          <w:bCs/>
          <w:noProof/>
        </w:rPr>
      </w:pPr>
      <w:r>
        <w:rPr>
          <w:rFonts w:ascii="Times New Roman" w:hAnsi="Times New Roman"/>
          <w:b/>
          <w:bCs/>
          <w:noProof/>
        </w:rPr>
        <w:t>Таблица 3: Общо количество квоти от фаза 3, продавани на търг от 2012 г. до 30 юни 2020 г.</w:t>
      </w:r>
      <w:r>
        <w:rPr>
          <w:rStyle w:val="FootnoteReference"/>
          <w:rFonts w:ascii="Times New Roman" w:hAnsi="Times New Roman"/>
          <w:b/>
          <w:bCs/>
          <w:noProof/>
        </w:rPr>
        <w:footnoteReference w:id="40"/>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08"/>
        <w:gridCol w:w="3051"/>
        <w:gridCol w:w="2989"/>
      </w:tblGrid>
      <w:tr>
        <w:trPr>
          <w:trHeight w:val="414"/>
          <w:jc w:val="center"/>
        </w:trPr>
        <w:tc>
          <w:tcPr>
            <w:tcW w:w="2908"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Година</w:t>
            </w:r>
          </w:p>
        </w:tc>
        <w:tc>
          <w:tcPr>
            <w:tcW w:w="305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 xml:space="preserve">Общи квоти </w:t>
            </w:r>
          </w:p>
        </w:tc>
        <w:tc>
          <w:tcPr>
            <w:tcW w:w="298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bCs/>
                <w:noProof/>
                <w:color w:val="000000"/>
                <w:sz w:val="20"/>
                <w:szCs w:val="20"/>
              </w:rPr>
              <w:t xml:space="preserve">Квоти за авиационни емисии </w:t>
            </w:r>
          </w:p>
        </w:tc>
      </w:tr>
      <w:tr>
        <w:trPr>
          <w:trHeight w:val="414"/>
          <w:jc w:val="center"/>
        </w:trPr>
        <w:tc>
          <w:tcPr>
            <w:tcW w:w="2908"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2012 г.</w:t>
            </w:r>
          </w:p>
        </w:tc>
        <w:tc>
          <w:tcPr>
            <w:tcW w:w="305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89 701 500</w:t>
            </w:r>
          </w:p>
        </w:tc>
        <w:tc>
          <w:tcPr>
            <w:tcW w:w="298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bCs/>
                <w:noProof/>
                <w:color w:val="000000"/>
                <w:sz w:val="20"/>
                <w:szCs w:val="20"/>
              </w:rPr>
              <w:t>2 500 000</w:t>
            </w:r>
          </w:p>
        </w:tc>
      </w:tr>
      <w:tr>
        <w:trPr>
          <w:trHeight w:val="414"/>
          <w:jc w:val="center"/>
        </w:trPr>
        <w:tc>
          <w:tcPr>
            <w:tcW w:w="2908"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2013 г.</w:t>
            </w:r>
          </w:p>
        </w:tc>
        <w:tc>
          <w:tcPr>
            <w:tcW w:w="305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808 146 500</w:t>
            </w:r>
          </w:p>
        </w:tc>
        <w:tc>
          <w:tcPr>
            <w:tcW w:w="298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bCs/>
                <w:noProof/>
                <w:color w:val="000000"/>
                <w:sz w:val="20"/>
                <w:szCs w:val="20"/>
              </w:rPr>
              <w:t xml:space="preserve">0 </w:t>
            </w:r>
          </w:p>
        </w:tc>
      </w:tr>
      <w:tr>
        <w:trPr>
          <w:trHeight w:val="414"/>
          <w:jc w:val="center"/>
        </w:trPr>
        <w:tc>
          <w:tcPr>
            <w:tcW w:w="2908"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2014 г.</w:t>
            </w:r>
          </w:p>
        </w:tc>
        <w:tc>
          <w:tcPr>
            <w:tcW w:w="305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528 399 500</w:t>
            </w:r>
          </w:p>
        </w:tc>
        <w:tc>
          <w:tcPr>
            <w:tcW w:w="298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bCs/>
                <w:noProof/>
                <w:color w:val="000000"/>
                <w:sz w:val="20"/>
                <w:szCs w:val="20"/>
              </w:rPr>
              <w:t>9 278 000</w:t>
            </w:r>
          </w:p>
        </w:tc>
      </w:tr>
      <w:tr>
        <w:trPr>
          <w:trHeight w:val="414"/>
          <w:jc w:val="center"/>
        </w:trPr>
        <w:tc>
          <w:tcPr>
            <w:tcW w:w="2908"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2015 г.</w:t>
            </w:r>
          </w:p>
        </w:tc>
        <w:tc>
          <w:tcPr>
            <w:tcW w:w="305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632 725 500</w:t>
            </w:r>
          </w:p>
        </w:tc>
        <w:tc>
          <w:tcPr>
            <w:tcW w:w="298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bCs/>
                <w:noProof/>
                <w:color w:val="000000"/>
                <w:sz w:val="20"/>
                <w:szCs w:val="20"/>
              </w:rPr>
              <w:t>16 390 500</w:t>
            </w:r>
          </w:p>
        </w:tc>
      </w:tr>
      <w:tr>
        <w:trPr>
          <w:trHeight w:val="414"/>
          <w:jc w:val="center"/>
        </w:trPr>
        <w:tc>
          <w:tcPr>
            <w:tcW w:w="2908"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2016 г.</w:t>
            </w:r>
          </w:p>
        </w:tc>
        <w:tc>
          <w:tcPr>
            <w:tcW w:w="305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715 289 500</w:t>
            </w:r>
          </w:p>
        </w:tc>
        <w:tc>
          <w:tcPr>
            <w:tcW w:w="298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bCs/>
                <w:noProof/>
                <w:color w:val="000000"/>
                <w:sz w:val="20"/>
                <w:szCs w:val="20"/>
              </w:rPr>
              <w:t>5 997 500</w:t>
            </w:r>
          </w:p>
        </w:tc>
      </w:tr>
      <w:tr>
        <w:trPr>
          <w:trHeight w:val="414"/>
          <w:jc w:val="center"/>
        </w:trPr>
        <w:tc>
          <w:tcPr>
            <w:tcW w:w="2908"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 xml:space="preserve">2017 г.  </w:t>
            </w:r>
          </w:p>
        </w:tc>
        <w:tc>
          <w:tcPr>
            <w:tcW w:w="305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951 195 500</w:t>
            </w:r>
          </w:p>
        </w:tc>
        <w:tc>
          <w:tcPr>
            <w:tcW w:w="298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bCs/>
                <w:noProof/>
                <w:color w:val="000000"/>
                <w:sz w:val="20"/>
                <w:szCs w:val="20"/>
              </w:rPr>
              <w:t>4 730 500</w:t>
            </w:r>
          </w:p>
        </w:tc>
      </w:tr>
      <w:tr>
        <w:trPr>
          <w:trHeight w:val="414"/>
          <w:jc w:val="center"/>
        </w:trPr>
        <w:tc>
          <w:tcPr>
            <w:tcW w:w="2908"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 xml:space="preserve">2018 г. </w:t>
            </w:r>
          </w:p>
        </w:tc>
        <w:tc>
          <w:tcPr>
            <w:tcW w:w="305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915 750 000</w:t>
            </w:r>
          </w:p>
        </w:tc>
        <w:tc>
          <w:tcPr>
            <w:tcW w:w="298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hAnsi="Times New Roman"/>
                <w:bCs/>
                <w:noProof/>
                <w:color w:val="000000"/>
                <w:sz w:val="20"/>
                <w:szCs w:val="20"/>
              </w:rPr>
            </w:pPr>
            <w:r>
              <w:rPr>
                <w:rFonts w:ascii="Times New Roman" w:hAnsi="Times New Roman"/>
                <w:noProof/>
                <w:sz w:val="20"/>
                <w:szCs w:val="20"/>
              </w:rPr>
              <w:t>5 601 500</w:t>
            </w:r>
          </w:p>
        </w:tc>
      </w:tr>
      <w:tr>
        <w:trPr>
          <w:trHeight w:val="414"/>
          <w:jc w:val="center"/>
        </w:trPr>
        <w:tc>
          <w:tcPr>
            <w:tcW w:w="2908"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2019 г.</w:t>
            </w:r>
          </w:p>
        </w:tc>
        <w:tc>
          <w:tcPr>
            <w:tcW w:w="305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588 540 000</w:t>
            </w:r>
          </w:p>
        </w:tc>
        <w:tc>
          <w:tcPr>
            <w:tcW w:w="298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5 502 500</w:t>
            </w:r>
          </w:p>
        </w:tc>
      </w:tr>
      <w:tr>
        <w:trPr>
          <w:trHeight w:val="414"/>
          <w:jc w:val="center"/>
        </w:trPr>
        <w:tc>
          <w:tcPr>
            <w:tcW w:w="2908"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2020 г. (до 30 юни 2020 г.)</w:t>
            </w:r>
          </w:p>
        </w:tc>
        <w:tc>
          <w:tcPr>
            <w:tcW w:w="3051"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360 446 000</w:t>
            </w:r>
          </w:p>
        </w:tc>
        <w:tc>
          <w:tcPr>
            <w:tcW w:w="2989" w:type="dxa"/>
            <w:tcBorders>
              <w:top w:val="double" w:sz="4" w:space="0" w:color="auto"/>
              <w:left w:val="double" w:sz="4" w:space="0" w:color="auto"/>
              <w:bottom w:val="double" w:sz="4" w:space="0" w:color="auto"/>
              <w:right w:val="double" w:sz="4" w:space="0" w:color="auto"/>
            </w:tcBorders>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3 371 500</w:t>
            </w:r>
          </w:p>
        </w:tc>
      </w:tr>
    </w:tbl>
    <w:p>
      <w:pPr>
        <w:spacing w:after="120" w:line="240" w:lineRule="auto"/>
        <w:ind w:right="57"/>
        <w:jc w:val="both"/>
        <w:rPr>
          <w:rFonts w:ascii="Times New Roman" w:eastAsia="Times New Roman" w:hAnsi="Times New Roman"/>
          <w:noProof/>
          <w:sz w:val="18"/>
          <w:szCs w:val="18"/>
          <w:lang w:eastAsia="en-GB"/>
        </w:rPr>
      </w:pPr>
    </w:p>
    <w:p>
      <w:pPr>
        <w:spacing w:after="120" w:line="240" w:lineRule="auto"/>
        <w:ind w:right="57"/>
        <w:jc w:val="both"/>
        <w:rPr>
          <w:rFonts w:ascii="Times New Roman" w:eastAsia="Times New Roman" w:hAnsi="Times New Roman"/>
          <w:noProof/>
          <w:sz w:val="18"/>
          <w:szCs w:val="18"/>
        </w:rPr>
      </w:pPr>
      <w:r>
        <w:rPr>
          <w:rFonts w:ascii="Times New Roman" w:hAnsi="Times New Roman"/>
          <w:noProof/>
          <w:sz w:val="18"/>
          <w:szCs w:val="18"/>
        </w:rPr>
        <w:t>Източник: ЕЕХ</w:t>
      </w:r>
    </w:p>
    <w:p>
      <w:pPr>
        <w:spacing w:afterLines="100" w:after="240"/>
        <w:jc w:val="both"/>
        <w:rPr>
          <w:rFonts w:ascii="Times New Roman" w:hAnsi="Times New Roman"/>
          <w:noProof/>
          <w:sz w:val="24"/>
          <w:szCs w:val="24"/>
        </w:rPr>
      </w:pPr>
      <w:r>
        <w:rPr>
          <w:rFonts w:ascii="Times New Roman" w:hAnsi="Times New Roman"/>
          <w:noProof/>
          <w:sz w:val="24"/>
          <w:szCs w:val="24"/>
        </w:rPr>
        <w:t xml:space="preserve">Започването на функционирането на резерва за стабилност на пазара (MSR) през януари 2019 г. значително намали предлагането за тръжна продажба, както може да се види в таблица 3. Търговете обикновено са протичали гладко и тръжните клирингови цени са били, общо взето, близки до цените на вторичния пазар.  </w:t>
      </w:r>
    </w:p>
    <w:p>
      <w:pPr>
        <w:spacing w:afterLines="100" w:after="240"/>
        <w:jc w:val="both"/>
        <w:rPr>
          <w:rFonts w:ascii="Times New Roman" w:hAnsi="Times New Roman"/>
          <w:b/>
          <w:noProof/>
          <w:sz w:val="20"/>
          <w:szCs w:val="20"/>
        </w:rPr>
      </w:pPr>
      <w:r>
        <w:rPr>
          <w:rFonts w:ascii="Times New Roman" w:hAnsi="Times New Roman"/>
          <w:noProof/>
          <w:sz w:val="24"/>
          <w:szCs w:val="24"/>
        </w:rPr>
        <w:t xml:space="preserve">Между януари 2019 г. и юни 2020 г. три търга бяха отменени поради непостигане на минималната определена цена или поради общ обем на заявките, който е по-малко от тръжния обем в съответствие със съответните правила в Регламента за тръжната продажба на квоти за емисии. Заедно с тези три търга от над 1700 търга, проведени от края на 2012 г. насетне, са анулирани общо петнадесет търга. Преглед на тръжните клирингови цени за периода от 2013 г. до 30 юни 2020 г. е представен на фигура 2. </w:t>
      </w:r>
    </w:p>
    <w:p>
      <w:pPr>
        <w:rPr>
          <w:rFonts w:ascii="Times New Roman" w:hAnsi="Times New Roman"/>
          <w:b/>
          <w:noProof/>
          <w:sz w:val="20"/>
          <w:szCs w:val="20"/>
        </w:rPr>
      </w:pPr>
    </w:p>
    <w:p>
      <w:pPr>
        <w:rPr>
          <w:rFonts w:ascii="Times New Roman" w:hAnsi="Times New Roman"/>
          <w:b/>
          <w:noProof/>
        </w:rPr>
      </w:pPr>
    </w:p>
    <w:p>
      <w:pPr>
        <w:rPr>
          <w:rFonts w:ascii="Times New Roman" w:hAnsi="Times New Roman"/>
          <w:b/>
          <w:noProof/>
        </w:rPr>
      </w:pPr>
      <w:r>
        <w:rPr>
          <w:rFonts w:ascii="Times New Roman" w:hAnsi="Times New Roman"/>
          <w:b/>
          <w:noProof/>
        </w:rPr>
        <w:t>Фигура 2: Клирингови цени на общите квоти, продавани на търг от 2013 г. до 30 юни 2020 г.</w:t>
      </w:r>
    </w:p>
    <w:p>
      <w:pPr>
        <w:rPr>
          <w:rFonts w:ascii="Times New Roman" w:hAnsi="Times New Roman"/>
          <w:b/>
          <w:noProof/>
          <w:sz w:val="20"/>
          <w:szCs w:val="20"/>
        </w:rPr>
      </w:pPr>
      <w:r>
        <w:rPr>
          <w:noProof/>
          <w:lang w:val="en-GB" w:eastAsia="en-GB"/>
        </w:rPr>
        <w:drawing>
          <wp:inline distT="0" distB="0" distL="0" distR="0">
            <wp:extent cx="5731510" cy="2817612"/>
            <wp:effectExtent l="0" t="0" r="2540" b="190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2817612"/>
                    </a:xfrm>
                    <a:prstGeom prst="rect">
                      <a:avLst/>
                    </a:prstGeom>
                    <a:noFill/>
                    <a:ln>
                      <a:noFill/>
                    </a:ln>
                  </pic:spPr>
                </pic:pic>
              </a:graphicData>
            </a:graphic>
          </wp:inline>
        </w:drawing>
      </w:r>
    </w:p>
    <w:p>
      <w:pPr>
        <w:rPr>
          <w:rFonts w:ascii="Times New Roman" w:hAnsi="Times New Roman"/>
          <w:noProof/>
          <w:sz w:val="20"/>
          <w:szCs w:val="20"/>
        </w:rPr>
      </w:pPr>
      <w:r>
        <w:rPr>
          <w:rFonts w:ascii="Times New Roman" w:hAnsi="Times New Roman"/>
          <w:b/>
          <w:noProof/>
          <w:color w:val="00B050"/>
          <w:sz w:val="20"/>
          <w:szCs w:val="20"/>
        </w:rPr>
        <w:t>___</w:t>
      </w:r>
      <w:r>
        <w:rPr>
          <w:rFonts w:ascii="Times New Roman" w:hAnsi="Times New Roman"/>
          <w:noProof/>
          <w:sz w:val="20"/>
          <w:szCs w:val="20"/>
        </w:rPr>
        <w:t xml:space="preserve"> Тръжна клирингова цена</w:t>
      </w:r>
    </w:p>
    <w:p>
      <w:pPr>
        <w:spacing w:after="0"/>
        <w:jc w:val="both"/>
        <w:rPr>
          <w:rFonts w:ascii="Times New Roman" w:hAnsi="Times New Roman"/>
          <w:noProof/>
          <w:sz w:val="18"/>
          <w:szCs w:val="18"/>
        </w:rPr>
      </w:pPr>
      <w:r>
        <w:rPr>
          <w:rFonts w:ascii="Times New Roman" w:hAnsi="Times New Roman"/>
          <w:noProof/>
          <w:sz w:val="18"/>
          <w:szCs w:val="18"/>
        </w:rPr>
        <w:t>Източник: ЕЕХ</w:t>
      </w:r>
    </w:p>
    <w:p>
      <w:pPr>
        <w:spacing w:after="160" w:line="259" w:lineRule="auto"/>
        <w:jc w:val="both"/>
        <w:rPr>
          <w:rFonts w:ascii="Times New Roman" w:hAnsi="Times New Roman"/>
          <w:noProof/>
          <w:sz w:val="24"/>
          <w:szCs w:val="24"/>
        </w:rPr>
      </w:pPr>
      <w:r>
        <w:rPr>
          <w:rFonts w:ascii="Times New Roman" w:hAnsi="Times New Roman"/>
          <w:noProof/>
          <w:sz w:val="24"/>
          <w:szCs w:val="24"/>
        </w:rPr>
        <w:t>Броят на участниците в търговете на общи квоти за периода от 2013 г. до 30 юни 2020 г. е представен в допълнение 2. Тръжните платформи публикуват своевременно подробни резултати от всеки търг в специално предназначени за целта уебсайтове. Допълнителна информация за изпълнението на търговете, включително относно участието, коефициентите на покритие и цените, може да бъде намерена в докладите на държавите членки, публикувани на уебсайта на Комисията</w:t>
      </w:r>
      <w:r>
        <w:rPr>
          <w:rFonts w:ascii="Times New Roman" w:hAnsi="Times New Roman"/>
          <w:noProof/>
          <w:sz w:val="24"/>
          <w:szCs w:val="24"/>
          <w:vertAlign w:val="superscript"/>
          <w:lang w:val="en-IE"/>
        </w:rPr>
        <w:footnoteReference w:id="41"/>
      </w:r>
      <w:r>
        <w:rPr>
          <w:rFonts w:ascii="Times New Roman" w:hAnsi="Times New Roman"/>
          <w:noProof/>
          <w:sz w:val="24"/>
          <w:szCs w:val="24"/>
        </w:rPr>
        <w:t xml:space="preserve">. </w:t>
      </w:r>
    </w:p>
    <w:p>
      <w:pPr>
        <w:spacing w:after="160" w:line="259" w:lineRule="auto"/>
        <w:jc w:val="both"/>
        <w:rPr>
          <w:rFonts w:ascii="Times New Roman" w:hAnsi="Times New Roman"/>
          <w:noProof/>
          <w:sz w:val="24"/>
          <w:szCs w:val="24"/>
        </w:rPr>
      </w:pPr>
      <w:r>
        <w:rPr>
          <w:rFonts w:ascii="Times New Roman" w:hAnsi="Times New Roman"/>
          <w:noProof/>
          <w:sz w:val="24"/>
          <w:szCs w:val="24"/>
        </w:rPr>
        <w:t>Общите приходи, генерирани от държавите членки, Обединеното кралство и държавите от ЕИП от търговете между 2012 г. и 30 юни 2020 г., надвишават 57 млрд. евро (вж. таблици 2.1 и 2.2 в допълнение 2). Само през 2019 г. генерираните общи приходи са над 14 млрд. евро, докато през първата половина на 2020 г. те достигат 7,9 млрд. евро.  Директивата за СТЕ на ЕС предвижда, че най-малко 50 % от приходите от тръжни продажби, включително всички приходи от квоти, разпределени за целите на солидарността и растежа, и всички приходи от квоти, отпуснати по отношение на въздухоплаването</w:t>
      </w:r>
      <w:r>
        <w:rPr>
          <w:rStyle w:val="FootnoteReference"/>
          <w:rFonts w:ascii="Times New Roman" w:hAnsi="Times New Roman"/>
          <w:noProof/>
          <w:sz w:val="24"/>
          <w:szCs w:val="24"/>
          <w:lang w:val="en-IE"/>
        </w:rPr>
        <w:footnoteReference w:id="42"/>
      </w:r>
      <w:r>
        <w:rPr>
          <w:rFonts w:ascii="Times New Roman" w:hAnsi="Times New Roman"/>
          <w:noProof/>
          <w:sz w:val="24"/>
          <w:szCs w:val="24"/>
        </w:rPr>
        <w:t xml:space="preserve">, следва да се използват от държавите членки за целите на климата и енергетиката. </w:t>
      </w:r>
    </w:p>
    <w:p>
      <w:pPr>
        <w:spacing w:after="160" w:line="259" w:lineRule="auto"/>
        <w:jc w:val="both"/>
        <w:rPr>
          <w:rFonts w:ascii="Times New Roman" w:hAnsi="Times New Roman"/>
          <w:noProof/>
        </w:rPr>
      </w:pPr>
      <w:r>
        <w:rPr>
          <w:rFonts w:ascii="Times New Roman" w:hAnsi="Times New Roman"/>
          <w:noProof/>
          <w:sz w:val="24"/>
          <w:szCs w:val="24"/>
        </w:rPr>
        <w:t>Съгласно информацията, предоставена на Комисията от държавите членки, през 2019 г. държавите членки са изразходвали или планирали да изразходват общо 77 % от тези приходи за конкретни цели, свързани с климата и енергетиката. През периода 2013—2019 г. около 78 % от приходите от тръжни продажби бяха изразходвани за такива цели. Докато малък дял от тази сума (около 1,9 милиарда, или 4 % от приходите общо за периода) са изразходвани за международни цели в областта на климата и енергетиката, по-голямата част от приходите от тръжна продажба във фаза 3 са изразходвани за постигането на цели в областта на климата и енергетиката в ЕС (най-вече за възобновяема енергия, енергийна ефективност и устойчив транспорт)</w:t>
      </w:r>
      <w:r>
        <w:rPr>
          <w:rStyle w:val="FootnoteReference"/>
          <w:rFonts w:ascii="Times New Roman" w:hAnsi="Times New Roman"/>
          <w:noProof/>
          <w:sz w:val="24"/>
          <w:szCs w:val="24"/>
          <w:lang w:val="en-IE"/>
        </w:rPr>
        <w:footnoteReference w:id="43"/>
      </w:r>
      <w:r>
        <w:rPr>
          <w:noProof/>
        </w:rPr>
        <w:t>.</w:t>
      </w:r>
    </w:p>
    <w:p>
      <w:pPr>
        <w:spacing w:after="160" w:line="259" w:lineRule="auto"/>
        <w:jc w:val="both"/>
        <w:rPr>
          <w:rFonts w:ascii="Times New Roman" w:hAnsi="Times New Roman"/>
          <w:noProof/>
          <w:sz w:val="24"/>
          <w:szCs w:val="24"/>
        </w:rPr>
      </w:pPr>
      <w:r>
        <w:rPr>
          <w:rFonts w:ascii="Times New Roman" w:hAnsi="Times New Roman"/>
          <w:noProof/>
          <w:sz w:val="24"/>
          <w:szCs w:val="24"/>
        </w:rPr>
        <w:t>През 2019 г. Регламентът за тръжната продажба на квоти за емисии беше изменен</w:t>
      </w:r>
      <w:r>
        <w:rPr>
          <w:rFonts w:ascii="Times New Roman" w:hAnsi="Times New Roman"/>
          <w:noProof/>
          <w:sz w:val="24"/>
          <w:szCs w:val="24"/>
          <w:vertAlign w:val="superscript"/>
          <w:lang w:val="en-IE"/>
        </w:rPr>
        <w:footnoteReference w:id="44"/>
      </w:r>
      <w:r>
        <w:rPr>
          <w:rFonts w:ascii="Times New Roman" w:hAnsi="Times New Roman"/>
          <w:noProof/>
          <w:sz w:val="24"/>
          <w:szCs w:val="24"/>
        </w:rPr>
        <w:t xml:space="preserve"> за установяване на рамката за тръжна продажба на квоти и управлението на проекти по Фонда за иновации и Модернизационния фонд във фаза 4. Изменението отразява също така класифицирането на квотите по СТЕ на ЕС като финансови инструменти съгласно Директива 2014/65/ЕС относно пазарите на финансови инструменти (ДПФИ II). </w:t>
      </w:r>
    </w:p>
    <w:p>
      <w:pPr>
        <w:spacing w:after="160" w:line="259" w:lineRule="auto"/>
        <w:jc w:val="both"/>
        <w:rPr>
          <w:rFonts w:ascii="Times New Roman" w:hAnsi="Times New Roman"/>
          <w:noProof/>
          <w:sz w:val="24"/>
          <w:szCs w:val="24"/>
        </w:rPr>
      </w:pPr>
      <w:r>
        <w:rPr>
          <w:rFonts w:ascii="Times New Roman" w:hAnsi="Times New Roman"/>
          <w:noProof/>
          <w:sz w:val="24"/>
          <w:szCs w:val="24"/>
        </w:rPr>
        <w:t>През май 2020 г. Комисията публикува покана</w:t>
      </w:r>
      <w:r>
        <w:rPr>
          <w:rStyle w:val="FootnoteReference"/>
          <w:rFonts w:ascii="Times New Roman" w:hAnsi="Times New Roman"/>
          <w:noProof/>
          <w:sz w:val="24"/>
          <w:szCs w:val="24"/>
          <w:lang w:val="en-IE"/>
        </w:rPr>
        <w:footnoteReference w:id="45"/>
      </w:r>
      <w:r>
        <w:rPr>
          <w:rFonts w:ascii="Times New Roman" w:hAnsi="Times New Roman"/>
          <w:noProof/>
          <w:sz w:val="24"/>
          <w:szCs w:val="24"/>
        </w:rPr>
        <w:t xml:space="preserve"> за участие в процедурата по възлагане на обществена поръчка за третата обща тръжна платформа на СТЕ на ЕС, която ще продава на търг квоти от името на 25 държави членки и трите държави от ЕИП-ЕАСТ, както и квотите за Фонда за иновации и Модернизационния фонд.</w:t>
      </w:r>
      <w:r>
        <w:rPr>
          <w:noProof/>
        </w:rPr>
        <w:t xml:space="preserve"> </w:t>
      </w:r>
      <w:r>
        <w:rPr>
          <w:rFonts w:ascii="Times New Roman" w:hAnsi="Times New Roman"/>
          <w:noProof/>
          <w:sz w:val="24"/>
          <w:szCs w:val="24"/>
        </w:rPr>
        <w:t>Търговете на третата обща тръжна платформа се очаква да започнат в началото на 2021 г.</w:t>
      </w:r>
    </w:p>
    <w:p>
      <w:pPr>
        <w:pStyle w:val="Heading4"/>
        <w:spacing w:before="0" w:after="200"/>
        <w:ind w:firstLine="720"/>
        <w:rPr>
          <w:noProof/>
        </w:rPr>
      </w:pPr>
      <w:bookmarkStart w:id="30" w:name="_Toc56071835"/>
      <w:r>
        <w:rPr>
          <w:noProof/>
        </w:rPr>
        <w:t>3.1.2.3. Дерогация от задължението за тръжна продажба на всички квоти за сектора за производство на електрическа и топлинна енергия</w:t>
      </w:r>
      <w:bookmarkEnd w:id="30"/>
    </w:p>
    <w:p>
      <w:pPr>
        <w:jc w:val="both"/>
        <w:rPr>
          <w:noProof/>
        </w:rPr>
      </w:pPr>
      <w:r>
        <w:rPr>
          <w:rFonts w:ascii="Times New Roman" w:hAnsi="Times New Roman"/>
          <w:noProof/>
          <w:sz w:val="24"/>
          <w:szCs w:val="24"/>
          <w:lang w:val="en-GB" w:eastAsia="en-GB"/>
        </w:rPr>
        <mc:AlternateContent>
          <mc:Choice Requires="wps">
            <w:drawing>
              <wp:inline distT="0" distB="0" distL="0" distR="0">
                <wp:extent cx="5720487" cy="4391025"/>
                <wp:effectExtent l="0" t="0" r="13970" b="28575"/>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487" cy="4391025"/>
                        </a:xfrm>
                        <a:prstGeom prst="rect">
                          <a:avLst/>
                        </a:prstGeom>
                        <a:solidFill>
                          <a:sysClr val="window" lastClr="FFFFFF">
                            <a:lumMod val="85000"/>
                          </a:sysClr>
                        </a:solidFill>
                        <a:ln w="12700">
                          <a:solidFill>
                            <a:srgbClr val="000000">
                              <a:alpha val="70000"/>
                            </a:srgbClr>
                          </a:solidFill>
                          <a:miter lim="800000"/>
                          <a:headEnd/>
                          <a:tailEnd/>
                        </a:ln>
                      </wps:spPr>
                      <wps:txbx>
                        <w:txbxContent>
                          <w:p>
                            <w:pPr>
                              <w:pStyle w:val="FootnoteText"/>
                              <w:jc w:val="both"/>
                            </w:pPr>
                            <w:r>
                              <w:t xml:space="preserve">В член 10в от Директивата за СТЕ на ЕС е предвидена дерогация от общото правило за тръжна продажба в подкрепа на инвестициите в модернизацията на електроенергийния сектор в някои държави членки на ЕС с нисък доход. През фаза 3 тази дерогация е използвана от осем от десетте държави членки*, отговарящи на съответните условия, като те предоставят известен брой безплатни квоти на производители на електроенергия в замяна на осъществяването на съответни инвестиции. </w:t>
                            </w:r>
                          </w:p>
                          <w:p>
                            <w:pPr>
                              <w:pStyle w:val="FootnoteText"/>
                              <w:jc w:val="both"/>
                            </w:pPr>
                            <w:r>
                              <w:t>Безплатните квоти по член 10в се изваждат от количеството квоти, които съответната държава членка иначе би предоставила за тръжна продажба. Общият принцип е, че производителите на електроенергия могат да получават безплатни квоти със стойност, еквивалентна на инвестициите, които правят съгласно своите национални инвестиционни планове, или със  стойност, еквивалентна на плащанията им в национален фонд, служещ за финансиране на такива инвестиции, на базата на националните разпоредби за прилагане на дерогацията. Тъй като безплатното разпределяне на квоти на производителите на електроенергия съгласно член 10в от Директивата за СТЕ по принцип би включвало държавна помощ, националните схеми за прилагане на дерогацията по член 10в са били разрешени съгласно правилата за държавна помощ и са предмет на изискванията на Насоките за държавни помощи. Разпределянето се извършва въз основа на годишно докладване до Комисията и разрешение от Комисията.**</w:t>
                            </w:r>
                          </w:p>
                          <w:p>
                            <w:pPr>
                              <w:pStyle w:val="FootnoteText"/>
                              <w:jc w:val="both"/>
                            </w:pPr>
                            <w:r>
                              <w:t>Преходното безплатно разпределяне на квоти съгласно член 10в ще продължи да е налице и през фаза 4, но с по-строги разпоредби за прозрачност и възможност за отговарящите на условията държави членки да използват всички или част от своите квоти по член 10в за подпомагане на инвестициите в рамките на Модернизационния фонд (вж. глава 3.1.2.6). Въз основа на информацията, предоставена на Комисията от държавите членки, използването на член 10в ще бъде ограничено през следващата фаза, като само България, Румъния и Унгария избират да приложат дерогацията.  Другите отговарящи на изискванията държави членки****, включително Полша и Чехия, които имаха най-големите обеми на преходно безплатно разпределение във фаза 3, взеха решение повече да не използват дерогацията.</w:t>
                            </w:r>
                          </w:p>
                          <w:p>
                            <w:pPr>
                              <w:pStyle w:val="FootnoteText"/>
                              <w:jc w:val="both"/>
                            </w:pPr>
                          </w:p>
                          <w:p>
                            <w:pPr>
                              <w:spacing w:after="120"/>
                              <w:jc w:val="both"/>
                              <w:rPr>
                                <w:rFonts w:ascii="Times New Roman" w:hAnsi="Times New Roman"/>
                                <w:sz w:val="18"/>
                                <w:szCs w:val="18"/>
                              </w:rPr>
                            </w:pPr>
                            <w:r>
                              <w:rPr>
                                <w:rFonts w:ascii="Times New Roman" w:hAnsi="Times New Roman"/>
                                <w:sz w:val="18"/>
                                <w:szCs w:val="18"/>
                              </w:rPr>
                              <w:t>* Във фаза 3 България, Кипър, Чехия, Естония, Унгария, Латвия, Литва, Малта, Полша и Румъния имаха право на дерогация. Малта и Латвия са взели решение да не ползват тази дерогация.</w:t>
                            </w:r>
                          </w:p>
                          <w:p>
                            <w:pPr>
                              <w:spacing w:after="120"/>
                              <w:jc w:val="both"/>
                              <w:rPr>
                                <w:rFonts w:ascii="Times New Roman" w:hAnsi="Times New Roman"/>
                                <w:sz w:val="18"/>
                                <w:szCs w:val="18"/>
                              </w:rPr>
                            </w:pPr>
                            <w:r>
                              <w:rPr>
                                <w:rFonts w:ascii="Times New Roman" w:hAnsi="Times New Roman"/>
                                <w:sz w:val="18"/>
                                <w:szCs w:val="18"/>
                              </w:rPr>
                              <w:t>** Насоки относно определени мерки за държавна помощ в контекста на схемата за търговия с квоти за емисии на парников газ след 2012 г., ОВ C 158, 5.6.2012 г., стр. 4.</w:t>
                            </w:r>
                          </w:p>
                          <w:p>
                            <w:pPr>
                              <w:spacing w:after="120"/>
                              <w:jc w:val="both"/>
                              <w:rPr>
                                <w:rFonts w:ascii="Times New Roman" w:hAnsi="Times New Roman"/>
                                <w:sz w:val="18"/>
                                <w:szCs w:val="18"/>
                              </w:rPr>
                            </w:pPr>
                            <w:r>
                              <w:rPr>
                                <w:rFonts w:ascii="Times New Roman" w:hAnsi="Times New Roman"/>
                                <w:sz w:val="18"/>
                                <w:szCs w:val="18"/>
                              </w:rPr>
                              <w:t>*** Във фаза 4 България, Хърватия, Чехия, Естония, Унгария, Латвия, Литва, Полша, Словакия и Румъния имат право на дерогация.</w:t>
                            </w:r>
                          </w:p>
                        </w:txbxContent>
                      </wps:txbx>
                      <wps:bodyPr rot="0" vert="horz" wrap="square" lIns="91440" tIns="45720" rIns="91440" bIns="45720" anchor="t" anchorCtr="0">
                        <a:noAutofit/>
                      </wps:bodyPr>
                    </wps:wsp>
                  </a:graphicData>
                </a:graphic>
              </wp:inline>
            </w:drawing>
          </mc:Choice>
          <mc:Fallback>
            <w:pict>
              <v:shape id="_x0000_s1031" type="#_x0000_t202" style="width:450.45pt;height:3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" fillcolor="#d9d9d9" strokeweight="1pt">
                <v:stroke opacity="46003f"/>
                <v:textbox>
                  <w:txbxContent>
                    <w:p>
                      <w:pPr>
                        <w:pStyle w:val="FootnoteText"/>
                        <w:jc w:val="both"/>
                      </w:pPr>
                      <w:r>
                        <w:t xml:space="preserve">В член 10в от Директивата за СТЕ на ЕС е предвидена дерогация от общото правило за тръжна продажба в подкрепа на инвестициите в модернизацията на електроенергийния сектор в някои държави членки на ЕС с нисък доход. През фаза 3 тази дерогация е използвана от осем от десетте държави членки*, отговарящи на съответните условия, като те предоставят известен брой безплатни квоти на производители на електроенергия в замяна на осъществяването на съответни инвестиции. </w:t>
                      </w:r>
                    </w:p>
                    <w:p>
                      <w:pPr>
                        <w:pStyle w:val="FootnoteText"/>
                        <w:jc w:val="both"/>
                      </w:pPr>
                      <w:r>
                        <w:t>Безплатните квоти по член 10в се изваждат от количеството квоти, които съответната държава членка иначе би предоставила за тръжна продажба. Общият принцип е, че производителите на електроенергия могат да получават безплатни квоти със стойност, еквивалентна на инвестициите, които правят съгласно своите национални инвестиционни планове, или със  стойност, еквивалентна на плащанията им в национален фонд, служещ за финансиране на такива инвестиции, на базата на националните разпоредби за прилагане на дерогацията. Тъй като безплатното разпределяне на квоти на производителите на електроенергия съгласно член 10в от Директивата за СТЕ по принцип би включвало държавна помощ, националните схеми за прилагане на дерогацията по член 10в са били разрешени съгласно правилата за държавна помощ и са предмет на изискванията на Насоките за държавни помощи. Разпределянето се извършва въз основа на годишно докладване до Комисията и разрешение от Комисията.**</w:t>
                      </w:r>
                    </w:p>
                    <w:p>
                      <w:pPr>
                        <w:pStyle w:val="FootnoteText"/>
                        <w:jc w:val="both"/>
                      </w:pPr>
                      <w:r>
                        <w:t>Преходното безплатно разпределяне на квоти съгласно член 10в ще продължи да е налице и през фаза 4, но с по-строги разпоредби за прозрачност и възможност за отговарящите на условията държави членки да използват всички или част от своите квоти по член 10в за подпомагане на инвестициите в рамките на Модернизационния фонд (вж. глава 3.1.2.6). Въз основа на информацията, предоставена на Комисията от държавите членки, използването на член 10в ще бъде ограничено през следващата фаза, като само България, Румъния и Унгария избират да приложат дерогацията.  Другите отговарящи на изискванията държави членки****, включително Полша и Чехия, които имаха най-големите обеми на преходно безплатно разпределение във фаза 3, взеха решение повече да не използват дерогацията.</w:t>
                      </w:r>
                    </w:p>
                    <w:p>
                      <w:pPr>
                        <w:pStyle w:val="FootnoteText"/>
                        <w:jc w:val="both"/>
                      </w:pPr>
                    </w:p>
                    <w:p>
                      <w:pPr>
                        <w:spacing w:after="120"/>
                        <w:jc w:val="both"/>
                        <w:rPr>
                          <w:rFonts w:ascii="Times New Roman" w:hAnsi="Times New Roman"/>
                          <w:sz w:val="18"/>
                          <w:szCs w:val="18"/>
                        </w:rPr>
                      </w:pPr>
                      <w:r>
                        <w:rPr>
                          <w:rFonts w:ascii="Times New Roman" w:hAnsi="Times New Roman"/>
                          <w:sz w:val="18"/>
                          <w:szCs w:val="18"/>
                        </w:rPr>
                        <w:t>* Във фаза 3 България, Кипър, Чехия, Естония, Унгария, Латвия, Литва, Малта, Полша и Румъния имаха право на дерогация. Малта и Латвия са взели решение да не ползват тази дерогация.</w:t>
                      </w:r>
                    </w:p>
                    <w:p>
                      <w:pPr>
                        <w:spacing w:after="120"/>
                        <w:jc w:val="both"/>
                        <w:rPr>
                          <w:rFonts w:ascii="Times New Roman" w:hAnsi="Times New Roman"/>
                          <w:sz w:val="18"/>
                          <w:szCs w:val="18"/>
                        </w:rPr>
                      </w:pPr>
                      <w:r>
                        <w:rPr>
                          <w:rFonts w:ascii="Times New Roman" w:hAnsi="Times New Roman"/>
                          <w:sz w:val="18"/>
                          <w:szCs w:val="18"/>
                        </w:rPr>
                        <w:t>** Насоки относно определени мерки за държавна помощ в контекста на схемата за търговия с квоти за емисии на парников газ след 2012 г., ОВ C 158, 5.6.2012 г., стр. 4.</w:t>
                      </w:r>
                    </w:p>
                    <w:p>
                      <w:pPr>
                        <w:spacing w:after="120"/>
                        <w:jc w:val="both"/>
                        <w:rPr>
                          <w:rFonts w:ascii="Times New Roman" w:hAnsi="Times New Roman"/>
                          <w:sz w:val="18"/>
                          <w:szCs w:val="18"/>
                        </w:rPr>
                      </w:pPr>
                      <w:r>
                        <w:rPr>
                          <w:rFonts w:ascii="Times New Roman" w:hAnsi="Times New Roman"/>
                          <w:sz w:val="18"/>
                          <w:szCs w:val="18"/>
                        </w:rPr>
                        <w:t>*** Във фаза 4 България, Хърватия, Чехия, Естония, Унгария, Латвия, Литва, Полша, Словакия и Румъния имат право на дерогация.</w:t>
                      </w:r>
                    </w:p>
                  </w:txbxContent>
                </v:textbox>
                <w10:anchorlock/>
              </v:shape>
            </w:pict>
          </mc:Fallback>
        </mc:AlternateContent>
      </w:r>
    </w:p>
    <w:p>
      <w:pPr>
        <w:spacing w:after="160" w:line="259" w:lineRule="auto"/>
        <w:contextualSpacing/>
        <w:jc w:val="both"/>
        <w:rPr>
          <w:rFonts w:ascii="Times New Roman" w:hAnsi="Times New Roman"/>
          <w:noProof/>
          <w:sz w:val="24"/>
          <w:szCs w:val="24"/>
        </w:rPr>
      </w:pPr>
      <w:r>
        <w:rPr>
          <w:rFonts w:ascii="Times New Roman" w:hAnsi="Times New Roman"/>
          <w:noProof/>
          <w:sz w:val="24"/>
          <w:szCs w:val="24"/>
        </w:rPr>
        <w:t xml:space="preserve">Общата стойност на отчетената за периода 2009—2019 г. инвестиционна подкрепа възлиза приблизително на 13,1 милиарда евро. Около 83 % от тази сума е предназначена за подобряване и реконструиране на инфраструктурата, докато останалите инвестиции са в диверсифициране на енергийния микс и в чисти технологии. </w:t>
      </w:r>
    </w:p>
    <w:p>
      <w:pPr>
        <w:spacing w:after="160" w:line="259" w:lineRule="auto"/>
        <w:contextualSpacing/>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Броят на квотите, предоставени безплатно на производители на електроенергия през 2019 г., е посочен в таблица 1.1, допълнение 1 към приложението, докато максималният брой квоти по години е посочен в таблица 1.2 от допълнение 1.</w:t>
      </w:r>
    </w:p>
    <w:p>
      <w:pPr>
        <w:jc w:val="both"/>
        <w:rPr>
          <w:rFonts w:ascii="Times New Roman" w:hAnsi="Times New Roman"/>
          <w:noProof/>
          <w:sz w:val="24"/>
          <w:szCs w:val="24"/>
        </w:rPr>
      </w:pPr>
      <w:r>
        <w:rPr>
          <w:rFonts w:ascii="Times New Roman" w:hAnsi="Times New Roman"/>
          <w:noProof/>
          <w:sz w:val="24"/>
          <w:szCs w:val="24"/>
        </w:rPr>
        <w:t xml:space="preserve">Квотите, останали неразпределени от фаза 3, могат или да бъдат продавани на търг, или, съгласно разпоредбите на Директивата за СТЕ на ЕС, могат да бъдат разпределени в периода 2021—2030 г. за инвестиции по член 10в, избрани чрез състезателна тръжна процедура или прехвърлени в Модернизационния фонд. Унгария избра да прехвърли своите неразпределени квоти по член 10в от фаза 3 към обема си по член 10в във фаза 4, но повечето други държави членки решиха да продадат на търг останалите си квоти. Румъния използва и двата варианта, като прехвърли част от неразпределените си квоти към фаза 4, а другата част от тях прехвърли за тръжна продажба. </w:t>
      </w:r>
    </w:p>
    <w:p>
      <w:pPr>
        <w:jc w:val="both"/>
        <w:rPr>
          <w:rFonts w:ascii="Times New Roman" w:hAnsi="Times New Roman"/>
          <w:noProof/>
          <w:sz w:val="24"/>
          <w:szCs w:val="24"/>
        </w:rPr>
      </w:pPr>
      <w:r>
        <w:rPr>
          <w:rFonts w:ascii="Times New Roman" w:hAnsi="Times New Roman"/>
          <w:noProof/>
          <w:sz w:val="24"/>
          <w:szCs w:val="24"/>
        </w:rPr>
        <w:t>Фигура 3 показва броя квоти по член 10в, разпределени за периода 2013—2019 г. за държава членка.</w:t>
      </w:r>
    </w:p>
    <w:p>
      <w:pPr>
        <w:jc w:val="both"/>
        <w:rPr>
          <w:rFonts w:ascii="Times New Roman" w:hAnsi="Times New Roman"/>
          <w:b/>
          <w:noProof/>
        </w:rPr>
      </w:pPr>
      <w:r>
        <w:rPr>
          <w:rFonts w:ascii="Times New Roman" w:hAnsi="Times New Roman"/>
          <w:b/>
          <w:noProof/>
        </w:rPr>
        <w:t xml:space="preserve"> Фигура 3: Брой квоти, разпределени безплатно съгласно член 10в</w:t>
      </w:r>
      <w:r>
        <w:rPr>
          <w:rStyle w:val="FootnoteReference"/>
          <w:rFonts w:ascii="Times New Roman" w:hAnsi="Times New Roman"/>
          <w:b/>
          <w:noProof/>
        </w:rPr>
        <w:footnoteReference w:id="46"/>
      </w:r>
    </w:p>
    <w:p>
      <w:pPr>
        <w:jc w:val="both"/>
        <w:rPr>
          <w:rFonts w:ascii="Times New Roman" w:hAnsi="Times New Roman"/>
          <w:b/>
          <w:noProof/>
        </w:rPr>
      </w:pPr>
      <w:r>
        <w:rPr>
          <w:noProof/>
          <w:lang w:val="en-GB" w:eastAsia="en-GB"/>
        </w:rPr>
        <w:drawing>
          <wp:inline distT="0" distB="0" distL="0" distR="0">
            <wp:extent cx="5731510" cy="3093720"/>
            <wp:effectExtent l="0" t="0" r="2540" b="11430"/>
            <wp:docPr id="11" name="Chart 1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jc w:val="both"/>
        <w:rPr>
          <w:rFonts w:ascii="Times New Roman" w:hAnsi="Times New Roman"/>
          <w:noProof/>
          <w:sz w:val="18"/>
          <w:szCs w:val="18"/>
        </w:rPr>
      </w:pPr>
      <w:r>
        <w:rPr>
          <w:rFonts w:ascii="Times New Roman" w:hAnsi="Times New Roman"/>
          <w:noProof/>
          <w:sz w:val="18"/>
          <w:szCs w:val="18"/>
        </w:rPr>
        <w:t>Източник: ГД „Действия по климата“</w:t>
      </w:r>
    </w:p>
    <w:p>
      <w:pPr>
        <w:jc w:val="both"/>
        <w:rPr>
          <w:rFonts w:ascii="Times New Roman" w:hAnsi="Times New Roman"/>
          <w:b/>
          <w:noProof/>
        </w:rPr>
      </w:pPr>
      <w:r>
        <w:rPr>
          <w:rFonts w:ascii="Times New Roman" w:hAnsi="Times New Roman"/>
          <w:noProof/>
          <w:sz w:val="24"/>
          <w:szCs w:val="24"/>
        </w:rPr>
        <w:t xml:space="preserve">Фигура 4 показва степента, до която са били разпределени, добавени за тръжна продажба или остават неизползвани квотите по член 10в за всяка година на разпределение от фаза 3. </w:t>
      </w:r>
    </w:p>
    <w:p>
      <w:pPr>
        <w:jc w:val="both"/>
        <w:rPr>
          <w:rFonts w:ascii="Times New Roman" w:hAnsi="Times New Roman"/>
          <w:b/>
          <w:noProof/>
        </w:rPr>
      </w:pPr>
    </w:p>
    <w:p>
      <w:pPr>
        <w:jc w:val="both"/>
        <w:rPr>
          <w:rFonts w:ascii="Times New Roman" w:hAnsi="Times New Roman"/>
          <w:b/>
          <w:noProof/>
        </w:rPr>
      </w:pPr>
    </w:p>
    <w:p>
      <w:pPr>
        <w:jc w:val="both"/>
        <w:rPr>
          <w:rFonts w:ascii="Times New Roman" w:hAnsi="Times New Roman"/>
          <w:b/>
          <w:noProof/>
        </w:rPr>
      </w:pPr>
    </w:p>
    <w:p>
      <w:pPr>
        <w:jc w:val="both"/>
        <w:rPr>
          <w:rFonts w:ascii="Times New Roman" w:hAnsi="Times New Roman"/>
          <w:b/>
          <w:noProof/>
        </w:rPr>
      </w:pPr>
    </w:p>
    <w:p>
      <w:pPr>
        <w:jc w:val="both"/>
        <w:rPr>
          <w:rFonts w:ascii="Times New Roman" w:hAnsi="Times New Roman"/>
          <w:b/>
          <w:noProof/>
        </w:rPr>
      </w:pPr>
    </w:p>
    <w:p>
      <w:pPr>
        <w:jc w:val="both"/>
        <w:rPr>
          <w:rFonts w:ascii="Times New Roman" w:hAnsi="Times New Roman"/>
          <w:b/>
          <w:noProof/>
        </w:rPr>
      </w:pPr>
    </w:p>
    <w:p>
      <w:pPr>
        <w:jc w:val="both"/>
        <w:rPr>
          <w:rFonts w:ascii="Times New Roman" w:hAnsi="Times New Roman"/>
          <w:b/>
          <w:noProof/>
        </w:rPr>
      </w:pPr>
    </w:p>
    <w:p>
      <w:pPr>
        <w:jc w:val="both"/>
        <w:rPr>
          <w:rFonts w:ascii="Times New Roman" w:hAnsi="Times New Roman"/>
          <w:b/>
          <w:noProof/>
        </w:rPr>
      </w:pPr>
    </w:p>
    <w:p>
      <w:pPr>
        <w:jc w:val="both"/>
        <w:rPr>
          <w:rFonts w:ascii="Times New Roman" w:hAnsi="Times New Roman"/>
          <w:b/>
          <w:noProof/>
        </w:rPr>
      </w:pPr>
    </w:p>
    <w:p>
      <w:pPr>
        <w:jc w:val="both"/>
        <w:rPr>
          <w:rFonts w:ascii="Times New Roman" w:hAnsi="Times New Roman"/>
          <w:b/>
          <w:noProof/>
        </w:rPr>
      </w:pPr>
      <w:r>
        <w:rPr>
          <w:rFonts w:ascii="Times New Roman" w:hAnsi="Times New Roman"/>
          <w:b/>
          <w:noProof/>
        </w:rPr>
        <w:t>Фигура 4: Разпределение на квотите (разпределени, продадени на търг, останали неизползвани)</w:t>
      </w:r>
      <w:r>
        <w:rPr>
          <w:rStyle w:val="FootnoteReference"/>
          <w:rFonts w:ascii="Times New Roman" w:hAnsi="Times New Roman"/>
          <w:b/>
          <w:noProof/>
        </w:rPr>
        <w:footnoteReference w:id="47"/>
      </w:r>
    </w:p>
    <w:p>
      <w:pPr>
        <w:jc w:val="both"/>
        <w:rPr>
          <w:rFonts w:ascii="Times New Roman" w:hAnsi="Times New Roman"/>
          <w:noProof/>
          <w:sz w:val="24"/>
          <w:szCs w:val="24"/>
        </w:rPr>
      </w:pPr>
      <w:r>
        <w:rPr>
          <w:noProof/>
          <w:lang w:val="en-GB" w:eastAsia="en-GB"/>
        </w:rPr>
        <w:drawing>
          <wp:inline distT="0" distB="0" distL="0" distR="0">
            <wp:extent cx="5731510" cy="3025114"/>
            <wp:effectExtent l="0" t="0" r="254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3025114"/>
                    </a:xfrm>
                    <a:prstGeom prst="rect">
                      <a:avLst/>
                    </a:prstGeom>
                    <a:noFill/>
                    <a:ln>
                      <a:noFill/>
                    </a:ln>
                  </pic:spPr>
                </pic:pic>
              </a:graphicData>
            </a:graphic>
          </wp:inline>
        </w:drawing>
      </w:r>
    </w:p>
    <w:p>
      <w:pPr>
        <w:jc w:val="both"/>
        <w:rPr>
          <w:rFonts w:ascii="Times New Roman" w:hAnsi="Times New Roman"/>
          <w:noProof/>
          <w:sz w:val="24"/>
          <w:szCs w:val="24"/>
        </w:rPr>
      </w:pPr>
      <w:r>
        <w:rPr>
          <w:rFonts w:ascii="Times New Roman" w:hAnsi="Times New Roman"/>
          <w:noProof/>
          <w:sz w:val="18"/>
          <w:szCs w:val="18"/>
        </w:rPr>
        <w:t>Източник: ГД „Действия по климата“</w:t>
      </w:r>
    </w:p>
    <w:p>
      <w:pPr>
        <w:jc w:val="both"/>
        <w:rPr>
          <w:rFonts w:ascii="Times New Roman" w:hAnsi="Times New Roman"/>
          <w:noProof/>
          <w:sz w:val="24"/>
          <w:szCs w:val="24"/>
        </w:rPr>
      </w:pPr>
      <w:r>
        <w:rPr>
          <w:rFonts w:ascii="Times New Roman" w:hAnsi="Times New Roman"/>
          <w:noProof/>
          <w:sz w:val="24"/>
          <w:szCs w:val="24"/>
        </w:rPr>
        <w:t>Таблица 4 показва броя на неизползваните квоти по член 10в, които са били продадени на търг в периода 2013—2020 г., както и броя на оставащите неизползвани квоти след година на разпределение 2019 г., които или ще бъдат продадени на търг през 2021 г., прехвърлени за разпределение по член 10в във фаза 4, или</w:t>
      </w:r>
      <w:r>
        <w:rPr>
          <w:noProof/>
        </w:rPr>
        <w:t xml:space="preserve"> </w:t>
      </w:r>
      <w:r>
        <w:rPr>
          <w:rFonts w:ascii="Times New Roman" w:hAnsi="Times New Roman"/>
          <w:noProof/>
          <w:sz w:val="24"/>
          <w:szCs w:val="24"/>
        </w:rPr>
        <w:t>прехвърлени към Модернизационния фонд.</w:t>
      </w:r>
    </w:p>
    <w:p>
      <w:pPr>
        <w:keepNext/>
        <w:rPr>
          <w:rFonts w:ascii="Times New Roman" w:hAnsi="Times New Roman"/>
          <w:b/>
          <w:bCs/>
          <w:noProof/>
        </w:rPr>
      </w:pPr>
      <w:r>
        <w:rPr>
          <w:rFonts w:ascii="Times New Roman" w:hAnsi="Times New Roman"/>
          <w:b/>
          <w:bCs/>
          <w:noProof/>
        </w:rPr>
        <w:t>Таблица 4: Третиране на неизползваните квоти по член 10в от годините на разпределяне 2013—2019 г.</w:t>
      </w:r>
      <w:r>
        <w:rPr>
          <w:rStyle w:val="FootnoteReference"/>
          <w:rFonts w:ascii="Times New Roman" w:hAnsi="Times New Roman"/>
          <w:b/>
          <w:bCs/>
          <w:noProof/>
        </w:rPr>
        <w:footnoteReference w:id="48"/>
      </w:r>
    </w:p>
    <w:tbl>
      <w:tblPr>
        <w:tblW w:w="885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1805"/>
        <w:gridCol w:w="3561"/>
        <w:gridCol w:w="3488"/>
      </w:tblGrid>
      <w:tr>
        <w:trPr>
          <w:trHeight w:val="298"/>
          <w:jc w:val="center"/>
        </w:trPr>
        <w:tc>
          <w:tcPr>
            <w:tcW w:w="1805"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Държава членка</w:t>
            </w:r>
          </w:p>
        </w:tc>
        <w:tc>
          <w:tcPr>
            <w:tcW w:w="3561"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Брой квоти по член 10в, които са били продадени на търг (в милиони)</w:t>
            </w:r>
          </w:p>
        </w:tc>
        <w:tc>
          <w:tcPr>
            <w:tcW w:w="3488"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Брой квоти по член 10в, останали неизползвани (в милиони)</w:t>
            </w:r>
          </w:p>
        </w:tc>
      </w:tr>
      <w:tr>
        <w:trPr>
          <w:trHeight w:val="298"/>
          <w:jc w:val="center"/>
        </w:trPr>
        <w:tc>
          <w:tcPr>
            <w:tcW w:w="1805"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България</w:t>
            </w:r>
          </w:p>
        </w:tc>
        <w:tc>
          <w:tcPr>
            <w:tcW w:w="3561"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9,8</w:t>
            </w:r>
          </w:p>
        </w:tc>
        <w:tc>
          <w:tcPr>
            <w:tcW w:w="3488"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0,5</w:t>
            </w:r>
          </w:p>
        </w:tc>
      </w:tr>
      <w:tr>
        <w:trPr>
          <w:trHeight w:val="298"/>
          <w:jc w:val="center"/>
        </w:trPr>
        <w:tc>
          <w:tcPr>
            <w:tcW w:w="1805"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Кипър</w:t>
            </w:r>
          </w:p>
        </w:tc>
        <w:tc>
          <w:tcPr>
            <w:tcW w:w="3561"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0,0</w:t>
            </w:r>
          </w:p>
        </w:tc>
        <w:tc>
          <w:tcPr>
            <w:tcW w:w="3488"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0,0</w:t>
            </w:r>
          </w:p>
        </w:tc>
      </w:tr>
      <w:tr>
        <w:trPr>
          <w:trHeight w:val="298"/>
          <w:jc w:val="center"/>
        </w:trPr>
        <w:tc>
          <w:tcPr>
            <w:tcW w:w="1805"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Чехия</w:t>
            </w:r>
          </w:p>
        </w:tc>
        <w:tc>
          <w:tcPr>
            <w:tcW w:w="3561"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0,4</w:t>
            </w:r>
          </w:p>
        </w:tc>
        <w:tc>
          <w:tcPr>
            <w:tcW w:w="3488"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0,0</w:t>
            </w:r>
          </w:p>
        </w:tc>
      </w:tr>
      <w:tr>
        <w:trPr>
          <w:trHeight w:val="298"/>
          <w:jc w:val="center"/>
        </w:trPr>
        <w:tc>
          <w:tcPr>
            <w:tcW w:w="1805"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Естония</w:t>
            </w:r>
          </w:p>
        </w:tc>
        <w:tc>
          <w:tcPr>
            <w:tcW w:w="3561"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2,9</w:t>
            </w:r>
          </w:p>
        </w:tc>
        <w:tc>
          <w:tcPr>
            <w:tcW w:w="3488"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0,0</w:t>
            </w:r>
          </w:p>
        </w:tc>
      </w:tr>
      <w:tr>
        <w:trPr>
          <w:trHeight w:val="298"/>
          <w:jc w:val="center"/>
        </w:trPr>
        <w:tc>
          <w:tcPr>
            <w:tcW w:w="1805"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Литва</w:t>
            </w:r>
          </w:p>
        </w:tc>
        <w:tc>
          <w:tcPr>
            <w:tcW w:w="3561"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1,2</w:t>
            </w:r>
          </w:p>
        </w:tc>
        <w:tc>
          <w:tcPr>
            <w:tcW w:w="3488"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0,1</w:t>
            </w:r>
          </w:p>
        </w:tc>
      </w:tr>
      <w:tr>
        <w:trPr>
          <w:trHeight w:val="298"/>
          <w:jc w:val="center"/>
        </w:trPr>
        <w:tc>
          <w:tcPr>
            <w:tcW w:w="1805"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Полша</w:t>
            </w:r>
          </w:p>
        </w:tc>
        <w:tc>
          <w:tcPr>
            <w:tcW w:w="3561"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105,3</w:t>
            </w:r>
          </w:p>
        </w:tc>
        <w:tc>
          <w:tcPr>
            <w:tcW w:w="3488"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34,7</w:t>
            </w:r>
          </w:p>
        </w:tc>
      </w:tr>
      <w:tr>
        <w:trPr>
          <w:trHeight w:val="298"/>
          <w:jc w:val="center"/>
        </w:trPr>
        <w:tc>
          <w:tcPr>
            <w:tcW w:w="1805"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Румъния</w:t>
            </w:r>
          </w:p>
        </w:tc>
        <w:tc>
          <w:tcPr>
            <w:tcW w:w="3561"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15,4</w:t>
            </w:r>
          </w:p>
        </w:tc>
        <w:tc>
          <w:tcPr>
            <w:tcW w:w="3488"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3,6</w:t>
            </w:r>
          </w:p>
        </w:tc>
      </w:tr>
      <w:tr>
        <w:trPr>
          <w:trHeight w:val="298"/>
          <w:jc w:val="center"/>
        </w:trPr>
        <w:tc>
          <w:tcPr>
            <w:tcW w:w="1805"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Унгария</w:t>
            </w:r>
          </w:p>
        </w:tc>
        <w:tc>
          <w:tcPr>
            <w:tcW w:w="3561"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0</w:t>
            </w:r>
          </w:p>
        </w:tc>
        <w:tc>
          <w:tcPr>
            <w:tcW w:w="3488"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0,9</w:t>
            </w:r>
          </w:p>
        </w:tc>
      </w:tr>
      <w:tr>
        <w:trPr>
          <w:trHeight w:val="298"/>
          <w:jc w:val="center"/>
        </w:trPr>
        <w:tc>
          <w:tcPr>
            <w:tcW w:w="1805"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Общо</w:t>
            </w:r>
          </w:p>
        </w:tc>
        <w:tc>
          <w:tcPr>
            <w:tcW w:w="3561"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135,0</w:t>
            </w:r>
          </w:p>
        </w:tc>
        <w:tc>
          <w:tcPr>
            <w:tcW w:w="3488" w:type="dxa"/>
            <w:tcBorders>
              <w:top w:val="double" w:sz="4" w:space="0" w:color="auto"/>
              <w:left w:val="double" w:sz="4" w:space="0" w:color="auto"/>
              <w:bottom w:val="double" w:sz="4" w:space="0" w:color="auto"/>
              <w:right w:val="double" w:sz="4" w:space="0" w:color="auto"/>
            </w:tcBorders>
            <w:shd w:val="clear" w:color="auto" w:fill="auto"/>
            <w:noWrap/>
            <w:tcMar>
              <w:top w:w="0" w:type="dxa"/>
              <w:left w:w="108" w:type="dxa"/>
              <w:bottom w:w="0" w:type="dxa"/>
              <w:right w:w="108" w:type="dxa"/>
            </w:tcMar>
            <w:vAlign w:val="bottom"/>
            <w:hideMark/>
          </w:tcPr>
          <w:p>
            <w:pPr>
              <w:spacing w:after="0" w:line="240" w:lineRule="auto"/>
              <w:jc w:val="center"/>
              <w:rPr>
                <w:rFonts w:ascii="Times New Roman" w:hAnsi="Times New Roman"/>
                <w:b/>
                <w:bCs/>
                <w:noProof/>
                <w:color w:val="000000"/>
                <w:sz w:val="20"/>
                <w:szCs w:val="20"/>
              </w:rPr>
            </w:pPr>
            <w:r>
              <w:rPr>
                <w:rFonts w:ascii="Times New Roman" w:hAnsi="Times New Roman"/>
                <w:b/>
                <w:bCs/>
                <w:noProof/>
                <w:color w:val="000000"/>
                <w:sz w:val="20"/>
                <w:szCs w:val="20"/>
              </w:rPr>
              <w:t>39,7</w:t>
            </w:r>
          </w:p>
        </w:tc>
      </w:tr>
    </w:tbl>
    <w:p>
      <w:pPr>
        <w:spacing w:after="0"/>
        <w:jc w:val="both"/>
        <w:rPr>
          <w:rFonts w:ascii="Times New Roman" w:hAnsi="Times New Roman"/>
          <w:noProof/>
          <w:sz w:val="18"/>
          <w:szCs w:val="18"/>
        </w:rPr>
      </w:pPr>
      <w:r>
        <w:rPr>
          <w:rFonts w:ascii="Times New Roman" w:hAnsi="Times New Roman"/>
          <w:noProof/>
          <w:sz w:val="18"/>
          <w:szCs w:val="18"/>
        </w:rPr>
        <w:t xml:space="preserve"> </w:t>
      </w:r>
    </w:p>
    <w:p>
      <w:pPr>
        <w:spacing w:after="0"/>
        <w:jc w:val="both"/>
        <w:rPr>
          <w:rFonts w:ascii="Times New Roman" w:hAnsi="Times New Roman"/>
          <w:noProof/>
          <w:sz w:val="18"/>
          <w:szCs w:val="18"/>
        </w:rPr>
      </w:pPr>
      <w:r>
        <w:rPr>
          <w:rFonts w:ascii="Times New Roman" w:hAnsi="Times New Roman"/>
          <w:noProof/>
          <w:sz w:val="18"/>
          <w:szCs w:val="18"/>
        </w:rPr>
        <w:t>Източник: ГД „Действия по климата“</w:t>
      </w:r>
    </w:p>
    <w:p>
      <w:pPr>
        <w:spacing w:after="0" w:line="240" w:lineRule="auto"/>
        <w:jc w:val="both"/>
        <w:rPr>
          <w:rFonts w:ascii="Times New Roman" w:hAnsi="Times New Roman"/>
          <w:noProof/>
          <w:sz w:val="24"/>
          <w:szCs w:val="24"/>
        </w:rPr>
      </w:pPr>
    </w:p>
    <w:p>
      <w:pPr>
        <w:jc w:val="both"/>
        <w:rPr>
          <w:noProof/>
        </w:rPr>
      </w:pPr>
      <w:r>
        <w:rPr>
          <w:rFonts w:ascii="Times New Roman" w:hAnsi="Times New Roman"/>
          <w:noProof/>
          <w:sz w:val="24"/>
          <w:szCs w:val="24"/>
        </w:rPr>
        <w:t>Броят на неразпределените квоти, които са били продадени на търг (или планирани за продажба на търг) от държавите членки съгласно дерогацията по член 10в за периода 2013—2021 г., е посочен в таблица 1.3 в допълнение 1 към приложението.</w:t>
      </w:r>
    </w:p>
    <w:p>
      <w:pPr>
        <w:pStyle w:val="Heading4"/>
        <w:spacing w:before="0" w:after="200"/>
        <w:ind w:firstLine="720"/>
        <w:rPr>
          <w:noProof/>
        </w:rPr>
      </w:pPr>
      <w:bookmarkStart w:id="31" w:name="_Toc490850427"/>
      <w:bookmarkStart w:id="32" w:name="_Toc56071836"/>
      <w:r>
        <w:rPr>
          <w:noProof/>
        </w:rPr>
        <w:t>3.1.2.4. Програма NER 300</w:t>
      </w:r>
      <w:bookmarkEnd w:id="31"/>
      <w:bookmarkEnd w:id="32"/>
      <w:r>
        <w:rPr>
          <w:noProof/>
        </w:rPr>
        <w:t xml:space="preserve"> </w:t>
      </w:r>
    </w:p>
    <w:p>
      <w:pPr>
        <w:pStyle w:val="a3520normalp11"/>
        <w:spacing w:line="276" w:lineRule="auto"/>
        <w:rPr>
          <w:noProof/>
        </w:rPr>
      </w:pPr>
      <w:r>
        <w:rPr>
          <w:noProof/>
          <w:lang w:val="en-GB"/>
        </w:rPr>
        <mc:AlternateContent>
          <mc:Choice Requires="wps">
            <w:drawing>
              <wp:inline distT="0" distB="0" distL="0" distR="0">
                <wp:extent cx="5720486" cy="1724025"/>
                <wp:effectExtent l="0" t="0" r="13970" b="28575"/>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486" cy="1724025"/>
                        </a:xfrm>
                        <a:prstGeom prst="rect">
                          <a:avLst/>
                        </a:prstGeom>
                        <a:solidFill>
                          <a:schemeClr val="bg1">
                            <a:lumMod val="85000"/>
                          </a:scheme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 xml:space="preserve">NER 300 е широкомащабна програма за финансиране на иновационни нисковъглеродни демонстрационни проекти в областта на енергетиката. Целта на програмата е в рамките на ЕС да се демонстрират начини за безопасно за околната среда улавяне и съхранение на СО2 (CCS), както и иновативни технологии за възобновяеми енергийни източници (ВЕИ) в мащаб на стопанска реализация. NER 300 беше финансирана от осребряването на 300 милиона квоти за емисии от NER. Средствата бяха предоставени на проекти, избрани чрез два кръга от покани за представяне на предложения през декември 2012 г. и през юли 2014 г. </w:t>
                            </w:r>
                          </w:p>
                          <w:p>
                            <w:pPr>
                              <w:rPr>
                                <w:rFonts w:ascii="Times New Roman" w:hAnsi="Times New Roman"/>
                                <w:sz w:val="24"/>
                                <w:szCs w:val="24"/>
                              </w:rPr>
                            </w:pPr>
                          </w:p>
                          <w:p>
                            <w:pPr>
                              <w:rPr>
                                <w:rFonts w:ascii="Times New Roman" w:hAnsi="Times New Roman"/>
                                <w:sz w:val="24"/>
                                <w:szCs w:val="24"/>
                              </w:rPr>
                            </w:pPr>
                          </w:p>
                        </w:txbxContent>
                      </wps:txbx>
                      <wps:bodyPr rot="0" vert="horz" wrap="square" lIns="91440" tIns="45720" rIns="91440" bIns="45720" anchor="t" anchorCtr="0">
                        <a:noAutofit/>
                      </wps:bodyPr>
                    </wps:wsp>
                  </a:graphicData>
                </a:graphic>
              </wp:inline>
            </w:drawing>
          </mc:Choice>
          <mc:Fallback>
            <w:pict>
              <v:shape id="_x0000_s1032" type="#_x0000_t202" style="width:450.45pt;height:1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" fillcolor="#d8d8d8 [2732]" strokeweight="1pt">
                <v:textbox>
                  <w:txbxContent>
                    <w:p>
                      <w:pPr>
                        <w:jc w:val="both"/>
                        <w:rPr>
                          <w:rFonts w:ascii="Times New Roman" w:hAnsi="Times New Roman"/>
                          <w:sz w:val="24"/>
                          <w:szCs w:val="24"/>
                        </w:rPr>
                      </w:pPr>
                      <w:r>
                        <w:rPr>
                          <w:rFonts w:ascii="Times New Roman" w:hAnsi="Times New Roman"/>
                          <w:sz w:val="24"/>
                          <w:szCs w:val="24"/>
                        </w:rPr>
                        <w:t xml:space="preserve">NER 300 е широкомащабна програма за финансиране на иновационни нисковъглеродни демонстрационни проекти в областта на енергетиката. Целта на програмата е в рамките на ЕС да се демонстрират начини за безопасно за околната среда улавяне и съхранение на СО2 (CCS), както и иновативни технологии за възобновяеми енергийни източници (ВЕИ) в мащаб на стопанска реализация. NER 300 беше финансирана от осребряването на 300 милиона квоти за емисии от NER. Средствата бяха предоставени на проекти, избрани чрез два кръга от покани за представяне на предложения през декември 2012 г. и през юли 2014 г. </w:t>
                      </w:r>
                    </w:p>
                    <w:p>
                      <w:pPr>
                        <w:rPr>
                          <w:rFonts w:ascii="Times New Roman" w:hAnsi="Times New Roman"/>
                          <w:sz w:val="24"/>
                          <w:szCs w:val="24"/>
                        </w:rPr>
                      </w:pPr>
                    </w:p>
                    <w:p>
                      <w:pPr>
                        <w:rPr>
                          <w:rFonts w:ascii="Times New Roman" w:hAnsi="Times New Roman"/>
                          <w:sz w:val="24"/>
                          <w:szCs w:val="24"/>
                        </w:rPr>
                      </w:pPr>
                    </w:p>
                  </w:txbxContent>
                </v:textbox>
                <w10:anchorlock/>
              </v:shape>
            </w:pict>
          </mc:Fallback>
        </mc:AlternateContent>
      </w:r>
    </w:p>
    <w:p>
      <w:pPr>
        <w:spacing w:after="120"/>
        <w:ind w:right="57"/>
        <w:jc w:val="both"/>
        <w:rPr>
          <w:rFonts w:ascii="Times New Roman" w:eastAsia="Times New Roman" w:hAnsi="Times New Roman"/>
          <w:noProof/>
          <w:sz w:val="24"/>
          <w:szCs w:val="24"/>
        </w:rPr>
      </w:pPr>
      <w:r>
        <w:rPr>
          <w:rFonts w:ascii="Times New Roman" w:hAnsi="Times New Roman"/>
          <w:noProof/>
          <w:sz w:val="24"/>
          <w:szCs w:val="24"/>
        </w:rPr>
        <w:t xml:space="preserve">В резултат на двете покани за представяне на предложения по програма NER 300 финансиране получиха общо 38 проекта за ВЕИ и един проект за CCS в 20 държави — членки на ЕС, на обща стойност 2,1 милиарда евро. До 31 декември 2019 г. се осъществяват 9 проекта: проект за енергия от биомаса Verbiostraw в Германия, проекти за наземни вятърни инсталации Windpark Blaiken в Швеция и Windpark Handalm в Австрия, вятърни инсталации в морето Veja Mate и Nordsee One в Германия, проект за интелигентна мрежа Puglia Active Network в Италия, плаващи ветрогенератори Vertimed във Франция и Windfloat в Португалия, както и проект за концентрирана слънчева енергия Minos в Гърция. Един проект, италианският проект BEST за енергия от биомаса, се смята за завършен. </w:t>
      </w:r>
    </w:p>
    <w:p>
      <w:pPr>
        <w:spacing w:after="120"/>
        <w:ind w:right="57"/>
        <w:jc w:val="both"/>
        <w:rPr>
          <w:rFonts w:ascii="Times New Roman" w:eastAsia="Times New Roman" w:hAnsi="Times New Roman"/>
          <w:noProof/>
          <w:sz w:val="24"/>
          <w:szCs w:val="24"/>
        </w:rPr>
      </w:pPr>
      <w:r>
        <w:rPr>
          <w:rFonts w:ascii="Times New Roman" w:hAnsi="Times New Roman"/>
          <w:noProof/>
          <w:sz w:val="24"/>
          <w:szCs w:val="24"/>
        </w:rPr>
        <w:t>Други три проекта от втората покана напредват в подготовката си за влизане в експлоатация до 30 юни 2021 г. С оглед на трудната икономическа и политическа обстановка след създаването на програмата NER 300 по 22 проекта не бе набрана достатъчна допълнителна финансова подкрепа и те бяха оттеглени, при което бяха освободени общо 1,455 милиарда евро. Четири други проекта са в различни етапи на подготовка.</w:t>
      </w:r>
    </w:p>
    <w:p>
      <w:pPr>
        <w:spacing w:after="120"/>
        <w:ind w:right="57"/>
        <w:jc w:val="both"/>
        <w:rPr>
          <w:rFonts w:ascii="Times New Roman" w:eastAsia="Times New Roman" w:hAnsi="Times New Roman"/>
          <w:noProof/>
          <w:sz w:val="24"/>
          <w:szCs w:val="24"/>
        </w:rPr>
      </w:pPr>
      <w:r>
        <w:rPr>
          <w:rFonts w:ascii="Times New Roman" w:hAnsi="Times New Roman"/>
          <w:noProof/>
          <w:sz w:val="24"/>
          <w:szCs w:val="24"/>
        </w:rPr>
        <w:t>Измененото Решение за NER 300</w:t>
      </w:r>
      <w:r>
        <w:rPr>
          <w:rFonts w:ascii="Times New Roman" w:eastAsia="Times New Roman" w:hAnsi="Times New Roman"/>
          <w:noProof/>
          <w:sz w:val="24"/>
          <w:szCs w:val="24"/>
          <w:vertAlign w:val="superscript"/>
          <w:lang w:eastAsia="en-GB"/>
        </w:rPr>
        <w:footnoteReference w:id="49"/>
      </w:r>
      <w:r>
        <w:rPr>
          <w:rFonts w:ascii="Times New Roman" w:hAnsi="Times New Roman"/>
          <w:noProof/>
          <w:sz w:val="24"/>
          <w:szCs w:val="24"/>
        </w:rPr>
        <w:t xml:space="preserve"> даде възможност за повторно инвестиране на освободените средства от отменените проекти по първата покана (708,7 милиона евро до този момент) в съществуващите финансови инструменти — енергийните демонстрационни проекти InnovFin (EDP) и дълговия инструмент на Механизма за свързване на Европа (ДИ на МСЕ), и двата управлявани от Европейската инвестиционна банка.</w:t>
      </w:r>
      <w:r>
        <w:rPr>
          <w:noProof/>
        </w:rPr>
        <w:t xml:space="preserve"> </w:t>
      </w:r>
      <w:r>
        <w:rPr>
          <w:rFonts w:ascii="Times New Roman" w:hAnsi="Times New Roman"/>
          <w:noProof/>
          <w:sz w:val="24"/>
          <w:szCs w:val="24"/>
        </w:rPr>
        <w:t>Това ще даде възможност за извличане на максимални ползи от програмата NER 300 и привличане на допълнителни частни инвестиции в нисковъглеродни иновации.</w:t>
      </w:r>
    </w:p>
    <w:p>
      <w:pPr>
        <w:spacing w:after="120"/>
        <w:ind w:right="57"/>
        <w:jc w:val="both"/>
        <w:rPr>
          <w:rFonts w:ascii="Times New Roman" w:eastAsia="Times New Roman" w:hAnsi="Times New Roman"/>
          <w:noProof/>
          <w:sz w:val="24"/>
          <w:szCs w:val="24"/>
        </w:rPr>
      </w:pPr>
      <w:r>
        <w:rPr>
          <w:rFonts w:ascii="Times New Roman" w:hAnsi="Times New Roman"/>
          <w:noProof/>
          <w:sz w:val="24"/>
          <w:szCs w:val="24"/>
        </w:rPr>
        <w:t xml:space="preserve">През периода, обхванат от доклада, бяха избрани два нови проекта, които да се възползват от неизразходваните средства от NER 300 по механизма за енергийни демонстрационни проекти по линия на InnovFin, като помощта възлиза на около 95 млн. евро (вж. допълнение 8 към приложението). </w:t>
      </w:r>
    </w:p>
    <w:p>
      <w:pPr>
        <w:spacing w:after="120"/>
        <w:ind w:right="57"/>
        <w:jc w:val="both"/>
        <w:rPr>
          <w:rFonts w:ascii="Times New Roman" w:eastAsia="Times New Roman" w:hAnsi="Times New Roman"/>
          <w:noProof/>
          <w:sz w:val="24"/>
          <w:szCs w:val="24"/>
        </w:rPr>
      </w:pPr>
      <w:r>
        <w:rPr>
          <w:rFonts w:ascii="Times New Roman" w:hAnsi="Times New Roman"/>
          <w:noProof/>
          <w:sz w:val="24"/>
          <w:szCs w:val="24"/>
        </w:rPr>
        <w:t>По инструмента InnovFin на организаторите на проекти е на разположение също така помощ за разработване на проекти (ПРП) за увеличаване на зрелостта на техните проекти. Неотдавна три проекта за климата получиха финансиране за ПРП в размер на 692 000 EUR, предоставени от неизразходваните средства по NER 300. Тези проекти в Швеция, Италия и Нидерландия са насочени към справяне с изменението на климата чрез разработване на иновативни, първи по рода си демонстрационни инсталации (вж. допълнение 8 към приложението)</w:t>
      </w:r>
    </w:p>
    <w:p>
      <w:pPr>
        <w:spacing w:after="120"/>
        <w:ind w:right="57"/>
        <w:jc w:val="both"/>
        <w:rPr>
          <w:rFonts w:ascii="Times New Roman" w:eastAsia="Times New Roman" w:hAnsi="Times New Roman"/>
          <w:noProof/>
          <w:sz w:val="24"/>
          <w:szCs w:val="24"/>
        </w:rPr>
      </w:pPr>
      <w:r>
        <w:rPr>
          <w:rFonts w:ascii="Times New Roman" w:hAnsi="Times New Roman"/>
          <w:noProof/>
          <w:sz w:val="24"/>
          <w:szCs w:val="24"/>
        </w:rPr>
        <w:t>Накрая, в рамките на ДИ на МСЕ от неизразходвани средства по NER 300 беше отпусната подкрепа от около 34 млн. евро на три иновативни проекта за чист транспорт с местонахождение в Италия и Германия (вж. допълнение 8 към приложението).</w:t>
      </w:r>
    </w:p>
    <w:p>
      <w:pPr>
        <w:jc w:val="both"/>
        <w:rPr>
          <w:b/>
          <w:noProof/>
        </w:rPr>
      </w:pPr>
      <w:r>
        <w:rPr>
          <w:rFonts w:ascii="Times New Roman" w:hAnsi="Times New Roman"/>
          <w:noProof/>
          <w:sz w:val="24"/>
          <w:szCs w:val="24"/>
        </w:rPr>
        <w:t xml:space="preserve">Освободените средства от отменените проекти по втората покана (746 милиона евро до момента) ще бъдат добавени към средствата на Фонда за иновации. </w:t>
      </w:r>
    </w:p>
    <w:p>
      <w:pPr>
        <w:spacing w:after="120"/>
        <w:ind w:right="57"/>
        <w:jc w:val="both"/>
        <w:rPr>
          <w:rFonts w:ascii="Times New Roman" w:eastAsia="Times New Roman" w:hAnsi="Times New Roman"/>
          <w:noProof/>
        </w:rPr>
      </w:pPr>
      <w:r>
        <w:rPr>
          <w:rFonts w:ascii="Times New Roman" w:hAnsi="Times New Roman"/>
          <w:b/>
          <w:noProof/>
        </w:rPr>
        <w:t>Таблица 5: Проекти по програма NER 300, получили финансиране по първата и втората покана за представяне на предложения</w:t>
      </w:r>
      <w:r>
        <w:rPr>
          <w:rFonts w:ascii="Times New Roman" w:eastAsia="Times New Roman" w:hAnsi="Times New Roman"/>
          <w:b/>
          <w:noProof/>
          <w:vertAlign w:val="superscript"/>
          <w:lang w:eastAsia="en-GB"/>
        </w:rPr>
        <w:footnoteReference w:id="50"/>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18"/>
        <w:gridCol w:w="3081"/>
        <w:gridCol w:w="3081"/>
      </w:tblGrid>
      <w:tr>
        <w:trPr>
          <w:trHeight w:val="481"/>
          <w:jc w:val="center"/>
        </w:trPr>
        <w:tc>
          <w:tcPr>
            <w:tcW w:w="2918" w:type="dxa"/>
            <w:shd w:val="clear" w:color="auto" w:fill="auto"/>
            <w:vAlign w:val="center"/>
          </w:tcPr>
          <w:p>
            <w:pPr>
              <w:spacing w:after="0"/>
              <w:jc w:val="center"/>
              <w:rPr>
                <w:rFonts w:ascii="Times New Roman" w:hAnsi="Times New Roman"/>
                <w:noProof/>
                <w:sz w:val="20"/>
                <w:szCs w:val="20"/>
              </w:rPr>
            </w:pPr>
          </w:p>
        </w:tc>
        <w:tc>
          <w:tcPr>
            <w:tcW w:w="3081" w:type="dxa"/>
            <w:shd w:val="clear" w:color="auto" w:fill="auto"/>
            <w:vAlign w:val="center"/>
          </w:tcPr>
          <w:p>
            <w:pPr>
              <w:spacing w:after="0"/>
              <w:jc w:val="center"/>
              <w:rPr>
                <w:rFonts w:ascii="Times New Roman" w:hAnsi="Times New Roman"/>
                <w:b/>
                <w:noProof/>
                <w:sz w:val="20"/>
                <w:szCs w:val="20"/>
              </w:rPr>
            </w:pPr>
            <w:r>
              <w:rPr>
                <w:rFonts w:ascii="Times New Roman" w:hAnsi="Times New Roman"/>
                <w:b/>
                <w:noProof/>
                <w:sz w:val="20"/>
                <w:szCs w:val="20"/>
              </w:rPr>
              <w:t>І-ва</w:t>
            </w:r>
            <w:r>
              <w:rPr>
                <w:rFonts w:ascii="Times New Roman" w:hAnsi="Times New Roman"/>
                <w:b/>
                <w:noProof/>
                <w:sz w:val="20"/>
                <w:szCs w:val="20"/>
                <w:vertAlign w:val="superscript"/>
              </w:rPr>
              <w:t xml:space="preserve"> </w:t>
            </w:r>
            <w:r>
              <w:rPr>
                <w:rFonts w:ascii="Times New Roman" w:hAnsi="Times New Roman"/>
                <w:b/>
                <w:noProof/>
                <w:sz w:val="20"/>
                <w:szCs w:val="20"/>
              </w:rPr>
              <w:t>покана за представяне на предложения</w:t>
            </w:r>
          </w:p>
        </w:tc>
        <w:tc>
          <w:tcPr>
            <w:tcW w:w="3081" w:type="dxa"/>
            <w:vAlign w:val="center"/>
          </w:tcPr>
          <w:p>
            <w:pPr>
              <w:spacing w:after="0"/>
              <w:jc w:val="center"/>
              <w:rPr>
                <w:rFonts w:ascii="Times New Roman" w:hAnsi="Times New Roman"/>
                <w:b/>
                <w:noProof/>
                <w:sz w:val="20"/>
                <w:szCs w:val="20"/>
              </w:rPr>
            </w:pPr>
            <w:r>
              <w:rPr>
                <w:rFonts w:ascii="Times New Roman" w:hAnsi="Times New Roman"/>
                <w:b/>
                <w:noProof/>
                <w:sz w:val="20"/>
                <w:szCs w:val="20"/>
              </w:rPr>
              <w:t>ІІ-ра</w:t>
            </w:r>
            <w:r>
              <w:rPr>
                <w:rFonts w:ascii="Times New Roman" w:hAnsi="Times New Roman"/>
                <w:b/>
                <w:noProof/>
                <w:sz w:val="20"/>
                <w:szCs w:val="20"/>
                <w:vertAlign w:val="superscript"/>
              </w:rPr>
              <w:t xml:space="preserve"> </w:t>
            </w:r>
            <w:r>
              <w:rPr>
                <w:rFonts w:ascii="Times New Roman" w:hAnsi="Times New Roman"/>
                <w:b/>
                <w:noProof/>
                <w:sz w:val="20"/>
                <w:szCs w:val="20"/>
              </w:rPr>
              <w:t>покана за представяне на предложения</w:t>
            </w:r>
          </w:p>
        </w:tc>
      </w:tr>
      <w:tr>
        <w:trPr>
          <w:trHeight w:val="481"/>
          <w:jc w:val="center"/>
        </w:trPr>
        <w:tc>
          <w:tcPr>
            <w:tcW w:w="2918" w:type="dxa"/>
            <w:shd w:val="clear" w:color="auto" w:fill="auto"/>
            <w:vAlign w:val="center"/>
          </w:tcPr>
          <w:p>
            <w:pPr>
              <w:spacing w:after="0"/>
              <w:jc w:val="center"/>
              <w:rPr>
                <w:rFonts w:ascii="Times New Roman" w:eastAsia="Times New Roman" w:hAnsi="Times New Roman"/>
                <w:b/>
                <w:noProof/>
                <w:sz w:val="20"/>
                <w:szCs w:val="20"/>
              </w:rPr>
            </w:pPr>
            <w:r>
              <w:rPr>
                <w:rFonts w:ascii="Times New Roman" w:hAnsi="Times New Roman"/>
                <w:b/>
                <w:noProof/>
                <w:sz w:val="20"/>
                <w:szCs w:val="20"/>
              </w:rPr>
              <w:t>Проекти в процес на подготовка</w:t>
            </w:r>
          </w:p>
        </w:tc>
        <w:tc>
          <w:tcPr>
            <w:tcW w:w="3081" w:type="dxa"/>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0</w:t>
            </w:r>
          </w:p>
        </w:tc>
        <w:tc>
          <w:tcPr>
            <w:tcW w:w="3081" w:type="dxa"/>
            <w:vAlign w:val="center"/>
          </w:tcPr>
          <w:p>
            <w:pPr>
              <w:spacing w:after="0"/>
              <w:jc w:val="center"/>
              <w:rPr>
                <w:rFonts w:ascii="Times New Roman" w:hAnsi="Times New Roman"/>
                <w:noProof/>
                <w:sz w:val="20"/>
                <w:szCs w:val="20"/>
              </w:rPr>
            </w:pPr>
            <w:r>
              <w:rPr>
                <w:rFonts w:ascii="Times New Roman" w:hAnsi="Times New Roman"/>
                <w:noProof/>
                <w:sz w:val="20"/>
                <w:szCs w:val="20"/>
              </w:rPr>
              <w:t>6</w:t>
            </w:r>
          </w:p>
        </w:tc>
      </w:tr>
      <w:tr>
        <w:trPr>
          <w:trHeight w:val="481"/>
          <w:jc w:val="center"/>
        </w:trPr>
        <w:tc>
          <w:tcPr>
            <w:tcW w:w="2918" w:type="dxa"/>
            <w:shd w:val="clear" w:color="auto" w:fill="auto"/>
            <w:vAlign w:val="center"/>
          </w:tcPr>
          <w:p>
            <w:pPr>
              <w:spacing w:after="0"/>
              <w:jc w:val="center"/>
              <w:rPr>
                <w:rFonts w:ascii="Times New Roman" w:hAnsi="Times New Roman"/>
                <w:b/>
                <w:noProof/>
                <w:sz w:val="20"/>
                <w:szCs w:val="20"/>
              </w:rPr>
            </w:pPr>
            <w:r>
              <w:rPr>
                <w:rFonts w:ascii="Times New Roman" w:hAnsi="Times New Roman"/>
                <w:b/>
                <w:noProof/>
                <w:sz w:val="20"/>
                <w:szCs w:val="20"/>
              </w:rPr>
              <w:t>Проекти в процес на преразглеждане на статуса</w:t>
            </w:r>
          </w:p>
        </w:tc>
        <w:tc>
          <w:tcPr>
            <w:tcW w:w="3081" w:type="dxa"/>
            <w:shd w:val="clear" w:color="auto" w:fill="auto"/>
            <w:vAlign w:val="center"/>
          </w:tcPr>
          <w:p>
            <w:pPr>
              <w:spacing w:after="0"/>
              <w:jc w:val="center"/>
              <w:rPr>
                <w:rFonts w:ascii="Times New Roman" w:hAnsi="Times New Roman"/>
                <w:noProof/>
                <w:sz w:val="20"/>
                <w:szCs w:val="20"/>
              </w:rPr>
            </w:pPr>
            <w:r>
              <w:rPr>
                <w:rFonts w:ascii="Times New Roman" w:hAnsi="Times New Roman"/>
                <w:noProof/>
                <w:sz w:val="20"/>
                <w:szCs w:val="20"/>
              </w:rPr>
              <w:t>1</w:t>
            </w:r>
          </w:p>
        </w:tc>
        <w:tc>
          <w:tcPr>
            <w:tcW w:w="3081" w:type="dxa"/>
            <w:vAlign w:val="center"/>
          </w:tcPr>
          <w:p>
            <w:pPr>
              <w:spacing w:after="0"/>
              <w:jc w:val="center"/>
              <w:rPr>
                <w:rFonts w:ascii="Times New Roman" w:hAnsi="Times New Roman"/>
                <w:noProof/>
                <w:sz w:val="20"/>
                <w:szCs w:val="20"/>
              </w:rPr>
            </w:pPr>
            <w:r>
              <w:rPr>
                <w:rFonts w:ascii="Times New Roman" w:hAnsi="Times New Roman"/>
                <w:noProof/>
                <w:sz w:val="20"/>
                <w:szCs w:val="20"/>
              </w:rPr>
              <w:t>0</w:t>
            </w:r>
          </w:p>
        </w:tc>
      </w:tr>
      <w:tr>
        <w:trPr>
          <w:trHeight w:val="403"/>
          <w:jc w:val="center"/>
        </w:trPr>
        <w:tc>
          <w:tcPr>
            <w:tcW w:w="2918" w:type="dxa"/>
            <w:shd w:val="clear" w:color="auto" w:fill="auto"/>
            <w:vAlign w:val="center"/>
          </w:tcPr>
          <w:p>
            <w:pPr>
              <w:spacing w:after="0"/>
              <w:jc w:val="center"/>
              <w:rPr>
                <w:rFonts w:ascii="Times New Roman" w:eastAsia="Times New Roman" w:hAnsi="Times New Roman"/>
                <w:b/>
                <w:noProof/>
                <w:sz w:val="20"/>
                <w:szCs w:val="20"/>
              </w:rPr>
            </w:pPr>
            <w:r>
              <w:rPr>
                <w:rFonts w:ascii="Times New Roman" w:hAnsi="Times New Roman"/>
                <w:b/>
                <w:noProof/>
                <w:sz w:val="20"/>
                <w:szCs w:val="20"/>
              </w:rPr>
              <w:t>Проекти в процес на изпълнение</w:t>
            </w:r>
          </w:p>
        </w:tc>
        <w:tc>
          <w:tcPr>
            <w:tcW w:w="3081" w:type="dxa"/>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8</w:t>
            </w:r>
          </w:p>
        </w:tc>
        <w:tc>
          <w:tcPr>
            <w:tcW w:w="3081" w:type="dxa"/>
            <w:vAlign w:val="center"/>
          </w:tcPr>
          <w:p>
            <w:pPr>
              <w:spacing w:after="0"/>
              <w:jc w:val="center"/>
              <w:rPr>
                <w:rFonts w:ascii="Times New Roman" w:hAnsi="Times New Roman"/>
                <w:noProof/>
                <w:sz w:val="20"/>
                <w:szCs w:val="20"/>
              </w:rPr>
            </w:pPr>
            <w:r>
              <w:rPr>
                <w:rFonts w:ascii="Times New Roman" w:hAnsi="Times New Roman"/>
                <w:noProof/>
                <w:sz w:val="20"/>
                <w:szCs w:val="20"/>
              </w:rPr>
              <w:t>1</w:t>
            </w:r>
          </w:p>
        </w:tc>
      </w:tr>
      <w:tr>
        <w:trPr>
          <w:trHeight w:val="403"/>
          <w:jc w:val="center"/>
        </w:trPr>
        <w:tc>
          <w:tcPr>
            <w:tcW w:w="2918" w:type="dxa"/>
            <w:shd w:val="clear" w:color="auto" w:fill="auto"/>
            <w:vAlign w:val="center"/>
          </w:tcPr>
          <w:p>
            <w:pPr>
              <w:spacing w:after="0"/>
              <w:jc w:val="center"/>
              <w:rPr>
                <w:rFonts w:ascii="Times New Roman" w:hAnsi="Times New Roman"/>
                <w:b/>
                <w:noProof/>
                <w:sz w:val="20"/>
                <w:szCs w:val="20"/>
              </w:rPr>
            </w:pPr>
            <w:r>
              <w:rPr>
                <w:rFonts w:ascii="Times New Roman" w:hAnsi="Times New Roman"/>
                <w:b/>
                <w:noProof/>
                <w:sz w:val="20"/>
                <w:szCs w:val="20"/>
              </w:rPr>
              <w:t>Завършени проекти</w:t>
            </w:r>
          </w:p>
        </w:tc>
        <w:tc>
          <w:tcPr>
            <w:tcW w:w="3081" w:type="dxa"/>
            <w:shd w:val="clear" w:color="auto" w:fill="auto"/>
            <w:vAlign w:val="center"/>
          </w:tcPr>
          <w:p>
            <w:pPr>
              <w:spacing w:after="0"/>
              <w:jc w:val="center"/>
              <w:rPr>
                <w:rFonts w:ascii="Times New Roman" w:hAnsi="Times New Roman"/>
                <w:noProof/>
                <w:sz w:val="20"/>
                <w:szCs w:val="20"/>
              </w:rPr>
            </w:pPr>
            <w:r>
              <w:rPr>
                <w:rFonts w:ascii="Times New Roman" w:hAnsi="Times New Roman"/>
                <w:noProof/>
                <w:sz w:val="20"/>
                <w:szCs w:val="20"/>
              </w:rPr>
              <w:t>1</w:t>
            </w:r>
          </w:p>
        </w:tc>
        <w:tc>
          <w:tcPr>
            <w:tcW w:w="3081" w:type="dxa"/>
            <w:vAlign w:val="center"/>
          </w:tcPr>
          <w:p>
            <w:pPr>
              <w:spacing w:after="0"/>
              <w:jc w:val="center"/>
              <w:rPr>
                <w:rFonts w:ascii="Times New Roman" w:hAnsi="Times New Roman"/>
                <w:noProof/>
                <w:sz w:val="20"/>
                <w:szCs w:val="20"/>
              </w:rPr>
            </w:pPr>
            <w:r>
              <w:rPr>
                <w:rFonts w:ascii="Times New Roman" w:hAnsi="Times New Roman"/>
                <w:noProof/>
                <w:sz w:val="20"/>
                <w:szCs w:val="20"/>
              </w:rPr>
              <w:t>0</w:t>
            </w:r>
          </w:p>
        </w:tc>
      </w:tr>
      <w:tr>
        <w:trPr>
          <w:trHeight w:val="422"/>
          <w:jc w:val="center"/>
        </w:trPr>
        <w:tc>
          <w:tcPr>
            <w:tcW w:w="2918" w:type="dxa"/>
            <w:shd w:val="clear" w:color="auto" w:fill="auto"/>
            <w:vAlign w:val="center"/>
          </w:tcPr>
          <w:p>
            <w:pPr>
              <w:spacing w:after="0"/>
              <w:jc w:val="center"/>
              <w:rPr>
                <w:rFonts w:ascii="Times New Roman" w:eastAsia="Times New Roman" w:hAnsi="Times New Roman"/>
                <w:b/>
                <w:noProof/>
                <w:sz w:val="20"/>
                <w:szCs w:val="20"/>
              </w:rPr>
            </w:pPr>
            <w:r>
              <w:rPr>
                <w:rFonts w:ascii="Times New Roman" w:hAnsi="Times New Roman"/>
                <w:b/>
                <w:noProof/>
                <w:sz w:val="20"/>
                <w:szCs w:val="20"/>
              </w:rPr>
              <w:t>Оттеглени проекти</w:t>
            </w:r>
          </w:p>
        </w:tc>
        <w:tc>
          <w:tcPr>
            <w:tcW w:w="3081" w:type="dxa"/>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noProof/>
                <w:sz w:val="20"/>
                <w:szCs w:val="20"/>
              </w:rPr>
              <w:t>10</w:t>
            </w:r>
          </w:p>
        </w:tc>
        <w:tc>
          <w:tcPr>
            <w:tcW w:w="3081" w:type="dxa"/>
            <w:vAlign w:val="center"/>
          </w:tcPr>
          <w:p>
            <w:pPr>
              <w:spacing w:after="0"/>
              <w:jc w:val="center"/>
              <w:rPr>
                <w:rFonts w:ascii="Times New Roman" w:hAnsi="Times New Roman"/>
                <w:noProof/>
                <w:sz w:val="20"/>
                <w:szCs w:val="20"/>
              </w:rPr>
            </w:pPr>
            <w:r>
              <w:rPr>
                <w:rFonts w:ascii="Times New Roman" w:hAnsi="Times New Roman"/>
                <w:noProof/>
                <w:sz w:val="20"/>
                <w:szCs w:val="20"/>
              </w:rPr>
              <w:t>12</w:t>
            </w:r>
          </w:p>
        </w:tc>
      </w:tr>
      <w:tr>
        <w:trPr>
          <w:trHeight w:val="415"/>
          <w:jc w:val="center"/>
        </w:trPr>
        <w:tc>
          <w:tcPr>
            <w:tcW w:w="2918" w:type="dxa"/>
            <w:shd w:val="clear" w:color="auto" w:fill="auto"/>
            <w:vAlign w:val="center"/>
          </w:tcPr>
          <w:p>
            <w:pPr>
              <w:spacing w:after="0"/>
              <w:jc w:val="center"/>
              <w:rPr>
                <w:rFonts w:ascii="Times New Roman" w:eastAsia="Times New Roman" w:hAnsi="Times New Roman"/>
                <w:b/>
                <w:noProof/>
                <w:sz w:val="20"/>
                <w:szCs w:val="20"/>
              </w:rPr>
            </w:pPr>
            <w:r>
              <w:rPr>
                <w:rFonts w:ascii="Times New Roman" w:hAnsi="Times New Roman"/>
                <w:b/>
                <w:iCs/>
                <w:noProof/>
                <w:sz w:val="20"/>
                <w:szCs w:val="20"/>
              </w:rPr>
              <w:t>Общо</w:t>
            </w:r>
          </w:p>
        </w:tc>
        <w:tc>
          <w:tcPr>
            <w:tcW w:w="3081" w:type="dxa"/>
            <w:shd w:val="clear" w:color="auto" w:fill="auto"/>
            <w:vAlign w:val="center"/>
          </w:tcPr>
          <w:p>
            <w:pPr>
              <w:spacing w:after="0"/>
              <w:jc w:val="center"/>
              <w:rPr>
                <w:rFonts w:ascii="Times New Roman" w:eastAsia="Times New Roman" w:hAnsi="Times New Roman"/>
                <w:noProof/>
                <w:sz w:val="20"/>
                <w:szCs w:val="20"/>
              </w:rPr>
            </w:pPr>
            <w:r>
              <w:rPr>
                <w:rFonts w:ascii="Times New Roman" w:hAnsi="Times New Roman"/>
                <w:iCs/>
                <w:noProof/>
                <w:sz w:val="20"/>
                <w:szCs w:val="20"/>
              </w:rPr>
              <w:t>20</w:t>
            </w:r>
          </w:p>
        </w:tc>
        <w:tc>
          <w:tcPr>
            <w:tcW w:w="3081" w:type="dxa"/>
            <w:vAlign w:val="center"/>
          </w:tcPr>
          <w:p>
            <w:pPr>
              <w:spacing w:after="0"/>
              <w:jc w:val="center"/>
              <w:rPr>
                <w:rFonts w:ascii="Times New Roman" w:hAnsi="Times New Roman"/>
                <w:iCs/>
                <w:noProof/>
                <w:sz w:val="20"/>
                <w:szCs w:val="20"/>
              </w:rPr>
            </w:pPr>
            <w:r>
              <w:rPr>
                <w:rFonts w:ascii="Times New Roman" w:hAnsi="Times New Roman"/>
                <w:iCs/>
                <w:noProof/>
                <w:sz w:val="20"/>
                <w:szCs w:val="20"/>
              </w:rPr>
              <w:t>19</w:t>
            </w:r>
          </w:p>
        </w:tc>
      </w:tr>
    </w:tbl>
    <w:p>
      <w:pPr>
        <w:pStyle w:val="a3520normalp11"/>
        <w:spacing w:after="0"/>
        <w:rPr>
          <w:noProof/>
          <w:sz w:val="22"/>
          <w:szCs w:val="22"/>
        </w:rPr>
      </w:pPr>
      <w:r>
        <w:rPr>
          <w:noProof/>
          <w:sz w:val="22"/>
          <w:szCs w:val="22"/>
        </w:rPr>
        <w:t xml:space="preserve"> </w:t>
      </w:r>
    </w:p>
    <w:p>
      <w:pPr>
        <w:pStyle w:val="a3520normalp11"/>
        <w:spacing w:line="276" w:lineRule="auto"/>
        <w:rPr>
          <w:noProof/>
          <w:sz w:val="18"/>
          <w:szCs w:val="18"/>
        </w:rPr>
      </w:pPr>
      <w:r>
        <w:rPr>
          <w:noProof/>
          <w:sz w:val="18"/>
          <w:szCs w:val="18"/>
        </w:rPr>
        <w:t>Източник: ГД „Действия по климата“</w:t>
      </w:r>
    </w:p>
    <w:p>
      <w:pPr>
        <w:pStyle w:val="a3520normalp11"/>
        <w:spacing w:line="276" w:lineRule="auto"/>
        <w:rPr>
          <w:noProof/>
          <w:sz w:val="18"/>
          <w:szCs w:val="18"/>
        </w:rPr>
      </w:pPr>
    </w:p>
    <w:p>
      <w:pPr>
        <w:pStyle w:val="Heading4"/>
        <w:spacing w:before="0" w:after="200"/>
        <w:ind w:firstLine="720"/>
        <w:rPr>
          <w:noProof/>
        </w:rPr>
      </w:pPr>
      <w:bookmarkStart w:id="33" w:name="_Toc56071837"/>
      <w:r>
        <w:rPr>
          <w:noProof/>
        </w:rPr>
        <w:t>3.1.2.5. Фонд за иновации</w:t>
      </w:r>
      <w:bookmarkEnd w:id="33"/>
      <w:r>
        <w:rPr>
          <w:noProof/>
        </w:rPr>
        <w:t xml:space="preserve"> </w:t>
      </w:r>
    </w:p>
    <w:p>
      <w:pPr>
        <w:jc w:val="both"/>
        <w:rPr>
          <w:rFonts w:ascii="Times New Roman" w:hAnsi="Times New Roman"/>
          <w:noProof/>
          <w:sz w:val="24"/>
          <w:szCs w:val="24"/>
        </w:rPr>
      </w:pPr>
      <w:r>
        <w:rPr>
          <w:noProof/>
          <w:lang w:val="en-GB" w:eastAsia="en-GB"/>
        </w:rPr>
        <mc:AlternateContent>
          <mc:Choice Requires="wps">
            <w:drawing>
              <wp:inline distT="0" distB="0" distL="0" distR="0">
                <wp:extent cx="5720486" cy="1783080"/>
                <wp:effectExtent l="0" t="0" r="13970" b="266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486" cy="1783080"/>
                        </a:xfrm>
                        <a:prstGeom prst="rect">
                          <a:avLst/>
                        </a:prstGeom>
                        <a:solidFill>
                          <a:sysClr val="window" lastClr="FFFFFF">
                            <a:lumMod val="85000"/>
                          </a:sysClr>
                        </a:solidFill>
                        <a:ln w="12700">
                          <a:solidFill>
                            <a:srgbClr val="000000"/>
                          </a:solidFill>
                          <a:miter lim="800000"/>
                          <a:headEnd/>
                          <a:tailEnd/>
                        </a:ln>
                      </wps:spPr>
                      <wps:txbx>
                        <w:txbxContent>
                          <w:p>
                            <w:pPr>
                              <w:jc w:val="both"/>
                            </w:pPr>
                            <w:r>
                              <w:rPr>
                                <w:rFonts w:ascii="Times New Roman" w:hAnsi="Times New Roman"/>
                                <w:sz w:val="24"/>
                                <w:szCs w:val="24"/>
                              </w:rPr>
                              <w:t>Фондът за иновации е един от двата нисковъглеродни фонда, създадени по силата на Директивата за СТЕ на ЕС за 2021—2030 г.  Той ще подпомага на конкурентна основа демонстрациите на новаторски технологии и иновационни пробиви в сектори, обхванати от СТЕ на ЕС, включително иновативни технологии за възобновяеми енергийни източници, улавяне и използване на въглероден диоксид (CCU), за съхранение на енергия</w:t>
                            </w:r>
                            <w:r>
                              <w:t xml:space="preserve">, </w:t>
                            </w:r>
                            <w:r>
                              <w:rPr>
                                <w:rFonts w:ascii="Times New Roman" w:hAnsi="Times New Roman"/>
                                <w:sz w:val="24"/>
                                <w:szCs w:val="24"/>
                              </w:rPr>
                              <w:t xml:space="preserve"> както и заместващи продукти и междусекторни проекти. Той ще бъде финансиран от тръжната продажба на 450 милиона квоти и неразплатени приходи от втората покана на програма NER 300. </w:t>
                            </w:r>
                          </w:p>
                          <w:p>
                            <w:pPr>
                              <w:rPr>
                                <w:rFonts w:ascii="Times New Roman" w:hAnsi="Times New Roman"/>
                                <w:sz w:val="24"/>
                                <w:szCs w:val="24"/>
                              </w:rPr>
                            </w:pPr>
                          </w:p>
                          <w:p>
                            <w:pPr>
                              <w:rPr>
                                <w:rFonts w:ascii="Times New Roman" w:hAnsi="Times New Roman"/>
                                <w:sz w:val="24"/>
                                <w:szCs w:val="24"/>
                              </w:rPr>
                            </w:pPr>
                          </w:p>
                        </w:txbxContent>
                      </wps:txbx>
                      <wps:bodyPr rot="0" vert="horz" wrap="square" lIns="91440" tIns="45720" rIns="91440" bIns="45720" anchor="t" anchorCtr="0">
                        <a:noAutofit/>
                      </wps:bodyPr>
                    </wps:wsp>
                  </a:graphicData>
                </a:graphic>
              </wp:inline>
            </w:drawing>
          </mc:Choice>
          <mc:Fallback>
            <w:pict>
              <v:shape id="_x0000_s1033" type="#_x0000_t202" style="width:450.45pt;height:14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" fillcolor="#d9d9d9" strokeweight="1pt">
                <v:textbox>
                  <w:txbxContent>
                    <w:p>
                      <w:pPr>
                        <w:jc w:val="both"/>
                      </w:pPr>
                      <w:r>
                        <w:rPr>
                          <w:rFonts w:ascii="Times New Roman" w:hAnsi="Times New Roman"/>
                          <w:sz w:val="24"/>
                          <w:szCs w:val="24"/>
                        </w:rPr>
                        <w:t>Фондът за иновации е един от двата нисковъглеродни фонда, създадени по силата на Директивата за СТЕ на ЕС за 2021—2030 г.  Той ще подпомага на конкурентна основа демонстрациите на новаторски технологии и иновационни пробиви в сектори, обхванати от СТЕ на ЕС, включително иновативни технологии за възобновяеми енергийни източници, улавяне и използване на въглероден диоксид (CCU), за съхранение на енергия</w:t>
                      </w:r>
                      <w:r>
                        <w:t xml:space="preserve">, </w:t>
                      </w:r>
                      <w:r>
                        <w:rPr>
                          <w:rFonts w:ascii="Times New Roman" w:hAnsi="Times New Roman"/>
                          <w:sz w:val="24"/>
                          <w:szCs w:val="24"/>
                        </w:rPr>
                        <w:t xml:space="preserve"> както и заместващи продукти и междусекторни проекти. Той ще бъде финансиран от тръжната продажба на 450 милиона квоти и неразплатени приходи от втората покана на програма NER 300. </w:t>
                      </w:r>
                    </w:p>
                    <w:p>
                      <w:pPr>
                        <w:rPr>
                          <w:rFonts w:ascii="Times New Roman" w:hAnsi="Times New Roman"/>
                          <w:sz w:val="24"/>
                          <w:szCs w:val="24"/>
                        </w:rPr>
                      </w:pPr>
                    </w:p>
                    <w:p>
                      <w:pPr>
                        <w:rPr>
                          <w:rFonts w:ascii="Times New Roman" w:hAnsi="Times New Roman"/>
                          <w:sz w:val="24"/>
                          <w:szCs w:val="24"/>
                        </w:rPr>
                      </w:pPr>
                    </w:p>
                  </w:txbxContent>
                </v:textbox>
                <w10:anchorlock/>
              </v:shape>
            </w:pict>
          </mc:Fallback>
        </mc:AlternateContent>
      </w:r>
    </w:p>
    <w:p>
      <w:pPr>
        <w:jc w:val="both"/>
        <w:rPr>
          <w:noProof/>
        </w:rPr>
      </w:pPr>
      <w:r>
        <w:rPr>
          <w:rFonts w:ascii="Times New Roman" w:hAnsi="Times New Roman"/>
          <w:noProof/>
          <w:sz w:val="24"/>
          <w:szCs w:val="24"/>
        </w:rPr>
        <w:t>Първата покана за представяне на предложения</w:t>
      </w:r>
      <w:r>
        <w:rPr>
          <w:rStyle w:val="FootnoteReference"/>
          <w:rFonts w:ascii="Times New Roman" w:hAnsi="Times New Roman"/>
          <w:noProof/>
          <w:sz w:val="24"/>
          <w:szCs w:val="24"/>
        </w:rPr>
        <w:footnoteReference w:id="51"/>
      </w:r>
      <w:r>
        <w:rPr>
          <w:rFonts w:ascii="Times New Roman" w:hAnsi="Times New Roman"/>
          <w:noProof/>
          <w:sz w:val="24"/>
          <w:szCs w:val="24"/>
        </w:rPr>
        <w:t xml:space="preserve"> в рамките на Фонда за иновации бе отправена през юли 2020 г. Поканата е отворена за проекти в допустими сектори от държавите членки на ЕС, Норвегия и Исландия. Тя ще осигури отпускане на безвъзмездни средства в размер на 1 млрд. евро общо за широкомащабни проекти за чисти технологии с капиталови разходи над 7,5 млн. евро. Фондът за иновации ще предоставя безвъзмездни средства по гъвкав начин въз основа на специфични за всеки проект етапни цели и ще може да подкрепя до 60 % от разходите, свързани с иновации. Безвъзмездните средства от фонда могат да бъдат комбинирани с други инициативи за публично финансиране, като държавна помощ или други програми за финансиране на ЕС. </w:t>
      </w:r>
      <w:r>
        <w:rPr>
          <w:rFonts w:ascii="Times New Roman" w:hAnsi="Times New Roman"/>
          <w:noProof/>
          <w:szCs w:val="24"/>
        </w:rPr>
        <w:t xml:space="preserve"> </w:t>
      </w:r>
      <w:r>
        <w:rPr>
          <w:rFonts w:ascii="Times New Roman" w:hAnsi="Times New Roman"/>
          <w:noProof/>
          <w:sz w:val="24"/>
          <w:szCs w:val="24"/>
        </w:rPr>
        <w:t>Първата покана ще бъде последвана от редовни покани до 2030 г. в помощ на дружествата да инвестират и да доведат до пазарна реализация иновативни решения, базирани на чисти технологии, необходими за постигане на неутралност на ЕС по отношение на климата до 2050 г.</w:t>
      </w:r>
    </w:p>
    <w:p>
      <w:pPr>
        <w:jc w:val="both"/>
        <w:rPr>
          <w:rFonts w:ascii="Times New Roman" w:hAnsi="Times New Roman"/>
          <w:noProof/>
          <w:sz w:val="24"/>
          <w:szCs w:val="24"/>
        </w:rPr>
      </w:pPr>
      <w:r>
        <w:rPr>
          <w:rFonts w:ascii="Times New Roman" w:hAnsi="Times New Roman"/>
          <w:noProof/>
          <w:sz w:val="24"/>
          <w:szCs w:val="24"/>
        </w:rPr>
        <w:t xml:space="preserve">Независими външни оценители ще оценяват проектите въз основа на цялостен набор от критерии: избягване на емисиите на парникови газове, иновационен потенциал, финансова, техническа и оперативна зрялост на проектите, както и потенциала им за разрастване и икономическа целесъобразност. </w:t>
      </w:r>
    </w:p>
    <w:p>
      <w:pPr>
        <w:jc w:val="both"/>
        <w:rPr>
          <w:rFonts w:ascii="Times New Roman" w:hAnsi="Times New Roman"/>
          <w:noProof/>
          <w:sz w:val="24"/>
          <w:szCs w:val="24"/>
        </w:rPr>
      </w:pPr>
      <w:r>
        <w:rPr>
          <w:rFonts w:ascii="Times New Roman" w:hAnsi="Times New Roman"/>
          <w:noProof/>
          <w:sz w:val="24"/>
          <w:szCs w:val="24"/>
        </w:rPr>
        <w:t>За проекти, които се смятат за обещаващи, но все още не достатъчно зрели, поканата предвижда бюджет от 8 млн. евро за подпомагане на разработването на проекти.</w:t>
      </w:r>
    </w:p>
    <w:p>
      <w:pPr>
        <w:jc w:val="both"/>
        <w:rPr>
          <w:rFonts w:ascii="Times New Roman" w:hAnsi="Times New Roman"/>
          <w:noProof/>
          <w:sz w:val="24"/>
          <w:szCs w:val="24"/>
        </w:rPr>
      </w:pPr>
      <w:r>
        <w:rPr>
          <w:rFonts w:ascii="Times New Roman" w:hAnsi="Times New Roman"/>
          <w:noProof/>
          <w:sz w:val="24"/>
          <w:szCs w:val="24"/>
        </w:rPr>
        <w:t xml:space="preserve">Проектите може да кандидатстват чрез </w:t>
      </w:r>
      <w:hyperlink r:id="rId24" w:history="1">
        <w:r>
          <w:rPr>
            <w:rFonts w:ascii="Times New Roman" w:hAnsi="Times New Roman"/>
            <w:noProof/>
            <w:sz w:val="24"/>
            <w:szCs w:val="24"/>
          </w:rPr>
          <w:t>портала за финансиране и обществени поръчки на ЕС</w:t>
        </w:r>
      </w:hyperlink>
      <w:r>
        <w:rPr>
          <w:rStyle w:val="FootnoteReference"/>
          <w:rFonts w:ascii="Times New Roman" w:hAnsi="Times New Roman"/>
          <w:noProof/>
          <w:sz w:val="24"/>
          <w:szCs w:val="24"/>
        </w:rPr>
        <w:footnoteReference w:id="52"/>
      </w:r>
      <w:r>
        <w:rPr>
          <w:rFonts w:ascii="Times New Roman" w:hAnsi="Times New Roman"/>
          <w:noProof/>
          <w:sz w:val="24"/>
          <w:szCs w:val="24"/>
        </w:rPr>
        <w:t>. Крайният срок за подаване на заявления за първия етап е 29 октомври 2020 г. Кандидатите ще бъдат информирани за резултатите от оценката и ще бъдат поканени да подадат пълно заявление или да получат помощ за разработване на проекти през първото тримесечие на 2021 г. Информацията за резултатите от оценката от втория етап ще бъде предоставена през четвъртото тримесечие на 2021 г. Безвъзмездните средства ще бъдат отпуснати в края на 2021 г.</w:t>
      </w:r>
    </w:p>
    <w:p>
      <w:pPr>
        <w:jc w:val="both"/>
        <w:rPr>
          <w:rFonts w:ascii="Times New Roman" w:hAnsi="Times New Roman"/>
          <w:noProof/>
          <w:sz w:val="24"/>
          <w:szCs w:val="24"/>
        </w:rPr>
      </w:pPr>
      <w:r>
        <w:rPr>
          <w:rFonts w:ascii="Times New Roman" w:hAnsi="Times New Roman"/>
          <w:noProof/>
          <w:sz w:val="24"/>
          <w:szCs w:val="24"/>
        </w:rPr>
        <w:t>Освен това Комисията планира да обяви специална покана за малки проекти до края на 2020 г.</w:t>
      </w:r>
    </w:p>
    <w:p>
      <w:pPr>
        <w:pStyle w:val="Heading4"/>
        <w:spacing w:before="0" w:after="200"/>
        <w:ind w:firstLine="720"/>
        <w:rPr>
          <w:noProof/>
        </w:rPr>
      </w:pPr>
      <w:bookmarkStart w:id="34" w:name="_Toc56071838"/>
      <w:r>
        <w:rPr>
          <w:noProof/>
        </w:rPr>
        <w:t>3.1.2.6. Модернизационен фонд</w:t>
      </w:r>
      <w:bookmarkEnd w:id="34"/>
      <w:r>
        <w:rPr>
          <w:noProof/>
        </w:rPr>
        <w:t xml:space="preserve"> </w:t>
      </w:r>
    </w:p>
    <w:p>
      <w:pPr>
        <w:jc w:val="both"/>
        <w:rPr>
          <w:rFonts w:ascii="Times New Roman" w:hAnsi="Times New Roman"/>
          <w:noProof/>
          <w:sz w:val="24"/>
          <w:szCs w:val="24"/>
        </w:rPr>
      </w:pPr>
      <w:r>
        <w:rPr>
          <w:rFonts w:ascii="Times New Roman" w:hAnsi="Times New Roman"/>
          <w:noProof/>
          <w:sz w:val="24"/>
          <w:szCs w:val="24"/>
        </w:rPr>
        <w:t>Модернизационният фонд е вторият от двата нисковъглеродни фонда, създадени от Директивата за СТЕ на ЕС за фаза 4.</w:t>
      </w:r>
      <w:r>
        <w:rPr>
          <w:noProof/>
        </w:rPr>
        <w:t xml:space="preserve"> </w:t>
      </w:r>
      <w:r>
        <w:rPr>
          <w:rFonts w:ascii="Times New Roman" w:hAnsi="Times New Roman"/>
          <w:noProof/>
          <w:sz w:val="24"/>
          <w:szCs w:val="24"/>
        </w:rPr>
        <w:t>Той ще подкрепи инвестициите в модернизирането на енергийния сектор и енергийните системи като цяло в десет държави членки с ниски доходи</w:t>
      </w:r>
      <w:r>
        <w:rPr>
          <w:rStyle w:val="FootnoteReference"/>
          <w:rFonts w:ascii="Times New Roman" w:hAnsi="Times New Roman"/>
          <w:noProof/>
          <w:sz w:val="24"/>
          <w:szCs w:val="24"/>
        </w:rPr>
        <w:footnoteReference w:id="53"/>
      </w:r>
      <w:r>
        <w:rPr>
          <w:noProof/>
        </w:rPr>
        <w:t>.</w:t>
      </w:r>
      <w:r>
        <w:rPr>
          <w:rFonts w:ascii="Times New Roman" w:hAnsi="Times New Roman"/>
          <w:noProof/>
          <w:sz w:val="24"/>
          <w:szCs w:val="24"/>
        </w:rPr>
        <w:t xml:space="preserve"> Фондът ще заработи от 2021 г.</w:t>
      </w:r>
    </w:p>
    <w:p>
      <w:pPr>
        <w:jc w:val="both"/>
        <w:rPr>
          <w:rFonts w:ascii="Times New Roman" w:hAnsi="Times New Roman"/>
          <w:noProof/>
          <w:sz w:val="24"/>
          <w:szCs w:val="24"/>
        </w:rPr>
      </w:pPr>
      <w:r>
        <w:rPr>
          <w:rFonts w:ascii="Times New Roman" w:hAnsi="Times New Roman"/>
          <w:noProof/>
          <w:sz w:val="24"/>
          <w:szCs w:val="24"/>
        </w:rPr>
        <w:t xml:space="preserve">Финансовите ресурси на Модернизационния фонд се разпределят между държавите членки бенефициери въз основа на член 10, буква г) и приложение IIб към Директивата за СТЕ. Освен това Румъния, Литва, Чехия, Хърватия, Унгария и Словакия решиха да прехвърлят повече квоти към дяловете си от Модернизационния фонд. В резултат на това на фонда са предоставени общо почти 650 милиона квоти. </w:t>
      </w:r>
    </w:p>
    <w:p>
      <w:pPr>
        <w:jc w:val="both"/>
        <w:rPr>
          <w:rFonts w:ascii="Times New Roman" w:hAnsi="Times New Roman"/>
          <w:noProof/>
          <w:sz w:val="24"/>
          <w:szCs w:val="24"/>
        </w:rPr>
      </w:pPr>
      <w:r>
        <w:rPr>
          <w:rFonts w:ascii="Times New Roman" w:hAnsi="Times New Roman"/>
          <w:noProof/>
          <w:sz w:val="24"/>
          <w:szCs w:val="24"/>
        </w:rPr>
        <w:t>В Директивата за СТЕ са определени приоритетните области за инвестиции, а именно: производството и използването на електроенергия от възобновяеми източници, подобряването на енергийната ефективност (с изключение на инсталациите на изкопаеми горива), съхранението на енергия, модернизацията на енергийните мрежи и справедлив преход в зависими от въглерода региони. Най-малко 70 % от средствата в Модернизационния фонд трябва да бъдат изразходвани за приоритетни инвестиции. Инвестициите в неприоритетни области ще бъдат предмет на по-задълбочена оценка от Европейската инвестиционна банка (ЕИБ) и на гласуване от инвестиционен комитет, съставен от държави членки, ЕИБ и Комисията.</w:t>
      </w:r>
    </w:p>
    <w:p>
      <w:pPr>
        <w:jc w:val="both"/>
        <w:rPr>
          <w:rFonts w:ascii="Times New Roman" w:hAnsi="Times New Roman"/>
          <w:noProof/>
          <w:sz w:val="24"/>
          <w:szCs w:val="24"/>
        </w:rPr>
      </w:pPr>
      <w:r>
        <w:rPr>
          <w:rFonts w:ascii="Times New Roman" w:hAnsi="Times New Roman"/>
          <w:noProof/>
          <w:sz w:val="24"/>
          <w:szCs w:val="24"/>
        </w:rPr>
        <w:t>През юли 2020 г. Комисията прие акт за изпълнение</w:t>
      </w:r>
      <w:r>
        <w:rPr>
          <w:rStyle w:val="FootnoteReference"/>
          <w:rFonts w:ascii="Times New Roman" w:hAnsi="Times New Roman"/>
          <w:noProof/>
          <w:sz w:val="24"/>
          <w:szCs w:val="24"/>
        </w:rPr>
        <w:footnoteReference w:id="54"/>
      </w:r>
      <w:r>
        <w:rPr>
          <w:rFonts w:ascii="Times New Roman" w:hAnsi="Times New Roman"/>
          <w:noProof/>
          <w:sz w:val="24"/>
          <w:szCs w:val="24"/>
        </w:rPr>
        <w:t xml:space="preserve"> относно функционирането на Модернизационния фонд. С акта за изпълнение се установява опростена процедура, при която държавите членки бенефициери отговарят за подбора, финансирането и докладването на инвестициите и трябва да спазват приложимите правила за държавна помощ. Комисията ще отговаря за решенията за изплащане след оценката на ЕИБ. </w:t>
      </w:r>
    </w:p>
    <w:p>
      <w:pPr>
        <w:pStyle w:val="Heading4"/>
        <w:spacing w:before="0" w:after="200"/>
        <w:ind w:firstLine="720"/>
        <w:rPr>
          <w:noProof/>
        </w:rPr>
      </w:pPr>
      <w:bookmarkStart w:id="35" w:name="_Toc490850428"/>
      <w:bookmarkStart w:id="36" w:name="_Toc56071839"/>
      <w:r>
        <w:rPr>
          <w:noProof/>
        </w:rPr>
        <w:t>3.1.2.7. Компенсиране на непреките разходи за ограничаване на въглеродните емисии</w:t>
      </w:r>
      <w:bookmarkStart w:id="37" w:name="_Toc463015542"/>
      <w:bookmarkStart w:id="38" w:name="_Toc490850429"/>
      <w:bookmarkEnd w:id="35"/>
      <w:bookmarkEnd w:id="36"/>
    </w:p>
    <w:p>
      <w:pPr>
        <w:rPr>
          <w:rFonts w:asciiTheme="minorHAnsi" w:hAnsiTheme="minorHAnsi"/>
          <w:b/>
          <w:bCs/>
          <w:noProof/>
          <w:sz w:val="24"/>
          <w:szCs w:val="24"/>
        </w:rPr>
      </w:pPr>
      <w:r>
        <w:rPr>
          <w:rFonts w:ascii="Times New Roman" w:hAnsi="Times New Roman"/>
          <w:noProof/>
          <w:sz w:val="24"/>
          <w:szCs w:val="24"/>
          <w:lang w:val="en-GB" w:eastAsia="en-GB"/>
        </w:rPr>
        <mc:AlternateContent>
          <mc:Choice Requires="wps">
            <w:drawing>
              <wp:inline distT="0" distB="0" distL="0" distR="0">
                <wp:extent cx="5720486" cy="4886325"/>
                <wp:effectExtent l="0" t="0" r="13970" b="2857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486" cy="4886325"/>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 xml:space="preserve">В допълнение към хармонизираното безплатно разпределение на квоти в ЕС за покриване на преките разходи за ограничаване на въглеродните емисии държавите — членки на ЕС могат да предоставят държавна помощ за компенсиране на някои промишлени сектори с интензивно използване на електроенергия за непреките разходи за ограничаване на въглеродните емисии, т.е. разходи, произтичащи от увеличените цени на електроенергията поради факта, че производителите на електроенергия прехвърлят разходите за покупка на квоти към потребителите. </w:t>
                            </w:r>
                          </w:p>
                          <w:p>
                            <w:pPr>
                              <w:jc w:val="both"/>
                              <w:rPr>
                                <w:rFonts w:ascii="Times New Roman" w:hAnsi="Times New Roman"/>
                                <w:sz w:val="24"/>
                                <w:szCs w:val="24"/>
                              </w:rPr>
                            </w:pPr>
                            <w:r>
                              <w:rPr>
                                <w:rFonts w:ascii="Times New Roman" w:hAnsi="Times New Roman"/>
                                <w:sz w:val="24"/>
                                <w:szCs w:val="24"/>
                              </w:rPr>
                              <w:t xml:space="preserve">За свеждане до минимум на нарушаването на конкуренцията на вътрешния пазар, повишаване на прозрачността и запазване на целта на СТЕ на ЕС за постигане на декарбонизация по икономически целесъобразен начин Комисията прие Насоките за държавна помощ по СТЕ на ЕС*, които са валидни до края на 2020 г. В насоките се определят, </w:t>
                            </w:r>
                            <w:r>
                              <w:rPr>
                                <w:rFonts w:ascii="Times New Roman" w:hAnsi="Times New Roman"/>
                                <w:i/>
                                <w:sz w:val="24"/>
                                <w:szCs w:val="24"/>
                              </w:rPr>
                              <w:t>наред с другото</w:t>
                            </w:r>
                            <w:r>
                              <w:rPr>
                                <w:rFonts w:ascii="Times New Roman" w:hAnsi="Times New Roman"/>
                                <w:sz w:val="24"/>
                                <w:szCs w:val="24"/>
                              </w:rPr>
                              <w:t xml:space="preserve">, допустимите сектори и максималните суми за компенсиране на непреките разходи за ограничаване на въглеродните емисии. </w:t>
                            </w:r>
                          </w:p>
                          <w:p>
                            <w:pPr>
                              <w:jc w:val="both"/>
                              <w:rPr>
                                <w:rFonts w:ascii="Times New Roman" w:hAnsi="Times New Roman"/>
                                <w:sz w:val="24"/>
                                <w:szCs w:val="24"/>
                              </w:rPr>
                            </w:pPr>
                            <w:r>
                              <w:rPr>
                                <w:rFonts w:ascii="Times New Roman" w:hAnsi="Times New Roman"/>
                                <w:sz w:val="24"/>
                                <w:szCs w:val="24"/>
                              </w:rPr>
                              <w:t>С оглед на предстоящото изтичане на срока на действие на настоящите насоки Комисията преразгледа Насоките за държавна помощ по СТЕ на ЕС за 2021—2030 г. Новите насоки за държавна помощ** бяха приети на 21 септември  2020 г. (вж. също допълнение 6 към приложението).</w:t>
                            </w:r>
                          </w:p>
                          <w:p>
                            <w:pPr>
                              <w:jc w:val="both"/>
                              <w:rPr>
                                <w:rFonts w:ascii="Times New Roman" w:hAnsi="Times New Roman"/>
                                <w:sz w:val="18"/>
                                <w:szCs w:val="18"/>
                              </w:rPr>
                            </w:pPr>
                            <w:r>
                              <w:rPr>
                                <w:rFonts w:ascii="Times New Roman" w:hAnsi="Times New Roman"/>
                                <w:sz w:val="18"/>
                                <w:szCs w:val="18"/>
                              </w:rPr>
                              <w:t>* Насоки относно определени мерки за държавна помощ в контекста на схемата за търговия с квоти за емисии на парников газ след 2012 г., ОВ C 158, 5.6.2012 г., стр. 4.</w:t>
                            </w:r>
                          </w:p>
                          <w:p>
                            <w:pPr>
                              <w:jc w:val="both"/>
                              <w:rPr>
                                <w:rFonts w:ascii="Times New Roman" w:hAnsi="Times New Roman"/>
                                <w:sz w:val="18"/>
                                <w:szCs w:val="18"/>
                              </w:rPr>
                            </w:pPr>
                            <w:r>
                              <w:rPr>
                                <w:rFonts w:ascii="Times New Roman" w:hAnsi="Times New Roman"/>
                                <w:sz w:val="18"/>
                                <w:szCs w:val="18"/>
                              </w:rPr>
                              <w:t>** Насоки относно определени мерки за държавна помощ в контекста на схемата за търговия с квоти за емисии на парников газ след 2021 г., ОВ C 317, 25.9.2020 г., стр. 5—19.</w:t>
                            </w:r>
                          </w:p>
                        </w:txbxContent>
                      </wps:txbx>
                      <wps:bodyPr rot="0" vert="horz" wrap="square" lIns="91440" tIns="45720" rIns="91440" bIns="45720" anchor="t" anchorCtr="0">
                        <a:noAutofit/>
                      </wps:bodyPr>
                    </wps:wsp>
                  </a:graphicData>
                </a:graphic>
              </wp:inline>
            </w:drawing>
          </mc:Choice>
          <mc:Fallback>
            <w:pict>
              <v:shape id="Text Box 7" o:spid="_x0000_s1034" type="#_x0000_t202" style="width:450.45pt;height:3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" fillcolor="#d9d9d9" strokeweight="1pt">
                <v:textbox>
                  <w:txbxContent>
                    <w:p>
                      <w:pPr>
                        <w:jc w:val="both"/>
                        <w:rPr>
                          <w:rFonts w:ascii="Times New Roman" w:hAnsi="Times New Roman"/>
                          <w:sz w:val="24"/>
                          <w:szCs w:val="24"/>
                        </w:rPr>
                      </w:pPr>
                      <w:r>
                        <w:rPr>
                          <w:rFonts w:ascii="Times New Roman" w:hAnsi="Times New Roman"/>
                          <w:sz w:val="24"/>
                          <w:szCs w:val="24"/>
                        </w:rPr>
                        <w:t xml:space="preserve">В допълнение към хармонизираното безплатно разпределение на квоти в ЕС за покриване на преките разходи за ограничаване на въглеродните емисии държавите — членки на ЕС могат да предоставят държавна помощ за компенсиране на някои промишлени сектори с интензивно използване на електроенергия за непреките разходи за ограничаване на въглеродните емисии, т.е. разходи, произтичащи от увеличените цени на електроенергията поради факта, че производителите на електроенергия прехвърлят разходите за покупка на квоти към потребителите. </w:t>
                      </w:r>
                    </w:p>
                    <w:p>
                      <w:pPr>
                        <w:jc w:val="both"/>
                        <w:rPr>
                          <w:rFonts w:ascii="Times New Roman" w:hAnsi="Times New Roman"/>
                          <w:sz w:val="24"/>
                          <w:szCs w:val="24"/>
                        </w:rPr>
                      </w:pPr>
                      <w:r>
                        <w:rPr>
                          <w:rFonts w:ascii="Times New Roman" w:hAnsi="Times New Roman"/>
                          <w:sz w:val="24"/>
                          <w:szCs w:val="24"/>
                        </w:rPr>
                        <w:t xml:space="preserve">За свеждане до минимум на нарушаването на конкуренцията на вътрешния пазар, повишаване на прозрачността и запазване на целта на СТЕ на ЕС за постигане на декарбонизация по икономически целесъобразен начин Комисията прие Насоките за държавна помощ по СТЕ на ЕС*, които са валидни до края на 2020 г. В насоките се определят, </w:t>
                      </w:r>
                      <w:r>
                        <w:rPr>
                          <w:rFonts w:ascii="Times New Roman" w:hAnsi="Times New Roman"/>
                          <w:i/>
                          <w:sz w:val="24"/>
                          <w:szCs w:val="24"/>
                        </w:rPr>
                        <w:t>наред с другото</w:t>
                      </w:r>
                      <w:r>
                        <w:rPr>
                          <w:rFonts w:ascii="Times New Roman" w:hAnsi="Times New Roman"/>
                          <w:sz w:val="24"/>
                          <w:szCs w:val="24"/>
                        </w:rPr>
                        <w:t xml:space="preserve">, допустимите сектори и максималните суми за компенсиране на непреките разходи за ограничаване на въглеродните емисии. </w:t>
                      </w:r>
                    </w:p>
                    <w:p>
                      <w:pPr>
                        <w:jc w:val="both"/>
                        <w:rPr>
                          <w:rFonts w:ascii="Times New Roman" w:hAnsi="Times New Roman"/>
                          <w:sz w:val="24"/>
                          <w:szCs w:val="24"/>
                        </w:rPr>
                      </w:pPr>
                      <w:r>
                        <w:rPr>
                          <w:rFonts w:ascii="Times New Roman" w:hAnsi="Times New Roman"/>
                          <w:sz w:val="24"/>
                          <w:szCs w:val="24"/>
                        </w:rPr>
                        <w:t>С оглед на предстоящото изтичане на срока на действие на настоящите насоки Комисията преразгледа Насоките за държавна помощ по СТЕ на ЕС за 2021—2030 г. Новите насоки за държавна помощ** бяха приети на 21 септември  2020 г. (вж. също допълнение 6 към приложението).</w:t>
                      </w:r>
                    </w:p>
                    <w:p>
                      <w:pPr>
                        <w:jc w:val="both"/>
                        <w:rPr>
                          <w:rFonts w:ascii="Times New Roman" w:hAnsi="Times New Roman"/>
                          <w:sz w:val="18"/>
                          <w:szCs w:val="18"/>
                        </w:rPr>
                      </w:pPr>
                      <w:r>
                        <w:rPr>
                          <w:rFonts w:ascii="Times New Roman" w:hAnsi="Times New Roman"/>
                          <w:sz w:val="18"/>
                          <w:szCs w:val="18"/>
                        </w:rPr>
                        <w:t>* Насоки относно определени мерки за държавна помощ в контекста на схемата за търговия с квоти за емисии на парников газ след 2012 г., ОВ C 158, 5.6.2012 г., стр. 4.</w:t>
                      </w:r>
                    </w:p>
                    <w:p>
                      <w:pPr>
                        <w:jc w:val="both"/>
                        <w:rPr>
                          <w:rFonts w:ascii="Times New Roman" w:hAnsi="Times New Roman"/>
                          <w:sz w:val="18"/>
                          <w:szCs w:val="18"/>
                        </w:rPr>
                      </w:pPr>
                      <w:r>
                        <w:rPr>
                          <w:rFonts w:ascii="Times New Roman" w:hAnsi="Times New Roman"/>
                          <w:sz w:val="18"/>
                          <w:szCs w:val="18"/>
                        </w:rPr>
                        <w:t>** Насоки относно определени мерки за държавна помощ в контекста на схемата за търговия с квоти за емисии на парников газ след 2021 г., ОВ C 317, 25.9.2020 г., стр. 5—19.</w:t>
                      </w:r>
                    </w:p>
                  </w:txbxContent>
                </v:textbox>
                <w10:anchorlock/>
              </v:shape>
            </w:pict>
          </mc:Fallback>
        </mc:AlternateContent>
      </w:r>
    </w:p>
    <w:p>
      <w:pPr>
        <w:jc w:val="both"/>
        <w:rPr>
          <w:rFonts w:ascii="Times New Roman" w:eastAsia="Times New Roman" w:hAnsi="Times New Roman"/>
          <w:noProof/>
          <w:sz w:val="24"/>
          <w:szCs w:val="24"/>
        </w:rPr>
      </w:pPr>
      <w:r>
        <w:rPr>
          <w:rFonts w:ascii="Times New Roman" w:hAnsi="Times New Roman"/>
          <w:noProof/>
          <w:sz w:val="24"/>
          <w:szCs w:val="24"/>
        </w:rPr>
        <w:t>Към днешна дата Комисията е одобрила 14</w:t>
      </w:r>
      <w:r>
        <w:rPr>
          <w:rStyle w:val="FootnoteReference"/>
          <w:rFonts w:ascii="Times New Roman" w:eastAsia="Times New Roman" w:hAnsi="Times New Roman"/>
          <w:noProof/>
          <w:sz w:val="24"/>
          <w:szCs w:val="24"/>
          <w:lang w:eastAsia="de-DE"/>
        </w:rPr>
        <w:footnoteReference w:id="55"/>
      </w:r>
      <w:r>
        <w:rPr>
          <w:rFonts w:ascii="Times New Roman" w:hAnsi="Times New Roman"/>
          <w:noProof/>
          <w:sz w:val="24"/>
          <w:szCs w:val="24"/>
        </w:rPr>
        <w:t> схеми за компенсиране на непреките разходи за ограничаване на въглеродните емисии в 13 държави членки. През август 2019 г. Комисията одобри нова схема за Полша</w:t>
      </w:r>
      <w:r>
        <w:rPr>
          <w:rStyle w:val="FootnoteReference"/>
          <w:rFonts w:ascii="Times New Roman" w:eastAsia="Times New Roman" w:hAnsi="Times New Roman"/>
          <w:noProof/>
          <w:sz w:val="24"/>
          <w:szCs w:val="24"/>
          <w:lang w:eastAsia="de-DE"/>
        </w:rPr>
        <w:footnoteReference w:id="56"/>
      </w:r>
      <w:r>
        <w:rPr>
          <w:rFonts w:ascii="Times New Roman" w:hAnsi="Times New Roman"/>
          <w:noProof/>
          <w:sz w:val="24"/>
          <w:szCs w:val="24"/>
        </w:rPr>
        <w:t>. Очаква се компенсациите за Полша да започнат през 2020 г. за непреките разходи, направени през 2019 г. Същото важи и за румънска схема, одобрена от Комисията през май 2020 г.</w:t>
      </w:r>
      <w:r>
        <w:rPr>
          <w:rStyle w:val="FootnoteReference"/>
          <w:rFonts w:ascii="Times New Roman" w:eastAsia="Times New Roman" w:hAnsi="Times New Roman"/>
          <w:noProof/>
          <w:sz w:val="24"/>
          <w:szCs w:val="24"/>
          <w:lang w:eastAsia="de-DE"/>
        </w:rPr>
        <w:footnoteReference w:id="57"/>
      </w:r>
      <w:r>
        <w:rPr>
          <w:rFonts w:ascii="Times New Roman" w:hAnsi="Times New Roman"/>
          <w:noProof/>
          <w:sz w:val="24"/>
          <w:szCs w:val="24"/>
        </w:rPr>
        <w:t xml:space="preserve">. Редица други държави членки посочиха намерението си да започнат компенсиране на непреките разходи. </w:t>
      </w:r>
    </w:p>
    <w:p>
      <w:pPr>
        <w:jc w:val="both"/>
        <w:rPr>
          <w:rFonts w:ascii="Times New Roman" w:eastAsia="Times New Roman" w:hAnsi="Times New Roman"/>
          <w:noProof/>
          <w:sz w:val="24"/>
          <w:szCs w:val="24"/>
        </w:rPr>
      </w:pPr>
      <w:r>
        <w:rPr>
          <w:rFonts w:ascii="Times New Roman" w:hAnsi="Times New Roman"/>
          <w:noProof/>
          <w:sz w:val="24"/>
          <w:szCs w:val="24"/>
        </w:rPr>
        <w:t>В Директивата за СТЕ на ЕС е определено, че в срок от три месеца след края на всяка година държавите членки, които са въвели схема за компенсиране на непреки разходи, правят публично достояние в лесно достъпен формат общия размер на компенсацията, както и разбивката по отраслите и подотраслите, в полза на които е предоставена.</w:t>
      </w:r>
    </w:p>
    <w:p>
      <w:pPr>
        <w:jc w:val="both"/>
        <w:rPr>
          <w:rFonts w:ascii="Times New Roman" w:eastAsia="Times New Roman" w:hAnsi="Times New Roman"/>
          <w:noProof/>
          <w:sz w:val="24"/>
          <w:szCs w:val="24"/>
        </w:rPr>
      </w:pPr>
      <w:r>
        <w:rPr>
          <w:rFonts w:ascii="Times New Roman" w:hAnsi="Times New Roman"/>
          <w:noProof/>
          <w:sz w:val="24"/>
          <w:szCs w:val="24"/>
        </w:rPr>
        <w:t>Обобщение на данните, публикувани от държавите членки за компенсации, изплатени през 2019 г., е представено в таблица 6. Тъй като Полша и Румъния не компенсираха непреките разходи, направени през 2018 г., тези държави членки не са отразени в таблицата.</w:t>
      </w:r>
    </w:p>
    <w:p>
      <w:pPr>
        <w:jc w:val="both"/>
        <w:rPr>
          <w:rFonts w:ascii="Times New Roman" w:eastAsia="Times New Roman" w:hAnsi="Times New Roman"/>
          <w:b/>
          <w:noProof/>
          <w:lang w:eastAsia="de-DE"/>
        </w:rPr>
      </w:pPr>
    </w:p>
    <w:p>
      <w:pPr>
        <w:jc w:val="both"/>
        <w:rPr>
          <w:rFonts w:ascii="Times New Roman" w:eastAsia="Times New Roman" w:hAnsi="Times New Roman"/>
          <w:b/>
          <w:noProof/>
          <w:lang w:eastAsia="de-DE"/>
        </w:rPr>
      </w:pPr>
    </w:p>
    <w:p>
      <w:pPr>
        <w:jc w:val="both"/>
        <w:rPr>
          <w:rFonts w:ascii="Times New Roman" w:eastAsia="Times New Roman" w:hAnsi="Times New Roman"/>
          <w:noProof/>
          <w:sz w:val="24"/>
          <w:szCs w:val="24"/>
        </w:rPr>
      </w:pPr>
      <w:r>
        <w:rPr>
          <w:rFonts w:ascii="Times New Roman" w:hAnsi="Times New Roman"/>
          <w:b/>
          <w:noProof/>
        </w:rPr>
        <w:t>Таблица 6: Компенсация за непреки разходи за ограничаване на въглеродните емисии, изплатена през 2019 г.</w:t>
      </w:r>
    </w:p>
    <w:tbl>
      <w:tblPr>
        <w:tblW w:w="0" w:type="auto"/>
        <w:tblInd w:w="1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27"/>
        <w:gridCol w:w="1811"/>
        <w:gridCol w:w="1323"/>
        <w:gridCol w:w="1262"/>
        <w:gridCol w:w="1244"/>
        <w:gridCol w:w="1457"/>
      </w:tblGrid>
      <w:tr>
        <w:trPr>
          <w:trHeight w:val="1056"/>
        </w:trPr>
        <w:tc>
          <w:tcPr>
            <w:tcW w:w="0" w:type="auto"/>
            <w:shd w:val="clear" w:color="000000" w:fill="D9D9D9"/>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Държава</w:t>
            </w:r>
          </w:p>
        </w:tc>
        <w:tc>
          <w:tcPr>
            <w:tcW w:w="0" w:type="auto"/>
            <w:shd w:val="clear" w:color="000000" w:fill="D9D9D9"/>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Продължителност на схемата</w:t>
            </w:r>
          </w:p>
        </w:tc>
        <w:tc>
          <w:tcPr>
            <w:tcW w:w="0" w:type="auto"/>
            <w:shd w:val="clear" w:color="000000" w:fill="D9D9D9"/>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bCs/>
                <w:noProof/>
                <w:color w:val="000000"/>
                <w:sz w:val="18"/>
                <w:szCs w:val="18"/>
              </w:rPr>
              <w:t>Компенсация, изплатена през 2019 г. за непреките разходи, направени през 2018 г. (в млн. евро)</w:t>
            </w:r>
          </w:p>
        </w:tc>
        <w:tc>
          <w:tcPr>
            <w:tcW w:w="0" w:type="auto"/>
            <w:shd w:val="clear" w:color="000000" w:fill="D9D9D9"/>
            <w:vAlign w:val="center"/>
            <w:hideMark/>
          </w:tcPr>
          <w:p>
            <w:pPr>
              <w:spacing w:after="0" w:line="240" w:lineRule="auto"/>
              <w:jc w:val="center"/>
              <w:rPr>
                <w:rFonts w:ascii="Times New Roman" w:eastAsia="Times New Roman" w:hAnsi="Times New Roman"/>
                <w:b/>
                <w:bCs/>
                <w:noProof/>
                <w:color w:val="000000"/>
                <w:sz w:val="18"/>
                <w:szCs w:val="20"/>
              </w:rPr>
            </w:pPr>
            <w:r>
              <w:rPr>
                <w:rFonts w:ascii="Times New Roman" w:hAnsi="Times New Roman"/>
                <w:b/>
                <w:bCs/>
                <w:noProof/>
                <w:color w:val="000000"/>
                <w:sz w:val="18"/>
                <w:szCs w:val="20"/>
              </w:rPr>
              <w:t>Брой бенефициери (инсталации)</w:t>
            </w:r>
          </w:p>
        </w:tc>
        <w:tc>
          <w:tcPr>
            <w:tcW w:w="0" w:type="auto"/>
            <w:shd w:val="clear" w:color="000000" w:fill="D9D9D9"/>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Приходи от тръжни продажби за 2018 г. (в млн. евро)</w:t>
            </w:r>
            <w:r>
              <w:rPr>
                <w:rStyle w:val="FootnoteReference"/>
                <w:rFonts w:ascii="Times New Roman" w:eastAsia="Times New Roman" w:hAnsi="Times New Roman"/>
                <w:b/>
                <w:bCs/>
                <w:noProof/>
                <w:color w:val="000000"/>
                <w:sz w:val="20"/>
                <w:szCs w:val="20"/>
                <w:lang w:val="fr-BE" w:eastAsia="en-GB"/>
              </w:rPr>
              <w:footnoteReference w:id="58"/>
            </w:r>
          </w:p>
        </w:tc>
        <w:tc>
          <w:tcPr>
            <w:tcW w:w="0" w:type="auto"/>
            <w:shd w:val="clear" w:color="000000" w:fill="D9D9D9"/>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Процент от приходите от тръжни продажби, изразходвани за компенсиране на непреки разходи</w:t>
            </w:r>
          </w:p>
        </w:tc>
      </w:tr>
      <w:tr>
        <w:trPr>
          <w:trHeight w:val="50"/>
        </w:trPr>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Обединено кралство</w:t>
            </w:r>
            <w:r>
              <w:rPr>
                <w:rStyle w:val="FootnoteReference"/>
                <w:rFonts w:ascii="Times New Roman" w:eastAsia="Times New Roman" w:hAnsi="Times New Roman"/>
                <w:noProof/>
                <w:color w:val="000000"/>
                <w:sz w:val="20"/>
                <w:szCs w:val="20"/>
                <w:lang w:eastAsia="en-GB"/>
              </w:rPr>
              <w:footnoteReference w:id="59"/>
            </w:r>
          </w:p>
        </w:tc>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2013—2020 г.</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22</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60</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1607</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3,7 %</w:t>
            </w:r>
          </w:p>
        </w:tc>
      </w:tr>
      <w:tr>
        <w:trPr>
          <w:trHeight w:val="288"/>
        </w:trPr>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Германия</w:t>
            </w:r>
          </w:p>
        </w:tc>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2013—2020 г.</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219</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898</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2565</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8,5 %</w:t>
            </w:r>
          </w:p>
        </w:tc>
      </w:tr>
      <w:tr>
        <w:trPr>
          <w:trHeight w:val="288"/>
        </w:trPr>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Белгия (Фландрия)</w:t>
            </w:r>
          </w:p>
        </w:tc>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2013—2020 г.</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35,9</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107</w:t>
            </w:r>
          </w:p>
        </w:tc>
        <w:tc>
          <w:tcPr>
            <w:tcW w:w="0" w:type="auto"/>
            <w:vMerge w:val="restart"/>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379</w:t>
            </w:r>
          </w:p>
        </w:tc>
        <w:tc>
          <w:tcPr>
            <w:tcW w:w="0" w:type="auto"/>
            <w:vMerge w:val="restart"/>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11,4 %</w:t>
            </w:r>
          </w:p>
        </w:tc>
      </w:tr>
      <w:tr>
        <w:trPr>
          <w:trHeight w:val="288"/>
        </w:trPr>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Белгия (Валония)</w:t>
            </w:r>
          </w:p>
        </w:tc>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2017—2020 г.</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7,5</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29</w:t>
            </w:r>
          </w:p>
        </w:tc>
        <w:tc>
          <w:tcPr>
            <w:tcW w:w="0" w:type="auto"/>
            <w:vMerge/>
            <w:vAlign w:val="center"/>
            <w:hideMark/>
          </w:tcPr>
          <w:p>
            <w:pPr>
              <w:spacing w:after="0" w:line="240" w:lineRule="auto"/>
              <w:rPr>
                <w:rFonts w:ascii="Times New Roman" w:eastAsia="Times New Roman" w:hAnsi="Times New Roman"/>
                <w:noProof/>
                <w:color w:val="000000"/>
                <w:sz w:val="20"/>
                <w:szCs w:val="20"/>
                <w:lang w:eastAsia="en-GB"/>
              </w:rPr>
            </w:pPr>
          </w:p>
        </w:tc>
        <w:tc>
          <w:tcPr>
            <w:tcW w:w="0" w:type="auto"/>
            <w:vMerge/>
            <w:vAlign w:val="center"/>
            <w:hideMark/>
          </w:tcPr>
          <w:p>
            <w:pPr>
              <w:spacing w:after="0" w:line="240" w:lineRule="auto"/>
              <w:rPr>
                <w:rFonts w:ascii="Times New Roman" w:eastAsia="Times New Roman" w:hAnsi="Times New Roman"/>
                <w:noProof/>
                <w:color w:val="000000"/>
                <w:sz w:val="20"/>
                <w:szCs w:val="20"/>
                <w:lang w:eastAsia="en-GB"/>
              </w:rPr>
            </w:pPr>
          </w:p>
        </w:tc>
      </w:tr>
      <w:tr>
        <w:trPr>
          <w:trHeight w:val="288"/>
        </w:trPr>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Нидерландия</w:t>
            </w:r>
          </w:p>
        </w:tc>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2013—2020 г.</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40,3</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92</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501</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8,0 %</w:t>
            </w:r>
          </w:p>
        </w:tc>
      </w:tr>
      <w:tr>
        <w:trPr>
          <w:trHeight w:val="288"/>
        </w:trPr>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Гърция</w:t>
            </w:r>
          </w:p>
        </w:tc>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2013—2020 г.</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16,8</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50</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519</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3,2 %</w:t>
            </w:r>
          </w:p>
        </w:tc>
      </w:tr>
      <w:tr>
        <w:trPr>
          <w:trHeight w:val="288"/>
        </w:trPr>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Литва</w:t>
            </w:r>
          </w:p>
        </w:tc>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2014—2020 г.</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0,3</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1</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80</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0,3 %</w:t>
            </w:r>
          </w:p>
        </w:tc>
      </w:tr>
      <w:tr>
        <w:trPr>
          <w:trHeight w:val="288"/>
        </w:trPr>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Словакия</w:t>
            </w:r>
          </w:p>
        </w:tc>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2014—2020 г.</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6</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8</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229</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2,6 %</w:t>
            </w:r>
          </w:p>
        </w:tc>
      </w:tr>
      <w:tr>
        <w:trPr>
          <w:trHeight w:val="288"/>
        </w:trPr>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Франция</w:t>
            </w:r>
          </w:p>
        </w:tc>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2015—2020 г.</w:t>
            </w:r>
          </w:p>
        </w:tc>
        <w:tc>
          <w:tcPr>
            <w:tcW w:w="0" w:type="auto"/>
            <w:shd w:val="clear" w:color="auto" w:fill="auto"/>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102,1</w:t>
            </w:r>
          </w:p>
        </w:tc>
        <w:tc>
          <w:tcPr>
            <w:tcW w:w="0" w:type="auto"/>
            <w:shd w:val="clear" w:color="auto" w:fill="auto"/>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286</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818</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12,4 %</w:t>
            </w:r>
          </w:p>
        </w:tc>
      </w:tr>
      <w:tr>
        <w:trPr>
          <w:trHeight w:val="288"/>
        </w:trPr>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Финландия</w:t>
            </w:r>
          </w:p>
        </w:tc>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2016—2020 г.</w:t>
            </w:r>
          </w:p>
        </w:tc>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29,1</w:t>
            </w:r>
          </w:p>
        </w:tc>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61</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250</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11,6 %</w:t>
            </w:r>
          </w:p>
        </w:tc>
      </w:tr>
      <w:tr>
        <w:trPr>
          <w:trHeight w:val="288"/>
        </w:trPr>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Испания</w:t>
            </w:r>
          </w:p>
        </w:tc>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2013—2015 г.</w:t>
            </w:r>
          </w:p>
        </w:tc>
        <w:tc>
          <w:tcPr>
            <w:tcW w:w="0" w:type="auto"/>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172,2</w:t>
            </w:r>
          </w:p>
        </w:tc>
        <w:tc>
          <w:tcPr>
            <w:tcW w:w="0" w:type="auto"/>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183</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1291</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13,3 %</w:t>
            </w:r>
          </w:p>
        </w:tc>
      </w:tr>
      <w:tr>
        <w:trPr>
          <w:trHeight w:val="288"/>
        </w:trPr>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Люксембург</w:t>
            </w:r>
          </w:p>
        </w:tc>
        <w:tc>
          <w:tcPr>
            <w:tcW w:w="0" w:type="auto"/>
            <w:shd w:val="clear" w:color="000000" w:fill="FFFFFF"/>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2018—2020 г.</w:t>
            </w:r>
          </w:p>
        </w:tc>
        <w:tc>
          <w:tcPr>
            <w:tcW w:w="0" w:type="auto"/>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4,2</w:t>
            </w:r>
          </w:p>
        </w:tc>
        <w:tc>
          <w:tcPr>
            <w:tcW w:w="0" w:type="auto"/>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4</w:t>
            </w:r>
          </w:p>
        </w:tc>
        <w:tc>
          <w:tcPr>
            <w:tcW w:w="0" w:type="auto"/>
            <w:shd w:val="clear" w:color="000000" w:fill="FFFFFF"/>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18</w:t>
            </w:r>
          </w:p>
        </w:tc>
        <w:tc>
          <w:tcPr>
            <w:tcW w:w="0" w:type="auto"/>
            <w:shd w:val="clear" w:color="000000" w:fill="FFFFFF"/>
            <w:noWrap/>
            <w:vAlign w:val="bottom"/>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23,2 %</w:t>
            </w:r>
          </w:p>
        </w:tc>
      </w:tr>
    </w:tbl>
    <w:p>
      <w:pPr>
        <w:spacing w:after="0" w:line="240" w:lineRule="auto"/>
        <w:jc w:val="both"/>
        <w:rPr>
          <w:rFonts w:ascii="Times New Roman" w:eastAsia="Times New Roman" w:hAnsi="Times New Roman"/>
          <w:noProof/>
          <w:sz w:val="18"/>
          <w:szCs w:val="18"/>
          <w:lang w:eastAsia="de-DE"/>
        </w:rPr>
      </w:pPr>
    </w:p>
    <w:p>
      <w:pPr>
        <w:jc w:val="both"/>
        <w:rPr>
          <w:rFonts w:ascii="Times New Roman" w:eastAsia="Times New Roman" w:hAnsi="Times New Roman"/>
          <w:noProof/>
          <w:sz w:val="18"/>
          <w:szCs w:val="18"/>
        </w:rPr>
      </w:pPr>
      <w:r>
        <w:rPr>
          <w:rFonts w:ascii="Times New Roman" w:hAnsi="Times New Roman"/>
          <w:noProof/>
          <w:sz w:val="18"/>
          <w:szCs w:val="18"/>
        </w:rPr>
        <w:t>Източник: Доклади на държавите до ГД „Действия по климата“</w:t>
      </w:r>
    </w:p>
    <w:p>
      <w:pPr>
        <w:jc w:val="both"/>
        <w:rPr>
          <w:rFonts w:ascii="Times New Roman" w:eastAsia="Times New Roman" w:hAnsi="Times New Roman"/>
          <w:noProof/>
          <w:sz w:val="24"/>
          <w:szCs w:val="24"/>
        </w:rPr>
      </w:pPr>
      <w:r>
        <w:rPr>
          <w:rFonts w:ascii="Times New Roman" w:hAnsi="Times New Roman"/>
          <w:noProof/>
          <w:sz w:val="24"/>
          <w:szCs w:val="24"/>
        </w:rPr>
        <w:t>Общата компенсация за непреките разходи, изплатена от 10-те държави членки на ЕС и Обединеното кралство през 2019 г. за разходите, направени през 2018 г., възлиза на около 656 млн. евро. Това е почти 200 милиона повече от изплатената през 2018 г. сума. Значителното увеличение в сравнение с предходната година може да бъде обяснено, от една страна, със значителното увеличение на бюджета на Испания (от 6 млн. евро през 2018 г. на 172 млн. евро през 2019 г.), а от друга, с лекото увеличение на цената на въглеродните емисии, използвана за изчисляване на компенсацията. Устойчивото увеличение на цената на въглеродните емисии през 2018 г. все още не е напълно отразено в сумите, изплатени през 2019 г., поради факта, че насоките предвиждат използването на форуърдната цена в година x-1.</w:t>
      </w:r>
    </w:p>
    <w:p>
      <w:pPr>
        <w:jc w:val="both"/>
        <w:rPr>
          <w:rFonts w:ascii="Times New Roman" w:hAnsi="Times New Roman"/>
          <w:b/>
          <w:noProof/>
        </w:rPr>
      </w:pPr>
      <w:r>
        <w:rPr>
          <w:rFonts w:ascii="Times New Roman" w:hAnsi="Times New Roman"/>
          <w:noProof/>
          <w:sz w:val="24"/>
          <w:szCs w:val="24"/>
        </w:rPr>
        <w:t>Една от разпоредбите за прозрачност в преразгледаната Директива за СТЕ на ЕС определя, че държавите членки, които изразходват повече от 25 % от своите приходи от тръжни продажби за компенсиране на непреки разходи през която и да е година, трябва да публикуват доклад, в който се посочват причините, поради които тази сума е надвишена. Фактът, че през 2018 г. приходите от тръжни продажби са били значително по-високи, отколкото през предходните години, в съчетание с факта, че компенсацията не се е увеличила толкова бързо, като се има предвид задължението за използване на цената от предходната година, означава, че в нито една от държавите членки не е достигнат прагът от 25 %. Държавите членки изразходваха средно 7,9 % от приходите си от тръжни продажби за компенсиране на непреките разходи. През следващите години държавите членки се приканват да следят отблизо бюджетите си за тази разходна позиция.</w:t>
      </w:r>
      <w:bookmarkStart w:id="39" w:name="_Toc490850431"/>
      <w:bookmarkStart w:id="40" w:name="_Toc519009682"/>
      <w:bookmarkEnd w:id="37"/>
      <w:bookmarkEnd w:id="38"/>
    </w:p>
    <w:p>
      <w:pPr>
        <w:pStyle w:val="Heading3"/>
        <w:spacing w:before="0" w:after="200"/>
        <w:ind w:left="720"/>
        <w:rPr>
          <w:noProof/>
        </w:rPr>
      </w:pPr>
      <w:bookmarkStart w:id="41" w:name="_Toc56071840"/>
      <w:r>
        <w:rPr>
          <w:noProof/>
        </w:rPr>
        <w:t>3.1.3. Международни кредити</w:t>
      </w:r>
      <w:bookmarkEnd w:id="39"/>
      <w:bookmarkEnd w:id="40"/>
      <w:bookmarkEnd w:id="41"/>
    </w:p>
    <w:p>
      <w:pPr>
        <w:jc w:val="both"/>
        <w:rPr>
          <w:rFonts w:ascii="Times New Roman" w:hAnsi="Times New Roman"/>
          <w:noProof/>
          <w:sz w:val="24"/>
          <w:szCs w:val="24"/>
        </w:rPr>
      </w:pPr>
      <w:r>
        <w:rPr>
          <w:rFonts w:ascii="Times New Roman" w:hAnsi="Times New Roman"/>
          <w:noProof/>
          <w:sz w:val="24"/>
          <w:szCs w:val="24"/>
          <w:lang w:val="en-GB" w:eastAsia="en-GB"/>
        </w:rPr>
        <mc:AlternateContent>
          <mc:Choice Requires="wps">
            <w:drawing>
              <wp:inline distT="0" distB="0" distL="0" distR="0">
                <wp:extent cx="5742432" cy="3105150"/>
                <wp:effectExtent l="0" t="0" r="10795" b="1905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432" cy="3105150"/>
                        </a:xfrm>
                        <a:prstGeom prst="rect">
                          <a:avLst/>
                        </a:prstGeom>
                        <a:solidFill>
                          <a:schemeClr val="bg1">
                            <a:lumMod val="85000"/>
                          </a:scheme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Участниците в СТЕ на ЕС все още могат да използват международни кредити от Механизма за чисто развитие (МЧР) и Съвместното изпълнение (JI) на Протокола от Киото за изпълнение на част от своите задължения съгласно СТЕ на ЕС до края на цикъла на съответствие през 2020 г.</w:t>
                            </w:r>
                            <w:r>
                              <w:rPr>
                                <w:rStyle w:val="FootnoteReference"/>
                                <w:rFonts w:ascii="Times New Roman" w:hAnsi="Times New Roman"/>
                                <w:sz w:val="24"/>
                                <w:szCs w:val="24"/>
                              </w:rPr>
                              <w:t>*</w:t>
                            </w:r>
                            <w:r>
                              <w:rPr>
                                <w:rFonts w:ascii="Times New Roman" w:hAnsi="Times New Roman"/>
                                <w:sz w:val="24"/>
                                <w:szCs w:val="24"/>
                              </w:rPr>
                              <w:t>, при условие че спазват качествени и количествени ограничения. Тези кредити са финансови инструменти, които представляват един тон СО</w:t>
                            </w:r>
                            <w:r>
                              <w:rPr>
                                <w:rFonts w:ascii="Times New Roman" w:hAnsi="Times New Roman"/>
                                <w:sz w:val="24"/>
                                <w:szCs w:val="24"/>
                                <w:vertAlign w:val="subscript"/>
                              </w:rPr>
                              <w:t>2</w:t>
                            </w:r>
                            <w:r>
                              <w:rPr>
                                <w:rFonts w:ascii="Times New Roman" w:hAnsi="Times New Roman"/>
                                <w:sz w:val="24"/>
                                <w:szCs w:val="24"/>
                              </w:rPr>
                              <w:t>, който е отстранен от атмосферата или чието изпускане е избегнато в резултат на проект за намаляване на емисиите. Кредитите не се връщат пряко, но могат да бъдат заменени срещу квоти за емисии по всяко време в рамките на календарната година.</w:t>
                            </w:r>
                            <w:r>
                              <w:t xml:space="preserve"> </w:t>
                            </w:r>
                          </w:p>
                          <w:p>
                            <w:pPr>
                              <w:jc w:val="both"/>
                              <w:rPr>
                                <w:rFonts w:ascii="Times New Roman" w:hAnsi="Times New Roman"/>
                                <w:sz w:val="24"/>
                                <w:szCs w:val="24"/>
                              </w:rPr>
                            </w:pPr>
                            <w:r>
                              <w:rPr>
                                <w:rFonts w:ascii="Times New Roman" w:hAnsi="Times New Roman"/>
                                <w:sz w:val="24"/>
                                <w:szCs w:val="24"/>
                              </w:rPr>
                              <w:t>Съгласно разпоредбите на Директивата за СТЕ на ЕС международните кредити вече няма да се използват за спазване на изискванията по СТЕ на ЕС в периода 2021—2030 г.</w:t>
                            </w:r>
                          </w:p>
                          <w:p>
                            <w:pPr>
                              <w:jc w:val="both"/>
                              <w:rPr>
                                <w:rFonts w:ascii="Times New Roman" w:hAnsi="Times New Roman"/>
                                <w:sz w:val="18"/>
                                <w:szCs w:val="18"/>
                              </w:rPr>
                            </w:pPr>
                            <w:r>
                              <w:rPr>
                                <w:rFonts w:ascii="Times New Roman" w:hAnsi="Times New Roman"/>
                                <w:sz w:val="18"/>
                                <w:szCs w:val="18"/>
                              </w:rPr>
                              <w:t xml:space="preserve">* Проектите по МЧР и проектите по JI генерират кредити за намалени емисии по Протокола от Киото: съответно сертифицирани единици редуцирани емисии (СЕРЕ) и единици редуцирани емисии (ЕРЕ). </w:t>
                            </w:r>
                          </w:p>
                        </w:txbxContent>
                      </wps:txbx>
                      <wps:bodyPr rot="0" vert="horz" wrap="square" lIns="91440" tIns="45720" rIns="91440" bIns="45720" anchor="t" anchorCtr="0">
                        <a:noAutofit/>
                      </wps:bodyPr>
                    </wps:wsp>
                  </a:graphicData>
                </a:graphic>
              </wp:inline>
            </w:drawing>
          </mc:Choice>
          <mc:Fallback>
            <w:pict>
              <v:shape id="_x0000_s1035" type="#_x0000_t202" style="width:452.15pt;height:2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" fillcolor="#d8d8d8 [2732]" strokeweight="1pt">
                <v:textbox>
                  <w:txbxContent>
                    <w:p>
                      <w:pPr>
                        <w:jc w:val="both"/>
                        <w:rPr>
                          <w:rFonts w:ascii="Times New Roman" w:hAnsi="Times New Roman"/>
                          <w:sz w:val="24"/>
                          <w:szCs w:val="24"/>
                        </w:rPr>
                      </w:pPr>
                      <w:r>
                        <w:rPr>
                          <w:rFonts w:ascii="Times New Roman" w:hAnsi="Times New Roman"/>
                          <w:sz w:val="24"/>
                          <w:szCs w:val="24"/>
                        </w:rPr>
                        <w:t>Участниците в СТЕ на ЕС все още могат да използват международни кредити от Механизма за чисто развитие (МЧР) и Съвместното изпълнение (JI) на Протокола от Киото за изпълнение на част от своите задължения съгласно СТЕ на ЕС до края на цикъла на съответствие през 2020 г.</w:t>
                      </w:r>
                      <w:r>
                        <w:rPr>
                          <w:rStyle w:val="FootnoteReference"/>
                          <w:rFonts w:ascii="Times New Roman" w:hAnsi="Times New Roman"/>
                          <w:sz w:val="24"/>
                          <w:szCs w:val="24"/>
                        </w:rPr>
                        <w:t>*</w:t>
                      </w:r>
                      <w:r>
                        <w:rPr>
                          <w:rFonts w:ascii="Times New Roman" w:hAnsi="Times New Roman"/>
                          <w:sz w:val="24"/>
                          <w:szCs w:val="24"/>
                        </w:rPr>
                        <w:t>, при условие че спазват качествени и количествени ограничения. Тези кредити са финансови инструменти, които представляват един тон СО</w:t>
                      </w:r>
                      <w:r>
                        <w:rPr>
                          <w:rFonts w:ascii="Times New Roman" w:hAnsi="Times New Roman"/>
                          <w:sz w:val="24"/>
                          <w:szCs w:val="24"/>
                          <w:vertAlign w:val="subscript"/>
                        </w:rPr>
                        <w:t>2</w:t>
                      </w:r>
                      <w:r>
                        <w:rPr>
                          <w:rFonts w:ascii="Times New Roman" w:hAnsi="Times New Roman"/>
                          <w:sz w:val="24"/>
                          <w:szCs w:val="24"/>
                        </w:rPr>
                        <w:t>, който е отстранен от атмосферата или чието изпускане е избегнато в резултат на проект за намаляване на емисиите. Кредитите не се връщат пряко, но могат да бъдат заменени срещу квоти за емисии по всяко време в рамките на календарната година.</w:t>
                      </w:r>
                      <w:r>
                        <w:t xml:space="preserve"> </w:t>
                      </w:r>
                    </w:p>
                    <w:p>
                      <w:pPr>
                        <w:jc w:val="both"/>
                        <w:rPr>
                          <w:rFonts w:ascii="Times New Roman" w:hAnsi="Times New Roman"/>
                          <w:sz w:val="24"/>
                          <w:szCs w:val="24"/>
                        </w:rPr>
                      </w:pPr>
                      <w:r>
                        <w:rPr>
                          <w:rFonts w:ascii="Times New Roman" w:hAnsi="Times New Roman"/>
                          <w:sz w:val="24"/>
                          <w:szCs w:val="24"/>
                        </w:rPr>
                        <w:t>Съгласно разпоредбите на Директивата за СТЕ на ЕС международните кредити вече няма да се използват за спазване на изискванията по СТЕ на ЕС в периода 2021—2030 г.</w:t>
                      </w:r>
                    </w:p>
                    <w:p>
                      <w:pPr>
                        <w:jc w:val="both"/>
                        <w:rPr>
                          <w:rFonts w:ascii="Times New Roman" w:hAnsi="Times New Roman"/>
                          <w:sz w:val="18"/>
                          <w:szCs w:val="18"/>
                        </w:rPr>
                      </w:pPr>
                      <w:r>
                        <w:rPr>
                          <w:rFonts w:ascii="Times New Roman" w:hAnsi="Times New Roman"/>
                          <w:sz w:val="18"/>
                          <w:szCs w:val="18"/>
                        </w:rPr>
                        <w:t xml:space="preserve">* Проектите по МЧР и проектите по JI генерират кредити за намалени емисии по Протокола от Киото: съответно сертифицирани единици редуцирани емисии (СЕРЕ) и единици редуцирани емисии (ЕРЕ). </w:t>
                      </w:r>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szCs w:val="24"/>
        </w:rPr>
        <w:t xml:space="preserve">Въпреки че точното количество на правата за международни кредити през фаза 2 и фаза 3 (2008—2020 г.) зависи отчасти от количествата на бъдещите верифицирани емисии, пазарните анализатори прогнозират, че то ще възлезе на около 1,6 милиарда кредита. Към края на юни 2020 г. общият брой на използваните или обменените международни кредити възлиза на около 1,54 милиарда, което представлява над 96 % от прогнозната стойност на допустимия максимум. Само през 2019 г. са разменени около 17,3 милиона единици. </w:t>
      </w:r>
    </w:p>
    <w:p>
      <w:pPr>
        <w:spacing w:after="0"/>
        <w:jc w:val="both"/>
        <w:rPr>
          <w:rFonts w:ascii="Times New Roman" w:hAnsi="Times New Roman"/>
          <w:noProof/>
          <w:sz w:val="24"/>
          <w:szCs w:val="24"/>
        </w:rPr>
      </w:pPr>
      <w:r>
        <w:rPr>
          <w:rFonts w:ascii="Times New Roman" w:hAnsi="Times New Roman"/>
          <w:noProof/>
          <w:sz w:val="24"/>
          <w:szCs w:val="24"/>
        </w:rPr>
        <w:t>За пълен преглед на международния обмен на кредити вж. допълнение 3 към приложението.</w:t>
      </w:r>
      <w:bookmarkStart w:id="42" w:name="_Toc490850432"/>
      <w:bookmarkStart w:id="43" w:name="_Toc519009683"/>
    </w:p>
    <w:p>
      <w:pPr>
        <w:spacing w:after="0"/>
        <w:jc w:val="both"/>
        <w:rPr>
          <w:rFonts w:ascii="Times New Roman" w:hAnsi="Times New Roman"/>
          <w:noProof/>
          <w:sz w:val="24"/>
          <w:szCs w:val="24"/>
        </w:rPr>
      </w:pPr>
    </w:p>
    <w:p>
      <w:pPr>
        <w:spacing w:after="0"/>
        <w:jc w:val="both"/>
        <w:rPr>
          <w:noProof/>
        </w:rPr>
      </w:pPr>
    </w:p>
    <w:p>
      <w:pPr>
        <w:spacing w:after="0"/>
        <w:jc w:val="both"/>
        <w:rPr>
          <w:noProof/>
        </w:rPr>
      </w:pPr>
    </w:p>
    <w:p>
      <w:pPr>
        <w:spacing w:after="0"/>
        <w:jc w:val="both"/>
        <w:rPr>
          <w:noProof/>
        </w:rPr>
      </w:pPr>
    </w:p>
    <w:p>
      <w:pPr>
        <w:spacing w:after="0"/>
        <w:jc w:val="both"/>
        <w:rPr>
          <w:noProof/>
        </w:rPr>
      </w:pPr>
    </w:p>
    <w:p>
      <w:pPr>
        <w:spacing w:after="0"/>
        <w:jc w:val="both"/>
        <w:rPr>
          <w:noProof/>
        </w:rPr>
      </w:pPr>
    </w:p>
    <w:p>
      <w:pPr>
        <w:spacing w:after="0"/>
        <w:jc w:val="both"/>
        <w:rPr>
          <w:noProof/>
        </w:rPr>
      </w:pPr>
    </w:p>
    <w:p>
      <w:pPr>
        <w:spacing w:after="0"/>
        <w:jc w:val="both"/>
        <w:rPr>
          <w:noProof/>
        </w:rPr>
      </w:pPr>
    </w:p>
    <w:p>
      <w:pPr>
        <w:spacing w:after="0"/>
        <w:jc w:val="both"/>
        <w:rPr>
          <w:noProof/>
        </w:rPr>
      </w:pPr>
    </w:p>
    <w:p>
      <w:pPr>
        <w:spacing w:after="0"/>
        <w:jc w:val="both"/>
        <w:rPr>
          <w:noProof/>
        </w:rPr>
      </w:pPr>
    </w:p>
    <w:p>
      <w:pPr>
        <w:spacing w:after="0"/>
        <w:jc w:val="both"/>
        <w:rPr>
          <w:noProof/>
        </w:rPr>
      </w:pPr>
    </w:p>
    <w:p>
      <w:pPr>
        <w:spacing w:after="0"/>
        <w:jc w:val="both"/>
        <w:rPr>
          <w:noProof/>
        </w:rPr>
      </w:pPr>
    </w:p>
    <w:p>
      <w:pPr>
        <w:spacing w:after="0"/>
        <w:jc w:val="both"/>
        <w:rPr>
          <w:noProof/>
        </w:rPr>
      </w:pPr>
    </w:p>
    <w:p>
      <w:pPr>
        <w:spacing w:after="0"/>
        <w:jc w:val="both"/>
        <w:rPr>
          <w:noProof/>
        </w:rPr>
      </w:pPr>
    </w:p>
    <w:p>
      <w:pPr>
        <w:spacing w:after="0"/>
        <w:jc w:val="both"/>
        <w:rPr>
          <w:noProof/>
        </w:rPr>
      </w:pPr>
    </w:p>
    <w:p>
      <w:pPr>
        <w:spacing w:after="0"/>
        <w:jc w:val="both"/>
        <w:rPr>
          <w:noProof/>
        </w:rPr>
      </w:pPr>
    </w:p>
    <w:p>
      <w:pPr>
        <w:spacing w:after="0"/>
        <w:jc w:val="both"/>
        <w:rPr>
          <w:noProof/>
        </w:rPr>
      </w:pPr>
    </w:p>
    <w:p>
      <w:pPr>
        <w:spacing w:after="0"/>
        <w:jc w:val="both"/>
        <w:rPr>
          <w:noProof/>
        </w:rPr>
      </w:pPr>
    </w:p>
    <w:p>
      <w:pPr>
        <w:spacing w:after="0"/>
        <w:jc w:val="both"/>
        <w:rPr>
          <w:noProof/>
        </w:rPr>
      </w:pPr>
    </w:p>
    <w:p>
      <w:pPr>
        <w:spacing w:after="0"/>
        <w:jc w:val="both"/>
        <w:rPr>
          <w:noProof/>
        </w:rPr>
      </w:pPr>
    </w:p>
    <w:p>
      <w:pPr>
        <w:spacing w:after="0"/>
        <w:jc w:val="both"/>
        <w:rPr>
          <w:noProof/>
        </w:rPr>
      </w:pPr>
    </w:p>
    <w:p>
      <w:pPr>
        <w:spacing w:after="0"/>
        <w:jc w:val="both"/>
        <w:rPr>
          <w:noProof/>
        </w:rPr>
      </w:pPr>
    </w:p>
    <w:p>
      <w:pPr>
        <w:spacing w:after="0"/>
        <w:jc w:val="both"/>
        <w:rPr>
          <w:noProof/>
        </w:rPr>
      </w:pPr>
    </w:p>
    <w:p>
      <w:pPr>
        <w:spacing w:after="0"/>
        <w:jc w:val="both"/>
        <w:rPr>
          <w:noProof/>
        </w:rPr>
      </w:pPr>
    </w:p>
    <w:p>
      <w:pPr>
        <w:spacing w:after="0"/>
        <w:jc w:val="both"/>
        <w:rPr>
          <w:noProof/>
        </w:rPr>
      </w:pPr>
    </w:p>
    <w:p>
      <w:pPr>
        <w:spacing w:after="0"/>
        <w:jc w:val="both"/>
        <w:rPr>
          <w:noProof/>
        </w:rPr>
      </w:pPr>
    </w:p>
    <w:p>
      <w:pPr>
        <w:spacing w:after="0"/>
        <w:jc w:val="both"/>
        <w:rPr>
          <w:noProof/>
        </w:rPr>
      </w:pPr>
    </w:p>
    <w:p>
      <w:pPr>
        <w:spacing w:after="0"/>
        <w:jc w:val="both"/>
        <w:rPr>
          <w:noProof/>
        </w:rPr>
      </w:pPr>
    </w:p>
    <w:p>
      <w:pPr>
        <w:spacing w:after="0"/>
        <w:jc w:val="both"/>
        <w:rPr>
          <w:noProof/>
        </w:rPr>
      </w:pPr>
    </w:p>
    <w:p>
      <w:pPr>
        <w:spacing w:after="0"/>
        <w:jc w:val="both"/>
        <w:rPr>
          <w:noProof/>
        </w:rPr>
      </w:pPr>
    </w:p>
    <w:p>
      <w:pPr>
        <w:spacing w:after="0"/>
        <w:jc w:val="both"/>
        <w:rPr>
          <w:noProof/>
        </w:rPr>
      </w:pPr>
    </w:p>
    <w:p>
      <w:pPr>
        <w:spacing w:after="0"/>
        <w:jc w:val="both"/>
        <w:rPr>
          <w:noProof/>
        </w:rPr>
      </w:pPr>
    </w:p>
    <w:p>
      <w:pPr>
        <w:spacing w:after="0"/>
        <w:jc w:val="both"/>
        <w:rPr>
          <w:noProof/>
        </w:rPr>
      </w:pPr>
    </w:p>
    <w:p>
      <w:pPr>
        <w:spacing w:after="0"/>
        <w:jc w:val="both"/>
        <w:rPr>
          <w:noProof/>
        </w:rPr>
      </w:pPr>
    </w:p>
    <w:p>
      <w:pPr>
        <w:spacing w:after="0"/>
        <w:jc w:val="both"/>
        <w:rPr>
          <w:noProof/>
        </w:rPr>
      </w:pPr>
    </w:p>
    <w:p>
      <w:pPr>
        <w:spacing w:after="0"/>
        <w:jc w:val="both"/>
        <w:rPr>
          <w:noProof/>
        </w:rPr>
      </w:pPr>
    </w:p>
    <w:p>
      <w:pPr>
        <w:spacing w:after="0"/>
        <w:jc w:val="both"/>
        <w:rPr>
          <w:noProof/>
        </w:rPr>
      </w:pPr>
    </w:p>
    <w:p>
      <w:pPr>
        <w:spacing w:after="0"/>
        <w:jc w:val="both"/>
        <w:rPr>
          <w:noProof/>
        </w:rPr>
      </w:pPr>
    </w:p>
    <w:p>
      <w:pPr>
        <w:spacing w:after="0"/>
        <w:jc w:val="both"/>
        <w:rPr>
          <w:noProof/>
        </w:rPr>
      </w:pPr>
    </w:p>
    <w:p>
      <w:pPr>
        <w:pStyle w:val="Heading2"/>
        <w:rPr>
          <w:i w:val="0"/>
          <w:noProof/>
        </w:rPr>
      </w:pPr>
      <w:bookmarkStart w:id="44" w:name="_Toc56071841"/>
      <w:r>
        <w:rPr>
          <w:i w:val="0"/>
          <w:noProof/>
        </w:rPr>
        <w:t>3.2. Търсене: извадени от обръщение квоти</w:t>
      </w:r>
      <w:bookmarkEnd w:id="42"/>
      <w:bookmarkEnd w:id="43"/>
      <w:bookmarkEnd w:id="44"/>
    </w:p>
    <w:p>
      <w:pPr>
        <w:jc w:val="both"/>
        <w:rPr>
          <w:rFonts w:ascii="Times New Roman" w:hAnsi="Times New Roman"/>
          <w:noProof/>
          <w:sz w:val="24"/>
          <w:szCs w:val="24"/>
        </w:rPr>
      </w:pPr>
      <w:r>
        <w:rPr>
          <w:rFonts w:ascii="Times New Roman" w:hAnsi="Times New Roman"/>
          <w:noProof/>
          <w:sz w:val="24"/>
          <w:szCs w:val="24"/>
        </w:rPr>
        <w:t>През 2019 г. емисиите от стационарни инсталации, които участват в СТЕ на ЕС, са намалели силно с 9,1 % в сравнение с 2018 г. съгласно вписаната в Регистъра на ЕС информация. Както показва таблица 7, намалението се дължи главно на производството на електроенергия и топлинна енергия, където емисиите са спаднали с около 15 % в сравнение с 2018 г., което отразява декарбонизацията от замяната на въглищата с електроенергия от възобновяеми източници и производството на електроенергия от газ. Емисиите от промишлеността са намалели с близо 2 %</w:t>
      </w:r>
      <w:r>
        <w:rPr>
          <w:noProof/>
        </w:rPr>
        <w:t xml:space="preserve">, </w:t>
      </w:r>
      <w:r>
        <w:rPr>
          <w:rFonts w:ascii="Times New Roman" w:hAnsi="Times New Roman"/>
          <w:noProof/>
          <w:sz w:val="24"/>
          <w:szCs w:val="24"/>
        </w:rPr>
        <w:t xml:space="preserve">, което е най-големият спад във фаза 3 досега. Като цяло от началото на фаза 3 през 2013 г. емисиите в СТЕ от стационарни инсталации са намалели с 19,8 %. </w:t>
      </w:r>
    </w:p>
    <w:p>
      <w:pPr>
        <w:pStyle w:val="Caption"/>
        <w:keepNext/>
        <w:rPr>
          <w:rFonts w:ascii="Times New Roman" w:hAnsi="Times New Roman"/>
          <w:noProof/>
          <w:color w:val="000000"/>
          <w:sz w:val="22"/>
          <w:szCs w:val="22"/>
        </w:rPr>
      </w:pPr>
      <w:r>
        <w:rPr>
          <w:rFonts w:ascii="Times New Roman" w:hAnsi="Times New Roman"/>
          <w:noProof/>
          <w:sz w:val="22"/>
          <w:szCs w:val="22"/>
        </w:rPr>
        <w:t xml:space="preserve">Таблица 7: Верифицирани емисии от стационарни инсталации (в милиони тонове </w:t>
      </w:r>
      <w:r>
        <w:rPr>
          <w:rFonts w:ascii="Times New Roman" w:hAnsi="Times New Roman"/>
          <w:b w:val="0"/>
          <w:bCs w:val="0"/>
          <w:noProof/>
          <w:sz w:val="22"/>
          <w:szCs w:val="22"/>
        </w:rPr>
        <w:t>CO</w:t>
      </w:r>
      <w:r>
        <w:rPr>
          <w:rFonts w:ascii="Times New Roman" w:hAnsi="Times New Roman"/>
          <w:b w:val="0"/>
          <w:bCs w:val="0"/>
          <w:noProof/>
          <w:sz w:val="22"/>
          <w:szCs w:val="22"/>
          <w:vertAlign w:val="subscript"/>
        </w:rPr>
        <w:t>2</w:t>
      </w:r>
      <w:r>
        <w:rPr>
          <w:rFonts w:ascii="Times New Roman" w:hAnsi="Times New Roman"/>
          <w:b w:val="0"/>
          <w:bCs w:val="0"/>
          <w:noProof/>
          <w:sz w:val="22"/>
          <w:szCs w:val="22"/>
        </w:rPr>
        <w:t xml:space="preserve"> </w:t>
      </w:r>
      <w:r>
        <w:rPr>
          <w:rFonts w:ascii="Times New Roman" w:hAnsi="Times New Roman"/>
          <w:noProof/>
          <w:sz w:val="22"/>
          <w:szCs w:val="22"/>
        </w:rPr>
        <w:t xml:space="preserve"> еквивалент)</w:t>
      </w:r>
      <w:r>
        <w:rPr>
          <w:rStyle w:val="FootnoteReference"/>
          <w:rFonts w:ascii="Times New Roman" w:hAnsi="Times New Roman"/>
          <w:noProof/>
          <w:color w:val="000000"/>
          <w:sz w:val="22"/>
          <w:szCs w:val="22"/>
          <w:lang w:eastAsia="en-GB"/>
        </w:rPr>
        <w:footnoteReference w:id="60"/>
      </w:r>
    </w:p>
    <w:tbl>
      <w:tblPr>
        <w:tblW w:w="5470" w:type="pct"/>
        <w:tblInd w:w="108" w:type="dxa"/>
        <w:tblLayout w:type="fixed"/>
        <w:tblCellMar>
          <w:left w:w="0" w:type="dxa"/>
          <w:right w:w="0" w:type="dxa"/>
        </w:tblCellMar>
        <w:tblLook w:val="04A0" w:firstRow="1" w:lastRow="0" w:firstColumn="1" w:lastColumn="0" w:noHBand="0" w:noVBand="1"/>
      </w:tblPr>
      <w:tblGrid>
        <w:gridCol w:w="2077"/>
        <w:gridCol w:w="894"/>
        <w:gridCol w:w="881"/>
        <w:gridCol w:w="883"/>
        <w:gridCol w:w="883"/>
        <w:gridCol w:w="881"/>
        <w:gridCol w:w="883"/>
        <w:gridCol w:w="879"/>
        <w:gridCol w:w="875"/>
        <w:gridCol w:w="873"/>
      </w:tblGrid>
      <w:tr>
        <w:trPr>
          <w:trHeight w:val="474"/>
        </w:trPr>
        <w:tc>
          <w:tcPr>
            <w:tcW w:w="1038" w:type="pct"/>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bCs/>
                <w:noProof/>
                <w:color w:val="000000"/>
                <w:sz w:val="20"/>
                <w:szCs w:val="20"/>
              </w:rPr>
            </w:pPr>
            <w:r>
              <w:rPr>
                <w:rFonts w:ascii="Times New Roman" w:hAnsi="Times New Roman"/>
                <w:b/>
                <w:bCs/>
                <w:noProof/>
                <w:color w:val="000000"/>
                <w:sz w:val="20"/>
                <w:szCs w:val="20"/>
              </w:rPr>
              <w:t>Година</w:t>
            </w:r>
          </w:p>
        </w:tc>
        <w:tc>
          <w:tcPr>
            <w:tcW w:w="447"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noProof/>
                <w:sz w:val="20"/>
                <w:szCs w:val="20"/>
              </w:rPr>
            </w:pPr>
            <w:r>
              <w:rPr>
                <w:rFonts w:ascii="Times New Roman" w:hAnsi="Times New Roman"/>
                <w:b/>
                <w:noProof/>
                <w:sz w:val="20"/>
                <w:szCs w:val="20"/>
              </w:rPr>
              <w:t>2011 г.</w:t>
            </w:r>
          </w:p>
        </w:tc>
        <w:tc>
          <w:tcPr>
            <w:tcW w:w="440"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noProof/>
                <w:sz w:val="20"/>
                <w:szCs w:val="20"/>
              </w:rPr>
            </w:pPr>
            <w:r>
              <w:rPr>
                <w:rFonts w:ascii="Times New Roman" w:hAnsi="Times New Roman"/>
                <w:b/>
                <w:noProof/>
                <w:sz w:val="20"/>
                <w:szCs w:val="20"/>
              </w:rPr>
              <w:t>2012 г.</w:t>
            </w:r>
          </w:p>
        </w:tc>
        <w:tc>
          <w:tcPr>
            <w:tcW w:w="441"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noProof/>
                <w:sz w:val="20"/>
                <w:szCs w:val="20"/>
              </w:rPr>
            </w:pPr>
            <w:r>
              <w:rPr>
                <w:rFonts w:ascii="Times New Roman" w:hAnsi="Times New Roman"/>
                <w:b/>
                <w:noProof/>
                <w:sz w:val="20"/>
                <w:szCs w:val="20"/>
              </w:rPr>
              <w:t>2013 г.</w:t>
            </w:r>
          </w:p>
        </w:tc>
        <w:tc>
          <w:tcPr>
            <w:tcW w:w="441"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noProof/>
                <w:sz w:val="20"/>
                <w:szCs w:val="20"/>
              </w:rPr>
            </w:pPr>
            <w:r>
              <w:rPr>
                <w:rFonts w:ascii="Times New Roman" w:hAnsi="Times New Roman"/>
                <w:b/>
                <w:noProof/>
                <w:sz w:val="20"/>
                <w:szCs w:val="20"/>
              </w:rPr>
              <w:t>2014 г.</w:t>
            </w:r>
          </w:p>
        </w:tc>
        <w:tc>
          <w:tcPr>
            <w:tcW w:w="440"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noProof/>
                <w:sz w:val="20"/>
                <w:szCs w:val="20"/>
              </w:rPr>
            </w:pPr>
            <w:r>
              <w:rPr>
                <w:rFonts w:ascii="Times New Roman" w:hAnsi="Times New Roman"/>
                <w:b/>
                <w:noProof/>
                <w:sz w:val="20"/>
                <w:szCs w:val="20"/>
              </w:rPr>
              <w:t>2015 г.</w:t>
            </w:r>
          </w:p>
        </w:tc>
        <w:tc>
          <w:tcPr>
            <w:tcW w:w="441"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noProof/>
                <w:sz w:val="20"/>
                <w:szCs w:val="20"/>
              </w:rPr>
            </w:pPr>
            <w:r>
              <w:rPr>
                <w:rFonts w:ascii="Times New Roman" w:hAnsi="Times New Roman"/>
                <w:b/>
                <w:noProof/>
                <w:sz w:val="20"/>
                <w:szCs w:val="20"/>
              </w:rPr>
              <w:t>2016 г.</w:t>
            </w:r>
          </w:p>
        </w:tc>
        <w:tc>
          <w:tcPr>
            <w:tcW w:w="439"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b/>
                <w:noProof/>
                <w:sz w:val="20"/>
                <w:szCs w:val="20"/>
              </w:rPr>
            </w:pPr>
            <w:r>
              <w:rPr>
                <w:rFonts w:ascii="Times New Roman" w:hAnsi="Times New Roman"/>
                <w:b/>
                <w:noProof/>
                <w:sz w:val="20"/>
                <w:szCs w:val="20"/>
              </w:rPr>
              <w:t>2017 г.</w:t>
            </w:r>
          </w:p>
        </w:tc>
        <w:tc>
          <w:tcPr>
            <w:tcW w:w="437" w:type="pct"/>
            <w:tcBorders>
              <w:top w:val="double" w:sz="4" w:space="0" w:color="auto"/>
              <w:left w:val="nil"/>
              <w:bottom w:val="double" w:sz="4" w:space="0" w:color="auto"/>
              <w:right w:val="double" w:sz="4" w:space="0" w:color="auto"/>
            </w:tcBorders>
            <w:vAlign w:val="center"/>
          </w:tcPr>
          <w:p>
            <w:pPr>
              <w:jc w:val="center"/>
              <w:rPr>
                <w:rFonts w:ascii="Times New Roman" w:hAnsi="Times New Roman"/>
                <w:b/>
                <w:noProof/>
                <w:sz w:val="20"/>
                <w:szCs w:val="20"/>
              </w:rPr>
            </w:pPr>
            <w:r>
              <w:rPr>
                <w:rFonts w:ascii="Times New Roman" w:hAnsi="Times New Roman"/>
                <w:b/>
                <w:noProof/>
                <w:sz w:val="20"/>
                <w:szCs w:val="20"/>
              </w:rPr>
              <w:t>2018 г.</w:t>
            </w:r>
          </w:p>
        </w:tc>
        <w:tc>
          <w:tcPr>
            <w:tcW w:w="436" w:type="pct"/>
            <w:tcBorders>
              <w:top w:val="double" w:sz="4" w:space="0" w:color="auto"/>
              <w:left w:val="nil"/>
              <w:bottom w:val="double" w:sz="4" w:space="0" w:color="auto"/>
              <w:right w:val="double" w:sz="4" w:space="0" w:color="auto"/>
            </w:tcBorders>
            <w:vAlign w:val="center"/>
          </w:tcPr>
          <w:p>
            <w:pPr>
              <w:jc w:val="center"/>
              <w:rPr>
                <w:rFonts w:ascii="Times New Roman" w:hAnsi="Times New Roman"/>
                <w:b/>
                <w:noProof/>
                <w:sz w:val="20"/>
                <w:szCs w:val="20"/>
              </w:rPr>
            </w:pPr>
            <w:r>
              <w:rPr>
                <w:rFonts w:ascii="Times New Roman" w:hAnsi="Times New Roman"/>
                <w:b/>
                <w:noProof/>
                <w:sz w:val="20"/>
                <w:szCs w:val="20"/>
              </w:rPr>
              <w:t>2019 г.</w:t>
            </w:r>
          </w:p>
        </w:tc>
      </w:tr>
      <w:tr>
        <w:trPr>
          <w:trHeight w:val="474"/>
        </w:trPr>
        <w:tc>
          <w:tcPr>
            <w:tcW w:w="1038"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FF0000"/>
                <w:sz w:val="20"/>
                <w:szCs w:val="20"/>
              </w:rPr>
            </w:pPr>
            <w:r>
              <w:rPr>
                <w:rFonts w:ascii="Times New Roman" w:hAnsi="Times New Roman"/>
                <w:b/>
                <w:bCs/>
                <w:noProof/>
                <w:color w:val="000000"/>
                <w:sz w:val="20"/>
                <w:szCs w:val="20"/>
              </w:rPr>
              <w:t>Верифицирани общи емисии</w:t>
            </w:r>
          </w:p>
        </w:tc>
        <w:tc>
          <w:tcPr>
            <w:tcW w:w="447"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sz w:val="20"/>
                <w:szCs w:val="20"/>
              </w:rPr>
            </w:pPr>
            <w:r>
              <w:rPr>
                <w:rFonts w:ascii="Times New Roman" w:hAnsi="Times New Roman"/>
                <w:noProof/>
                <w:sz w:val="20"/>
                <w:szCs w:val="20"/>
              </w:rPr>
              <w:t>1 904</w:t>
            </w:r>
          </w:p>
        </w:tc>
        <w:tc>
          <w:tcPr>
            <w:tcW w:w="44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sz w:val="20"/>
                <w:szCs w:val="20"/>
              </w:rPr>
            </w:pPr>
            <w:r>
              <w:rPr>
                <w:rFonts w:ascii="Times New Roman" w:hAnsi="Times New Roman"/>
                <w:noProof/>
                <w:sz w:val="20"/>
                <w:szCs w:val="20"/>
              </w:rPr>
              <w:t>1 867</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sz w:val="20"/>
                <w:szCs w:val="20"/>
              </w:rPr>
            </w:pPr>
            <w:r>
              <w:rPr>
                <w:rFonts w:ascii="Times New Roman" w:hAnsi="Times New Roman"/>
                <w:noProof/>
                <w:sz w:val="20"/>
                <w:szCs w:val="20"/>
              </w:rPr>
              <w:t>1 908</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sz w:val="20"/>
                <w:szCs w:val="20"/>
              </w:rPr>
            </w:pPr>
            <w:r>
              <w:rPr>
                <w:rFonts w:ascii="Times New Roman" w:hAnsi="Times New Roman"/>
                <w:noProof/>
                <w:sz w:val="20"/>
                <w:szCs w:val="20"/>
              </w:rPr>
              <w:t>1 814</w:t>
            </w:r>
          </w:p>
        </w:tc>
        <w:tc>
          <w:tcPr>
            <w:tcW w:w="44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sz w:val="20"/>
                <w:szCs w:val="20"/>
              </w:rPr>
            </w:pPr>
            <w:r>
              <w:rPr>
                <w:rFonts w:ascii="Times New Roman" w:hAnsi="Times New Roman"/>
                <w:noProof/>
                <w:sz w:val="20"/>
                <w:szCs w:val="20"/>
              </w:rPr>
              <w:t>1 803</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sz w:val="20"/>
                <w:szCs w:val="20"/>
              </w:rPr>
            </w:pPr>
            <w:r>
              <w:rPr>
                <w:rFonts w:ascii="Times New Roman" w:hAnsi="Times New Roman"/>
                <w:noProof/>
                <w:sz w:val="20"/>
                <w:szCs w:val="20"/>
              </w:rPr>
              <w:t>1 750</w:t>
            </w:r>
          </w:p>
        </w:tc>
        <w:tc>
          <w:tcPr>
            <w:tcW w:w="439"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sz w:val="20"/>
                <w:szCs w:val="20"/>
              </w:rPr>
            </w:pPr>
            <w:r>
              <w:rPr>
                <w:rFonts w:ascii="Times New Roman" w:hAnsi="Times New Roman"/>
                <w:noProof/>
                <w:sz w:val="20"/>
                <w:szCs w:val="20"/>
              </w:rPr>
              <w:t>1 755</w:t>
            </w:r>
          </w:p>
        </w:tc>
        <w:tc>
          <w:tcPr>
            <w:tcW w:w="437" w:type="pct"/>
            <w:tcBorders>
              <w:top w:val="nil"/>
              <w:left w:val="nil"/>
              <w:bottom w:val="double" w:sz="4" w:space="0" w:color="auto"/>
              <w:right w:val="double" w:sz="4" w:space="0" w:color="auto"/>
            </w:tcBorders>
            <w:vAlign w:val="center"/>
          </w:tcPr>
          <w:p>
            <w:pPr>
              <w:jc w:val="center"/>
              <w:rPr>
                <w:rFonts w:ascii="Times New Roman" w:hAnsi="Times New Roman"/>
                <w:noProof/>
                <w:sz w:val="20"/>
                <w:szCs w:val="20"/>
              </w:rPr>
            </w:pPr>
            <w:r>
              <w:rPr>
                <w:rFonts w:ascii="Times New Roman" w:hAnsi="Times New Roman"/>
                <w:noProof/>
                <w:sz w:val="20"/>
                <w:szCs w:val="20"/>
              </w:rPr>
              <w:t>1 682</w:t>
            </w:r>
          </w:p>
        </w:tc>
        <w:tc>
          <w:tcPr>
            <w:tcW w:w="436" w:type="pct"/>
            <w:tcBorders>
              <w:top w:val="nil"/>
              <w:left w:val="nil"/>
              <w:bottom w:val="double" w:sz="4" w:space="0" w:color="auto"/>
              <w:right w:val="double" w:sz="4" w:space="0" w:color="auto"/>
            </w:tcBorders>
            <w:vAlign w:val="center"/>
          </w:tcPr>
          <w:p>
            <w:pPr>
              <w:jc w:val="center"/>
              <w:rPr>
                <w:rFonts w:ascii="Times New Roman" w:hAnsi="Times New Roman"/>
                <w:noProof/>
                <w:sz w:val="20"/>
                <w:szCs w:val="20"/>
              </w:rPr>
            </w:pPr>
            <w:r>
              <w:rPr>
                <w:rFonts w:ascii="Times New Roman" w:hAnsi="Times New Roman"/>
                <w:noProof/>
                <w:sz w:val="20"/>
                <w:szCs w:val="20"/>
              </w:rPr>
              <w:t>1 530</w:t>
            </w:r>
          </w:p>
        </w:tc>
      </w:tr>
      <w:tr>
        <w:tc>
          <w:tcPr>
            <w:tcW w:w="1038"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rPr>
            </w:pPr>
            <w:r>
              <w:rPr>
                <w:rFonts w:ascii="Times New Roman" w:hAnsi="Times New Roman"/>
                <w:b/>
                <w:bCs/>
                <w:noProof/>
                <w:color w:val="000000"/>
                <w:sz w:val="20"/>
                <w:szCs w:val="20"/>
              </w:rPr>
              <w:t>Промяна от година</w:t>
            </w:r>
          </w:p>
          <w:p>
            <w:pPr>
              <w:jc w:val="center"/>
              <w:rPr>
                <w:rFonts w:ascii="Times New Roman" w:hAnsi="Times New Roman"/>
                <w:b/>
                <w:bCs/>
                <w:noProof/>
                <w:color w:val="000000"/>
                <w:sz w:val="20"/>
                <w:szCs w:val="20"/>
              </w:rPr>
            </w:pPr>
            <w:r>
              <w:rPr>
                <w:rFonts w:ascii="Times New Roman" w:hAnsi="Times New Roman"/>
                <w:b/>
                <w:bCs/>
                <w:noProof/>
                <w:color w:val="000000"/>
                <w:sz w:val="20"/>
                <w:szCs w:val="20"/>
              </w:rPr>
              <w:t>x-1</w:t>
            </w:r>
          </w:p>
        </w:tc>
        <w:tc>
          <w:tcPr>
            <w:tcW w:w="447"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FF0000"/>
                <w:sz w:val="20"/>
                <w:szCs w:val="20"/>
              </w:rPr>
            </w:pPr>
          </w:p>
        </w:tc>
        <w:tc>
          <w:tcPr>
            <w:tcW w:w="44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FF0000"/>
                <w:sz w:val="20"/>
                <w:szCs w:val="20"/>
              </w:rPr>
            </w:pPr>
            <w:r>
              <w:rPr>
                <w:rFonts w:ascii="Times New Roman" w:hAnsi="Times New Roman"/>
                <w:noProof/>
                <w:sz w:val="20"/>
                <w:szCs w:val="20"/>
              </w:rPr>
              <w:t>-2,0 %</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FF0000"/>
                <w:sz w:val="20"/>
                <w:szCs w:val="20"/>
              </w:rPr>
            </w:pPr>
            <w:r>
              <w:rPr>
                <w:rFonts w:ascii="Times New Roman" w:hAnsi="Times New Roman"/>
                <w:noProof/>
                <w:sz w:val="20"/>
                <w:szCs w:val="20"/>
              </w:rPr>
              <w:t>2,2 %</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sz w:val="20"/>
                <w:szCs w:val="20"/>
              </w:rPr>
              <w:t>-4,9 %</w:t>
            </w:r>
          </w:p>
        </w:tc>
        <w:tc>
          <w:tcPr>
            <w:tcW w:w="44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sz w:val="20"/>
                <w:szCs w:val="20"/>
              </w:rPr>
              <w:t>-0,6 %</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sz w:val="20"/>
                <w:szCs w:val="20"/>
              </w:rPr>
              <w:t>-2,9 %</w:t>
            </w:r>
          </w:p>
        </w:tc>
        <w:tc>
          <w:tcPr>
            <w:tcW w:w="439"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sz w:val="20"/>
                <w:szCs w:val="20"/>
              </w:rPr>
              <w:t>0,2 %</w:t>
            </w:r>
          </w:p>
        </w:tc>
        <w:tc>
          <w:tcPr>
            <w:tcW w:w="43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sz w:val="20"/>
                <w:szCs w:val="20"/>
              </w:rPr>
              <w:t>-4,1 %</w:t>
            </w:r>
          </w:p>
        </w:tc>
        <w:tc>
          <w:tcPr>
            <w:tcW w:w="436"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sz w:val="20"/>
                <w:szCs w:val="20"/>
              </w:rPr>
              <w:t>-9,1 %</w:t>
            </w:r>
          </w:p>
        </w:tc>
      </w:tr>
      <w:tr>
        <w:trPr>
          <w:trHeight w:val="558"/>
        </w:trPr>
        <w:tc>
          <w:tcPr>
            <w:tcW w:w="1038"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rPr>
            </w:pPr>
            <w:r>
              <w:rPr>
                <w:rFonts w:ascii="Times New Roman" w:hAnsi="Times New Roman"/>
                <w:b/>
                <w:bCs/>
                <w:noProof/>
                <w:color w:val="000000"/>
                <w:sz w:val="20"/>
                <w:szCs w:val="20"/>
              </w:rPr>
              <w:t>Верифицирани емисии от производство на електрическа и топлинна енергия</w:t>
            </w:r>
          </w:p>
        </w:tc>
        <w:tc>
          <w:tcPr>
            <w:tcW w:w="447"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sz w:val="20"/>
                <w:szCs w:val="20"/>
              </w:rPr>
              <w:t>1 206</w:t>
            </w:r>
          </w:p>
        </w:tc>
        <w:tc>
          <w:tcPr>
            <w:tcW w:w="44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sz w:val="20"/>
                <w:szCs w:val="20"/>
              </w:rPr>
              <w:t>1 201</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sz w:val="20"/>
                <w:szCs w:val="20"/>
              </w:rPr>
              <w:t>1 138</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sz w:val="20"/>
                <w:szCs w:val="20"/>
              </w:rPr>
              <w:t>1 049</w:t>
            </w:r>
          </w:p>
        </w:tc>
        <w:tc>
          <w:tcPr>
            <w:tcW w:w="44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sz w:val="20"/>
                <w:szCs w:val="20"/>
              </w:rPr>
              <w:t>1 043</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sz w:val="20"/>
                <w:szCs w:val="20"/>
              </w:rPr>
              <w:t>1 001</w:t>
            </w:r>
          </w:p>
        </w:tc>
        <w:tc>
          <w:tcPr>
            <w:tcW w:w="439"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sz w:val="20"/>
                <w:szCs w:val="20"/>
              </w:rPr>
              <w:t>996</w:t>
            </w:r>
          </w:p>
        </w:tc>
        <w:tc>
          <w:tcPr>
            <w:tcW w:w="43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sz w:val="20"/>
                <w:szCs w:val="20"/>
              </w:rPr>
              <w:t>930</w:t>
            </w:r>
          </w:p>
        </w:tc>
        <w:tc>
          <w:tcPr>
            <w:tcW w:w="436"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sz w:val="20"/>
                <w:szCs w:val="20"/>
              </w:rPr>
              <w:t>792</w:t>
            </w:r>
          </w:p>
        </w:tc>
      </w:tr>
      <w:tr>
        <w:tc>
          <w:tcPr>
            <w:tcW w:w="1038"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rPr>
            </w:pPr>
            <w:r>
              <w:rPr>
                <w:rFonts w:ascii="Times New Roman" w:hAnsi="Times New Roman"/>
                <w:b/>
                <w:bCs/>
                <w:noProof/>
                <w:color w:val="000000"/>
                <w:sz w:val="20"/>
                <w:szCs w:val="20"/>
              </w:rPr>
              <w:t>Промяна от година</w:t>
            </w:r>
          </w:p>
          <w:p>
            <w:pPr>
              <w:jc w:val="center"/>
              <w:rPr>
                <w:rFonts w:ascii="Times New Roman" w:hAnsi="Times New Roman"/>
                <w:b/>
                <w:bCs/>
                <w:noProof/>
                <w:color w:val="000000"/>
                <w:sz w:val="20"/>
                <w:szCs w:val="20"/>
              </w:rPr>
            </w:pPr>
            <w:r>
              <w:rPr>
                <w:rFonts w:ascii="Times New Roman" w:hAnsi="Times New Roman"/>
                <w:b/>
                <w:bCs/>
                <w:noProof/>
                <w:color w:val="000000"/>
                <w:sz w:val="20"/>
                <w:szCs w:val="20"/>
              </w:rPr>
              <w:t>x-1</w:t>
            </w:r>
          </w:p>
        </w:tc>
        <w:tc>
          <w:tcPr>
            <w:tcW w:w="447"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000000"/>
                <w:sz w:val="20"/>
                <w:szCs w:val="20"/>
                <w:lang w:eastAsia="en-GB"/>
              </w:rPr>
            </w:pPr>
          </w:p>
        </w:tc>
        <w:tc>
          <w:tcPr>
            <w:tcW w:w="44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sz w:val="20"/>
                <w:szCs w:val="20"/>
              </w:rPr>
              <w:t>-0,5 %</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sz w:val="20"/>
                <w:szCs w:val="20"/>
              </w:rPr>
              <w:t>-5,2 %</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sz w:val="20"/>
                <w:szCs w:val="20"/>
              </w:rPr>
              <w:t>-7,8 %</w:t>
            </w:r>
          </w:p>
        </w:tc>
        <w:tc>
          <w:tcPr>
            <w:tcW w:w="44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sz w:val="20"/>
                <w:szCs w:val="20"/>
              </w:rPr>
              <w:t>-0,5 %</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sz w:val="20"/>
                <w:szCs w:val="20"/>
              </w:rPr>
              <w:t>-4,1 %</w:t>
            </w:r>
          </w:p>
        </w:tc>
        <w:tc>
          <w:tcPr>
            <w:tcW w:w="439"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sz w:val="20"/>
                <w:szCs w:val="20"/>
              </w:rPr>
              <w:t>-0,5 %</w:t>
            </w:r>
          </w:p>
        </w:tc>
        <w:tc>
          <w:tcPr>
            <w:tcW w:w="437" w:type="pct"/>
            <w:tcBorders>
              <w:top w:val="nil"/>
              <w:left w:val="nil"/>
              <w:bottom w:val="double" w:sz="4" w:space="0" w:color="auto"/>
              <w:right w:val="double" w:sz="4" w:space="0" w:color="auto"/>
            </w:tcBorders>
            <w:vAlign w:val="center"/>
          </w:tcPr>
          <w:p>
            <w:pPr>
              <w:jc w:val="center"/>
              <w:rPr>
                <w:rFonts w:ascii="Times New Roman" w:hAnsi="Times New Roman"/>
                <w:noProof/>
                <w:color w:val="000000" w:themeColor="text1"/>
                <w:sz w:val="20"/>
                <w:szCs w:val="20"/>
              </w:rPr>
            </w:pPr>
            <w:r>
              <w:rPr>
                <w:rFonts w:ascii="Times New Roman" w:hAnsi="Times New Roman"/>
                <w:noProof/>
                <w:sz w:val="20"/>
                <w:szCs w:val="20"/>
              </w:rPr>
              <w:t>-6,6 %</w:t>
            </w:r>
          </w:p>
        </w:tc>
        <w:tc>
          <w:tcPr>
            <w:tcW w:w="436" w:type="pct"/>
            <w:tcBorders>
              <w:top w:val="nil"/>
              <w:left w:val="nil"/>
              <w:bottom w:val="double" w:sz="4" w:space="0" w:color="auto"/>
              <w:right w:val="double" w:sz="4" w:space="0" w:color="auto"/>
            </w:tcBorders>
            <w:vAlign w:val="center"/>
          </w:tcPr>
          <w:p>
            <w:pPr>
              <w:jc w:val="center"/>
              <w:rPr>
                <w:rFonts w:ascii="Times New Roman" w:hAnsi="Times New Roman"/>
                <w:noProof/>
                <w:color w:val="000000" w:themeColor="text1"/>
                <w:sz w:val="20"/>
                <w:szCs w:val="20"/>
              </w:rPr>
            </w:pPr>
            <w:r>
              <w:rPr>
                <w:rFonts w:ascii="Times New Roman" w:hAnsi="Times New Roman"/>
                <w:noProof/>
                <w:sz w:val="20"/>
                <w:szCs w:val="20"/>
              </w:rPr>
              <w:t>-14,9 %</w:t>
            </w:r>
          </w:p>
        </w:tc>
      </w:tr>
      <w:tr>
        <w:trPr>
          <w:trHeight w:val="582"/>
        </w:trPr>
        <w:tc>
          <w:tcPr>
            <w:tcW w:w="1038"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rPr>
            </w:pPr>
            <w:r>
              <w:rPr>
                <w:rFonts w:ascii="Times New Roman" w:hAnsi="Times New Roman"/>
                <w:b/>
                <w:bCs/>
                <w:noProof/>
                <w:color w:val="000000"/>
                <w:sz w:val="20"/>
                <w:szCs w:val="20"/>
              </w:rPr>
              <w:t>Верифицирани емисии от промишлени инсталации</w:t>
            </w:r>
          </w:p>
        </w:tc>
        <w:tc>
          <w:tcPr>
            <w:tcW w:w="447"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sz w:val="20"/>
                <w:szCs w:val="20"/>
              </w:rPr>
              <w:t>698</w:t>
            </w:r>
          </w:p>
        </w:tc>
        <w:tc>
          <w:tcPr>
            <w:tcW w:w="44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sz w:val="20"/>
                <w:szCs w:val="20"/>
              </w:rPr>
              <w:t>666</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sz w:val="20"/>
                <w:szCs w:val="20"/>
              </w:rPr>
              <w:t>770</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sz w:val="20"/>
                <w:szCs w:val="20"/>
              </w:rPr>
              <w:t>765</w:t>
            </w:r>
          </w:p>
        </w:tc>
        <w:tc>
          <w:tcPr>
            <w:tcW w:w="44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sz w:val="20"/>
                <w:szCs w:val="20"/>
              </w:rPr>
              <w:t>760</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sz w:val="20"/>
                <w:szCs w:val="20"/>
              </w:rPr>
              <w:t>750</w:t>
            </w:r>
          </w:p>
        </w:tc>
        <w:tc>
          <w:tcPr>
            <w:tcW w:w="439"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sz w:val="20"/>
                <w:szCs w:val="20"/>
              </w:rPr>
              <w:t>759</w:t>
            </w:r>
          </w:p>
        </w:tc>
        <w:tc>
          <w:tcPr>
            <w:tcW w:w="437" w:type="pct"/>
            <w:tcBorders>
              <w:top w:val="nil"/>
              <w:left w:val="nil"/>
              <w:bottom w:val="double" w:sz="4" w:space="0" w:color="auto"/>
              <w:right w:val="double" w:sz="4" w:space="0" w:color="auto"/>
            </w:tcBorders>
            <w:vAlign w:val="center"/>
          </w:tcPr>
          <w:p>
            <w:pPr>
              <w:jc w:val="center"/>
              <w:rPr>
                <w:rFonts w:ascii="Times New Roman" w:hAnsi="Times New Roman"/>
                <w:noProof/>
                <w:color w:val="000000" w:themeColor="text1"/>
                <w:sz w:val="20"/>
                <w:szCs w:val="20"/>
              </w:rPr>
            </w:pPr>
            <w:r>
              <w:rPr>
                <w:rFonts w:ascii="Times New Roman" w:hAnsi="Times New Roman"/>
                <w:noProof/>
                <w:sz w:val="20"/>
                <w:szCs w:val="20"/>
              </w:rPr>
              <w:t>753</w:t>
            </w:r>
          </w:p>
        </w:tc>
        <w:tc>
          <w:tcPr>
            <w:tcW w:w="436" w:type="pct"/>
            <w:tcBorders>
              <w:top w:val="nil"/>
              <w:left w:val="nil"/>
              <w:bottom w:val="double" w:sz="4" w:space="0" w:color="auto"/>
              <w:right w:val="double" w:sz="4" w:space="0" w:color="auto"/>
            </w:tcBorders>
            <w:vAlign w:val="center"/>
          </w:tcPr>
          <w:p>
            <w:pPr>
              <w:jc w:val="center"/>
              <w:rPr>
                <w:rFonts w:ascii="Times New Roman" w:hAnsi="Times New Roman"/>
                <w:noProof/>
                <w:color w:val="000000" w:themeColor="text1"/>
                <w:sz w:val="20"/>
                <w:szCs w:val="20"/>
              </w:rPr>
            </w:pPr>
            <w:r>
              <w:rPr>
                <w:rFonts w:ascii="Times New Roman" w:hAnsi="Times New Roman"/>
                <w:noProof/>
                <w:sz w:val="20"/>
                <w:szCs w:val="20"/>
              </w:rPr>
              <w:t>738</w:t>
            </w:r>
          </w:p>
        </w:tc>
      </w:tr>
      <w:tr>
        <w:tc>
          <w:tcPr>
            <w:tcW w:w="1038"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rPr>
            </w:pPr>
            <w:r>
              <w:rPr>
                <w:rFonts w:ascii="Times New Roman" w:hAnsi="Times New Roman"/>
                <w:b/>
                <w:bCs/>
                <w:noProof/>
                <w:color w:val="000000"/>
                <w:sz w:val="20"/>
                <w:szCs w:val="20"/>
              </w:rPr>
              <w:t>Промяна от година</w:t>
            </w:r>
          </w:p>
          <w:p>
            <w:pPr>
              <w:jc w:val="center"/>
              <w:rPr>
                <w:rFonts w:ascii="Times New Roman" w:hAnsi="Times New Roman"/>
                <w:b/>
                <w:bCs/>
                <w:noProof/>
                <w:color w:val="000000"/>
                <w:sz w:val="20"/>
                <w:szCs w:val="20"/>
              </w:rPr>
            </w:pPr>
            <w:r>
              <w:rPr>
                <w:rFonts w:ascii="Times New Roman" w:hAnsi="Times New Roman"/>
                <w:b/>
                <w:bCs/>
                <w:noProof/>
                <w:color w:val="000000"/>
                <w:sz w:val="20"/>
                <w:szCs w:val="20"/>
              </w:rPr>
              <w:t>x-1</w:t>
            </w:r>
          </w:p>
        </w:tc>
        <w:tc>
          <w:tcPr>
            <w:tcW w:w="447"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000000"/>
                <w:sz w:val="20"/>
                <w:szCs w:val="20"/>
                <w:lang w:eastAsia="en-GB"/>
              </w:rPr>
            </w:pPr>
          </w:p>
        </w:tc>
        <w:tc>
          <w:tcPr>
            <w:tcW w:w="44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sz w:val="20"/>
                <w:szCs w:val="20"/>
              </w:rPr>
              <w:t>-4,6 %</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sz w:val="20"/>
                <w:szCs w:val="20"/>
              </w:rPr>
              <w:t>15,6 %</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sz w:val="20"/>
                <w:szCs w:val="20"/>
              </w:rPr>
              <w:t>-0,7 %</w:t>
            </w:r>
          </w:p>
        </w:tc>
        <w:tc>
          <w:tcPr>
            <w:tcW w:w="44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sz w:val="20"/>
                <w:szCs w:val="20"/>
              </w:rPr>
              <w:t>-0,7 %</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sz w:val="20"/>
                <w:szCs w:val="20"/>
              </w:rPr>
              <w:t>-1,3 %</w:t>
            </w:r>
          </w:p>
        </w:tc>
        <w:tc>
          <w:tcPr>
            <w:tcW w:w="439"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themeColor="text1"/>
                <w:sz w:val="20"/>
                <w:szCs w:val="20"/>
              </w:rPr>
            </w:pPr>
            <w:r>
              <w:rPr>
                <w:rFonts w:ascii="Times New Roman" w:hAnsi="Times New Roman"/>
                <w:noProof/>
                <w:sz w:val="20"/>
                <w:szCs w:val="20"/>
              </w:rPr>
              <w:t>1,3 %</w:t>
            </w:r>
          </w:p>
        </w:tc>
        <w:tc>
          <w:tcPr>
            <w:tcW w:w="437" w:type="pct"/>
            <w:tcBorders>
              <w:top w:val="nil"/>
              <w:left w:val="nil"/>
              <w:bottom w:val="double" w:sz="4" w:space="0" w:color="auto"/>
              <w:right w:val="double" w:sz="4" w:space="0" w:color="auto"/>
            </w:tcBorders>
            <w:vAlign w:val="center"/>
          </w:tcPr>
          <w:p>
            <w:pPr>
              <w:jc w:val="center"/>
              <w:rPr>
                <w:rFonts w:ascii="Times New Roman" w:hAnsi="Times New Roman"/>
                <w:noProof/>
                <w:color w:val="000000" w:themeColor="text1"/>
                <w:sz w:val="20"/>
                <w:szCs w:val="20"/>
              </w:rPr>
            </w:pPr>
            <w:r>
              <w:rPr>
                <w:rFonts w:ascii="Times New Roman" w:hAnsi="Times New Roman"/>
                <w:noProof/>
                <w:sz w:val="20"/>
                <w:szCs w:val="20"/>
              </w:rPr>
              <w:t>-0,8 %</w:t>
            </w:r>
          </w:p>
        </w:tc>
        <w:tc>
          <w:tcPr>
            <w:tcW w:w="436" w:type="pct"/>
            <w:tcBorders>
              <w:top w:val="nil"/>
              <w:left w:val="nil"/>
              <w:bottom w:val="double" w:sz="4" w:space="0" w:color="auto"/>
              <w:right w:val="double" w:sz="4" w:space="0" w:color="auto"/>
            </w:tcBorders>
            <w:vAlign w:val="center"/>
          </w:tcPr>
          <w:p>
            <w:pPr>
              <w:jc w:val="center"/>
              <w:rPr>
                <w:rFonts w:ascii="Times New Roman" w:hAnsi="Times New Roman"/>
                <w:noProof/>
                <w:color w:val="000000" w:themeColor="text1"/>
                <w:sz w:val="20"/>
                <w:szCs w:val="20"/>
              </w:rPr>
            </w:pPr>
            <w:r>
              <w:rPr>
                <w:rFonts w:ascii="Times New Roman" w:hAnsi="Times New Roman"/>
                <w:noProof/>
                <w:sz w:val="20"/>
                <w:szCs w:val="20"/>
              </w:rPr>
              <w:t>-1,9 %</w:t>
            </w:r>
          </w:p>
        </w:tc>
      </w:tr>
      <w:tr>
        <w:trPr>
          <w:trHeight w:val="774"/>
        </w:trPr>
        <w:tc>
          <w:tcPr>
            <w:tcW w:w="1038"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rPr>
            </w:pPr>
            <w:r>
              <w:rPr>
                <w:noProof/>
              </w:rPr>
              <w:t xml:space="preserve"> </w:t>
            </w:r>
            <w:r>
              <w:rPr>
                <w:noProof/>
              </w:rPr>
              <w:br/>
            </w:r>
            <w:r>
              <w:rPr>
                <w:rFonts w:ascii="Times New Roman" w:hAnsi="Times New Roman"/>
                <w:b/>
                <w:bCs/>
                <w:noProof/>
                <w:color w:val="000000"/>
                <w:sz w:val="20"/>
                <w:szCs w:val="20"/>
              </w:rPr>
              <w:t>Ръст на реалния БВП ЕС27 + UK</w:t>
            </w:r>
          </w:p>
        </w:tc>
        <w:tc>
          <w:tcPr>
            <w:tcW w:w="447"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FF0000"/>
                <w:sz w:val="20"/>
                <w:szCs w:val="20"/>
              </w:rPr>
            </w:pPr>
            <w:r>
              <w:rPr>
                <w:rFonts w:ascii="Times New Roman" w:hAnsi="Times New Roman"/>
                <w:noProof/>
                <w:sz w:val="20"/>
                <w:szCs w:val="20"/>
              </w:rPr>
              <w:t>1,8 %</w:t>
            </w:r>
          </w:p>
        </w:tc>
        <w:tc>
          <w:tcPr>
            <w:tcW w:w="440"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FF0000"/>
                <w:sz w:val="20"/>
                <w:szCs w:val="20"/>
              </w:rPr>
            </w:pPr>
            <w:r>
              <w:rPr>
                <w:rFonts w:ascii="Times New Roman" w:hAnsi="Times New Roman"/>
                <w:noProof/>
                <w:sz w:val="20"/>
                <w:szCs w:val="20"/>
              </w:rPr>
              <w:t>-0,4 %</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FF0000"/>
                <w:sz w:val="20"/>
                <w:szCs w:val="20"/>
              </w:rPr>
            </w:pPr>
            <w:r>
              <w:rPr>
                <w:rFonts w:ascii="Times New Roman" w:hAnsi="Times New Roman"/>
                <w:noProof/>
                <w:sz w:val="20"/>
                <w:szCs w:val="20"/>
              </w:rPr>
              <w:t>0,3 %</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000000"/>
                <w:sz w:val="20"/>
                <w:szCs w:val="20"/>
              </w:rPr>
            </w:pPr>
            <w:r>
              <w:rPr>
                <w:rFonts w:ascii="Times New Roman" w:hAnsi="Times New Roman"/>
                <w:noProof/>
                <w:sz w:val="20"/>
                <w:szCs w:val="20"/>
              </w:rPr>
              <w:t>1,7 %</w:t>
            </w:r>
          </w:p>
        </w:tc>
        <w:tc>
          <w:tcPr>
            <w:tcW w:w="440"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000000"/>
                <w:sz w:val="20"/>
                <w:szCs w:val="20"/>
              </w:rPr>
            </w:pPr>
            <w:r>
              <w:rPr>
                <w:rFonts w:ascii="Times New Roman" w:hAnsi="Times New Roman"/>
                <w:noProof/>
                <w:sz w:val="20"/>
                <w:szCs w:val="20"/>
              </w:rPr>
              <w:t>2,4 %</w:t>
            </w:r>
          </w:p>
        </w:tc>
        <w:tc>
          <w:tcPr>
            <w:tcW w:w="441"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000000"/>
                <w:sz w:val="20"/>
                <w:szCs w:val="20"/>
              </w:rPr>
            </w:pPr>
            <w:r>
              <w:rPr>
                <w:rFonts w:ascii="Times New Roman" w:hAnsi="Times New Roman"/>
                <w:noProof/>
                <w:sz w:val="20"/>
                <w:szCs w:val="20"/>
              </w:rPr>
              <w:t>2,0 %</w:t>
            </w:r>
          </w:p>
        </w:tc>
        <w:tc>
          <w:tcPr>
            <w:tcW w:w="439"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000000"/>
                <w:sz w:val="20"/>
                <w:szCs w:val="20"/>
              </w:rPr>
            </w:pPr>
            <w:r>
              <w:rPr>
                <w:rFonts w:ascii="Times New Roman" w:hAnsi="Times New Roman"/>
                <w:noProof/>
                <w:sz w:val="20"/>
                <w:szCs w:val="20"/>
              </w:rPr>
              <w:t>2,6 %</w:t>
            </w:r>
          </w:p>
        </w:tc>
        <w:tc>
          <w:tcPr>
            <w:tcW w:w="43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sz w:val="20"/>
                <w:szCs w:val="20"/>
              </w:rPr>
              <w:t>2,0 %</w:t>
            </w:r>
          </w:p>
        </w:tc>
        <w:tc>
          <w:tcPr>
            <w:tcW w:w="436"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sz w:val="20"/>
                <w:szCs w:val="20"/>
              </w:rPr>
              <w:t>1,5 %</w:t>
            </w:r>
          </w:p>
        </w:tc>
      </w:tr>
    </w:tbl>
    <w:p>
      <w:pPr>
        <w:autoSpaceDE w:val="0"/>
        <w:autoSpaceDN w:val="0"/>
        <w:adjustRightInd w:val="0"/>
        <w:spacing w:after="0"/>
        <w:rPr>
          <w:rStyle w:val="Hyperlink"/>
          <w:rFonts w:ascii="Times New Roman" w:hAnsi="Times New Roman"/>
          <w:bCs/>
          <w:noProof/>
          <w:color w:val="auto"/>
          <w:sz w:val="18"/>
          <w:szCs w:val="18"/>
        </w:rPr>
      </w:pPr>
      <w:r>
        <w:rPr>
          <w:rFonts w:ascii="Times New Roman" w:hAnsi="Times New Roman"/>
          <w:noProof/>
          <w:sz w:val="18"/>
          <w:szCs w:val="18"/>
        </w:rPr>
        <w:t>Източник: EUTL, данни за БВП, докладвани в Евростат (код на таблицата: tec00115, справка от юли 2020 г.). Верифицираните</w:t>
      </w:r>
      <w:r>
        <w:rPr>
          <w:rStyle w:val="Hyperlink"/>
          <w:rFonts w:ascii="Times New Roman" w:hAnsi="Times New Roman"/>
          <w:bCs/>
          <w:noProof/>
          <w:color w:val="auto"/>
          <w:sz w:val="18"/>
          <w:szCs w:val="18"/>
          <w:u w:val="none"/>
        </w:rPr>
        <w:t xml:space="preserve"> авиационни емисии са докладвани отделно в глава 4.</w:t>
      </w:r>
    </w:p>
    <w:p>
      <w:pPr>
        <w:autoSpaceDE w:val="0"/>
        <w:autoSpaceDN w:val="0"/>
        <w:adjustRightInd w:val="0"/>
        <w:spacing w:after="0"/>
        <w:rPr>
          <w:noProof/>
          <w:highlight w:val="yellow"/>
        </w:rPr>
      </w:pPr>
    </w:p>
    <w:p>
      <w:pPr>
        <w:jc w:val="both"/>
        <w:rPr>
          <w:rFonts w:ascii="Times New Roman" w:hAnsi="Times New Roman"/>
          <w:noProof/>
          <w:sz w:val="24"/>
          <w:szCs w:val="24"/>
        </w:rPr>
      </w:pPr>
      <w:r>
        <w:rPr>
          <w:rFonts w:ascii="Times New Roman" w:hAnsi="Times New Roman"/>
          <w:noProof/>
          <w:sz w:val="24"/>
          <w:szCs w:val="24"/>
        </w:rPr>
        <w:t xml:space="preserve">Разбивка на верифицираните емисии на парникови газове, различни от </w:t>
      </w:r>
      <w:r>
        <w:rPr>
          <w:rFonts w:ascii="Times New Roman" w:hAnsi="Times New Roman"/>
          <w:bCs/>
          <w:noProof/>
          <w:color w:val="262626"/>
          <w:sz w:val="24"/>
          <w:szCs w:val="24"/>
        </w:rPr>
        <w:t>CO</w:t>
      </w:r>
      <w:r>
        <w:rPr>
          <w:rFonts w:ascii="Times New Roman" w:hAnsi="Times New Roman"/>
          <w:bCs/>
          <w:noProof/>
          <w:color w:val="262626"/>
          <w:sz w:val="24"/>
          <w:szCs w:val="24"/>
          <w:bdr w:val="none" w:sz="0" w:space="0" w:color="auto" w:frame="1"/>
          <w:vertAlign w:val="subscript"/>
        </w:rPr>
        <w:t>2</w:t>
      </w:r>
      <w:r>
        <w:rPr>
          <w:rFonts w:ascii="Times New Roman" w:hAnsi="Times New Roman"/>
          <w:noProof/>
          <w:sz w:val="24"/>
          <w:szCs w:val="24"/>
        </w:rPr>
        <w:t>, в рамките на СТЕ от инсталации според вида на парниковия газ (</w:t>
      </w:r>
      <w:r>
        <w:rPr>
          <w:rFonts w:ascii="Times New Roman" w:hAnsi="Times New Roman"/>
          <w:bCs/>
          <w:noProof/>
          <w:color w:val="262626"/>
          <w:sz w:val="24"/>
          <w:szCs w:val="24"/>
        </w:rPr>
        <w:t>N</w:t>
      </w:r>
      <w:r>
        <w:rPr>
          <w:rFonts w:ascii="Times New Roman" w:hAnsi="Times New Roman"/>
          <w:bCs/>
          <w:noProof/>
          <w:color w:val="262626"/>
          <w:sz w:val="24"/>
          <w:szCs w:val="24"/>
          <w:bdr w:val="none" w:sz="0" w:space="0" w:color="auto" w:frame="1"/>
          <w:vertAlign w:val="subscript"/>
        </w:rPr>
        <w:t>2</w:t>
      </w:r>
      <w:r>
        <w:rPr>
          <w:rFonts w:ascii="Times New Roman" w:hAnsi="Times New Roman"/>
          <w:bCs/>
          <w:noProof/>
          <w:color w:val="262626"/>
          <w:sz w:val="24"/>
          <w:szCs w:val="24"/>
        </w:rPr>
        <w:t>O</w:t>
      </w:r>
      <w:r>
        <w:rPr>
          <w:rFonts w:ascii="Times New Roman" w:hAnsi="Times New Roman"/>
          <w:noProof/>
          <w:sz w:val="24"/>
          <w:szCs w:val="24"/>
        </w:rPr>
        <w:t xml:space="preserve"> и перфлуоровъглероди (PFC)) е предоставена в таблица 4.1, допълнение 4 към приложението.</w:t>
      </w:r>
    </w:p>
    <w:p>
      <w:pPr>
        <w:jc w:val="both"/>
        <w:rPr>
          <w:rFonts w:ascii="Times New Roman" w:hAnsi="Times New Roman"/>
          <w:noProof/>
          <w:sz w:val="24"/>
          <w:szCs w:val="24"/>
        </w:rPr>
      </w:pPr>
      <w:r>
        <w:rPr>
          <w:rFonts w:ascii="Times New Roman" w:hAnsi="Times New Roman"/>
          <w:noProof/>
          <w:sz w:val="24"/>
          <w:szCs w:val="24"/>
        </w:rPr>
        <w:t>През 2019 г. броят на доброволно отменените квоти възлиза на 33 498. До юни 2020 г. е регистрирана доброволната отмяна на общо 372 840 квоти.</w:t>
      </w:r>
      <w:r>
        <w:rPr>
          <w:noProof/>
        </w:rPr>
        <w:t xml:space="preserve"> </w:t>
      </w:r>
      <w:r>
        <w:rPr>
          <w:rFonts w:ascii="Times New Roman" w:hAnsi="Times New Roman"/>
          <w:noProof/>
          <w:sz w:val="24"/>
          <w:szCs w:val="24"/>
        </w:rPr>
        <w:t xml:space="preserve">Повечето от отмените между 2013 г. и юни 2020 г. са извършени от титуляри на партиди в регистрите на Обединеното кралство, Германия, Швеция, Норвегия и Нидерландия. </w:t>
      </w:r>
    </w:p>
    <w:p>
      <w:pPr>
        <w:pStyle w:val="Heading2"/>
        <w:rPr>
          <w:i w:val="0"/>
          <w:noProof/>
        </w:rPr>
      </w:pPr>
      <w:bookmarkStart w:id="45" w:name="_Toc490850433"/>
      <w:bookmarkStart w:id="46" w:name="_Toc519009684"/>
      <w:bookmarkStart w:id="47" w:name="_Toc56071842"/>
      <w:r>
        <w:rPr>
          <w:i w:val="0"/>
          <w:noProof/>
        </w:rPr>
        <w:t>3.3. Постигане на баланс между предлагането и търсенето</w:t>
      </w:r>
      <w:bookmarkEnd w:id="45"/>
      <w:bookmarkEnd w:id="46"/>
      <w:bookmarkEnd w:id="47"/>
      <w:r>
        <w:rPr>
          <w:i w:val="0"/>
          <w:noProof/>
        </w:rPr>
        <w:t xml:space="preserve"> </w:t>
      </w:r>
    </w:p>
    <w:p>
      <w:pPr>
        <w:jc w:val="both"/>
        <w:rPr>
          <w:rFonts w:ascii="Times New Roman" w:hAnsi="Times New Roman"/>
          <w:noProof/>
          <w:sz w:val="24"/>
          <w:szCs w:val="24"/>
        </w:rPr>
      </w:pPr>
      <w:r>
        <w:rPr>
          <w:rFonts w:ascii="Times New Roman" w:hAnsi="Times New Roman"/>
          <w:noProof/>
          <w:sz w:val="24"/>
          <w:szCs w:val="24"/>
        </w:rPr>
        <w:t>В началото на фаза 3 през 2013 г. СТЕ на ЕС се е характеризирала с голям структурен дисбаланс между търсенето и предлагането на квоти, равняващ се на 2,1 милиарда квоти.</w:t>
      </w:r>
      <w:r>
        <w:rPr>
          <w:noProof/>
        </w:rPr>
        <w:t xml:space="preserve"> </w:t>
      </w:r>
      <w:r>
        <w:rPr>
          <w:rFonts w:ascii="Times New Roman" w:hAnsi="Times New Roman"/>
          <w:noProof/>
          <w:sz w:val="24"/>
          <w:szCs w:val="24"/>
        </w:rPr>
        <w:t xml:space="preserve">С цел справяне със структурния дисбаланс, през 2015 г. бе създаден резерв за стабилност на пазара (МSR), с чиято помощ да се направи по-гъвкаво тръжното предлагане на квоти за емисии. MSR започва да функционира през 2019 г. </w:t>
      </w:r>
    </w:p>
    <w:p>
      <w:pPr>
        <w:jc w:val="both"/>
        <w:rPr>
          <w:rFonts w:ascii="Times New Roman" w:hAnsi="Times New Roman"/>
          <w:noProof/>
          <w:sz w:val="24"/>
          <w:szCs w:val="24"/>
        </w:rPr>
      </w:pPr>
      <w:r>
        <w:rPr>
          <w:rFonts w:ascii="Times New Roman" w:hAnsi="Times New Roman"/>
          <w:noProof/>
          <w:sz w:val="24"/>
          <w:szCs w:val="24"/>
        </w:rPr>
        <w:t xml:space="preserve">През 2018 г. излишъкът е 1,65 милиарда квоти, докато през 2019 г. той достига значително по-ниско равнище от 1,385 милиарда квоти. Фигура 5 показва развитието на излишъка на европейския пазар на въглеродни емисии до края на 2019 г. </w:t>
      </w:r>
    </w:p>
    <w:p>
      <w:pPr>
        <w:jc w:val="both"/>
        <w:rPr>
          <w:rFonts w:ascii="Times New Roman" w:hAnsi="Times New Roman"/>
          <w:b/>
          <w:noProof/>
        </w:rPr>
      </w:pPr>
      <w:r>
        <w:rPr>
          <w:rFonts w:ascii="Times New Roman" w:hAnsi="Times New Roman"/>
          <w:b/>
          <w:noProof/>
        </w:rPr>
        <w:t>Фигура 5: Развитие на излишъка на европейския пазар на въглеродни емисии през периода 2013—2019 г.</w:t>
      </w:r>
    </w:p>
    <w:p>
      <w:pPr>
        <w:jc w:val="both"/>
        <w:rPr>
          <w:rFonts w:ascii="Times New Roman" w:hAnsi="Times New Roman"/>
          <w:b/>
          <w:noProof/>
        </w:rPr>
      </w:pPr>
      <w:r>
        <w:rPr>
          <w:noProof/>
          <w:lang w:val="en-GB" w:eastAsia="en-GB"/>
        </w:rPr>
        <w:drawing>
          <wp:inline distT="0" distB="0" distL="0" distR="0">
            <wp:extent cx="5731510" cy="3090545"/>
            <wp:effectExtent l="0" t="0" r="2540" b="14605"/>
            <wp:docPr id="19" name="Chart 19">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jc w:val="both"/>
        <w:rPr>
          <w:rFonts w:ascii="Times New Roman" w:hAnsi="Times New Roman"/>
          <w:noProof/>
          <w:sz w:val="18"/>
          <w:szCs w:val="18"/>
        </w:rPr>
      </w:pPr>
      <w:r>
        <w:rPr>
          <w:rFonts w:ascii="Times New Roman" w:hAnsi="Times New Roman"/>
          <w:noProof/>
          <w:sz w:val="18"/>
          <w:szCs w:val="18"/>
        </w:rPr>
        <w:t>Източник: ГД „ДЕЙСТВИЯ ПО КЛИМАТА“</w:t>
      </w:r>
    </w:p>
    <w:p>
      <w:pPr>
        <w:jc w:val="both"/>
        <w:rPr>
          <w:rFonts w:ascii="Times New Roman" w:hAnsi="Times New Roman"/>
          <w:noProof/>
          <w:sz w:val="24"/>
          <w:szCs w:val="24"/>
        </w:rPr>
      </w:pPr>
      <w:r>
        <w:rPr>
          <w:rFonts w:ascii="Times New Roman" w:hAnsi="Times New Roman"/>
          <w:bCs/>
          <w:iCs/>
          <w:noProof/>
          <w:sz w:val="24"/>
          <w:szCs w:val="24"/>
        </w:rPr>
        <w:t>В контекста на преразглеждането на СТЕ на ЕС</w:t>
      </w:r>
      <w:r>
        <w:rPr>
          <w:rFonts w:ascii="Times New Roman" w:eastAsia="Times New Roman" w:hAnsi="Times New Roman" w:cstheme="minorBidi"/>
          <w:bCs/>
          <w:iCs/>
          <w:noProof/>
          <w:sz w:val="24"/>
          <w:szCs w:val="24"/>
          <w:vertAlign w:val="superscript"/>
          <w:lang w:eastAsia="en-GB"/>
        </w:rPr>
        <w:footnoteReference w:id="61"/>
      </w:r>
      <w:r>
        <w:rPr>
          <w:rFonts w:ascii="Times New Roman" w:hAnsi="Times New Roman"/>
          <w:bCs/>
          <w:iCs/>
          <w:noProof/>
          <w:sz w:val="24"/>
          <w:szCs w:val="24"/>
        </w:rPr>
        <w:t xml:space="preserve"> бяха внесени важни промени във функционирането на MSR, както е изложено в текстовото каре по-долу. </w:t>
      </w:r>
    </w:p>
    <w:p>
      <w:pPr>
        <w:rPr>
          <w:noProof/>
        </w:rPr>
      </w:pPr>
      <w:r>
        <w:rPr>
          <w:rFonts w:ascii="Times New Roman" w:hAnsi="Times New Roman"/>
          <w:noProof/>
          <w:sz w:val="24"/>
          <w:szCs w:val="24"/>
          <w:lang w:val="en-GB" w:eastAsia="en-GB"/>
        </w:rPr>
        <mc:AlternateContent>
          <mc:Choice Requires="wps">
            <w:drawing>
              <wp:inline distT="0" distB="0" distL="0" distR="0">
                <wp:extent cx="5731510" cy="6134100"/>
                <wp:effectExtent l="0" t="0" r="21590" b="19050"/>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134100"/>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noProof/>
                                <w:sz w:val="24"/>
                                <w:szCs w:val="24"/>
                              </w:rPr>
                            </w:pPr>
                            <w:r>
                              <w:rPr>
                                <w:rFonts w:ascii="Times New Roman" w:hAnsi="Times New Roman"/>
                                <w:sz w:val="24"/>
                                <w:szCs w:val="24"/>
                              </w:rPr>
                              <w:t xml:space="preserve">Ключово понятие във връзка с функционирането на МSR е общият брой квоти в обращение (ОБКО). </w:t>
                            </w:r>
                            <w:r>
                              <w:rPr>
                                <w:rFonts w:ascii="Times New Roman" w:hAnsi="Times New Roman"/>
                              </w:rPr>
                              <w:t>В резерва се добавят квоти, ако ОБКО е над предварително определен горен праг (833 милиона квоти), и съответно от резерва се освобождават квоти, ако този брой е под предварително определен долен праг (под 400 милиона квоти)*</w:t>
                            </w:r>
                            <w:r>
                              <w:rPr>
                                <w:rFonts w:ascii="Times New Roman" w:hAnsi="Times New Roman"/>
                                <w:sz w:val="24"/>
                                <w:szCs w:val="24"/>
                              </w:rPr>
                              <w:t xml:space="preserve">. По този начин МSR поема или освобождава квоти, когато общият брой на квотите в обращение е извън предварително определени граници. Отложените и т.нар. неразпределени** квоти също ще бъдат включени в резерва. Считано от 2023 г., държаните в MSR квоти, които надхвърлят тръжно търгуваните количества от предходната година, повече няма да бъдат валидни. </w:t>
                            </w:r>
                          </w:p>
                          <w:p>
                            <w:pPr>
                              <w:jc w:val="both"/>
                              <w:rPr>
                                <w:rFonts w:ascii="Times New Roman" w:hAnsi="Times New Roman"/>
                                <w:noProof/>
                                <w:sz w:val="24"/>
                                <w:szCs w:val="24"/>
                              </w:rPr>
                            </w:pPr>
                            <w:r>
                              <w:rPr>
                                <w:rFonts w:ascii="Times New Roman" w:hAnsi="Times New Roman"/>
                                <w:sz w:val="24"/>
                                <w:szCs w:val="24"/>
                              </w:rPr>
                              <w:t>Общият брой квоти в обръщение, който има значение за определянето на вкарването и изкарването на квоти във и от МSR, се изчислява по следната формула:</w:t>
                            </w:r>
                          </w:p>
                          <w:p>
                            <w:pPr>
                              <w:jc w:val="both"/>
                              <w:rPr>
                                <w:rFonts w:ascii="Times New Roman" w:hAnsi="Times New Roman"/>
                                <w:noProof/>
                                <w:sz w:val="24"/>
                                <w:szCs w:val="24"/>
                              </w:rPr>
                            </w:pPr>
                            <w:r>
                              <w:rPr>
                                <w:rFonts w:ascii="Times New Roman" w:hAnsi="Times New Roman"/>
                                <w:sz w:val="24"/>
                                <w:szCs w:val="24"/>
                              </w:rPr>
                              <w:t>ОБКО = Предлагане – (Търсене + квоти в MSR)</w:t>
                            </w:r>
                          </w:p>
                          <w:p>
                            <w:pPr>
                              <w:jc w:val="both"/>
                              <w:rPr>
                                <w:rFonts w:ascii="Times New Roman" w:hAnsi="Times New Roman"/>
                                <w:noProof/>
                                <w:sz w:val="24"/>
                                <w:szCs w:val="24"/>
                              </w:rPr>
                            </w:pPr>
                            <w:r>
                              <w:rPr>
                                <w:rFonts w:ascii="Times New Roman" w:hAnsi="Times New Roman"/>
                                <w:sz w:val="24"/>
                                <w:szCs w:val="24"/>
                              </w:rPr>
                              <w:t>Компонентите на предлагането и търсенето, използвани във формулата, са описани в Съобщението на Комисията относно ОБКО, което се публикува всяка година до 15 май.***</w:t>
                            </w:r>
                          </w:p>
                          <w:p>
                            <w:pPr>
                              <w:jc w:val="both"/>
                              <w:rPr>
                                <w:rFonts w:ascii="Times New Roman" w:hAnsi="Times New Roman"/>
                                <w:sz w:val="18"/>
                                <w:szCs w:val="18"/>
                              </w:rPr>
                            </w:pPr>
                            <w:r>
                              <w:rPr>
                                <w:rFonts w:ascii="Times New Roman" w:hAnsi="Times New Roman"/>
                                <w:sz w:val="18"/>
                                <w:szCs w:val="18"/>
                              </w:rPr>
                              <w:t>*Или ако са приети мерки съгласно член 29а от Директивата за СТЕ на ЕС.</w:t>
                            </w:r>
                          </w:p>
                          <w:p>
                            <w:pPr>
                              <w:jc w:val="both"/>
                              <w:rPr>
                                <w:rFonts w:ascii="Times New Roman" w:hAnsi="Times New Roman"/>
                                <w:sz w:val="18"/>
                                <w:szCs w:val="18"/>
                              </w:rPr>
                            </w:pPr>
                            <w:r>
                              <w:rPr>
                                <w:rFonts w:ascii="Times New Roman" w:hAnsi="Times New Roman"/>
                                <w:sz w:val="18"/>
                                <w:szCs w:val="18"/>
                              </w:rPr>
                              <w:t>**Неразпределени са квотите, които не са разпределени съгласно член 10а, параграф 7 от Директивата за СТЕ на ЕС, т.е. квоти, които остават в резерва за нови участници, и такива, които произтичат от прилагането на член 10а, параграфи 19 и 20, т.е. квоти, предвидени за безплатно предоставяне на инсталации, но останали неразпределени поради (частично) прекратяване на работата или значително намаляване на капацитета. На практика „неразпределените“ квоти, получени от прилагането на съответния коефициент за изместване на въглеродни емисии към сектори, които не са включени в списъка за изместване на въглеродни емисии през текущия период, както и всички квоти, които не са разпределени съгласно член 10в от Директивата за СТЕ, не са предвидени да бъдат въведени в резерва за стабилност на пазара по член 1, параграф 3 от Решение (ЕС) 2015/1814. Поради това тези квоти не са обхванати (вж. стр. 225 от Оценката на въздействието (SWD(2015) 135 final), придружаваща предложението от 2015 г. за преразглеждане на Директивата за СТЕ на ЕС.</w:t>
                            </w:r>
                          </w:p>
                          <w:p>
                            <w:pPr>
                              <w:pStyle w:val="FootnoteText"/>
                            </w:pPr>
                            <w:r>
                              <w:t xml:space="preserve">***Виж последното съобщение относно ОБКО, публикувано през май 2020 г.: C(2020) 2835 final, </w:t>
                            </w:r>
                            <w:hyperlink r:id="rId26" w:history="1">
                              <w:r>
                                <w:rPr>
                                  <w:rStyle w:val="Hyperlink"/>
                                </w:rPr>
                                <w:t>https://ec.europa.eu/clima/sites/clima/files/ets/reform/docs/c_2020_2835_en.pdf</w:t>
                              </w:r>
                            </w:hyperlink>
                            <w:r>
                              <w:t>.</w:t>
                            </w:r>
                          </w:p>
                          <w:p>
                            <w:pPr>
                              <w:jc w:val="both"/>
                              <w:rPr>
                                <w:rFonts w:ascii="Times New Roman" w:hAnsi="Times New Roman"/>
                                <w:sz w:val="18"/>
                                <w:szCs w:val="18"/>
                              </w:rPr>
                            </w:pPr>
                          </w:p>
                          <w:p>
                            <w:pPr>
                              <w:rPr>
                                <w:rFonts w:ascii="Times New Roman" w:hAnsi="Times New Roman"/>
                                <w:sz w:val="18"/>
                                <w:szCs w:val="18"/>
                              </w:rPr>
                            </w:pPr>
                          </w:p>
                        </w:txbxContent>
                      </wps:txbx>
                      <wps:bodyPr rot="0" vert="horz" wrap="square" lIns="91440" tIns="45720" rIns="91440" bIns="45720" anchor="t" anchorCtr="0">
                        <a:noAutofit/>
                      </wps:bodyPr>
                    </wps:wsp>
                  </a:graphicData>
                </a:graphic>
              </wp:inline>
            </w:drawing>
          </mc:Choice>
          <mc:Fallback>
            <w:pict>
              <v:shape id="_x0000_s1036" type="#_x0000_t202" style="width:451.3pt;height:4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" fillcolor="#d9d9d9" strokeweight="1pt">
                <v:textbox>
                  <w:txbxContent>
                    <w:p>
                      <w:pPr>
                        <w:jc w:val="both"/>
                        <w:rPr>
                          <w:rFonts w:ascii="Times New Roman" w:hAnsi="Times New Roman"/>
                          <w:noProof/>
                          <w:sz w:val="24"/>
                          <w:szCs w:val="24"/>
                        </w:rPr>
                      </w:pPr>
                      <w:r>
                        <w:rPr>
                          <w:rFonts w:ascii="Times New Roman" w:hAnsi="Times New Roman"/>
                          <w:sz w:val="24"/>
                          <w:szCs w:val="24"/>
                        </w:rPr>
                        <w:t xml:space="preserve">Ключово понятие във връзка с функционирането на МSR е общият брой квоти в обращение (ОБКО). </w:t>
                      </w:r>
                      <w:r>
                        <w:rPr>
                          <w:rFonts w:ascii="Times New Roman" w:hAnsi="Times New Roman"/>
                        </w:rPr>
                        <w:t>В резерва се добавят квоти, ако ОБКО е над предварително определен горен праг (833 милиона квоти), и съответно от резерва се освобождават квоти, ако този брой е под предварително определен долен праг (под 400 милиона квоти)*</w:t>
                      </w:r>
                      <w:r>
                        <w:rPr>
                          <w:rFonts w:ascii="Times New Roman" w:hAnsi="Times New Roman"/>
                          <w:sz w:val="24"/>
                          <w:szCs w:val="24"/>
                        </w:rPr>
                        <w:t xml:space="preserve">. По този начин МSR поема или освобождава квоти, когато общият брой на квотите в обращение е извън предварително определени граници. Отложените и т.нар. неразпределени** квоти също ще бъдат включени в резерва. Считано от 2023 г., държаните в MSR квоти, които надхвърлят тръжно търгуваните количества от предходната година, повече няма да бъдат валидни. </w:t>
                      </w:r>
                    </w:p>
                    <w:p>
                      <w:pPr>
                        <w:jc w:val="both"/>
                        <w:rPr>
                          <w:rFonts w:ascii="Times New Roman" w:hAnsi="Times New Roman"/>
                          <w:noProof/>
                          <w:sz w:val="24"/>
                          <w:szCs w:val="24"/>
                        </w:rPr>
                      </w:pPr>
                      <w:r>
                        <w:rPr>
                          <w:rFonts w:ascii="Times New Roman" w:hAnsi="Times New Roman"/>
                          <w:sz w:val="24"/>
                          <w:szCs w:val="24"/>
                        </w:rPr>
                        <w:t>Общият брой квоти в обръщение, който има значение за определянето на вкарването и изкарването на квоти във и от МSR, се изчислява по следната формула:</w:t>
                      </w:r>
                    </w:p>
                    <w:p>
                      <w:pPr>
                        <w:jc w:val="both"/>
                        <w:rPr>
                          <w:rFonts w:ascii="Times New Roman" w:hAnsi="Times New Roman"/>
                          <w:noProof/>
                          <w:sz w:val="24"/>
                          <w:szCs w:val="24"/>
                        </w:rPr>
                      </w:pPr>
                      <w:r>
                        <w:rPr>
                          <w:rFonts w:ascii="Times New Roman" w:hAnsi="Times New Roman"/>
                          <w:sz w:val="24"/>
                          <w:szCs w:val="24"/>
                        </w:rPr>
                        <w:t>ОБКО = Предлагане – (Търсене + квоти в MSR)</w:t>
                      </w:r>
                    </w:p>
                    <w:p>
                      <w:pPr>
                        <w:jc w:val="both"/>
                        <w:rPr>
                          <w:rFonts w:ascii="Times New Roman" w:hAnsi="Times New Roman"/>
                          <w:noProof/>
                          <w:sz w:val="24"/>
                          <w:szCs w:val="24"/>
                        </w:rPr>
                      </w:pPr>
                      <w:r>
                        <w:rPr>
                          <w:rFonts w:ascii="Times New Roman" w:hAnsi="Times New Roman"/>
                          <w:sz w:val="24"/>
                          <w:szCs w:val="24"/>
                        </w:rPr>
                        <w:t>Компонентите на предлагането и търсенето, използвани във формулата, са описани в Съобщението на Комисията относно ОБКО, което се публикува всяка година до 15 май.***</w:t>
                      </w:r>
                    </w:p>
                    <w:p>
                      <w:pPr>
                        <w:jc w:val="both"/>
                        <w:rPr>
                          <w:rFonts w:ascii="Times New Roman" w:hAnsi="Times New Roman"/>
                          <w:sz w:val="18"/>
                          <w:szCs w:val="18"/>
                        </w:rPr>
                      </w:pPr>
                      <w:r>
                        <w:rPr>
                          <w:rFonts w:ascii="Times New Roman" w:hAnsi="Times New Roman"/>
                          <w:sz w:val="18"/>
                          <w:szCs w:val="18"/>
                        </w:rPr>
                        <w:t>*Или ако са приети мерки съгласно член 29а от Директивата за СТЕ на ЕС.</w:t>
                      </w:r>
                    </w:p>
                    <w:p>
                      <w:pPr>
                        <w:jc w:val="both"/>
                        <w:rPr>
                          <w:rFonts w:ascii="Times New Roman" w:hAnsi="Times New Roman"/>
                          <w:sz w:val="18"/>
                          <w:szCs w:val="18"/>
                        </w:rPr>
                      </w:pPr>
                      <w:r>
                        <w:rPr>
                          <w:rFonts w:ascii="Times New Roman" w:hAnsi="Times New Roman"/>
                          <w:sz w:val="18"/>
                          <w:szCs w:val="18"/>
                        </w:rPr>
                        <w:t>**Неразпределени са квотите, които не са разпределени съгласно член 10а, параграф 7 от Директивата за СТЕ на ЕС, т.е. квоти, които остават в резерва за нови участници, и такива, които произтичат от прилагането на член 10а, параграфи 19 и 20, т.е. квоти, предвидени за безплатно предоставяне на инсталации, но останали неразпределени поради (частично) прекратяване на работата или значително намаляване на капацитета. На практика „неразпределените“ квоти, получени от прилагането на съответния коефициент за изместване на въглеродни емисии към сектори, които не са включени в списъка за изместване на въглеродни емисии през текущия период, както и всички квоти, които не са разпределени съгласно член 10в от Директивата за СТЕ, не са предвидени да бъдат въведени в резерва за стабилност на пазара по член 1, параграф 3 от Решение (ЕС) 2015/1814. Поради това тези квоти не са обхванати (вж. стр. 225 от Оценката на въздействието (SWD(2015) 135 final), придружаваща предложението от 2015 г. за преразглеждане на Директивата за СТЕ на ЕС.</w:t>
                      </w:r>
                    </w:p>
                    <w:p>
                      <w:pPr>
                        <w:pStyle w:val="FootnoteText"/>
                      </w:pPr>
                      <w:r>
                        <w:t xml:space="preserve">***Виж последното съобщение относно ОБКО, публикувано през май 2020 г.: C(2020) 2835 final, </w:t>
                      </w:r>
                      <w:hyperlink r:id="rId27" w:history="1">
                        <w:r>
                          <w:rPr>
                            <w:rStyle w:val="Hyperlink"/>
                          </w:rPr>
                          <w:t>https://ec.europa.eu/clima/sites/clima/files/ets/reform/docs/c_2020_2835_en.pdf</w:t>
                        </w:r>
                      </w:hyperlink>
                      <w:r>
                        <w:t>.</w:t>
                      </w:r>
                    </w:p>
                    <w:p>
                      <w:pPr>
                        <w:jc w:val="both"/>
                        <w:rPr>
                          <w:rFonts w:ascii="Times New Roman" w:hAnsi="Times New Roman"/>
                          <w:sz w:val="18"/>
                          <w:szCs w:val="18"/>
                        </w:rPr>
                      </w:pPr>
                    </w:p>
                    <w:p>
                      <w:pPr>
                        <w:rPr>
                          <w:rFonts w:ascii="Times New Roman" w:hAnsi="Times New Roman"/>
                          <w:sz w:val="18"/>
                          <w:szCs w:val="18"/>
                        </w:rPr>
                      </w:pPr>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szCs w:val="24"/>
        </w:rPr>
        <w:t xml:space="preserve">Докладът за пазара на въглеродни емисии дава възможност за консолидиране на данните за предлагането и търсенето, които се публикуват в съответствие с графика на задълженията за докладване, произтичащи от Директивата за СТЕ на ЕС и разпоредбите за нейното прилагане. </w:t>
      </w:r>
    </w:p>
    <w:p>
      <w:pPr>
        <w:jc w:val="both"/>
        <w:rPr>
          <w:rFonts w:ascii="Times New Roman" w:hAnsi="Times New Roman"/>
          <w:noProof/>
        </w:rPr>
      </w:pPr>
      <w:r>
        <w:rPr>
          <w:rFonts w:ascii="Times New Roman" w:hAnsi="Times New Roman"/>
          <w:noProof/>
          <w:sz w:val="24"/>
          <w:szCs w:val="24"/>
        </w:rPr>
        <w:t xml:space="preserve">На фигура 6 е представен съставът на предлагането и търсенето през 2019 г. </w:t>
      </w:r>
      <w:r>
        <w:rPr>
          <w:rFonts w:ascii="Times New Roman" w:hAnsi="Times New Roman"/>
          <w:noProof/>
        </w:rPr>
        <w:t>Съответните данни са публикувани и като част от четвъртото съобщение за общия брой квоти в обращение (ОБКО) за целите на MSR</w:t>
      </w:r>
      <w:r>
        <w:rPr>
          <w:rFonts w:ascii="Times New Roman" w:hAnsi="Times New Roman"/>
          <w:noProof/>
          <w:sz w:val="24"/>
          <w:szCs w:val="24"/>
          <w:vertAlign w:val="superscript"/>
        </w:rPr>
        <w:footnoteReference w:id="62"/>
      </w:r>
      <w:r>
        <w:rPr>
          <w:rFonts w:ascii="Times New Roman" w:hAnsi="Times New Roman"/>
          <w:noProof/>
        </w:rPr>
        <w:t>.</w:t>
      </w:r>
    </w:p>
    <w:p>
      <w:pPr>
        <w:jc w:val="both"/>
        <w:rPr>
          <w:rFonts w:ascii="Times New Roman" w:hAnsi="Times New Roman"/>
          <w:b/>
          <w:noProof/>
        </w:rPr>
      </w:pPr>
    </w:p>
    <w:p>
      <w:pPr>
        <w:jc w:val="both"/>
        <w:rPr>
          <w:rFonts w:ascii="Times New Roman" w:hAnsi="Times New Roman"/>
          <w:noProof/>
        </w:rPr>
      </w:pPr>
      <w:r>
        <w:rPr>
          <w:rFonts w:ascii="Times New Roman" w:hAnsi="Times New Roman"/>
          <w:b/>
          <w:noProof/>
        </w:rPr>
        <w:t>Фигура 6: Състав на кумулативното предлагане и търсене (в милиони квоти) до края на 2019 г.</w:t>
      </w:r>
    </w:p>
    <w:p>
      <w:pPr>
        <w:rPr>
          <w:rFonts w:ascii="Times New Roman" w:hAnsi="Times New Roman"/>
          <w:noProof/>
          <w:sz w:val="18"/>
          <w:szCs w:val="18"/>
          <w:lang w:val="en-GB"/>
        </w:rPr>
      </w:pPr>
      <w:r>
        <w:rPr>
          <w:rFonts w:ascii="Times New Roman" w:hAnsi="Times New Roman"/>
          <w:noProof/>
          <w:sz w:val="18"/>
          <w:szCs w:val="18"/>
          <w:lang w:val="en-GB" w:eastAsia="en-GB"/>
        </w:rPr>
        <w:drawing>
          <wp:inline distT="0" distB="0" distL="0" distR="0">
            <wp:extent cx="6565265" cy="3267075"/>
            <wp:effectExtent l="0" t="0" r="6985" b="9525"/>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571479" cy="3270167"/>
                    </a:xfrm>
                    <a:prstGeom prst="rect">
                      <a:avLst/>
                    </a:prstGeom>
                    <a:noFill/>
                    <a:ln>
                      <a:noFill/>
                    </a:ln>
                  </pic:spPr>
                </pic:pic>
              </a:graphicData>
            </a:graphic>
          </wp:inline>
        </w:drawing>
      </w:r>
    </w:p>
    <w:p>
      <w:pPr>
        <w:rPr>
          <w:rFonts w:ascii="Times New Roman" w:hAnsi="Times New Roman"/>
          <w:noProof/>
          <w:sz w:val="18"/>
          <w:szCs w:val="18"/>
        </w:rPr>
      </w:pPr>
      <w:r>
        <w:rPr>
          <w:rFonts w:ascii="Times New Roman" w:hAnsi="Times New Roman"/>
          <w:noProof/>
          <w:sz w:val="18"/>
          <w:szCs w:val="18"/>
        </w:rPr>
        <w:t>Източник: ГД „Действия по климата“</w:t>
      </w:r>
    </w:p>
    <w:p>
      <w:pPr>
        <w:jc w:val="both"/>
        <w:rPr>
          <w:rFonts w:ascii="Times New Roman" w:hAnsi="Times New Roman"/>
          <w:noProof/>
          <w:sz w:val="24"/>
          <w:szCs w:val="24"/>
        </w:rPr>
      </w:pPr>
      <w:r>
        <w:rPr>
          <w:rFonts w:ascii="Times New Roman" w:hAnsi="Times New Roman"/>
          <w:noProof/>
          <w:sz w:val="24"/>
          <w:szCs w:val="24"/>
        </w:rPr>
        <w:t>В подготовка за старта на функционирането на MSR през 2019 г., считано от средата на месец май 2017 г.,</w:t>
      </w:r>
      <w:r>
        <w:rPr>
          <w:rStyle w:val="FootnoteReference"/>
          <w:noProof/>
          <w:szCs w:val="24"/>
        </w:rPr>
        <w:footnoteReference w:id="63"/>
      </w:r>
      <w:r>
        <w:rPr>
          <w:rFonts w:ascii="Times New Roman" w:hAnsi="Times New Roman"/>
          <w:noProof/>
          <w:sz w:val="24"/>
          <w:szCs w:val="24"/>
        </w:rPr>
        <w:t xml:space="preserve"> Комисията редовно публикува ОБКО за предходната година. За четвърти път ОБКО бе публикуван през май 2020 г., като размерът му възлизаше на 1 385 496 166 квоти</w:t>
      </w:r>
      <w:r>
        <w:rPr>
          <w:rStyle w:val="FootnoteReference"/>
          <w:noProof/>
          <w:szCs w:val="24"/>
        </w:rPr>
        <w:footnoteReference w:id="64"/>
      </w:r>
      <w:r>
        <w:rPr>
          <w:rFonts w:ascii="Times New Roman" w:hAnsi="Times New Roman"/>
          <w:noProof/>
          <w:sz w:val="24"/>
          <w:szCs w:val="24"/>
        </w:rPr>
        <w:t>. Публикацията от 2020 г. ще продължи да води до заделяне на квоти в MSR, което ще намали тръжните обеми през 2020 г. и 2021 г.</w:t>
      </w:r>
    </w:p>
    <w:p>
      <w:pPr>
        <w:jc w:val="both"/>
        <w:rPr>
          <w:rFonts w:ascii="Times New Roman" w:hAnsi="Times New Roman"/>
          <w:noProof/>
          <w:sz w:val="24"/>
          <w:szCs w:val="24"/>
        </w:rPr>
      </w:pPr>
      <w:r>
        <w:rPr>
          <w:rFonts w:ascii="Times New Roman" w:hAnsi="Times New Roman"/>
          <w:noProof/>
          <w:sz w:val="24"/>
          <w:szCs w:val="24"/>
        </w:rPr>
        <w:t>Така въз основа на ОБКО за 2019 г. и 2020 г. и преразгледаното законодателство търгуваните количества през 2020 г. бяха намалени с близо 375 милиона квоти (или почти 35 %). Търгуваните количества през 2021 г. също ще бъдат намалени съгласно същия подход. В допълнение 7 е предоставена информация за вноските на държавите членки към MSR за цялата 2020 г.</w:t>
      </w:r>
    </w:p>
    <w:p>
      <w:pPr>
        <w:jc w:val="both"/>
        <w:rPr>
          <w:rFonts w:ascii="Times New Roman" w:hAnsi="Times New Roman"/>
          <w:noProof/>
          <w:sz w:val="24"/>
          <w:szCs w:val="24"/>
        </w:rPr>
      </w:pPr>
      <w:r>
        <w:rPr>
          <w:rFonts w:ascii="Times New Roman" w:hAnsi="Times New Roman"/>
          <w:noProof/>
          <w:sz w:val="24"/>
          <w:szCs w:val="24"/>
        </w:rPr>
        <w:t>През 2021 г. Комисията ще извърши първия преглед на MSR. Решението за MSR изисква да се извърши преразглеждане три години след началото на неговото функциониране (т.е., в края на 2021 г.). Прегледът ще се извърши в по-широкия контекст на преразглеждане на СТЕ на ЕС в светлината на увеличената цел за намаляване на емисиите на ЕС до 2030 г., който е планиран за юни 2021 г.</w:t>
      </w:r>
      <w:r>
        <w:rPr>
          <w:noProof/>
        </w:rPr>
        <w:t xml:space="preserve"> </w:t>
      </w:r>
      <w:r>
        <w:rPr>
          <w:rFonts w:ascii="Times New Roman" w:hAnsi="Times New Roman"/>
          <w:noProof/>
          <w:sz w:val="24"/>
          <w:szCs w:val="24"/>
        </w:rPr>
        <w:t>Комисията ще направи преглед на MSR въз основа на анализ на нормалното функциониране на европейския пазар на въглеродни емисии, като обърне специално внимание на процентната стойност на вкарваните квоти в MSR, числената стойност на прага и броя на квотите, които ще се освобождават от резерва, както и на въздействието на резерва върху растежа, работните места, промишлената конкурентоспособност на ЕС и риска от изтичане на въглеродни емисии.</w:t>
      </w:r>
    </w:p>
    <w:p>
      <w:pPr>
        <w:pStyle w:val="Heading1"/>
        <w:spacing w:before="0" w:after="200"/>
        <w:rPr>
          <w:noProof/>
        </w:rPr>
      </w:pPr>
      <w:bookmarkStart w:id="48" w:name="_Toc490850434"/>
      <w:bookmarkStart w:id="49" w:name="_Toc519009685"/>
      <w:bookmarkStart w:id="50" w:name="_Toc56071843"/>
      <w:r>
        <w:rPr>
          <w:noProof/>
        </w:rPr>
        <w:t>4. ВЪЗДУХОПЛАВАНЕ</w:t>
      </w:r>
      <w:bookmarkEnd w:id="48"/>
      <w:bookmarkEnd w:id="49"/>
      <w:bookmarkEnd w:id="50"/>
    </w:p>
    <w:p>
      <w:pPr>
        <w:jc w:val="both"/>
        <w:rPr>
          <w:noProof/>
        </w:rPr>
      </w:pPr>
      <w:r>
        <w:rPr>
          <w:noProof/>
          <w:lang w:val="en-GB" w:eastAsia="en-GB"/>
        </w:rPr>
        <mc:AlternateContent>
          <mc:Choice Requires="wps">
            <w:drawing>
              <wp:inline distT="0" distB="0" distL="0" distR="0">
                <wp:extent cx="5727802" cy="5267325"/>
                <wp:effectExtent l="0" t="0" r="25400" b="2857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802" cy="5267325"/>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 xml:space="preserve">Секторът на въздухоплаването е част от СТЕ на ЕС от 2012 г. насам. Първоначалното законодателство е обхващало всички изходящи и входящи полети до и от Европейското икономическо пространство (ЕИП). ЕС обаче временно е ограничил задълженията до полети на авиокомпаниите от всички националности в рамките на ЕИП в подкрепа на разработването на глобална мярка на Международната организация за гражданско въздухоплаване (ИКАО) за намаляване на авиационните емисии.  </w:t>
                            </w:r>
                          </w:p>
                          <w:p>
                            <w:pPr>
                              <w:jc w:val="both"/>
                              <w:rPr>
                                <w:rFonts w:ascii="Times New Roman" w:hAnsi="Times New Roman"/>
                                <w:sz w:val="24"/>
                                <w:szCs w:val="24"/>
                              </w:rPr>
                            </w:pPr>
                            <w:r>
                              <w:rPr>
                                <w:rFonts w:ascii="Times New Roman" w:hAnsi="Times New Roman"/>
                                <w:sz w:val="24"/>
                                <w:szCs w:val="24"/>
                              </w:rPr>
                              <w:t>През октомври 2016 г. събранието на ИКАО одобри резолюция за схема за компенсиране и намаляване на емисиите на въглероден диоксид в международното въздухоплаване (CORSIA), чието изпълнение ще започне през 2021 г. CORSIA е схема за компенсиране на емисиите на въглероден диоксид с цел стабилизиране на нетните емисии от международното въздухоплаване на нивата от 2020 г. чрез закупуване и отмяна на международни кредити. С оглед на този резултат Директивата за СТЕ на ЕС беше изменена през 2017 г. с цел удължаване на обхвата на въздухоплаването в рамките на ЕИП до 2023 г.</w:t>
                            </w:r>
                          </w:p>
                          <w:p>
                            <w:pPr>
                              <w:jc w:val="both"/>
                              <w:rPr>
                                <w:rFonts w:ascii="Times New Roman" w:hAnsi="Times New Roman"/>
                                <w:sz w:val="24"/>
                                <w:szCs w:val="24"/>
                              </w:rPr>
                            </w:pPr>
                            <w:r>
                              <w:rPr>
                                <w:rFonts w:ascii="Times New Roman" w:hAnsi="Times New Roman"/>
                                <w:sz w:val="24"/>
                                <w:szCs w:val="24"/>
                              </w:rPr>
                              <w:t xml:space="preserve">СТЕ на ЕС за въздухоплаването обхваща полети по маршрути между летищата, разположени в Европейското икономическо пространство (ЕИП), и осигурява равно третиране на авиокомпаниите по отношение на полетите по тези маршрути. В Директивата за СТЕ на ЕС се предвижда, че Европейската комисия ще докладва пред Европейския парламент и пред Съвета относно начините за въвеждане на CORSIA в правото на ЕС посредством преразглеждане на директивата. Освен ако не е активно преразгледана, дерогацията от географския обхват на СТЕ на ЕС изтича в края на 2023 г., като се връща към пълния обхват на всички полети, заминаващи от и (освен ако не са освободени, пристигащи) в ЕИП.  </w:t>
                            </w:r>
                          </w:p>
                          <w:p>
                            <w:pPr>
                              <w:jc w:val="both"/>
                            </w:pPr>
                          </w:p>
                        </w:txbxContent>
                      </wps:txbx>
                      <wps:bodyPr rot="0" vert="horz" wrap="square" lIns="91440" tIns="45720" rIns="91440" bIns="45720" anchor="t" anchorCtr="0">
                        <a:noAutofit/>
                      </wps:bodyPr>
                    </wps:wsp>
                  </a:graphicData>
                </a:graphic>
              </wp:inline>
            </w:drawing>
          </mc:Choice>
          <mc:Fallback>
            <w:pict>
              <v:shape id="_x0000_s1037" type="#_x0000_t202" style="width:451pt;height:4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" fillcolor="#d9d9d9" strokeweight="1pt">
                <v:textbox>
                  <w:txbxContent>
                    <w:p>
                      <w:pPr>
                        <w:jc w:val="both"/>
                        <w:rPr>
                          <w:rFonts w:ascii="Times New Roman" w:hAnsi="Times New Roman"/>
                          <w:sz w:val="24"/>
                          <w:szCs w:val="24"/>
                        </w:rPr>
                      </w:pPr>
                      <w:r>
                        <w:rPr>
                          <w:rFonts w:ascii="Times New Roman" w:hAnsi="Times New Roman"/>
                          <w:sz w:val="24"/>
                          <w:szCs w:val="24"/>
                        </w:rPr>
                        <w:t xml:space="preserve">Секторът на въздухоплаването е част от СТЕ на ЕС от 2012 г. насам. Първоначалното законодателство е обхващало всички изходящи и входящи полети до и от Европейското икономическо пространство (ЕИП). ЕС обаче временно е ограничил задълженията до полети на авиокомпаниите от всички националности в рамките на ЕИП в подкрепа на разработването на глобална мярка на Международната организация за гражданско въздухоплаване (ИКАО) за намаляване на авиационните емисии.  </w:t>
                      </w:r>
                    </w:p>
                    <w:p>
                      <w:pPr>
                        <w:jc w:val="both"/>
                        <w:rPr>
                          <w:rFonts w:ascii="Times New Roman" w:hAnsi="Times New Roman"/>
                          <w:sz w:val="24"/>
                          <w:szCs w:val="24"/>
                        </w:rPr>
                      </w:pPr>
                      <w:r>
                        <w:rPr>
                          <w:rFonts w:ascii="Times New Roman" w:hAnsi="Times New Roman"/>
                          <w:sz w:val="24"/>
                          <w:szCs w:val="24"/>
                        </w:rPr>
                        <w:t>През октомври 2016 г. събранието на ИКАО одобри резолюция за схема за компенсиране и намаляване на емисиите на въглероден диоксид в международното въздухоплаване (CORSIA), чието изпълнение ще започне през 2021 г. CORSIA е схема за компенсиране на емисиите на въглероден диоксид с цел стабилизиране на нетните емисии от международното въздухоплаване на нивата от 2020 г. чрез закупуване и отмяна на международни кредити. С оглед на този резултат Директивата за СТЕ на ЕС беше изменена през 2017 г. с цел удължаване на обхвата на въздухоплаването в рамките на ЕИП до 2023 г.</w:t>
                      </w:r>
                    </w:p>
                    <w:p>
                      <w:pPr>
                        <w:jc w:val="both"/>
                        <w:rPr>
                          <w:rFonts w:ascii="Times New Roman" w:hAnsi="Times New Roman"/>
                          <w:sz w:val="24"/>
                          <w:szCs w:val="24"/>
                        </w:rPr>
                      </w:pPr>
                      <w:r>
                        <w:rPr>
                          <w:rFonts w:ascii="Times New Roman" w:hAnsi="Times New Roman"/>
                          <w:sz w:val="24"/>
                          <w:szCs w:val="24"/>
                        </w:rPr>
                        <w:t xml:space="preserve">СТЕ на ЕС за въздухоплаването обхваща полети по маршрути между летищата, разположени в Европейското икономическо пространство (ЕИП), и осигурява равно третиране на авиокомпаниите по отношение на полетите по тези маршрути. В Директивата за СТЕ на ЕС се предвижда, че Европейската комисия ще докладва пред Европейския парламент и пред Съвета относно начините за въвеждане на CORSIA в правото на ЕС посредством преразглеждане на директивата. Освен ако не е активно преразгледана, дерогацията от географския обхват на СТЕ на ЕС изтича в края на 2023 г., като се връща към пълния обхват на всички полети, заминаващи от и (освен ако не са освободени, пристигащи) в ЕИП.  </w:t>
                      </w:r>
                    </w:p>
                    <w:p>
                      <w:pPr>
                        <w:jc w:val="both"/>
                      </w:pPr>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szCs w:val="24"/>
        </w:rPr>
        <w:t xml:space="preserve">През 2019 г. бяха издадени квоти в съответствие с обхвата в рамките на ЕИП. Количеството на безплатните квоти възлезе на малко повече от 32,4 милиона квоти. В това число се включват безплатно предоставените квоти (малко над 31,3 милиона квоти) и почти 1,1 милиона безплатни квоти, разпределени от специалния резерв за нови участници и бързо развиващи се оператори. Квотите от този резерв се удвояват през периода 2017—2020 г., тъй като те се отнасят до целия период 2013—2020 г. Количеството на квотите, продадени на търг през 2019 г., беше около 5,5 милиона квоти. Що се отнася до развитието на авиационните емисии, верифицираните емисии нарастват по-бавно през 2019 г. (с 1 % в сравнение с 2018 г.), като достигат равнището от 68,2 милиона тона CO </w:t>
      </w:r>
      <w:r>
        <w:rPr>
          <w:rFonts w:ascii="Times New Roman" w:hAnsi="Times New Roman"/>
          <w:noProof/>
          <w:sz w:val="24"/>
          <w:szCs w:val="24"/>
          <w:vertAlign w:val="subscript"/>
        </w:rPr>
        <w:t>2</w:t>
      </w:r>
      <w:r>
        <w:rPr>
          <w:rFonts w:ascii="Times New Roman" w:hAnsi="Times New Roman"/>
          <w:noProof/>
          <w:sz w:val="24"/>
          <w:szCs w:val="24"/>
        </w:rPr>
        <w:t>.</w:t>
      </w:r>
    </w:p>
    <w:p>
      <w:pPr>
        <w:jc w:val="both"/>
        <w:rPr>
          <w:rFonts w:ascii="Times New Roman" w:hAnsi="Times New Roman"/>
          <w:b/>
          <w:noProof/>
        </w:rPr>
      </w:pPr>
      <w:r>
        <w:rPr>
          <w:rFonts w:ascii="Times New Roman" w:hAnsi="Times New Roman"/>
          <w:noProof/>
        </w:rPr>
        <w:t>В таблица 8 е дадено обобщение на верифицираните емисии, безплатното разпределение и обема на тръжните продажби за сектора на въздухоплаването от началото на фаза 3</w:t>
      </w:r>
      <w:r>
        <w:rPr>
          <w:rFonts w:ascii="Times New Roman" w:hAnsi="Times New Roman"/>
          <w:noProof/>
          <w:sz w:val="24"/>
          <w:szCs w:val="24"/>
        </w:rPr>
        <w:t>.</w:t>
      </w:r>
      <w:r>
        <w:rPr>
          <w:rFonts w:ascii="Times New Roman" w:hAnsi="Times New Roman"/>
          <w:b/>
          <w:noProof/>
        </w:rPr>
        <w:t xml:space="preserve"> </w:t>
      </w:r>
    </w:p>
    <w:p>
      <w:pPr>
        <w:jc w:val="both"/>
        <w:rPr>
          <w:rFonts w:ascii="Times New Roman" w:hAnsi="Times New Roman"/>
          <w:b/>
          <w:noProof/>
        </w:rPr>
      </w:pPr>
    </w:p>
    <w:p>
      <w:pPr>
        <w:jc w:val="both"/>
        <w:rPr>
          <w:rFonts w:ascii="Times New Roman" w:hAnsi="Times New Roman"/>
          <w:b/>
          <w:noProof/>
        </w:rPr>
      </w:pPr>
    </w:p>
    <w:p>
      <w:pPr>
        <w:jc w:val="both"/>
        <w:rPr>
          <w:rFonts w:ascii="Times New Roman" w:hAnsi="Times New Roman"/>
          <w:b/>
          <w:noProof/>
        </w:rPr>
      </w:pPr>
      <w:r>
        <w:rPr>
          <w:rFonts w:ascii="Times New Roman" w:hAnsi="Times New Roman"/>
          <w:b/>
          <w:noProof/>
        </w:rPr>
        <w:t>Таблица 8: Верифицирани емисии и разпределение в сектора на въздухоплаването (в милиони)</w:t>
      </w:r>
    </w:p>
    <w:tbl>
      <w:tblPr>
        <w:tblW w:w="4941" w:type="pct"/>
        <w:tblInd w:w="108" w:type="dxa"/>
        <w:tblCellMar>
          <w:left w:w="0" w:type="dxa"/>
          <w:right w:w="0" w:type="dxa"/>
        </w:tblCellMar>
        <w:tblLook w:val="04A0" w:firstRow="1" w:lastRow="0" w:firstColumn="1" w:lastColumn="0" w:noHBand="0" w:noVBand="1"/>
      </w:tblPr>
      <w:tblGrid>
        <w:gridCol w:w="2204"/>
        <w:gridCol w:w="807"/>
        <w:gridCol w:w="866"/>
        <w:gridCol w:w="865"/>
        <w:gridCol w:w="863"/>
        <w:gridCol w:w="860"/>
        <w:gridCol w:w="860"/>
        <w:gridCol w:w="860"/>
        <w:gridCol w:w="856"/>
      </w:tblGrid>
      <w:tr>
        <w:trPr>
          <w:trHeight w:val="594"/>
        </w:trPr>
        <w:tc>
          <w:tcPr>
            <w:tcW w:w="1221" w:type="pct"/>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sz w:val="20"/>
                <w:szCs w:val="20"/>
              </w:rPr>
            </w:pPr>
            <w:r>
              <w:rPr>
                <w:noProof/>
              </w:rPr>
              <w:t xml:space="preserve"> </w:t>
            </w:r>
            <w:r>
              <w:rPr>
                <w:noProof/>
              </w:rPr>
              <w:br/>
            </w:r>
            <w:r>
              <w:rPr>
                <w:rFonts w:ascii="Times New Roman" w:hAnsi="Times New Roman"/>
                <w:b/>
                <w:bCs/>
                <w:noProof/>
                <w:sz w:val="20"/>
                <w:szCs w:val="20"/>
              </w:rPr>
              <w:t>Година</w:t>
            </w:r>
          </w:p>
        </w:tc>
        <w:tc>
          <w:tcPr>
            <w:tcW w:w="433"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sz w:val="20"/>
                <w:szCs w:val="20"/>
              </w:rPr>
            </w:pPr>
            <w:r>
              <w:rPr>
                <w:rFonts w:ascii="Times New Roman" w:hAnsi="Times New Roman"/>
                <w:b/>
                <w:bCs/>
                <w:noProof/>
                <w:sz w:val="20"/>
                <w:szCs w:val="20"/>
              </w:rPr>
              <w:t>2013 г.</w:t>
            </w:r>
          </w:p>
        </w:tc>
        <w:tc>
          <w:tcPr>
            <w:tcW w:w="481"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sz w:val="20"/>
                <w:szCs w:val="20"/>
              </w:rPr>
            </w:pPr>
            <w:r>
              <w:rPr>
                <w:rFonts w:ascii="Times New Roman" w:hAnsi="Times New Roman"/>
                <w:b/>
                <w:bCs/>
                <w:noProof/>
                <w:sz w:val="20"/>
                <w:szCs w:val="20"/>
              </w:rPr>
              <w:t>2014 г.</w:t>
            </w:r>
          </w:p>
        </w:tc>
        <w:tc>
          <w:tcPr>
            <w:tcW w:w="480"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sz w:val="20"/>
                <w:szCs w:val="20"/>
              </w:rPr>
            </w:pPr>
            <w:r>
              <w:rPr>
                <w:rFonts w:ascii="Times New Roman" w:hAnsi="Times New Roman"/>
                <w:b/>
                <w:bCs/>
                <w:noProof/>
                <w:sz w:val="20"/>
                <w:szCs w:val="20"/>
              </w:rPr>
              <w:t>2015 г.</w:t>
            </w:r>
          </w:p>
        </w:tc>
        <w:tc>
          <w:tcPr>
            <w:tcW w:w="479" w:type="pct"/>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sz w:val="20"/>
                <w:szCs w:val="20"/>
              </w:rPr>
            </w:pPr>
            <w:r>
              <w:rPr>
                <w:rFonts w:ascii="Times New Roman" w:hAnsi="Times New Roman"/>
                <w:b/>
                <w:bCs/>
                <w:noProof/>
                <w:sz w:val="20"/>
                <w:szCs w:val="20"/>
              </w:rPr>
              <w:t>2016 г.</w:t>
            </w:r>
          </w:p>
        </w:tc>
        <w:tc>
          <w:tcPr>
            <w:tcW w:w="477" w:type="pct"/>
            <w:tcBorders>
              <w:top w:val="double" w:sz="4" w:space="0" w:color="auto"/>
              <w:left w:val="nil"/>
              <w:bottom w:val="double" w:sz="4" w:space="0" w:color="auto"/>
              <w:right w:val="double" w:sz="4" w:space="0" w:color="auto"/>
            </w:tcBorders>
            <w:vAlign w:val="center"/>
          </w:tcPr>
          <w:p>
            <w:pPr>
              <w:jc w:val="center"/>
              <w:rPr>
                <w:rFonts w:ascii="Times New Roman" w:hAnsi="Times New Roman"/>
                <w:b/>
                <w:bCs/>
                <w:noProof/>
                <w:sz w:val="20"/>
                <w:szCs w:val="20"/>
              </w:rPr>
            </w:pPr>
            <w:r>
              <w:rPr>
                <w:rFonts w:ascii="Times New Roman" w:hAnsi="Times New Roman"/>
                <w:b/>
                <w:bCs/>
                <w:noProof/>
                <w:sz w:val="20"/>
                <w:szCs w:val="20"/>
              </w:rPr>
              <w:t>2017 г.</w:t>
            </w:r>
          </w:p>
        </w:tc>
        <w:tc>
          <w:tcPr>
            <w:tcW w:w="477" w:type="pct"/>
            <w:tcBorders>
              <w:top w:val="double" w:sz="4" w:space="0" w:color="auto"/>
              <w:left w:val="nil"/>
              <w:bottom w:val="double" w:sz="4" w:space="0" w:color="auto"/>
              <w:right w:val="double" w:sz="4" w:space="0" w:color="auto"/>
            </w:tcBorders>
            <w:vAlign w:val="center"/>
          </w:tcPr>
          <w:p>
            <w:pPr>
              <w:jc w:val="center"/>
              <w:rPr>
                <w:rFonts w:ascii="Times New Roman" w:hAnsi="Times New Roman"/>
                <w:b/>
                <w:bCs/>
                <w:noProof/>
                <w:sz w:val="20"/>
                <w:szCs w:val="20"/>
              </w:rPr>
            </w:pPr>
            <w:r>
              <w:rPr>
                <w:rFonts w:ascii="Times New Roman" w:hAnsi="Times New Roman"/>
                <w:b/>
                <w:bCs/>
                <w:noProof/>
                <w:sz w:val="20"/>
                <w:szCs w:val="20"/>
              </w:rPr>
              <w:t>2018 г.</w:t>
            </w:r>
          </w:p>
        </w:tc>
        <w:tc>
          <w:tcPr>
            <w:tcW w:w="477" w:type="pct"/>
            <w:tcBorders>
              <w:top w:val="double" w:sz="4" w:space="0" w:color="auto"/>
              <w:left w:val="nil"/>
              <w:bottom w:val="double" w:sz="4" w:space="0" w:color="auto"/>
              <w:right w:val="double" w:sz="4" w:space="0" w:color="auto"/>
            </w:tcBorders>
            <w:vAlign w:val="center"/>
          </w:tcPr>
          <w:p>
            <w:pPr>
              <w:jc w:val="center"/>
              <w:rPr>
                <w:rFonts w:ascii="Times New Roman" w:hAnsi="Times New Roman"/>
                <w:b/>
                <w:bCs/>
                <w:noProof/>
                <w:sz w:val="20"/>
                <w:szCs w:val="20"/>
              </w:rPr>
            </w:pPr>
            <w:r>
              <w:rPr>
                <w:rFonts w:ascii="Times New Roman" w:hAnsi="Times New Roman"/>
                <w:b/>
                <w:bCs/>
                <w:noProof/>
                <w:sz w:val="20"/>
                <w:szCs w:val="20"/>
              </w:rPr>
              <w:t>2019 г.</w:t>
            </w:r>
          </w:p>
        </w:tc>
        <w:tc>
          <w:tcPr>
            <w:tcW w:w="477" w:type="pct"/>
            <w:tcBorders>
              <w:top w:val="double" w:sz="4" w:space="0" w:color="auto"/>
              <w:left w:val="nil"/>
              <w:bottom w:val="double" w:sz="4" w:space="0" w:color="auto"/>
              <w:right w:val="double" w:sz="4" w:space="0" w:color="auto"/>
            </w:tcBorders>
            <w:vAlign w:val="center"/>
          </w:tcPr>
          <w:p>
            <w:pPr>
              <w:jc w:val="center"/>
              <w:rPr>
                <w:rFonts w:ascii="Times New Roman" w:hAnsi="Times New Roman"/>
                <w:b/>
                <w:bCs/>
                <w:noProof/>
                <w:sz w:val="20"/>
                <w:szCs w:val="20"/>
              </w:rPr>
            </w:pPr>
            <w:r>
              <w:rPr>
                <w:rFonts w:ascii="Times New Roman" w:hAnsi="Times New Roman"/>
                <w:b/>
                <w:bCs/>
                <w:noProof/>
                <w:sz w:val="20"/>
                <w:szCs w:val="20"/>
              </w:rPr>
              <w:t>2020 г.</w:t>
            </w:r>
          </w:p>
        </w:tc>
      </w:tr>
      <w:tr>
        <w:trPr>
          <w:trHeight w:val="748"/>
        </w:trPr>
        <w:tc>
          <w:tcPr>
            <w:tcW w:w="1221"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FF0000"/>
                <w:sz w:val="20"/>
                <w:szCs w:val="20"/>
              </w:rPr>
            </w:pPr>
            <w:r>
              <w:rPr>
                <w:noProof/>
              </w:rPr>
              <w:t xml:space="preserve"> </w:t>
            </w:r>
            <w:r>
              <w:rPr>
                <w:noProof/>
              </w:rPr>
              <w:br/>
            </w:r>
            <w:r>
              <w:rPr>
                <w:rFonts w:ascii="Times New Roman" w:hAnsi="Times New Roman"/>
                <w:b/>
                <w:bCs/>
                <w:noProof/>
                <w:color w:val="000000"/>
                <w:sz w:val="20"/>
                <w:szCs w:val="20"/>
              </w:rPr>
              <w:t>Верифицирани емисии (в милиони тонове CO</w:t>
            </w:r>
            <w:r>
              <w:rPr>
                <w:rFonts w:ascii="Times New Roman" w:hAnsi="Times New Roman"/>
                <w:b/>
                <w:bCs/>
                <w:noProof/>
                <w:color w:val="000000"/>
                <w:sz w:val="20"/>
                <w:szCs w:val="20"/>
                <w:vertAlign w:val="subscript"/>
              </w:rPr>
              <w:t xml:space="preserve">2 </w:t>
            </w:r>
            <w:r>
              <w:rPr>
                <w:rFonts w:ascii="Times New Roman" w:hAnsi="Times New Roman"/>
                <w:b/>
                <w:bCs/>
                <w:noProof/>
                <w:color w:val="000000"/>
                <w:sz w:val="20"/>
                <w:szCs w:val="20"/>
              </w:rPr>
              <w:t xml:space="preserve"> еквивалент)</w:t>
            </w:r>
          </w:p>
        </w:tc>
        <w:tc>
          <w:tcPr>
            <w:tcW w:w="4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szCs w:val="20"/>
              </w:rPr>
              <w:t>53,5</w:t>
            </w:r>
          </w:p>
        </w:tc>
        <w:tc>
          <w:tcPr>
            <w:tcW w:w="48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szCs w:val="20"/>
              </w:rPr>
              <w:t>54,8</w:t>
            </w:r>
          </w:p>
        </w:tc>
        <w:tc>
          <w:tcPr>
            <w:tcW w:w="48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szCs w:val="20"/>
              </w:rPr>
              <w:t>57,1</w:t>
            </w:r>
          </w:p>
        </w:tc>
        <w:tc>
          <w:tcPr>
            <w:tcW w:w="479"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szCs w:val="20"/>
              </w:rPr>
              <w:t>61,5</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color w:val="000000"/>
                <w:sz w:val="20"/>
                <w:szCs w:val="20"/>
              </w:rPr>
              <w:t>64,4</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color w:val="000000"/>
                <w:sz w:val="20"/>
                <w:szCs w:val="20"/>
              </w:rPr>
              <w:t>67,5</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color w:val="000000"/>
                <w:sz w:val="20"/>
                <w:szCs w:val="20"/>
              </w:rPr>
              <w:t>68,2</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lang w:eastAsia="en-GB"/>
              </w:rPr>
            </w:pPr>
          </w:p>
        </w:tc>
      </w:tr>
      <w:tr>
        <w:trPr>
          <w:trHeight w:val="758"/>
        </w:trPr>
        <w:tc>
          <w:tcPr>
            <w:tcW w:w="1221"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rPr>
            </w:pPr>
            <w:r>
              <w:rPr>
                <w:noProof/>
              </w:rPr>
              <w:t xml:space="preserve"> </w:t>
            </w:r>
            <w:r>
              <w:rPr>
                <w:noProof/>
              </w:rPr>
              <w:br/>
            </w:r>
            <w:r>
              <w:rPr>
                <w:rFonts w:ascii="Times New Roman" w:hAnsi="Times New Roman"/>
                <w:b/>
                <w:bCs/>
                <w:noProof/>
                <w:color w:val="000000"/>
                <w:sz w:val="20"/>
                <w:szCs w:val="20"/>
              </w:rPr>
              <w:t>Изменение на верифицираните емисии спрямо година x-1</w:t>
            </w:r>
          </w:p>
        </w:tc>
        <w:tc>
          <w:tcPr>
            <w:tcW w:w="4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lang w:eastAsia="en-GB"/>
              </w:rPr>
            </w:pPr>
          </w:p>
        </w:tc>
        <w:tc>
          <w:tcPr>
            <w:tcW w:w="48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szCs w:val="20"/>
              </w:rPr>
              <w:t>2,5 %</w:t>
            </w:r>
          </w:p>
        </w:tc>
        <w:tc>
          <w:tcPr>
            <w:tcW w:w="48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szCs w:val="20"/>
              </w:rPr>
              <w:t>4,1 %</w:t>
            </w:r>
          </w:p>
        </w:tc>
        <w:tc>
          <w:tcPr>
            <w:tcW w:w="479"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szCs w:val="20"/>
              </w:rPr>
              <w:t>7,7 %</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color w:val="000000"/>
                <w:sz w:val="20"/>
                <w:szCs w:val="20"/>
              </w:rPr>
              <w:t>4,8 %</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color w:val="000000"/>
                <w:sz w:val="20"/>
                <w:szCs w:val="20"/>
              </w:rPr>
              <w:t>4,8 %</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color w:val="000000"/>
                <w:sz w:val="20"/>
                <w:szCs w:val="20"/>
              </w:rPr>
              <w:t>1 %</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lang w:eastAsia="en-GB"/>
              </w:rPr>
            </w:pPr>
          </w:p>
        </w:tc>
      </w:tr>
      <w:tr>
        <w:trPr>
          <w:trHeight w:val="758"/>
        </w:trPr>
        <w:tc>
          <w:tcPr>
            <w:tcW w:w="1221"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rPr>
            </w:pPr>
            <w:r>
              <w:rPr>
                <w:noProof/>
              </w:rPr>
              <w:t xml:space="preserve"> </w:t>
            </w:r>
            <w:r>
              <w:rPr>
                <w:noProof/>
              </w:rPr>
              <w:br/>
            </w:r>
            <w:r>
              <w:rPr>
                <w:rFonts w:ascii="Times New Roman" w:hAnsi="Times New Roman"/>
                <w:b/>
                <w:bCs/>
                <w:noProof/>
                <w:color w:val="000000"/>
                <w:sz w:val="20"/>
                <w:szCs w:val="20"/>
              </w:rPr>
              <w:t>Безплатно разпределение (ЕС27 +UK+ЕИП)</w:t>
            </w:r>
            <w:r>
              <w:rPr>
                <w:rStyle w:val="FootnoteReference"/>
                <w:rFonts w:ascii="Times New Roman" w:hAnsi="Times New Roman"/>
                <w:b/>
                <w:bCs/>
                <w:noProof/>
                <w:color w:val="000000"/>
                <w:sz w:val="20"/>
                <w:szCs w:val="20"/>
                <w:lang w:eastAsia="en-GB"/>
              </w:rPr>
              <w:footnoteReference w:id="65"/>
            </w:r>
          </w:p>
        </w:tc>
        <w:tc>
          <w:tcPr>
            <w:tcW w:w="4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szCs w:val="20"/>
              </w:rPr>
              <w:t>32,4</w:t>
            </w:r>
          </w:p>
        </w:tc>
        <w:tc>
          <w:tcPr>
            <w:tcW w:w="48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szCs w:val="20"/>
              </w:rPr>
              <w:t>32,4</w:t>
            </w:r>
          </w:p>
        </w:tc>
        <w:tc>
          <w:tcPr>
            <w:tcW w:w="48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szCs w:val="20"/>
              </w:rPr>
              <w:t>32,1</w:t>
            </w:r>
          </w:p>
        </w:tc>
        <w:tc>
          <w:tcPr>
            <w:tcW w:w="479"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szCs w:val="20"/>
              </w:rPr>
              <w:t>32,0</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color w:val="000000"/>
                <w:sz w:val="20"/>
                <w:szCs w:val="20"/>
              </w:rPr>
              <w:t>33,1</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color w:val="000000"/>
                <w:sz w:val="20"/>
                <w:szCs w:val="20"/>
              </w:rPr>
              <w:t>31,3</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color w:val="000000"/>
                <w:sz w:val="20"/>
                <w:szCs w:val="20"/>
              </w:rPr>
              <w:t>31,3</w:t>
            </w:r>
            <w:r>
              <w:rPr>
                <w:rStyle w:val="FootnoteReference"/>
                <w:rFonts w:ascii="Times New Roman" w:hAnsi="Times New Roman"/>
                <w:noProof/>
                <w:color w:val="000000"/>
                <w:sz w:val="20"/>
                <w:szCs w:val="20"/>
                <w:lang w:eastAsia="en-GB"/>
              </w:rPr>
              <w:footnoteReference w:id="66"/>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color w:val="000000"/>
                <w:sz w:val="20"/>
                <w:szCs w:val="20"/>
              </w:rPr>
              <w:t>31.2</w:t>
            </w:r>
          </w:p>
        </w:tc>
      </w:tr>
      <w:tr>
        <w:trPr>
          <w:trHeight w:val="750"/>
        </w:trPr>
        <w:tc>
          <w:tcPr>
            <w:tcW w:w="1221"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rPr>
            </w:pPr>
            <w:r>
              <w:rPr>
                <w:rFonts w:ascii="Times New Roman" w:hAnsi="Times New Roman"/>
                <w:b/>
                <w:bCs/>
                <w:noProof/>
                <w:color w:val="000000"/>
                <w:sz w:val="20"/>
                <w:szCs w:val="20"/>
              </w:rPr>
              <w:t>Безплатни квоти от специалния резерв за нови участници и бързо развиващи се оператори</w:t>
            </w:r>
          </w:p>
        </w:tc>
        <w:tc>
          <w:tcPr>
            <w:tcW w:w="433"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000000"/>
                <w:sz w:val="20"/>
                <w:szCs w:val="20"/>
              </w:rPr>
            </w:pPr>
            <w:r>
              <w:rPr>
                <w:rFonts w:ascii="Times New Roman" w:hAnsi="Times New Roman"/>
                <w:noProof/>
                <w:color w:val="000000"/>
                <w:sz w:val="20"/>
                <w:szCs w:val="20"/>
              </w:rPr>
              <w:t>0</w:t>
            </w:r>
          </w:p>
        </w:tc>
        <w:tc>
          <w:tcPr>
            <w:tcW w:w="481"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000000"/>
                <w:sz w:val="20"/>
                <w:szCs w:val="20"/>
              </w:rPr>
            </w:pPr>
            <w:r>
              <w:rPr>
                <w:rFonts w:ascii="Times New Roman" w:hAnsi="Times New Roman"/>
                <w:noProof/>
                <w:color w:val="000000"/>
                <w:sz w:val="20"/>
                <w:szCs w:val="20"/>
              </w:rPr>
              <w:t>0</w:t>
            </w:r>
          </w:p>
        </w:tc>
        <w:tc>
          <w:tcPr>
            <w:tcW w:w="480"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000000"/>
                <w:sz w:val="20"/>
                <w:szCs w:val="20"/>
              </w:rPr>
            </w:pPr>
            <w:r>
              <w:rPr>
                <w:rFonts w:ascii="Times New Roman" w:hAnsi="Times New Roman"/>
                <w:noProof/>
                <w:color w:val="000000"/>
                <w:sz w:val="20"/>
                <w:szCs w:val="20"/>
              </w:rPr>
              <w:t>0</w:t>
            </w:r>
          </w:p>
        </w:tc>
        <w:tc>
          <w:tcPr>
            <w:tcW w:w="479" w:type="pct"/>
            <w:tcBorders>
              <w:top w:val="nil"/>
              <w:left w:val="nil"/>
              <w:bottom w:val="double" w:sz="4" w:space="0" w:color="auto"/>
              <w:right w:val="double" w:sz="4" w:space="0" w:color="auto"/>
            </w:tcBorders>
            <w:tcMar>
              <w:top w:w="0" w:type="dxa"/>
              <w:left w:w="108" w:type="dxa"/>
              <w:bottom w:w="0" w:type="dxa"/>
              <w:right w:w="108" w:type="dxa"/>
            </w:tcMar>
            <w:vAlign w:val="center"/>
          </w:tcPr>
          <w:p>
            <w:pPr>
              <w:jc w:val="center"/>
              <w:rPr>
                <w:rFonts w:ascii="Times New Roman" w:hAnsi="Times New Roman"/>
                <w:noProof/>
                <w:color w:val="000000"/>
                <w:sz w:val="20"/>
                <w:szCs w:val="20"/>
              </w:rPr>
            </w:pPr>
            <w:r>
              <w:rPr>
                <w:rFonts w:ascii="Times New Roman" w:hAnsi="Times New Roman"/>
                <w:noProof/>
                <w:color w:val="000000"/>
                <w:sz w:val="20"/>
                <w:szCs w:val="20"/>
              </w:rPr>
              <w:t>0</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color w:val="000000"/>
                <w:sz w:val="20"/>
                <w:szCs w:val="20"/>
              </w:rPr>
              <w:t>1,1</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color w:val="000000"/>
                <w:sz w:val="20"/>
                <w:szCs w:val="20"/>
              </w:rPr>
              <w:t>1,1</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color w:val="000000"/>
                <w:sz w:val="20"/>
                <w:szCs w:val="20"/>
              </w:rPr>
              <w:t>1,1</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color w:val="000000"/>
                <w:sz w:val="20"/>
                <w:szCs w:val="20"/>
              </w:rPr>
              <w:t>0,9</w:t>
            </w:r>
          </w:p>
        </w:tc>
      </w:tr>
      <w:tr>
        <w:trPr>
          <w:trHeight w:val="620"/>
        </w:trPr>
        <w:tc>
          <w:tcPr>
            <w:tcW w:w="1221" w:type="pct"/>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b/>
                <w:bCs/>
                <w:noProof/>
                <w:color w:val="000000"/>
                <w:sz w:val="20"/>
                <w:szCs w:val="20"/>
              </w:rPr>
            </w:pPr>
            <w:r>
              <w:rPr>
                <w:rFonts w:ascii="Times New Roman" w:hAnsi="Times New Roman"/>
                <w:b/>
                <w:bCs/>
                <w:noProof/>
                <w:color w:val="000000"/>
                <w:sz w:val="20"/>
                <w:szCs w:val="20"/>
              </w:rPr>
              <w:t>Обеми на квотите, предназначени за тръжна продажба</w:t>
            </w:r>
          </w:p>
        </w:tc>
        <w:tc>
          <w:tcPr>
            <w:tcW w:w="433"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szCs w:val="20"/>
              </w:rPr>
              <w:t>0</w:t>
            </w:r>
          </w:p>
        </w:tc>
        <w:tc>
          <w:tcPr>
            <w:tcW w:w="481"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szCs w:val="20"/>
              </w:rPr>
              <w:t>9,3</w:t>
            </w:r>
          </w:p>
        </w:tc>
        <w:tc>
          <w:tcPr>
            <w:tcW w:w="480"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szCs w:val="20"/>
              </w:rPr>
              <w:t>16,4</w:t>
            </w:r>
          </w:p>
        </w:tc>
        <w:tc>
          <w:tcPr>
            <w:tcW w:w="479" w:type="pct"/>
            <w:tcBorders>
              <w:top w:val="nil"/>
              <w:left w:val="nil"/>
              <w:bottom w:val="double" w:sz="4" w:space="0" w:color="auto"/>
              <w:right w:val="double" w:sz="4" w:space="0" w:color="auto"/>
            </w:tcBorders>
            <w:tcMar>
              <w:top w:w="0" w:type="dxa"/>
              <w:left w:w="108" w:type="dxa"/>
              <w:bottom w:w="0" w:type="dxa"/>
              <w:right w:w="108" w:type="dxa"/>
            </w:tcMar>
            <w:vAlign w:val="center"/>
            <w:hideMark/>
          </w:tcPr>
          <w:p>
            <w:pPr>
              <w:jc w:val="center"/>
              <w:rPr>
                <w:rFonts w:ascii="Times New Roman" w:hAnsi="Times New Roman"/>
                <w:noProof/>
                <w:color w:val="000000"/>
                <w:sz w:val="20"/>
                <w:szCs w:val="20"/>
              </w:rPr>
            </w:pPr>
            <w:r>
              <w:rPr>
                <w:rFonts w:ascii="Times New Roman" w:hAnsi="Times New Roman"/>
                <w:noProof/>
                <w:color w:val="000000"/>
                <w:sz w:val="20"/>
                <w:szCs w:val="20"/>
              </w:rPr>
              <w:t>6,0</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color w:val="000000"/>
                <w:sz w:val="20"/>
                <w:szCs w:val="20"/>
              </w:rPr>
              <w:t>4,7</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color w:val="000000"/>
                <w:sz w:val="20"/>
                <w:szCs w:val="20"/>
              </w:rPr>
              <w:t>5,6</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color w:val="000000"/>
                <w:sz w:val="20"/>
                <w:szCs w:val="20"/>
              </w:rPr>
              <w:t>5,5</w:t>
            </w:r>
          </w:p>
        </w:tc>
        <w:tc>
          <w:tcPr>
            <w:tcW w:w="477" w:type="pct"/>
            <w:tcBorders>
              <w:top w:val="nil"/>
              <w:left w:val="nil"/>
              <w:bottom w:val="double" w:sz="4" w:space="0" w:color="auto"/>
              <w:right w:val="double" w:sz="4" w:space="0" w:color="auto"/>
            </w:tcBorders>
            <w:vAlign w:val="center"/>
          </w:tcPr>
          <w:p>
            <w:pPr>
              <w:jc w:val="center"/>
              <w:rPr>
                <w:rFonts w:ascii="Times New Roman" w:hAnsi="Times New Roman"/>
                <w:noProof/>
                <w:color w:val="000000"/>
                <w:sz w:val="20"/>
                <w:szCs w:val="20"/>
              </w:rPr>
            </w:pPr>
            <w:r>
              <w:rPr>
                <w:rFonts w:ascii="Times New Roman" w:hAnsi="Times New Roman"/>
                <w:noProof/>
                <w:color w:val="000000"/>
                <w:sz w:val="20"/>
                <w:szCs w:val="20"/>
              </w:rPr>
              <w:t>3,4</w:t>
            </w:r>
            <w:r>
              <w:rPr>
                <w:rStyle w:val="FootnoteReference"/>
                <w:rFonts w:ascii="Times New Roman" w:hAnsi="Times New Roman"/>
                <w:noProof/>
                <w:color w:val="000000"/>
                <w:sz w:val="20"/>
                <w:szCs w:val="20"/>
                <w:lang w:eastAsia="en-GB"/>
              </w:rPr>
              <w:footnoteReference w:id="67"/>
            </w:r>
          </w:p>
        </w:tc>
      </w:tr>
    </w:tbl>
    <w:p>
      <w:pPr>
        <w:jc w:val="both"/>
        <w:rPr>
          <w:rFonts w:ascii="Times New Roman" w:hAnsi="Times New Roman"/>
          <w:noProof/>
          <w:sz w:val="18"/>
          <w:szCs w:val="18"/>
        </w:rPr>
      </w:pPr>
      <w:r>
        <w:rPr>
          <w:rFonts w:ascii="Times New Roman" w:hAnsi="Times New Roman"/>
          <w:noProof/>
          <w:sz w:val="18"/>
          <w:szCs w:val="18"/>
        </w:rPr>
        <w:t>Източници: EUTL, ГД „Действия по климата“, EEX</w:t>
      </w:r>
    </w:p>
    <w:p>
      <w:pPr>
        <w:jc w:val="both"/>
        <w:rPr>
          <w:rFonts w:ascii="Times New Roman" w:hAnsi="Times New Roman"/>
          <w:noProof/>
          <w:sz w:val="24"/>
          <w:szCs w:val="24"/>
        </w:rPr>
      </w:pPr>
      <w:r>
        <w:rPr>
          <w:rFonts w:ascii="Times New Roman" w:hAnsi="Times New Roman"/>
          <w:noProof/>
          <w:sz w:val="24"/>
          <w:szCs w:val="24"/>
        </w:rPr>
        <w:t>Обемите на авиационните квоти, предназначени за тръжна продажба през периода 2013—2015 г., отразяват решението на съзаконодателя от 2013 г. за „спиране на часовника“</w:t>
      </w:r>
      <w:r>
        <w:rPr>
          <w:rStyle w:val="FootnoteReference"/>
          <w:rFonts w:ascii="Times New Roman" w:hAnsi="Times New Roman"/>
          <w:noProof/>
          <w:sz w:val="24"/>
          <w:szCs w:val="24"/>
        </w:rPr>
        <w:footnoteReference w:id="68"/>
      </w:r>
      <w:r>
        <w:rPr>
          <w:rFonts w:ascii="Times New Roman" w:hAnsi="Times New Roman"/>
          <w:noProof/>
          <w:sz w:val="24"/>
          <w:szCs w:val="24"/>
        </w:rPr>
        <w:t xml:space="preserve"> и ограничаване на задълженията във връзка с изменението на климата само до полети в рамките на ЕИП. Спазването на тези изисквания за сектора на въздухоплаването беше отложено за 2012 г. и 2013 г. Поради това отложените количества квоти за 2012 г. бяха продадени на търг през 2014 г., а изискванията за авиационните емисии от 2013 г. и 2014 г. бяха спазени между януари и април 2015 г. </w:t>
      </w:r>
    </w:p>
    <w:p>
      <w:pPr>
        <w:jc w:val="both"/>
        <w:rPr>
          <w:noProof/>
        </w:rPr>
      </w:pPr>
      <w:r>
        <w:rPr>
          <w:rFonts w:ascii="Times New Roman" w:hAnsi="Times New Roman"/>
          <w:noProof/>
          <w:sz w:val="24"/>
          <w:szCs w:val="24"/>
        </w:rPr>
        <w:t>Включването на сектора на въздухоплаването в СТЕ на ЕС оказа значително въздействие върху екологичните показатели на системата като цяло. Във фаза 3 до 2019 г. операторите на въздухоплавателни средства предадоха 296 милиона квоти за авиационни емисии и 127 милиона общи квоти, като последната стойност представлява приноса на сектора на въздухоплаването към общите строги изисквания на СТЕ на ЕС.</w:t>
      </w:r>
    </w:p>
    <w:p>
      <w:pPr>
        <w:jc w:val="both"/>
        <w:rPr>
          <w:rFonts w:ascii="Times New Roman" w:hAnsi="Times New Roman"/>
          <w:noProof/>
          <w:sz w:val="24"/>
          <w:szCs w:val="24"/>
        </w:rPr>
      </w:pPr>
      <w:r>
        <w:rPr>
          <w:rFonts w:ascii="Times New Roman" w:hAnsi="Times New Roman"/>
          <w:noProof/>
          <w:sz w:val="24"/>
          <w:szCs w:val="24"/>
        </w:rPr>
        <w:t>През юни 2018 г. ИКАО прие Стандартите и препоръчителните практики по CORSIA (СПП)</w:t>
      </w:r>
      <w:r>
        <w:rPr>
          <w:rStyle w:val="FootnoteReference"/>
          <w:rFonts w:ascii="Times New Roman" w:hAnsi="Times New Roman"/>
          <w:noProof/>
          <w:sz w:val="24"/>
          <w:szCs w:val="24"/>
        </w:rPr>
        <w:footnoteReference w:id="69"/>
      </w:r>
      <w:r>
        <w:rPr>
          <w:rFonts w:ascii="Times New Roman" w:hAnsi="Times New Roman"/>
          <w:noProof/>
          <w:sz w:val="24"/>
          <w:szCs w:val="24"/>
        </w:rPr>
        <w:t>, които заедно с елементите на нейното прилагане подробно описват функционирането на схемата. Макар че подкрепят официалното приемане на СПП от ИКАО, ЕС и неговите държави членки следваха процедурите на ИКАО за уведомяване относно съществуващите различия между съответното законодателство на ЕС и CORSIA</w:t>
      </w:r>
      <w:r>
        <w:rPr>
          <w:rStyle w:val="FootnoteReference"/>
          <w:rFonts w:ascii="Times New Roman" w:hAnsi="Times New Roman"/>
          <w:noProof/>
          <w:sz w:val="24"/>
          <w:szCs w:val="24"/>
        </w:rPr>
        <w:footnoteReference w:id="70"/>
      </w:r>
      <w:r>
        <w:rPr>
          <w:rFonts w:ascii="Times New Roman" w:hAnsi="Times New Roman"/>
          <w:noProof/>
          <w:sz w:val="24"/>
          <w:szCs w:val="24"/>
        </w:rPr>
        <w:t>. Различията, за които са уведомили други държави, все още не са публикувани от ИКАО.</w:t>
      </w:r>
    </w:p>
    <w:p>
      <w:pPr>
        <w:jc w:val="both"/>
        <w:rPr>
          <w:rFonts w:ascii="Times New Roman" w:hAnsi="Times New Roman"/>
          <w:noProof/>
          <w:sz w:val="24"/>
          <w:szCs w:val="24"/>
        </w:rPr>
      </w:pPr>
      <w:r>
        <w:rPr>
          <w:rFonts w:ascii="Times New Roman" w:hAnsi="Times New Roman"/>
          <w:noProof/>
          <w:sz w:val="24"/>
          <w:szCs w:val="24"/>
        </w:rPr>
        <w:t>Значителното въздействие на COVID-19 върху международното въздухоплаване също оказва влияние върху CORSIA. Очаква се авиационните емисии през 2020 г. да паднат до под 40 % от равнищата за 2019 г. Като се има предвид това въздействие,  авиационният сектор в световен мащаб, подкрепен от множество държави, участващи в ИКАО, успешно поиска промяна на базовата линия на CORSIA от първоначалната средна стойност на емисиите за периода 2019—2020 г. до средна стойност само за 2019 г. за пилотната фаза на CORSIA. По този начин бъдещите задължения на авиокомпаниите за компенсиране са значително намалени или премахнати в сравнение с първоначално предвидената базова линия. През следващите години трябва да се реши дали базовата линия само за 2019 г. ще бъде удължена след 2023 г.</w:t>
      </w:r>
    </w:p>
    <w:p>
      <w:pPr>
        <w:jc w:val="both"/>
        <w:rPr>
          <w:rFonts w:ascii="Times New Roman" w:hAnsi="Times New Roman"/>
          <w:noProof/>
          <w:sz w:val="24"/>
          <w:szCs w:val="24"/>
        </w:rPr>
      </w:pPr>
      <w:r>
        <w:rPr>
          <w:rFonts w:ascii="Times New Roman" w:hAnsi="Times New Roman"/>
          <w:noProof/>
          <w:sz w:val="24"/>
          <w:szCs w:val="24"/>
        </w:rPr>
        <w:t>Като част от по-широкия законодателен пакет съгласно Европейския зелен пакт и въз основа на Директивата за СТЕ на ЕС, изменена през 2017 г.</w:t>
      </w:r>
      <w:r>
        <w:rPr>
          <w:rStyle w:val="FootnoteReference"/>
          <w:rFonts w:ascii="Times New Roman" w:hAnsi="Times New Roman"/>
          <w:noProof/>
          <w:sz w:val="24"/>
          <w:szCs w:val="24"/>
        </w:rPr>
        <w:footnoteReference w:id="71"/>
      </w:r>
      <w:r>
        <w:rPr>
          <w:rFonts w:ascii="Times New Roman" w:hAnsi="Times New Roman"/>
          <w:noProof/>
          <w:sz w:val="24"/>
          <w:szCs w:val="24"/>
        </w:rPr>
        <w:t>, Комисията понастоящем подготвя предложение за изменение на СТЕ на ЕС за въздухоплаването, което ще представи до юни 2021 г. Предложението ще бъде насочено в две посоки. То ще намали дела на квотите, разпределяни безплатно на операторите на въздухоплавателни средства, с цел допълнително намаляване на емисиите на парникови газове. То ще разгледа и прилагането на CORSIA в правото на ЕС по начин, който е в съответствие с целите на ЕС в областта на климата до 2030 г.</w:t>
      </w:r>
      <w:r>
        <w:rPr>
          <w:rStyle w:val="FootnoteReference"/>
          <w:rFonts w:ascii="Times New Roman" w:hAnsi="Times New Roman"/>
          <w:noProof/>
          <w:sz w:val="24"/>
          <w:szCs w:val="24"/>
        </w:rPr>
        <w:footnoteReference w:id="72"/>
      </w:r>
      <w:r>
        <w:rPr>
          <w:noProof/>
        </w:rPr>
        <w:t>.</w:t>
      </w:r>
      <w:r>
        <w:rPr>
          <w:rFonts w:ascii="Times New Roman" w:hAnsi="Times New Roman"/>
          <w:noProof/>
          <w:sz w:val="24"/>
          <w:szCs w:val="24"/>
        </w:rPr>
        <w:t xml:space="preserve"> Вече договорените промени на СТЕ на ЕС предвиждат разширяване на действието на коефициента на линейно намаление от 2,2 % върху лимита за въздухоплаването през фаза 4 на СТЕ на ЕС, считано от 2021 г.  </w:t>
      </w:r>
    </w:p>
    <w:p>
      <w:pPr>
        <w:jc w:val="both"/>
        <w:rPr>
          <w:rFonts w:ascii="Times New Roman" w:hAnsi="Times New Roman"/>
          <w:noProof/>
          <w:sz w:val="24"/>
          <w:szCs w:val="24"/>
        </w:rPr>
      </w:pPr>
    </w:p>
    <w:p>
      <w:pPr>
        <w:pStyle w:val="Heading1"/>
        <w:spacing w:before="0" w:after="200"/>
        <w:rPr>
          <w:noProof/>
        </w:rPr>
      </w:pPr>
      <w:bookmarkStart w:id="51" w:name="_Toc490850435"/>
      <w:bookmarkStart w:id="52" w:name="_Toc519009686"/>
      <w:bookmarkStart w:id="53" w:name="_Toc56071844"/>
      <w:r>
        <w:rPr>
          <w:noProof/>
        </w:rPr>
        <w:t>5. НАДЗОР НА ПАЗАРА</w:t>
      </w:r>
      <w:bookmarkEnd w:id="51"/>
      <w:bookmarkEnd w:id="52"/>
      <w:bookmarkEnd w:id="53"/>
    </w:p>
    <w:p>
      <w:pPr>
        <w:jc w:val="both"/>
        <w:rPr>
          <w:rFonts w:ascii="Times New Roman" w:hAnsi="Times New Roman"/>
          <w:noProof/>
          <w:sz w:val="24"/>
          <w:szCs w:val="24"/>
        </w:rPr>
      </w:pPr>
      <w:r>
        <w:rPr>
          <w:rFonts w:ascii="Times New Roman" w:hAnsi="Times New Roman"/>
          <w:noProof/>
          <w:sz w:val="24"/>
          <w:szCs w:val="24"/>
          <w:lang w:val="en-GB" w:eastAsia="en-GB"/>
        </w:rPr>
        <mc:AlternateContent>
          <mc:Choice Requires="wps">
            <w:drawing>
              <wp:inline distT="0" distB="0" distL="0" distR="0">
                <wp:extent cx="5731510" cy="6563485"/>
                <wp:effectExtent l="0" t="0" r="21590" b="2794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563485"/>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Съгласно преразгледаната Директива относно пазарите на финансови инструменти* (ДПФИ II) от 3 януари 2018 г. квотите за емисии се класифицират като финансови инструменти. Това означава, че правилата, които се отнасят за традиционните финансови пазари (включващи търговията с деривати на въглеродни емисии на водещи платформи или на извънборсови пазари), се прилагат и за спот сегмента на вторичния пазар на въглеродни емисии (транзакции с квоти за емисии за непосредствено предлагане на вторичния пазар). Така този сегмент се поставя наравно с пазара на деривати по отношение на изискванията за прозрачност, защита на инвеститорите и почтеност. Регламентът за тръжната продажба продължава да се прилага по отношение на надзора на първичния пазар извън въпросите, свързани с пазарната злоупотреба.</w:t>
                            </w:r>
                          </w:p>
                          <w:p>
                            <w:pPr>
                              <w:jc w:val="both"/>
                              <w:rPr>
                                <w:rFonts w:ascii="Times New Roman" w:hAnsi="Times New Roman"/>
                                <w:sz w:val="24"/>
                                <w:szCs w:val="24"/>
                              </w:rPr>
                            </w:pPr>
                            <w:r>
                              <w:rPr>
                                <w:rFonts w:ascii="Times New Roman" w:hAnsi="Times New Roman"/>
                                <w:sz w:val="24"/>
                                <w:szCs w:val="24"/>
                              </w:rPr>
                              <w:t>По силата на препратки към определенията за финансовите инструменти в ДПФИ II се прилагат и други части на нормативната уредба в областта на финансовите пазари. Това се отнася по-специално за Регламента относно пазарната злоупотреба (РПЗ)**, който обхваща транзакциите и поведението във връзка с квоти за емисии както на първичния, така и на вторичния пазар. По подобен начин препратка към ДПФИ II в Директивата относно борбата с изпирането на пари*** ще задейства задължителното прилагане на комплексни проверки от страна на лицензираните по ДПФИ II търговци на въглеродни емисии на техните клиенти на вторичния спот пазар на квоти за емисии. ****</w:t>
                            </w:r>
                          </w:p>
                          <w:p>
                            <w:pPr>
                              <w:jc w:val="both"/>
                              <w:rPr>
                                <w:rFonts w:ascii="Times New Roman" w:hAnsi="Times New Roman"/>
                                <w:sz w:val="18"/>
                                <w:szCs w:val="18"/>
                              </w:rPr>
                            </w:pPr>
                            <w:r>
                              <w:rPr>
                                <w:rFonts w:ascii="Times New Roman" w:hAnsi="Times New Roman"/>
                                <w:sz w:val="18"/>
                                <w:szCs w:val="18"/>
                              </w:rPr>
                              <w:t>*</w:t>
                            </w:r>
                            <w:r>
                              <w:t xml:space="preserve"> </w:t>
                            </w:r>
                            <w:r>
                              <w:rPr>
                                <w:rFonts w:ascii="Times New Roman" w:hAnsi="Times New Roman"/>
                                <w:sz w:val="18"/>
                                <w:szCs w:val="18"/>
                              </w:rPr>
                              <w:t xml:space="preserve">Директива 2014/65/ЕС на Европейския парламент и на Съвета от 15 май 2014 г. относно пазарите на финансови инструменти и за изменение на Директива 2002/92/ЕО и на Директива 2011/61/ЕС </w:t>
                            </w:r>
                          </w:p>
                          <w:p>
                            <w:pPr>
                              <w:jc w:val="both"/>
                              <w:rPr>
                                <w:rFonts w:ascii="Times New Roman" w:hAnsi="Times New Roman"/>
                                <w:sz w:val="18"/>
                                <w:szCs w:val="18"/>
                              </w:rPr>
                            </w:pPr>
                            <w:r>
                              <w:rPr>
                                <w:rFonts w:ascii="Times New Roman" w:hAnsi="Times New Roman"/>
                                <w:sz w:val="18"/>
                                <w:szCs w:val="18"/>
                              </w:rPr>
                              <w:t>**</w:t>
                            </w:r>
                            <w:r>
                              <w:t xml:space="preserve"> </w:t>
                            </w:r>
                            <w:r>
                              <w:rPr>
                                <w:rFonts w:ascii="Times New Roman" w:hAnsi="Times New Roman"/>
                                <w:sz w:val="18"/>
                                <w:szCs w:val="18"/>
                              </w:rPr>
                              <w:t>Регламент (ЕС) № 596/2014 на Европейския парламент и на Съвета от 16 април 2014 г. относно пазарната злоупотреба (Регламент относно пазарната злоупотреба) и за отмяна на Директива 2003/6/ЕО на Европейския парламент и на Съвета и директиви 2003/124/ЕО, 2003/125/ЕО и 2004/72/ЕО на Комисията</w:t>
                            </w:r>
                          </w:p>
                          <w:p>
                            <w:pPr>
                              <w:jc w:val="both"/>
                              <w:rPr>
                                <w:rFonts w:ascii="Times New Roman" w:hAnsi="Times New Roman"/>
                                <w:sz w:val="18"/>
                                <w:szCs w:val="18"/>
                              </w:rPr>
                            </w:pPr>
                            <w:r>
                              <w:rPr>
                                <w:rFonts w:ascii="Times New Roman" w:hAnsi="Times New Roman"/>
                                <w:sz w:val="18"/>
                                <w:szCs w:val="18"/>
                              </w:rPr>
                              <w:t xml:space="preserve">*** 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w:t>
                            </w:r>
                          </w:p>
                          <w:p>
                            <w:pPr>
                              <w:jc w:val="both"/>
                              <w:rPr>
                                <w:rFonts w:ascii="Times New Roman" w:hAnsi="Times New Roman"/>
                                <w:sz w:val="18"/>
                                <w:szCs w:val="18"/>
                              </w:rPr>
                            </w:pPr>
                            <w:r>
                              <w:rPr>
                                <w:rFonts w:ascii="Times New Roman" w:hAnsi="Times New Roman"/>
                                <w:sz w:val="18"/>
                                <w:szCs w:val="18"/>
                              </w:rPr>
                              <w:t>**** Комплексните проверки вече са задължителни на първичния пазар и на вторичния пазар на деривати върху квоти за емисии.</w:t>
                            </w:r>
                          </w:p>
                          <w:p>
                            <w:pPr>
                              <w:jc w:val="both"/>
                              <w:rPr>
                                <w:rFonts w:ascii="Times New Roman" w:hAnsi="Times New Roman"/>
                                <w:sz w:val="18"/>
                                <w:szCs w:val="18"/>
                              </w:rPr>
                            </w:pPr>
                          </w:p>
                        </w:txbxContent>
                      </wps:txbx>
                      <wps:bodyPr rot="0" vert="horz" wrap="square" lIns="91440" tIns="45720" rIns="91440" bIns="45720" anchor="t" anchorCtr="0">
                        <a:noAutofit/>
                      </wps:bodyPr>
                    </wps:wsp>
                  </a:graphicData>
                </a:graphic>
              </wp:inline>
            </w:drawing>
          </mc:Choice>
          <mc:Fallback>
            <w:pict>
              <v:shape id="_x0000_s1038" type="#_x0000_t202" style="width:451.3pt;height:5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" fillcolor="#d9d9d9" strokeweight="1pt">
                <v:textbox>
                  <w:txbxContent>
                    <w:p>
                      <w:pPr>
                        <w:jc w:val="both"/>
                        <w:rPr>
                          <w:rFonts w:ascii="Times New Roman" w:hAnsi="Times New Roman"/>
                          <w:sz w:val="24"/>
                          <w:szCs w:val="24"/>
                        </w:rPr>
                      </w:pPr>
                      <w:r>
                        <w:rPr>
                          <w:rFonts w:ascii="Times New Roman" w:hAnsi="Times New Roman"/>
                          <w:sz w:val="24"/>
                          <w:szCs w:val="24"/>
                        </w:rPr>
                        <w:t>Съгласно преразгледаната Директива относно пазарите на финансови инструменти* (ДПФИ II) от 3 януари 2018 г. квотите за емисии се класифицират като финансови инструменти. Това означава, че правилата, които се отнасят за традиционните финансови пазари (включващи търговията с деривати на въглеродни емисии на водещи платформи или на извънборсови пазари), се прилагат и за спот сегмента на вторичния пазар на въглеродни емисии (транзакции с квоти за емисии за непосредствено предлагане на вторичния пазар). Така този сегмент се поставя наравно с пазара на деривати по отношение на изискванията за прозрачност, защита на инвеститорите и почтеност. Регламентът за тръжната продажба продължава да се прилага по отношение на надзора на първичния пазар извън въпросите, свързани с пазарната злоупотреба.</w:t>
                      </w:r>
                    </w:p>
                    <w:p>
                      <w:pPr>
                        <w:jc w:val="both"/>
                        <w:rPr>
                          <w:rFonts w:ascii="Times New Roman" w:hAnsi="Times New Roman"/>
                          <w:sz w:val="24"/>
                          <w:szCs w:val="24"/>
                        </w:rPr>
                      </w:pPr>
                      <w:r>
                        <w:rPr>
                          <w:rFonts w:ascii="Times New Roman" w:hAnsi="Times New Roman"/>
                          <w:sz w:val="24"/>
                          <w:szCs w:val="24"/>
                        </w:rPr>
                        <w:t>По силата на препратки към определенията за финансовите инструменти в ДПФИ II се прилагат и други части на нормативната уредба в областта на финансовите пазари. Това се отнася по-специално за Регламента относно пазарната злоупотреба (РПЗ)**, който обхваща транзакциите и поведението във връзка с квоти за емисии както на първичния, така и на вторичния пазар. По подобен начин препратка към ДПФИ II в Директивата относно борбата с изпирането на пари*** ще задейства задължителното прилагане на комплексни проверки от страна на лицензираните по ДПФИ II търговци на въглеродни емисии на техните клиенти на вторичния спот пазар на квоти за емисии. ****</w:t>
                      </w:r>
                    </w:p>
                    <w:p>
                      <w:pPr>
                        <w:jc w:val="both"/>
                        <w:rPr>
                          <w:rFonts w:ascii="Times New Roman" w:hAnsi="Times New Roman"/>
                          <w:sz w:val="18"/>
                          <w:szCs w:val="18"/>
                        </w:rPr>
                      </w:pPr>
                      <w:r>
                        <w:rPr>
                          <w:rFonts w:ascii="Times New Roman" w:hAnsi="Times New Roman"/>
                          <w:sz w:val="18"/>
                          <w:szCs w:val="18"/>
                        </w:rPr>
                        <w:t>*</w:t>
                      </w:r>
                      <w:r>
                        <w:t xml:space="preserve"> </w:t>
                      </w:r>
                      <w:r>
                        <w:rPr>
                          <w:rFonts w:ascii="Times New Roman" w:hAnsi="Times New Roman"/>
                          <w:sz w:val="18"/>
                          <w:szCs w:val="18"/>
                        </w:rPr>
                        <w:t xml:space="preserve">Директива 2014/65/ЕС на Европейския парламент и на Съвета от 15 май 2014 г. относно пазарите на финансови инструменти и за изменение на Директива 2002/92/ЕО и на Директива 2011/61/ЕС </w:t>
                      </w:r>
                    </w:p>
                    <w:p>
                      <w:pPr>
                        <w:jc w:val="both"/>
                        <w:rPr>
                          <w:rFonts w:ascii="Times New Roman" w:hAnsi="Times New Roman"/>
                          <w:sz w:val="18"/>
                          <w:szCs w:val="18"/>
                        </w:rPr>
                      </w:pPr>
                      <w:r>
                        <w:rPr>
                          <w:rFonts w:ascii="Times New Roman" w:hAnsi="Times New Roman"/>
                          <w:sz w:val="18"/>
                          <w:szCs w:val="18"/>
                        </w:rPr>
                        <w:t>**</w:t>
                      </w:r>
                      <w:r>
                        <w:t xml:space="preserve"> </w:t>
                      </w:r>
                      <w:r>
                        <w:rPr>
                          <w:rFonts w:ascii="Times New Roman" w:hAnsi="Times New Roman"/>
                          <w:sz w:val="18"/>
                          <w:szCs w:val="18"/>
                        </w:rPr>
                        <w:t>Регламент (ЕС) № 596/2014 на Европейския парламент и на Съвета от 16 април 2014 г. относно пазарната злоупотреба (Регламент относно пазарната злоупотреба) и за отмяна на Директива 2003/6/ЕО на Европейския парламент и на Съвета и директиви 2003/124/ЕО, 2003/125/ЕО и 2004/72/ЕО на Комисията</w:t>
                      </w:r>
                    </w:p>
                    <w:p>
                      <w:pPr>
                        <w:jc w:val="both"/>
                        <w:rPr>
                          <w:rFonts w:ascii="Times New Roman" w:hAnsi="Times New Roman"/>
                          <w:sz w:val="18"/>
                          <w:szCs w:val="18"/>
                        </w:rPr>
                      </w:pPr>
                      <w:r>
                        <w:rPr>
                          <w:rFonts w:ascii="Times New Roman" w:hAnsi="Times New Roman"/>
                          <w:sz w:val="18"/>
                          <w:szCs w:val="18"/>
                        </w:rPr>
                        <w:t xml:space="preserve">*** 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w:t>
                      </w:r>
                    </w:p>
                    <w:p>
                      <w:pPr>
                        <w:jc w:val="both"/>
                        <w:rPr>
                          <w:rFonts w:ascii="Times New Roman" w:hAnsi="Times New Roman"/>
                          <w:sz w:val="18"/>
                          <w:szCs w:val="18"/>
                        </w:rPr>
                      </w:pPr>
                      <w:r>
                        <w:rPr>
                          <w:rFonts w:ascii="Times New Roman" w:hAnsi="Times New Roman"/>
                          <w:sz w:val="18"/>
                          <w:szCs w:val="18"/>
                        </w:rPr>
                        <w:t>**** Комплексните проверки вече са задължителни на първичния пазар и на вторичния пазар на деривати върху квоти за емисии.</w:t>
                      </w:r>
                    </w:p>
                    <w:p>
                      <w:pPr>
                        <w:jc w:val="both"/>
                        <w:rPr>
                          <w:rFonts w:ascii="Times New Roman" w:hAnsi="Times New Roman"/>
                          <w:sz w:val="18"/>
                          <w:szCs w:val="18"/>
                        </w:rPr>
                      </w:pPr>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szCs w:val="24"/>
        </w:rPr>
        <w:t>През 2019 г. броят на участниците, които отговарят на условията да подават оферти в търговете на Общата тръжна платформа, продължи да нараства. Започвайки с 80 участници през януари, годината приключи с 86 допустими участници през декември 2019 г. Операторите остават най-доминиращата категория участници, които отговарят на условията да оферират в търговете (около 70 %), следвани от инвестиционни посредници и кредитни институции (около 20 %) и лицата, освободени от изискванията на ДПФИ (10 %)</w:t>
      </w:r>
      <w:r>
        <w:rPr>
          <w:rStyle w:val="FootnoteReference"/>
          <w:rFonts w:ascii="Times New Roman" w:hAnsi="Times New Roman"/>
          <w:noProof/>
          <w:sz w:val="24"/>
          <w:szCs w:val="24"/>
          <w:lang w:eastAsia="en-GB"/>
        </w:rPr>
        <w:footnoteReference w:id="73"/>
      </w:r>
      <w:r>
        <w:rPr>
          <w:noProof/>
        </w:rPr>
        <w:t>.</w:t>
      </w:r>
      <w:r>
        <w:rPr>
          <w:rFonts w:ascii="Times New Roman" w:hAnsi="Times New Roman"/>
          <w:noProof/>
          <w:sz w:val="24"/>
          <w:szCs w:val="24"/>
        </w:rPr>
        <w:t xml:space="preserve"> </w:t>
      </w:r>
    </w:p>
    <w:p>
      <w:pPr>
        <w:jc w:val="both"/>
        <w:rPr>
          <w:rFonts w:ascii="Times New Roman" w:hAnsi="Times New Roman"/>
          <w:noProof/>
          <w:sz w:val="24"/>
          <w:szCs w:val="24"/>
        </w:rPr>
      </w:pPr>
      <w:r>
        <w:rPr>
          <w:rFonts w:ascii="Times New Roman" w:hAnsi="Times New Roman"/>
          <w:noProof/>
          <w:sz w:val="24"/>
          <w:szCs w:val="24"/>
        </w:rPr>
        <w:t>Съгласно съществуващите правила по отношение на пазарната злоупотреба националните компетентни органи</w:t>
      </w:r>
      <w:r>
        <w:rPr>
          <w:rStyle w:val="FootnoteReference"/>
          <w:rFonts w:ascii="Times New Roman" w:hAnsi="Times New Roman"/>
          <w:noProof/>
          <w:sz w:val="24"/>
          <w:szCs w:val="24"/>
          <w:lang w:eastAsia="en-GB"/>
        </w:rPr>
        <w:footnoteReference w:id="74"/>
      </w:r>
      <w:r>
        <w:rPr>
          <w:rFonts w:ascii="Times New Roman" w:hAnsi="Times New Roman"/>
          <w:noProof/>
          <w:sz w:val="24"/>
          <w:szCs w:val="24"/>
        </w:rPr>
        <w:t xml:space="preserve"> са отговорни за наблюдението на пазара по отношение на търговете и на вторичния пазар. На европейско равнище техните действия се координират от Европейския орган за ценни книжа и пазари (ESMA), какъвто е случаят с други финансови инструменти.</w:t>
      </w:r>
      <w:r>
        <w:rPr>
          <w:rFonts w:ascii="Times New Roman" w:hAnsi="Times New Roman"/>
          <w:noProof/>
          <w:sz w:val="24"/>
          <w:szCs w:val="24"/>
          <w:vertAlign w:val="superscript"/>
          <w:lang w:eastAsia="en-GB"/>
        </w:rPr>
        <w:footnoteReference w:id="75"/>
      </w:r>
      <w:r>
        <w:rPr>
          <w:rFonts w:ascii="Times New Roman" w:hAnsi="Times New Roman"/>
          <w:noProof/>
          <w:sz w:val="24"/>
          <w:szCs w:val="24"/>
        </w:rPr>
        <w:t xml:space="preserve"> </w:t>
      </w:r>
    </w:p>
    <w:p>
      <w:pPr>
        <w:jc w:val="both"/>
        <w:rPr>
          <w:rFonts w:ascii="Times New Roman" w:hAnsi="Times New Roman"/>
          <w:noProof/>
          <w:sz w:val="24"/>
          <w:szCs w:val="24"/>
          <w:lang w:eastAsia="en-GB"/>
        </w:rPr>
      </w:pPr>
    </w:p>
    <w:p>
      <w:pPr>
        <w:jc w:val="both"/>
        <w:rPr>
          <w:rFonts w:ascii="Times New Roman" w:hAnsi="Times New Roman"/>
          <w:noProof/>
          <w:sz w:val="24"/>
          <w:szCs w:val="24"/>
          <w:lang w:eastAsia="en-GB"/>
        </w:rPr>
      </w:pPr>
    </w:p>
    <w:p>
      <w:pPr>
        <w:jc w:val="both"/>
        <w:rPr>
          <w:rFonts w:ascii="Times New Roman" w:hAnsi="Times New Roman"/>
          <w:noProof/>
          <w:sz w:val="24"/>
          <w:szCs w:val="24"/>
          <w:lang w:eastAsia="en-GB"/>
        </w:rPr>
      </w:pPr>
    </w:p>
    <w:p>
      <w:pPr>
        <w:jc w:val="both"/>
        <w:rPr>
          <w:rFonts w:ascii="Times New Roman" w:hAnsi="Times New Roman"/>
          <w:noProof/>
          <w:sz w:val="24"/>
          <w:szCs w:val="24"/>
          <w:lang w:eastAsia="en-GB"/>
        </w:rPr>
      </w:pPr>
    </w:p>
    <w:p>
      <w:pPr>
        <w:jc w:val="both"/>
        <w:rPr>
          <w:rFonts w:ascii="Times New Roman" w:hAnsi="Times New Roman"/>
          <w:noProof/>
          <w:sz w:val="24"/>
          <w:szCs w:val="24"/>
          <w:lang w:eastAsia="en-GB"/>
        </w:rPr>
      </w:pPr>
    </w:p>
    <w:p>
      <w:pPr>
        <w:jc w:val="both"/>
        <w:rPr>
          <w:rFonts w:ascii="Times New Roman" w:hAnsi="Times New Roman"/>
          <w:noProof/>
          <w:sz w:val="24"/>
          <w:szCs w:val="24"/>
        </w:rPr>
      </w:pPr>
    </w:p>
    <w:p>
      <w:pPr>
        <w:pStyle w:val="Heading1"/>
        <w:spacing w:before="0" w:after="200"/>
        <w:rPr>
          <w:noProof/>
        </w:rPr>
      </w:pPr>
      <w:bookmarkStart w:id="54" w:name="_Toc490850437"/>
      <w:bookmarkStart w:id="55" w:name="_Toc519009688"/>
      <w:bookmarkStart w:id="56" w:name="_Toc56071845"/>
      <w:r>
        <w:rPr>
          <w:noProof/>
        </w:rPr>
        <w:t>6. МОНИТОРИНГ, ДОКЛАДВАНЕ И ПРОВЕРКА НА ЕМИСИИТЕ</w:t>
      </w:r>
      <w:bookmarkEnd w:id="54"/>
      <w:bookmarkEnd w:id="55"/>
      <w:bookmarkEnd w:id="56"/>
    </w:p>
    <w:p>
      <w:pPr>
        <w:jc w:val="both"/>
        <w:rPr>
          <w:noProof/>
        </w:rPr>
      </w:pPr>
      <w:r>
        <w:rPr>
          <w:noProof/>
          <w:lang w:val="en-GB" w:eastAsia="en-GB"/>
        </w:rPr>
        <mc:AlternateContent>
          <mc:Choice Requires="wps">
            <w:drawing>
              <wp:inline distT="0" distB="0" distL="0" distR="0">
                <wp:extent cx="5731510" cy="6877050"/>
                <wp:effectExtent l="0" t="0" r="21590" b="1905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877050"/>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Изискванията по отношение на мониторинга, докладването, проверката и акредитацията (МДПА) на СТЕ на ЕС са хармонизирани в Регламента относно мониторинга и докладването (РМД)* и в Регламента относно акредитацията и проверката (РАП)**.</w:t>
                            </w:r>
                          </w:p>
                          <w:p>
                            <w:pPr>
                              <w:jc w:val="both"/>
                              <w:rPr>
                                <w:rFonts w:ascii="Times New Roman" w:hAnsi="Times New Roman"/>
                                <w:sz w:val="24"/>
                                <w:szCs w:val="24"/>
                              </w:rPr>
                            </w:pPr>
                            <w:r>
                              <w:rPr>
                                <w:rFonts w:ascii="Times New Roman" w:hAnsi="Times New Roman"/>
                                <w:sz w:val="24"/>
                                <w:szCs w:val="24"/>
                              </w:rPr>
                              <w:t>Системата за мониторинг в СТЕ на ЕС е проектирана като „модулен“ подход, което дава възможност за висока степен на гъвкавост на операторите с цел да се гарантира разходна ефективност, като същевременно се постигне висока надеждност на наблюдаваните данни за емисиите. За тази цел се допускат няколко метода за мониторинг („изчислителен“ или „измервателен“, а по изключение и „непряк“). За отделните части на дадена инсталация методите могат да се комбинират. За оператори на въздухоплавателни средства са практически осъществими само изчислителните подходи, като разходът на гориво е основният параметър, който трябва да се определя за полетите, попадащи в обхвата на СТЕ на ЕС. Като предпазна мярка срещу произволен избор на мониторингова методика и временни промени е въведено изискването операторите на инсталации и на въздухоплавателни средства да разполагат с план за мониторинг, одобрен от компетентния орган въз основа на РМД.</w:t>
                            </w:r>
                          </w:p>
                          <w:p>
                            <w:pPr>
                              <w:jc w:val="both"/>
                              <w:rPr>
                                <w:rFonts w:ascii="Times New Roman" w:hAnsi="Times New Roman"/>
                                <w:sz w:val="24"/>
                                <w:szCs w:val="24"/>
                              </w:rPr>
                            </w:pPr>
                            <w:r>
                              <w:rPr>
                                <w:rFonts w:ascii="Times New Roman" w:hAnsi="Times New Roman"/>
                                <w:sz w:val="24"/>
                                <w:szCs w:val="24"/>
                              </w:rPr>
                              <w:t xml:space="preserve">С РАП за фаза 3 и периода след нея бе въведен хармонизиран подход за целия ЕС по отношение на акредитирането на проверяващите органи. Проверяващите органи трябва да бъдат акредитирани от национален орган по акредитация (НОА), за да могат да извършват проверки в съответствие с РАП. Тази единна система за акредитация дава възможност на проверяващите органи да действат при взаимно признаване във всички участващи държави, като по този начин се използват изцяло предимствата на вътрешния пазар и се спомага за осигуряване на достатъчна обща разполагаемост на услуги за проверка. </w:t>
                            </w:r>
                          </w:p>
                          <w:p>
                            <w:pPr>
                              <w:rPr>
                                <w:rFonts w:ascii="Times New Roman" w:hAnsi="Times New Roman"/>
                                <w:sz w:val="20"/>
                                <w:szCs w:val="20"/>
                              </w:rPr>
                            </w:pPr>
                            <w:r>
                              <w:rPr>
                                <w:rFonts w:ascii="Times New Roman" w:hAnsi="Times New Roman"/>
                                <w:sz w:val="20"/>
                                <w:szCs w:val="20"/>
                              </w:rPr>
                              <w:t>*</w:t>
                            </w:r>
                            <w:r>
                              <w:rPr>
                                <w:sz w:val="20"/>
                                <w:szCs w:val="20"/>
                              </w:rPr>
                              <w:t xml:space="preserve"> </w:t>
                            </w:r>
                            <w:r>
                              <w:rPr>
                                <w:rFonts w:ascii="Times New Roman" w:hAnsi="Times New Roman"/>
                                <w:sz w:val="20"/>
                                <w:szCs w:val="20"/>
                              </w:rPr>
                              <w:t>Регламент (ЕС) № 601/2012 на Комисията от 21 юни 2012 г. относно мониторинга и докладването на емисиите на парникови газове съгласно Директива 2003/87/ЕО на Европейския парламент и на Съвета (ОВ L 181, 12.7.2012 г., стр. 30).</w:t>
                            </w:r>
                          </w:p>
                          <w:p>
                            <w:pPr>
                              <w:rPr>
                                <w:rFonts w:ascii="Times New Roman" w:hAnsi="Times New Roman"/>
                                <w:sz w:val="20"/>
                                <w:szCs w:val="20"/>
                              </w:rPr>
                            </w:pPr>
                            <w:r>
                              <w:rPr>
                                <w:rFonts w:ascii="Times New Roman" w:hAnsi="Times New Roman"/>
                                <w:sz w:val="20"/>
                                <w:szCs w:val="20"/>
                              </w:rPr>
                              <w:t>**</w:t>
                            </w:r>
                            <w:r>
                              <w:rPr>
                                <w:sz w:val="20"/>
                                <w:szCs w:val="20"/>
                              </w:rPr>
                              <w:t xml:space="preserve"> </w:t>
                            </w:r>
                            <w:r>
                              <w:rPr>
                                <w:rFonts w:ascii="Times New Roman" w:hAnsi="Times New Roman"/>
                                <w:sz w:val="20"/>
                                <w:szCs w:val="20"/>
                              </w:rPr>
                              <w:t>Регламент (ЕС) № 600/2012 на Комисията от 21 юни 2012 г. относно проверката на докладите за емисии на парникови газове и на докладите за тонкилометри и относно акредитацията на проверяващи органи съгласно Директива 2003/87/ЕО на Европейския парламент и на Съвета, ОВ L 181, 12.7.2012 г., стр. 1.</w:t>
                            </w:r>
                          </w:p>
                          <w:p>
                            <w:pPr>
                              <w:rPr>
                                <w:rFonts w:ascii="Times New Roman" w:hAnsi="Times New Roman"/>
                                <w:sz w:val="24"/>
                                <w:szCs w:val="24"/>
                              </w:rPr>
                            </w:pPr>
                          </w:p>
                        </w:txbxContent>
                      </wps:txbx>
                      <wps:bodyPr rot="0" vert="horz" wrap="square" lIns="91440" tIns="45720" rIns="91440" bIns="45720" anchor="t" anchorCtr="0">
                        <a:noAutofit/>
                      </wps:bodyPr>
                    </wps:wsp>
                  </a:graphicData>
                </a:graphic>
              </wp:inline>
            </w:drawing>
          </mc:Choice>
          <mc:Fallback>
            <w:pict>
              <v:shape id="_x0000_s1039" type="#_x0000_t202" style="width:451.3pt;height:5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" fillcolor="#d9d9d9" strokeweight="1pt">
                <v:textbox>
                  <w:txbxContent>
                    <w:p>
                      <w:pPr>
                        <w:jc w:val="both"/>
                        <w:rPr>
                          <w:rFonts w:ascii="Times New Roman" w:hAnsi="Times New Roman"/>
                          <w:sz w:val="24"/>
                          <w:szCs w:val="24"/>
                        </w:rPr>
                      </w:pPr>
                      <w:r>
                        <w:rPr>
                          <w:rFonts w:ascii="Times New Roman" w:hAnsi="Times New Roman"/>
                          <w:sz w:val="24"/>
                          <w:szCs w:val="24"/>
                        </w:rPr>
                        <w:t>Изискванията по отношение на мониторинга, докладването, проверката и акредитацията (МДПА) на СТЕ на ЕС са хармонизирани в Регламента относно мониторинга и докладването (РМД)* и в Регламента относно акредитацията и проверката (РАП)**.</w:t>
                      </w:r>
                    </w:p>
                    <w:p>
                      <w:pPr>
                        <w:jc w:val="both"/>
                        <w:rPr>
                          <w:rFonts w:ascii="Times New Roman" w:hAnsi="Times New Roman"/>
                          <w:sz w:val="24"/>
                          <w:szCs w:val="24"/>
                        </w:rPr>
                      </w:pPr>
                      <w:r>
                        <w:rPr>
                          <w:rFonts w:ascii="Times New Roman" w:hAnsi="Times New Roman"/>
                          <w:sz w:val="24"/>
                          <w:szCs w:val="24"/>
                        </w:rPr>
                        <w:t>Системата за мониторинг в СТЕ на ЕС е проектирана като „модулен“ подход, което дава възможност за висока степен на гъвкавост на операторите с цел да се гарантира разходна ефективност, като същевременно се постигне висока надеждност на наблюдаваните данни за емисиите. За тази цел се допускат няколко метода за мониторинг („изчислителен“ или „измервателен“, а по изключение и „непряк“). За отделните части на дадена инсталация методите могат да се комбинират. За оператори на въздухоплавателни средства са практически осъществими само изчислителните подходи, като разходът на гориво е основният параметър, който трябва да се определя за полетите, попадащи в обхвата на СТЕ на ЕС. Като предпазна мярка срещу произволен избор на мониторингова методика и временни промени е въведено изискването операторите на инсталации и на въздухоплавателни средства да разполагат с план за мониторинг, одобрен от компетентния орган въз основа на РМД.</w:t>
                      </w:r>
                    </w:p>
                    <w:p>
                      <w:pPr>
                        <w:jc w:val="both"/>
                        <w:rPr>
                          <w:rFonts w:ascii="Times New Roman" w:hAnsi="Times New Roman"/>
                          <w:sz w:val="24"/>
                          <w:szCs w:val="24"/>
                        </w:rPr>
                      </w:pPr>
                      <w:r>
                        <w:rPr>
                          <w:rFonts w:ascii="Times New Roman" w:hAnsi="Times New Roman"/>
                          <w:sz w:val="24"/>
                          <w:szCs w:val="24"/>
                        </w:rPr>
                        <w:t xml:space="preserve">С РАП за фаза 3 и периода след нея бе въведен хармонизиран подход за целия ЕС по отношение на акредитирането на проверяващите органи. Проверяващите органи трябва да бъдат акредитирани от национален орган по акредитация (НОА), за да могат да извършват проверки в съответствие с РАП. Тази единна система за акредитация дава възможност на проверяващите органи да действат при взаимно признаване във всички участващи държави, като по този начин се използват изцяло предимствата на вътрешния пазар и се спомага за осигуряване на достатъчна обща разполагаемост на услуги за проверка. </w:t>
                      </w:r>
                    </w:p>
                    <w:p>
                      <w:pPr>
                        <w:rPr>
                          <w:rFonts w:ascii="Times New Roman" w:hAnsi="Times New Roman"/>
                          <w:sz w:val="20"/>
                          <w:szCs w:val="20"/>
                        </w:rPr>
                      </w:pPr>
                      <w:r>
                        <w:rPr>
                          <w:rFonts w:ascii="Times New Roman" w:hAnsi="Times New Roman"/>
                          <w:sz w:val="20"/>
                          <w:szCs w:val="20"/>
                        </w:rPr>
                        <w:t>*</w:t>
                      </w:r>
                      <w:r>
                        <w:rPr>
                          <w:sz w:val="20"/>
                          <w:szCs w:val="20"/>
                        </w:rPr>
                        <w:t xml:space="preserve"> </w:t>
                      </w:r>
                      <w:r>
                        <w:rPr>
                          <w:rFonts w:ascii="Times New Roman" w:hAnsi="Times New Roman"/>
                          <w:sz w:val="20"/>
                          <w:szCs w:val="20"/>
                        </w:rPr>
                        <w:t>Регламент (ЕС) № 601/2012 на Комисията от 21 юни 2012 г. относно мониторинга и докладването на емисиите на парникови газове съгласно Директива 2003/87/ЕО на Европейския парламент и на Съвета (ОВ L 181, 12.7.2012 г., стр. 30).</w:t>
                      </w:r>
                    </w:p>
                    <w:p>
                      <w:pPr>
                        <w:rPr>
                          <w:rFonts w:ascii="Times New Roman" w:hAnsi="Times New Roman"/>
                          <w:sz w:val="20"/>
                          <w:szCs w:val="20"/>
                        </w:rPr>
                      </w:pPr>
                      <w:r>
                        <w:rPr>
                          <w:rFonts w:ascii="Times New Roman" w:hAnsi="Times New Roman"/>
                          <w:sz w:val="20"/>
                          <w:szCs w:val="20"/>
                        </w:rPr>
                        <w:t>**</w:t>
                      </w:r>
                      <w:r>
                        <w:rPr>
                          <w:sz w:val="20"/>
                          <w:szCs w:val="20"/>
                        </w:rPr>
                        <w:t xml:space="preserve"> </w:t>
                      </w:r>
                      <w:r>
                        <w:rPr>
                          <w:rFonts w:ascii="Times New Roman" w:hAnsi="Times New Roman"/>
                          <w:sz w:val="20"/>
                          <w:szCs w:val="20"/>
                        </w:rPr>
                        <w:t>Регламент (ЕС) № 600/2012 на Комисията от 21 юни 2012 г. относно проверката на докладите за емисии на парникови газове и на докладите за тонкилометри и относно акредитацията на проверяващи органи съгласно Директива 2003/87/ЕО на Европейския парламент и на Съвета, ОВ L 181, 12.7.2012 г., стр. 1.</w:t>
                      </w:r>
                    </w:p>
                    <w:p>
                      <w:pPr>
                        <w:rPr>
                          <w:rFonts w:ascii="Times New Roman" w:hAnsi="Times New Roman"/>
                          <w:sz w:val="24"/>
                          <w:szCs w:val="24"/>
                        </w:rPr>
                      </w:pPr>
                    </w:p>
                  </w:txbxContent>
                </v:textbox>
                <w10:anchorlock/>
              </v:shape>
            </w:pict>
          </mc:Fallback>
        </mc:AlternateContent>
      </w:r>
    </w:p>
    <w:p>
      <w:pPr>
        <w:rPr>
          <w:rFonts w:ascii="Times New Roman" w:hAnsi="Times New Roman"/>
          <w:b/>
          <w:bCs/>
          <w:iCs/>
          <w:noProof/>
          <w:sz w:val="24"/>
          <w:szCs w:val="24"/>
        </w:rPr>
      </w:pPr>
      <w:r>
        <w:rPr>
          <w:rFonts w:ascii="Times New Roman" w:hAnsi="Times New Roman"/>
          <w:b/>
          <w:bCs/>
          <w:iCs/>
          <w:noProof/>
          <w:sz w:val="24"/>
          <w:szCs w:val="24"/>
        </w:rPr>
        <w:t>6.1.  Общо развитие</w:t>
      </w:r>
    </w:p>
    <w:p>
      <w:pPr>
        <w:jc w:val="both"/>
        <w:rPr>
          <w:rFonts w:ascii="Times New Roman" w:hAnsi="Times New Roman"/>
          <w:noProof/>
          <w:sz w:val="24"/>
          <w:szCs w:val="24"/>
        </w:rPr>
      </w:pPr>
      <w:r>
        <w:rPr>
          <w:rFonts w:ascii="Times New Roman" w:hAnsi="Times New Roman"/>
          <w:noProof/>
          <w:sz w:val="24"/>
          <w:szCs w:val="24"/>
        </w:rPr>
        <w:t xml:space="preserve">Опитът с прилагането на РМД и РАП по време на фаза 3 от СТЕ показа необходимостта от по-нататъшно подобряване, изясняване и опростяване на правилата с цел допълнително насърчаване на хармонизацията, намаляване на административната тежест за операторите и участващите държави и допълнително повишаване на ефикасността на системата. </w:t>
      </w:r>
    </w:p>
    <w:p>
      <w:pPr>
        <w:jc w:val="both"/>
        <w:rPr>
          <w:rFonts w:ascii="Times New Roman" w:hAnsi="Times New Roman"/>
          <w:noProof/>
          <w:sz w:val="24"/>
          <w:szCs w:val="24"/>
        </w:rPr>
      </w:pPr>
      <w:r>
        <w:rPr>
          <w:rFonts w:ascii="Times New Roman" w:hAnsi="Times New Roman"/>
          <w:noProof/>
          <w:sz w:val="24"/>
          <w:szCs w:val="24"/>
        </w:rPr>
        <w:t>Като се има предвид това, първото актуализиране на двата регламента за подготовка за фаза 4 от СТЕ на ЕС и за подобряване и опростяване на процесите на МДПА, бе извършено през 2018 г. Преработените варианти на РМД</w:t>
      </w:r>
      <w:r>
        <w:rPr>
          <w:rFonts w:ascii="Times New Roman" w:hAnsi="Times New Roman"/>
          <w:noProof/>
          <w:sz w:val="24"/>
          <w:szCs w:val="24"/>
          <w:vertAlign w:val="superscript"/>
        </w:rPr>
        <w:footnoteReference w:id="76"/>
      </w:r>
      <w:r>
        <w:rPr>
          <w:rFonts w:ascii="Times New Roman" w:hAnsi="Times New Roman"/>
          <w:noProof/>
          <w:sz w:val="24"/>
          <w:szCs w:val="24"/>
        </w:rPr>
        <w:t xml:space="preserve"> и РАП</w:t>
      </w:r>
      <w:r>
        <w:rPr>
          <w:rFonts w:ascii="Times New Roman" w:hAnsi="Times New Roman"/>
          <w:noProof/>
          <w:sz w:val="24"/>
          <w:szCs w:val="24"/>
          <w:vertAlign w:val="superscript"/>
        </w:rPr>
        <w:footnoteReference w:id="77"/>
      </w:r>
      <w:r>
        <w:rPr>
          <w:rFonts w:ascii="Times New Roman" w:hAnsi="Times New Roman"/>
          <w:noProof/>
          <w:sz w:val="24"/>
          <w:szCs w:val="24"/>
        </w:rPr>
        <w:t xml:space="preserve"> влязоха в сила на 1 януари 2019 г. Работата по втората актуализация започна през февруари 2019 г.</w:t>
      </w:r>
      <w:r>
        <w:rPr>
          <w:noProof/>
        </w:rPr>
        <w:t xml:space="preserve"> </w:t>
      </w:r>
      <w:r>
        <w:rPr>
          <w:rFonts w:ascii="Times New Roman" w:hAnsi="Times New Roman"/>
          <w:noProof/>
          <w:sz w:val="24"/>
          <w:szCs w:val="24"/>
        </w:rPr>
        <w:t>За актуализиране на тези два регламента бяха проведени консултации с участващите държави по някои целеви въпроси, които не бяха разгледани по време на първата актуализация, като например прилагането на преработения вариант на Директивата за насърчаване на използването на енергия от възобновяеми източници</w:t>
      </w:r>
      <w:r>
        <w:rPr>
          <w:rFonts w:ascii="Times New Roman" w:hAnsi="Times New Roman"/>
          <w:noProof/>
          <w:sz w:val="24"/>
          <w:szCs w:val="24"/>
          <w:vertAlign w:val="superscript"/>
        </w:rPr>
        <w:footnoteReference w:id="78"/>
      </w:r>
      <w:r>
        <w:rPr>
          <w:rFonts w:ascii="Times New Roman" w:hAnsi="Times New Roman"/>
          <w:noProof/>
          <w:sz w:val="24"/>
          <w:szCs w:val="24"/>
        </w:rPr>
        <w:t>. Цялостният процес на преразглеждане на МДПА следва да бъде приключен в достатъчна степен преди началото на фаза 4 през 2021 г.</w:t>
      </w:r>
    </w:p>
    <w:p>
      <w:pPr>
        <w:jc w:val="both"/>
        <w:rPr>
          <w:rFonts w:ascii="Times New Roman" w:hAnsi="Times New Roman"/>
          <w:noProof/>
          <w:sz w:val="24"/>
          <w:szCs w:val="24"/>
        </w:rPr>
      </w:pPr>
      <w:r>
        <w:rPr>
          <w:rFonts w:ascii="Times New Roman" w:hAnsi="Times New Roman"/>
          <w:noProof/>
          <w:sz w:val="24"/>
          <w:szCs w:val="24"/>
        </w:rPr>
        <w:t>Ефективността на системата за съответствие се е подобрила, след като с РМД се даде възможност на държавите да направят електронното докладване задължително. Както и през предходната година, 17 участващи държави са докладвали за използване на електронни образци или специфични файлови формати за планове за мониторинг, доклади за емисии, доклади за проверка и/или доклади за подобрения въз основа на минималните изисквания, определени от Комисията. Тринадесет участващи държави докладваха, че използват някаква форма на автоматизирана информационна система за докладване по СТЕ на ЕС.</w:t>
      </w:r>
    </w:p>
    <w:p>
      <w:pPr>
        <w:jc w:val="both"/>
        <w:rPr>
          <w:rFonts w:ascii="Times New Roman" w:hAnsi="Times New Roman"/>
          <w:b/>
          <w:bCs/>
          <w:iCs/>
          <w:noProof/>
          <w:sz w:val="24"/>
          <w:szCs w:val="24"/>
        </w:rPr>
      </w:pPr>
      <w:r>
        <w:rPr>
          <w:rFonts w:ascii="Times New Roman" w:hAnsi="Times New Roman"/>
          <w:b/>
          <w:bCs/>
          <w:iCs/>
          <w:noProof/>
          <w:sz w:val="24"/>
          <w:szCs w:val="24"/>
        </w:rPr>
        <w:t>6.2. Прилаган мониторинг</w:t>
      </w:r>
    </w:p>
    <w:p>
      <w:pPr>
        <w:jc w:val="both"/>
        <w:rPr>
          <w:rFonts w:ascii="Times New Roman" w:hAnsi="Times New Roman"/>
          <w:noProof/>
          <w:sz w:val="24"/>
          <w:szCs w:val="24"/>
        </w:rPr>
      </w:pPr>
      <w:r>
        <w:rPr>
          <w:rFonts w:ascii="Times New Roman" w:hAnsi="Times New Roman"/>
          <w:noProof/>
          <w:sz w:val="24"/>
          <w:szCs w:val="24"/>
        </w:rPr>
        <w:t>Съгласно докладите по член 21, представени през 2020 г., повечето инсталации използват изчислителната методика</w:t>
      </w:r>
      <w:r>
        <w:rPr>
          <w:rFonts w:ascii="Times New Roman" w:hAnsi="Times New Roman"/>
          <w:noProof/>
          <w:sz w:val="24"/>
          <w:szCs w:val="24"/>
          <w:vertAlign w:val="superscript"/>
        </w:rPr>
        <w:footnoteReference w:id="79"/>
      </w:r>
      <w:r>
        <w:rPr>
          <w:rFonts w:ascii="Times New Roman" w:hAnsi="Times New Roman"/>
          <w:noProof/>
          <w:sz w:val="24"/>
          <w:szCs w:val="24"/>
        </w:rPr>
        <w:t>. Само за 155 инсталации (1,5 %) в 23 държави се съобщава, че използват системи за непрекъснато измерване на емисиите, най-често в Германия, Франция и Чехия. Въпреки че броят на държавите е същият като предходната година, общият брой инсталации, които използват този подход, е намалял.</w:t>
      </w:r>
    </w:p>
    <w:p>
      <w:pPr>
        <w:jc w:val="both"/>
        <w:rPr>
          <w:rFonts w:ascii="Times New Roman" w:hAnsi="Times New Roman"/>
          <w:noProof/>
          <w:sz w:val="24"/>
          <w:szCs w:val="24"/>
        </w:rPr>
      </w:pPr>
      <w:r>
        <w:rPr>
          <w:rFonts w:ascii="Times New Roman" w:hAnsi="Times New Roman"/>
          <w:noProof/>
          <w:sz w:val="24"/>
          <w:szCs w:val="24"/>
        </w:rPr>
        <w:t>Само 13 държави са докладвали за използване на непряк подход за 34 инсталации, покриващи около 3,0 милиона тона еквивалент на CO</w:t>
      </w:r>
      <w:r>
        <w:rPr>
          <w:rFonts w:ascii="Times New Roman" w:hAnsi="Times New Roman"/>
          <w:noProof/>
          <w:sz w:val="24"/>
          <w:szCs w:val="24"/>
          <w:vertAlign w:val="subscript"/>
        </w:rPr>
        <w:t>2</w:t>
      </w:r>
      <w:r>
        <w:rPr>
          <w:rFonts w:ascii="Times New Roman" w:hAnsi="Times New Roman"/>
          <w:noProof/>
          <w:sz w:val="24"/>
          <w:szCs w:val="24"/>
        </w:rPr>
        <w:t xml:space="preserve"> (в сравнение с 2,6 милиона тона еквивалент на CO</w:t>
      </w:r>
      <w:r>
        <w:rPr>
          <w:rFonts w:ascii="Times New Roman" w:hAnsi="Times New Roman"/>
          <w:noProof/>
          <w:sz w:val="24"/>
          <w:szCs w:val="24"/>
          <w:vertAlign w:val="subscript"/>
        </w:rPr>
        <w:t>2</w:t>
      </w:r>
      <w:r>
        <w:rPr>
          <w:rFonts w:ascii="Times New Roman" w:hAnsi="Times New Roman"/>
          <w:noProof/>
          <w:sz w:val="24"/>
          <w:szCs w:val="24"/>
        </w:rPr>
        <w:t xml:space="preserve"> от 38 инсталации в 11 държави през предходната година). На една инсталация в Нидерландия се падат 42 % от общото количество емисии, докладвани във връзка с непряката методология.</w:t>
      </w:r>
    </w:p>
    <w:p>
      <w:pPr>
        <w:jc w:val="both"/>
        <w:rPr>
          <w:rFonts w:ascii="Times New Roman" w:hAnsi="Times New Roman"/>
          <w:noProof/>
          <w:sz w:val="24"/>
          <w:szCs w:val="24"/>
        </w:rPr>
      </w:pPr>
      <w:r>
        <w:rPr>
          <w:rFonts w:ascii="Times New Roman" w:hAnsi="Times New Roman"/>
          <w:noProof/>
          <w:sz w:val="24"/>
          <w:szCs w:val="24"/>
        </w:rPr>
        <w:t>Огромното мнозинство от инсталациите изпълняват приетите по подразбиране минимални основни изисквания</w:t>
      </w:r>
      <w:r>
        <w:rPr>
          <w:rFonts w:ascii="Times New Roman" w:hAnsi="Times New Roman"/>
          <w:noProof/>
          <w:sz w:val="24"/>
          <w:szCs w:val="24"/>
          <w:vertAlign w:val="superscript"/>
        </w:rPr>
        <w:footnoteReference w:id="80"/>
      </w:r>
      <w:r>
        <w:rPr>
          <w:rFonts w:ascii="Times New Roman" w:hAnsi="Times New Roman"/>
          <w:noProof/>
          <w:sz w:val="24"/>
          <w:szCs w:val="24"/>
        </w:rPr>
        <w:t xml:space="preserve"> съгласно Регламента за мониторинг и докладване (РМД). Само за 90 инсталации от категория В (спрямо 97 миналата година), т.е. 11,8 %, се съобщава, че се отклоняват поне по един параметър от задължението за прилагане на най-високото ниво на изисквания за основните потоци, пораждащи емисии. Такива отклонения са допустими само когато операторът докаже, че най-високото ниво на изисквания е технически неосъществимо или води до неразумно големи разходи. При отпадане на тези условия операторът трябва да направи съответните подобрения в своята система за мониторинг.</w:t>
      </w:r>
    </w:p>
    <w:p>
      <w:pPr>
        <w:jc w:val="both"/>
        <w:rPr>
          <w:rFonts w:ascii="Times New Roman" w:hAnsi="Times New Roman"/>
          <w:noProof/>
          <w:sz w:val="24"/>
          <w:szCs w:val="24"/>
        </w:rPr>
      </w:pPr>
      <w:r>
        <w:rPr>
          <w:rFonts w:ascii="Times New Roman" w:hAnsi="Times New Roman"/>
          <w:noProof/>
          <w:sz w:val="24"/>
          <w:szCs w:val="24"/>
        </w:rPr>
        <w:t>По подобен начин в докладите на 23 участващи държави се посочва, че общо 22 % от инсталациите в категория Б имат разрешение за някаква форма на отклонение от приетите по подразбиране изисквания, установени в РМД, което е почти идентично със стойността от 19 % през предходната година и 21 % една година по-рано, и което потвърждава устойчивото подобрение в спазването на най-високото ниво на изисквания.</w:t>
      </w:r>
    </w:p>
    <w:p>
      <w:pPr>
        <w:jc w:val="both"/>
        <w:rPr>
          <w:rFonts w:ascii="Times New Roman" w:hAnsi="Times New Roman"/>
          <w:b/>
          <w:bCs/>
          <w:iCs/>
          <w:noProof/>
          <w:sz w:val="24"/>
          <w:szCs w:val="24"/>
        </w:rPr>
      </w:pPr>
      <w:r>
        <w:rPr>
          <w:rFonts w:ascii="Times New Roman" w:hAnsi="Times New Roman"/>
          <w:b/>
          <w:bCs/>
          <w:iCs/>
          <w:noProof/>
          <w:sz w:val="24"/>
          <w:szCs w:val="24"/>
        </w:rPr>
        <w:t>6.3. Акредитирана проверка</w:t>
      </w:r>
    </w:p>
    <w:p>
      <w:pPr>
        <w:jc w:val="both"/>
        <w:rPr>
          <w:rFonts w:ascii="Times New Roman" w:hAnsi="Times New Roman"/>
          <w:noProof/>
          <w:sz w:val="24"/>
          <w:szCs w:val="24"/>
        </w:rPr>
      </w:pPr>
      <w:r>
        <w:rPr>
          <w:rFonts w:ascii="Times New Roman" w:hAnsi="Times New Roman"/>
          <w:noProof/>
          <w:sz w:val="24"/>
          <w:szCs w:val="24"/>
        </w:rPr>
        <w:t>В докладите по член 21 общият брой на проверяващите органи не се съобщава. Европейската организация за акредитация (ЕА) обаче предоставя централна връзка към съответните национални органи по акредитация (НОА) и техните списъци с акредитирани проверяващи органи по СТЕ на ЕС</w:t>
      </w:r>
      <w:r>
        <w:rPr>
          <w:rFonts w:ascii="Times New Roman" w:hAnsi="Times New Roman"/>
          <w:noProof/>
          <w:sz w:val="24"/>
          <w:szCs w:val="24"/>
          <w:vertAlign w:val="superscript"/>
        </w:rPr>
        <w:footnoteReference w:id="81"/>
      </w:r>
      <w:r>
        <w:rPr>
          <w:rFonts w:ascii="Times New Roman" w:hAnsi="Times New Roman"/>
          <w:noProof/>
          <w:sz w:val="24"/>
          <w:szCs w:val="24"/>
        </w:rPr>
        <w:t xml:space="preserve">.       </w:t>
      </w:r>
    </w:p>
    <w:p>
      <w:pPr>
        <w:jc w:val="both"/>
        <w:rPr>
          <w:rFonts w:ascii="Times New Roman" w:hAnsi="Times New Roman"/>
          <w:noProof/>
          <w:sz w:val="24"/>
          <w:szCs w:val="24"/>
        </w:rPr>
      </w:pPr>
      <w:r>
        <w:rPr>
          <w:rFonts w:ascii="Times New Roman" w:hAnsi="Times New Roman"/>
          <w:noProof/>
          <w:sz w:val="24"/>
          <w:szCs w:val="24"/>
        </w:rPr>
        <w:t>Взаимното признаване на проверяващите органи в участващите държави действа успешно: Двадесет и осем държави са докладвали, че на територията им действа поне един чуждестранен проверяващ орган.</w:t>
      </w:r>
    </w:p>
    <w:p>
      <w:pPr>
        <w:jc w:val="both"/>
        <w:rPr>
          <w:noProof/>
        </w:rPr>
      </w:pPr>
      <w:r>
        <w:rPr>
          <w:rFonts w:ascii="Times New Roman" w:hAnsi="Times New Roman"/>
          <w:noProof/>
          <w:sz w:val="24"/>
          <w:szCs w:val="24"/>
        </w:rPr>
        <w:t>Степента на спазване на изискванията на РАП от страна на проверяващите органи е определена като висока. Нито една държава не е докладвала за отнемане на акредитация на проверяващ орган. За сравнение, през 2018 г. е имало едно временно прекратяване на дейността и не е имало оттегляния. Германия отчете намаление на обхвата на акредитацията на шест проверяващи органа, а Полша — на един проверяващ орган през 2019 г. в сравнение с намаленията на обхвата съответно за два, един и три</w:t>
      </w:r>
      <w:r>
        <w:rPr>
          <w:noProof/>
        </w:rPr>
        <w:t xml:space="preserve"> </w:t>
      </w:r>
      <w:r>
        <w:rPr>
          <w:rFonts w:ascii="Times New Roman" w:hAnsi="Times New Roman"/>
          <w:noProof/>
          <w:sz w:val="24"/>
          <w:szCs w:val="24"/>
        </w:rPr>
        <w:t>проверяващи органа, съобщено от Германия, Франция и Полша през 2018 г. През тази година седем държави са съобщили за получени жалби относно проверяващи органи (с три по-малко в сравнение с миналата година). Общият брой на жалбите (66) е със 7 % по-малко. 71 % от получените жалби са описани като разрешени към момента на докладването (миналата година този процент е бил 93 %). В рамките на процеса за обмен на информация между националните органи по акредитация и компетентните органи осем държави са докладвали за констатирано несъответствие на проверяващ орган (в сравнение с десет държави през миналата година).</w:t>
      </w:r>
    </w:p>
    <w:p>
      <w:pPr>
        <w:jc w:val="both"/>
        <w:rPr>
          <w:noProof/>
        </w:rPr>
      </w:pPr>
    </w:p>
    <w:p>
      <w:pPr>
        <w:pStyle w:val="Heading1"/>
        <w:spacing w:before="0" w:after="200"/>
        <w:rPr>
          <w:noProof/>
        </w:rPr>
      </w:pPr>
      <w:bookmarkStart w:id="57" w:name="_Toc523331486"/>
      <w:bookmarkStart w:id="58" w:name="_Toc56071846"/>
      <w:r>
        <w:rPr>
          <w:noProof/>
        </w:rPr>
        <w:t>7. ПРЕГЛЕД НА АДМИНИСТРАТИВНИТЕ МЕРКИ</w:t>
      </w:r>
      <w:bookmarkEnd w:id="57"/>
      <w:bookmarkEnd w:id="58"/>
      <w:r>
        <w:rPr>
          <w:noProof/>
        </w:rPr>
        <w:t xml:space="preserve"> </w:t>
      </w:r>
    </w:p>
    <w:p>
      <w:pPr>
        <w:rPr>
          <w:noProof/>
        </w:rPr>
      </w:pPr>
      <w:r>
        <w:rPr>
          <w:noProof/>
          <w:lang w:val="en-GB" w:eastAsia="en-GB"/>
        </w:rPr>
        <mc:AlternateContent>
          <mc:Choice Requires="wps">
            <w:drawing>
              <wp:inline distT="0" distB="0" distL="0" distR="0">
                <wp:extent cx="5731510" cy="942975"/>
                <wp:effectExtent l="0" t="0" r="21590" b="28575"/>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42975"/>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 xml:space="preserve">Държавите, участващи в СТЕ на ЕС, използват различни подходи по отношение на компетентните органи, отговарящи за прилагането на системата. В някои държави са ангажирани няколко местни органа, докато в други се използва много по-централизиран подход. </w:t>
                            </w:r>
                          </w:p>
                          <w:p>
                            <w:pPr>
                              <w:jc w:val="both"/>
                              <w:rPr>
                                <w:rFonts w:ascii="Times New Roman" w:hAnsi="Times New Roman"/>
                                <w:sz w:val="24"/>
                                <w:szCs w:val="24"/>
                              </w:rPr>
                            </w:pPr>
                          </w:p>
                        </w:txbxContent>
                      </wps:txbx>
                      <wps:bodyPr rot="0" vert="horz" wrap="square" lIns="91440" tIns="45720" rIns="91440" bIns="45720" anchor="t" anchorCtr="0">
                        <a:noAutofit/>
                      </wps:bodyPr>
                    </wps:wsp>
                  </a:graphicData>
                </a:graphic>
              </wp:inline>
            </w:drawing>
          </mc:Choice>
          <mc:Fallback>
            <w:pict>
              <v:shape id="_x0000_s1040" type="#_x0000_t202" style="width:451.3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" fillcolor="#d9d9d9" strokeweight="1pt">
                <v:textbox>
                  <w:txbxContent>
                    <w:p>
                      <w:pPr>
                        <w:jc w:val="both"/>
                        <w:rPr>
                          <w:rFonts w:ascii="Times New Roman" w:hAnsi="Times New Roman"/>
                          <w:sz w:val="24"/>
                          <w:szCs w:val="24"/>
                        </w:rPr>
                      </w:pPr>
                      <w:r>
                        <w:rPr>
                          <w:rFonts w:ascii="Times New Roman" w:hAnsi="Times New Roman"/>
                          <w:sz w:val="24"/>
                          <w:szCs w:val="24"/>
                        </w:rPr>
                        <w:t xml:space="preserve">Държавите, участващи в СТЕ на ЕС, използват различни подходи по отношение на компетентните органи, отговарящи за прилагането на системата. В някои държави са ангажирани няколко местни органа, докато в други се използва много по-централизиран подход. </w:t>
                      </w:r>
                    </w:p>
                    <w:p>
                      <w:pPr>
                        <w:jc w:val="both"/>
                        <w:rPr>
                          <w:rFonts w:ascii="Times New Roman" w:hAnsi="Times New Roman"/>
                          <w:sz w:val="24"/>
                          <w:szCs w:val="24"/>
                        </w:rPr>
                      </w:pPr>
                    </w:p>
                  </w:txbxContent>
                </v:textbox>
                <w10:anchorlock/>
              </v:shape>
            </w:pict>
          </mc:Fallback>
        </mc:AlternateContent>
      </w:r>
    </w:p>
    <w:p>
      <w:pPr>
        <w:jc w:val="both"/>
        <w:rPr>
          <w:rFonts w:ascii="Times New Roman" w:hAnsi="Times New Roman"/>
          <w:noProof/>
          <w:sz w:val="24"/>
          <w:szCs w:val="24"/>
        </w:rPr>
      </w:pPr>
      <w:r>
        <w:rPr>
          <w:rFonts w:ascii="Times New Roman" w:hAnsi="Times New Roman"/>
          <w:noProof/>
          <w:sz w:val="24"/>
          <w:szCs w:val="24"/>
        </w:rPr>
        <w:t>Съгласно докладите по член 21, подадени през 2020 г., средно по 4 компетентни органа за една държава са участвали в прилагането на СТЕ на ЕС.</w:t>
      </w:r>
      <w:r>
        <w:rPr>
          <w:rFonts w:ascii="Times New Roman" w:hAnsi="Times New Roman"/>
          <w:noProof/>
          <w:sz w:val="24"/>
          <w:szCs w:val="24"/>
          <w:vertAlign w:val="superscript"/>
        </w:rPr>
        <w:footnoteReference w:id="82"/>
      </w:r>
      <w:r>
        <w:rPr>
          <w:rFonts w:ascii="Times New Roman" w:hAnsi="Times New Roman"/>
          <w:noProof/>
          <w:sz w:val="24"/>
          <w:szCs w:val="24"/>
        </w:rPr>
        <w:t xml:space="preserve"> Що се отнася до координацията между органите, бе съобщено за различни инструменти, като законодателни инструменти за централно управление на плановете за мониторинг (в 14 държави), задължителни инструкции и насоки от централен компетентен орган на местни органи (в 10 държави) и редовни работни групи или срещи между органи (в 13 държави). Седем държави са докладвали, че не разполагат с подобни инструменти (Ирландия, Исландия и Италия, Кипър, Литва, Люксембург и Малта). </w:t>
      </w:r>
    </w:p>
    <w:p>
      <w:pPr>
        <w:jc w:val="both"/>
        <w:rPr>
          <w:rFonts w:ascii="Times New Roman" w:hAnsi="Times New Roman"/>
          <w:noProof/>
          <w:sz w:val="24"/>
          <w:szCs w:val="24"/>
        </w:rPr>
      </w:pPr>
      <w:r>
        <w:rPr>
          <w:rFonts w:ascii="Times New Roman" w:hAnsi="Times New Roman"/>
          <w:noProof/>
          <w:sz w:val="24"/>
          <w:szCs w:val="24"/>
        </w:rPr>
        <w:t>Относно административните такси, събирани във връзка с издаването на разрешителни и одобрението на плановете за мониторинг, 13 държави са докладвали през 2020 г., че не начисляват такси на операторите на инсталации (Германия, Гърция, Естония, Ирландия, Кипър, Латвия, Литва, Лихтенщайн, Люксембург, Малта, Нидерландия, Словакия и Швеция), като този брой е същият като през изминалата година. Операторите на въздухоплавателни средства в 15 държави не плащат такси (Белгия, Германия, Гърция, Естония, Испания, Кипър, Латвия, Литва, Лихтенщайн, Люксембург, Малта, Нидерландия, Словакия, Чехия и Швеция). Таксите в отделните държави и за различните видове услуги се различават значително, като варират от 5 EUR до 7283,17 EUR за разрешително и одобрение на план за мониторинг за инсталации и от 2,19 EUR до 2400 EUR за същите услуги за операторите на въздухоплавателни средства.</w:t>
      </w:r>
    </w:p>
    <w:p>
      <w:pPr>
        <w:jc w:val="both"/>
        <w:rPr>
          <w:rFonts w:ascii="Times New Roman" w:hAnsi="Times New Roman"/>
          <w:noProof/>
          <w:sz w:val="24"/>
          <w:szCs w:val="24"/>
        </w:rPr>
      </w:pPr>
      <w:r>
        <w:rPr>
          <w:rFonts w:ascii="Times New Roman" w:hAnsi="Times New Roman"/>
          <w:noProof/>
          <w:sz w:val="24"/>
          <w:szCs w:val="24"/>
        </w:rPr>
        <w:t xml:space="preserve">Като цяло административната организация на СТЕ на участващите държави е до голяма степен ефективна. Комуникацията и обменът на най-добри практики чрез дейността на Форума по въпросите на спазването на изискванията по СТЕ на ЕС и годишната конференция по въпросите на спазването на изискванията на СТЕ на ЕС следва да продължат да се укрепват и насърчават. </w:t>
      </w:r>
    </w:p>
    <w:p>
      <w:pPr>
        <w:jc w:val="both"/>
        <w:rPr>
          <w:rFonts w:ascii="Times New Roman" w:hAnsi="Times New Roman"/>
          <w:noProof/>
          <w:sz w:val="24"/>
          <w:szCs w:val="24"/>
        </w:rPr>
      </w:pPr>
    </w:p>
    <w:p>
      <w:pPr>
        <w:pStyle w:val="Heading1"/>
        <w:spacing w:before="0" w:after="200"/>
        <w:rPr>
          <w:noProof/>
        </w:rPr>
      </w:pPr>
      <w:bookmarkStart w:id="59" w:name="_Toc523331487"/>
      <w:bookmarkStart w:id="60" w:name="_Toc56071847"/>
      <w:r>
        <w:rPr>
          <w:noProof/>
        </w:rPr>
        <w:t>8. СЪОТВЕТСТВИЕ И ПРИЛАГАНЕ</w:t>
      </w:r>
      <w:bookmarkEnd w:id="59"/>
      <w:bookmarkEnd w:id="60"/>
      <w:r>
        <w:rPr>
          <w:noProof/>
        </w:rPr>
        <w:t xml:space="preserve"> </w:t>
      </w:r>
    </w:p>
    <w:p>
      <w:pPr>
        <w:rPr>
          <w:noProof/>
        </w:rPr>
      </w:pPr>
      <w:r>
        <w:rPr>
          <w:noProof/>
          <w:lang w:val="en-GB" w:eastAsia="en-GB"/>
        </w:rPr>
        <mc:AlternateContent>
          <mc:Choice Requires="wps">
            <w:drawing>
              <wp:inline distT="0" distB="0" distL="0" distR="0">
                <wp:extent cx="5731510" cy="1325880"/>
                <wp:effectExtent l="0" t="0" r="21590" b="2667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325880"/>
                        </a:xfrm>
                        <a:prstGeom prst="rect">
                          <a:avLst/>
                        </a:prstGeom>
                        <a:solidFill>
                          <a:sysClr val="window" lastClr="FFFFFF">
                            <a:lumMod val="85000"/>
                          </a:sysClr>
                        </a:solidFill>
                        <a:ln w="12700">
                          <a:solidFill>
                            <a:srgbClr val="000000"/>
                          </a:solidFill>
                          <a:miter lim="800000"/>
                          <a:headEnd/>
                          <a:tailEnd/>
                        </a:ln>
                      </wps:spPr>
                      <wps:txbx>
                        <w:txbxContent>
                          <w:p>
                            <w:pPr>
                              <w:jc w:val="both"/>
                              <w:rPr>
                                <w:rFonts w:ascii="Times New Roman" w:hAnsi="Times New Roman"/>
                                <w:sz w:val="24"/>
                                <w:szCs w:val="24"/>
                              </w:rPr>
                            </w:pPr>
                            <w:r>
                              <w:rPr>
                                <w:rFonts w:ascii="Times New Roman" w:hAnsi="Times New Roman"/>
                                <w:sz w:val="24"/>
                                <w:szCs w:val="24"/>
                              </w:rPr>
                              <w:t>В Директивата за СТЕ на ЕС е предвидена санкция за извънредно количество емисии в размер на 100 EUR (индексирани с инфлацията) за всеки тон емисии на CO</w:t>
                            </w:r>
                            <w:r>
                              <w:rPr>
                                <w:rFonts w:ascii="Times New Roman" w:hAnsi="Times New Roman"/>
                                <w:sz w:val="24"/>
                                <w:szCs w:val="24"/>
                                <w:vertAlign w:val="subscript"/>
                              </w:rPr>
                              <w:t>2</w:t>
                            </w:r>
                            <w:r>
                              <w:rPr>
                                <w:rFonts w:ascii="Times New Roman" w:hAnsi="Times New Roman"/>
                                <w:sz w:val="24"/>
                                <w:szCs w:val="24"/>
                              </w:rPr>
                              <w:t>, за който не е върната квота своевременно, както и изискване да бъдат предадени квотите за тези емисии. Други санкции за нарушения, свързани с прилагането на СТЕ на ЕС, се налагат в съответствие с националните разпоредби, определени от съответната държава.</w:t>
                            </w:r>
                          </w:p>
                          <w:p>
                            <w:pPr>
                              <w:jc w:val="both"/>
                              <w:rPr>
                                <w:rFonts w:ascii="Times New Roman" w:hAnsi="Times New Roman"/>
                                <w:sz w:val="24"/>
                                <w:szCs w:val="24"/>
                              </w:rPr>
                            </w:pPr>
                          </w:p>
                        </w:txbxContent>
                      </wps:txbx>
                      <wps:bodyPr rot="0" vert="horz" wrap="square" lIns="91440" tIns="45720" rIns="91440" bIns="45720" anchor="t" anchorCtr="0">
                        <a:noAutofit/>
                      </wps:bodyPr>
                    </wps:wsp>
                  </a:graphicData>
                </a:graphic>
              </wp:inline>
            </w:drawing>
          </mc:Choice>
          <mc:Fallback>
            <w:pict>
              <v:shape id="_x0000_s1041" type="#_x0000_t202" style="width:451.3pt;height:10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" fillcolor="#d9d9d9" strokeweight="1pt">
                <v:textbox>
                  <w:txbxContent>
                    <w:p>
                      <w:pPr>
                        <w:jc w:val="both"/>
                        <w:rPr>
                          <w:rFonts w:ascii="Times New Roman" w:hAnsi="Times New Roman"/>
                          <w:sz w:val="24"/>
                          <w:szCs w:val="24"/>
                        </w:rPr>
                      </w:pPr>
                      <w:r>
                        <w:rPr>
                          <w:rFonts w:ascii="Times New Roman" w:hAnsi="Times New Roman"/>
                          <w:sz w:val="24"/>
                          <w:szCs w:val="24"/>
                        </w:rPr>
                        <w:t>В Директивата за СТЕ на ЕС е предвидена санкция за извънредно количество емисии в размер на 100 EUR (индексирани с инфлацията) за всеки тон емисии на CO</w:t>
                      </w:r>
                      <w:r>
                        <w:rPr>
                          <w:rFonts w:ascii="Times New Roman" w:hAnsi="Times New Roman"/>
                          <w:sz w:val="24"/>
                          <w:szCs w:val="24"/>
                          <w:vertAlign w:val="subscript"/>
                        </w:rPr>
                        <w:t>2</w:t>
                      </w:r>
                      <w:r>
                        <w:rPr>
                          <w:rFonts w:ascii="Times New Roman" w:hAnsi="Times New Roman"/>
                          <w:sz w:val="24"/>
                          <w:szCs w:val="24"/>
                        </w:rPr>
                        <w:t>, за който не е върната квота своевременно, както и изискване да бъдат предадени квотите за тези емисии. Други санкции за нарушения, свързани с прилагането на СТЕ на ЕС, се налагат в съответствие с националните разпоредби, определени от съответната държава.</w:t>
                      </w:r>
                    </w:p>
                    <w:p>
                      <w:pPr>
                        <w:jc w:val="both"/>
                        <w:rPr>
                          <w:rFonts w:ascii="Times New Roman" w:hAnsi="Times New Roman"/>
                          <w:sz w:val="24"/>
                          <w:szCs w:val="24"/>
                        </w:rPr>
                      </w:pPr>
                    </w:p>
                  </w:txbxContent>
                </v:textbox>
                <w10:anchorlock/>
              </v:shape>
            </w:pict>
          </mc:Fallback>
        </mc:AlternateContent>
      </w:r>
    </w:p>
    <w:p>
      <w:pPr>
        <w:spacing w:after="120"/>
        <w:jc w:val="both"/>
        <w:rPr>
          <w:rFonts w:ascii="Times New Roman" w:eastAsia="Times New Roman" w:hAnsi="Times New Roman"/>
          <w:noProof/>
          <w:sz w:val="24"/>
          <w:szCs w:val="24"/>
        </w:rPr>
      </w:pPr>
      <w:r>
        <w:rPr>
          <w:rFonts w:ascii="Times New Roman" w:hAnsi="Times New Roman"/>
          <w:noProof/>
          <w:sz w:val="24"/>
          <w:szCs w:val="24"/>
        </w:rPr>
        <w:t>За цикъла на съответствие през 2019 г., въпреки трудната икономическа ситуация, дължаща се на извънредното положение във връзка с COVID-19, нивото на съответствие със СТЕ на ЕС остава много високо: повечето оператори, които обхващат над 99 % от емисиите от стационарни инсталации, са изпълнили законовите си задължения през март и април 2020 г. Инсталациите, които не са изпълнили задълженията си, обикновено са малки. Около 500 оператори на въздухоплавателни средства, включително повече от 100 търговски оператори на въздухоплавателни средства, които са със седалище извън ЕС, но извършват полети в рамките на ЕИП, докладваха и изпълниха задълженията си. Операторите, които не са изпълнили задълженията си, обикновено са малки или са прекратили дейност през 2018 г.</w:t>
      </w:r>
    </w:p>
    <w:p>
      <w:pPr>
        <w:spacing w:after="120"/>
        <w:jc w:val="both"/>
        <w:rPr>
          <w:rFonts w:ascii="Times New Roman" w:eastAsia="Times New Roman" w:hAnsi="Times New Roman"/>
          <w:noProof/>
          <w:sz w:val="24"/>
          <w:szCs w:val="24"/>
        </w:rPr>
      </w:pPr>
      <w:r>
        <w:rPr>
          <w:rFonts w:ascii="Times New Roman" w:hAnsi="Times New Roman"/>
          <w:noProof/>
          <w:sz w:val="24"/>
          <w:szCs w:val="24"/>
        </w:rPr>
        <w:t>Компетентните органи продължават да извършват различни проверки за съответствие на годишните доклади за емисиите. Според подадените през 2020 г. доклади по член 21, всички участващи държави</w:t>
      </w:r>
      <w:r>
        <w:rPr>
          <w:rStyle w:val="FootnoteReference"/>
          <w:rFonts w:ascii="Times New Roman" w:eastAsia="Times New Roman" w:hAnsi="Times New Roman"/>
          <w:noProof/>
          <w:sz w:val="24"/>
          <w:szCs w:val="24"/>
          <w:lang w:eastAsia="de-DE"/>
        </w:rPr>
        <w:footnoteReference w:id="83"/>
      </w:r>
      <w:r>
        <w:rPr>
          <w:rFonts w:ascii="Times New Roman" w:hAnsi="Times New Roman"/>
          <w:noProof/>
          <w:sz w:val="24"/>
          <w:szCs w:val="24"/>
        </w:rPr>
        <w:t xml:space="preserve"> проверяват за пълнота годишните доклади за емисиите от инсталациите (100 % от докладите, с изключение на Белгия (31 %), Испания (94 %) и Франция (95 %)), и повечето държави — всички, с изключение на Унгария и Латвия (които имат по два оператора) и Лихтенщайн (който няма оператори на въздухоплавателни средства) проверяват докладите от операторите на въздухоплавателни средства. Освен това в докладите се посочва, че държавите проверяват средно около 83 % от докладите за инсталации за съгласуваност с плановете за мониторинг (при 91 % от докладите за авиационни емисии) и около 70 % от докладите за инсталациите за данни за разпределение. Двадесет и три държави съобщиха, че извършват и кръстосани проверки на други данни за инсталациите, а двадесет и четири държави извършват такива за операторите на въздухоплавателни средства. </w:t>
      </w:r>
    </w:p>
    <w:p>
      <w:pPr>
        <w:spacing w:after="120"/>
        <w:jc w:val="both"/>
        <w:rPr>
          <w:rFonts w:ascii="Times New Roman" w:eastAsia="Times New Roman" w:hAnsi="Times New Roman"/>
          <w:noProof/>
          <w:sz w:val="24"/>
          <w:szCs w:val="24"/>
        </w:rPr>
      </w:pPr>
      <w:r>
        <w:rPr>
          <w:rFonts w:ascii="Times New Roman" w:hAnsi="Times New Roman"/>
          <w:noProof/>
          <w:sz w:val="24"/>
          <w:szCs w:val="24"/>
        </w:rPr>
        <w:t>Компетентните органи в 12 държави извършиха консервативни оценки по отношение на липсващите данни в случая на 101 инсталации (приблизително 1 % от инсталациите общо), почти  два пъти повече, отколкото през предходните три години.  Увеличението, изглежда, се дължи на по-голям брой консервативни оценки в Нидерландия (51 засегнати инсталации през 2019 г. в сравнение с 11 през 2018 г.) поради повече получени уведомления за грешки при мониторинга в сравнение с предходните години. Съобщеното количество на засегнатите емисии за 2019 г. е 61,0 милиона тона CO</w:t>
      </w:r>
      <w:r>
        <w:rPr>
          <w:rFonts w:ascii="Times New Roman" w:hAnsi="Times New Roman"/>
          <w:noProof/>
          <w:sz w:val="24"/>
          <w:szCs w:val="24"/>
          <w:vertAlign w:val="subscript"/>
        </w:rPr>
        <w:t xml:space="preserve">2 </w:t>
      </w:r>
      <w:r>
        <w:rPr>
          <w:rFonts w:ascii="Times New Roman" w:hAnsi="Times New Roman"/>
          <w:noProof/>
          <w:sz w:val="24"/>
          <w:szCs w:val="24"/>
        </w:rPr>
        <w:t xml:space="preserve"> (в сравнение с 11,2 милиона тона CO</w:t>
      </w:r>
      <w:r>
        <w:rPr>
          <w:rFonts w:ascii="Times New Roman" w:hAnsi="Times New Roman"/>
          <w:noProof/>
          <w:sz w:val="24"/>
          <w:szCs w:val="24"/>
          <w:vertAlign w:val="subscript"/>
        </w:rPr>
        <w:t>2</w:t>
      </w:r>
      <w:r>
        <w:rPr>
          <w:rFonts w:ascii="Times New Roman" w:hAnsi="Times New Roman"/>
          <w:noProof/>
          <w:sz w:val="24"/>
          <w:szCs w:val="24"/>
        </w:rPr>
        <w:t xml:space="preserve"> през 2018 г.), приблизително 4 % от общите емисии (в сравнение с 0,7 % през 2018 г.). Най-честите причини за изготвянето на консервативни оценки са непълно съответствие на докладите за емисиите с изискванията на РМД и липсата на доклад за емисиите до 31 март.</w:t>
      </w:r>
    </w:p>
    <w:p>
      <w:pPr>
        <w:spacing w:after="120"/>
        <w:jc w:val="both"/>
        <w:rPr>
          <w:rFonts w:ascii="Times New Roman" w:eastAsia="Times New Roman" w:hAnsi="Times New Roman"/>
          <w:noProof/>
          <w:sz w:val="24"/>
          <w:szCs w:val="24"/>
        </w:rPr>
      </w:pPr>
      <w:r>
        <w:rPr>
          <w:rFonts w:ascii="Times New Roman" w:hAnsi="Times New Roman"/>
          <w:noProof/>
          <w:sz w:val="24"/>
          <w:szCs w:val="24"/>
        </w:rPr>
        <w:t xml:space="preserve">Консервативни оценки за липсващи данни от въздухоплаването бяха докладвани от седем държави във връзка с 33 оператори на въздухоплавателни средства (5,4 % от общия брой) и 1,6 % от авиационните емисии. </w:t>
      </w:r>
    </w:p>
    <w:p>
      <w:pPr>
        <w:spacing w:after="120"/>
        <w:jc w:val="both"/>
        <w:rPr>
          <w:rFonts w:ascii="Times New Roman" w:eastAsia="Times New Roman" w:hAnsi="Times New Roman"/>
          <w:noProof/>
          <w:sz w:val="24"/>
          <w:szCs w:val="24"/>
        </w:rPr>
      </w:pPr>
      <w:r>
        <w:rPr>
          <w:rFonts w:ascii="Times New Roman" w:hAnsi="Times New Roman"/>
          <w:noProof/>
          <w:sz w:val="24"/>
          <w:szCs w:val="24"/>
        </w:rPr>
        <w:t xml:space="preserve">Проверките на компетентните органи остават важно допълнение на работата на проверяващите органи. За 2019 г. всички държави потвърдиха, че извършват допълнителни проверки на инсталации. Повечето държави съобщават за подобен подход по отношение на операторите на въздухоплавателни средства (всички, с изключение на Италия, Латвия, Лихтенщайн и Унгария). Повечето държави (всички с изключение на Гърция, Италия, Люксембург и Малта) докладват, че са извършили проверки на място на инсталации през 2019 г., и почти половината от всички държави докладваха, че са извършили проверки на място в сектора на въздухоплаването (всички с изключение на България, Гърция, Естония, Испания, Италия, Кипър, Латвия, Литва, Лихтенщайн, Лихтенщайн, Люксембург, Малта, Норвегия, Португалия, Унгария, Финландия, Франция, Чехия и Обединеното кралство) </w:t>
      </w:r>
    </w:p>
    <w:p>
      <w:pPr>
        <w:spacing w:after="120"/>
        <w:jc w:val="both"/>
        <w:rPr>
          <w:rFonts w:ascii="Times New Roman" w:eastAsia="Times New Roman" w:hAnsi="Times New Roman"/>
          <w:noProof/>
          <w:sz w:val="24"/>
          <w:szCs w:val="24"/>
        </w:rPr>
      </w:pPr>
      <w:r>
        <w:rPr>
          <w:rFonts w:ascii="Times New Roman" w:hAnsi="Times New Roman"/>
          <w:noProof/>
          <w:sz w:val="24"/>
          <w:szCs w:val="24"/>
        </w:rPr>
        <w:t xml:space="preserve">За 2019 г. прилагане на санкцията за извънредно количество емисии бе съобщено за 25 инсталации от осем държави (Дания — 2, Германия — 1, Испания — 1, Италия — 4, Полша — 2, Португалия — 1, Румъния — 7, Обединеното кралство — 7). В сектора на въздухоплаването санкции за извънредно количество емисии са докладвани за 34 оператора на въздухоплавателни средства (Германия — 3, Испания — 4, Италия — 3, Кипър — 1, Португалия — 11 и Обединеното кралство — 12). </w:t>
      </w:r>
    </w:p>
    <w:p>
      <w:pPr>
        <w:spacing w:after="120"/>
        <w:jc w:val="both"/>
        <w:rPr>
          <w:rFonts w:ascii="Times New Roman" w:eastAsia="Times New Roman" w:hAnsi="Times New Roman"/>
          <w:noProof/>
          <w:sz w:val="24"/>
          <w:szCs w:val="24"/>
        </w:rPr>
      </w:pPr>
      <w:r>
        <w:rPr>
          <w:rFonts w:ascii="Times New Roman" w:hAnsi="Times New Roman"/>
          <w:noProof/>
          <w:sz w:val="24"/>
          <w:szCs w:val="24"/>
        </w:rPr>
        <w:t>През 2019 г. шест държави потвърдиха налагане на санкции (освен санкциите за извънредно количество емисии). Случаи на лишаване от свобода не са докладвани, но са отбелязани глоби, официални известия и предупредителни писма като извършени или предстоящи да бъдат извършени (напр. поради текущо съдебно производство), които възлизат на обща финансова стойност в размер на 7,8 млн. евро. (От които 0,15 милиона евро за сектора на въздухоплаването.</w:t>
      </w:r>
    </w:p>
    <w:p>
      <w:pPr>
        <w:spacing w:after="120"/>
        <w:jc w:val="both"/>
        <w:rPr>
          <w:rFonts w:ascii="Times New Roman" w:eastAsia="Times New Roman" w:hAnsi="Times New Roman"/>
          <w:noProof/>
          <w:sz w:val="24"/>
          <w:szCs w:val="24"/>
        </w:rPr>
      </w:pPr>
      <w:r>
        <w:rPr>
          <w:rFonts w:ascii="Times New Roman" w:hAnsi="Times New Roman"/>
          <w:noProof/>
          <w:sz w:val="24"/>
          <w:szCs w:val="24"/>
        </w:rPr>
        <w:t>Най-честите нарушения, докладвани за 2019 г., са непредоставяне на проверени годишни доклади за емисиите до съответния срок, несъобщаване навреме на планирани или ефективни промени в капацитета, равнища на активност и експлоатация на инсталация, както и пропуск да бъде извършен мониторинг в съответствие с одобрения план за мониторинг и Регламент (ЕС) № 601/2012.</w:t>
      </w:r>
    </w:p>
    <w:p>
      <w:pPr>
        <w:spacing w:after="120"/>
        <w:jc w:val="both"/>
        <w:rPr>
          <w:rFonts w:ascii="Times New Roman" w:eastAsia="Times New Roman" w:hAnsi="Times New Roman"/>
          <w:noProof/>
          <w:sz w:val="24"/>
          <w:szCs w:val="24"/>
        </w:rPr>
      </w:pPr>
      <w:r>
        <w:rPr>
          <w:rFonts w:ascii="Times New Roman" w:hAnsi="Times New Roman"/>
          <w:noProof/>
          <w:sz w:val="24"/>
          <w:szCs w:val="24"/>
        </w:rPr>
        <w:t>Както бе отчетено в миналогодишния доклад, през 2018 г. и 2019 г. се състоя пета оценка на цикъла на спазване на изискванията по СТЕ на ЕС с цел да се идентифицират проблеми по отношение на спазването на изискванията по СТЕ на ЕС на равнище участващи държави и да се помогне на тези държави да подобрят своето изпълнение на СТЕ на ЕС. Оценката е завършена през 2020 г. и бе публикуван технически доклад за резултатите</w:t>
      </w:r>
      <w:r>
        <w:rPr>
          <w:rFonts w:ascii="Times New Roman" w:eastAsia="Times New Roman" w:hAnsi="Times New Roman"/>
          <w:noProof/>
          <w:sz w:val="24"/>
          <w:szCs w:val="24"/>
          <w:vertAlign w:val="superscript"/>
          <w:lang w:eastAsia="de-DE"/>
        </w:rPr>
        <w:footnoteReference w:id="84"/>
      </w:r>
      <w:r>
        <w:rPr>
          <w:rFonts w:ascii="Times New Roman" w:hAnsi="Times New Roman"/>
          <w:noProof/>
          <w:sz w:val="24"/>
          <w:szCs w:val="24"/>
        </w:rPr>
        <w:t>.</w:t>
      </w:r>
    </w:p>
    <w:p>
      <w:pPr>
        <w:spacing w:after="120"/>
        <w:jc w:val="both"/>
        <w:rPr>
          <w:rFonts w:ascii="Times New Roman" w:eastAsia="Times New Roman" w:hAnsi="Times New Roman"/>
          <w:noProof/>
          <w:sz w:val="24"/>
          <w:szCs w:val="24"/>
        </w:rPr>
      </w:pPr>
      <w:r>
        <w:rPr>
          <w:rFonts w:ascii="Times New Roman" w:hAnsi="Times New Roman"/>
          <w:noProof/>
          <w:sz w:val="24"/>
          <w:szCs w:val="24"/>
        </w:rPr>
        <w:t>В доклада се стига до заключението, че макар качеството и ефективността на одобряването на плановете за мониторинг, прегледът на годишните доклади за емисиите и докладите от проверки, както и проверките, да са се подобрили поради увеличеното използване на образците и информационните системи на Комисията, както и поради по-строгите процедури на компетентния орган, в някои области, свързани с мониторинг, докладване и проверка, продължават да се създават проблеми, свързани с тълкуването, и за тях биха били от полза специално обучение или специално изготвени насоки.</w:t>
      </w:r>
    </w:p>
    <w:p>
      <w:pPr>
        <w:spacing w:after="120"/>
        <w:jc w:val="both"/>
        <w:rPr>
          <w:rFonts w:ascii="Times New Roman" w:eastAsia="Times New Roman" w:hAnsi="Times New Roman"/>
          <w:noProof/>
          <w:sz w:val="24"/>
          <w:szCs w:val="24"/>
        </w:rPr>
      </w:pPr>
      <w:r>
        <w:rPr>
          <w:rFonts w:ascii="Times New Roman" w:hAnsi="Times New Roman"/>
          <w:noProof/>
          <w:sz w:val="24"/>
          <w:szCs w:val="24"/>
        </w:rPr>
        <w:t xml:space="preserve">Разликите в прилагането сред държавите членки може да бъдат установени най-вече в прегледа на годишните доклади за емисиите и докладите от проверки, както и в последващите действия по проблемите, установени по време на проверката, процедурите за инспекции и изпълнението. Макар че тези разлики, изглежда, не оказват пагубно въздействие върху стабилността на системата за мониторинг, докладване и проверка, в някои области – като трансграничен обмен на информация, последващи действия в изпълнение на препоръките за подобряване и процедури за инспекции, може да бъдат направени подобрения на равнище ЕС. Препоръките за подобрение за държавите членки са направени в специално изготвени планове за действие. </w:t>
      </w:r>
    </w:p>
    <w:p>
      <w:pPr>
        <w:spacing w:after="120"/>
        <w:jc w:val="both"/>
        <w:rPr>
          <w:rFonts w:ascii="Times New Roman" w:eastAsia="Times New Roman" w:hAnsi="Times New Roman"/>
          <w:noProof/>
          <w:sz w:val="24"/>
          <w:szCs w:val="24"/>
        </w:rPr>
      </w:pPr>
      <w:r>
        <w:rPr>
          <w:rFonts w:ascii="Times New Roman" w:hAnsi="Times New Roman"/>
          <w:noProof/>
          <w:sz w:val="24"/>
          <w:szCs w:val="24"/>
        </w:rPr>
        <w:t>След като започне прилагането на измененията на регламентите, установените в анализа проблеми в някои от областите за подобрение вероятно може да бъдат разрешени. Специално изготвени актуализирани материали за насоки, образци и изпълнение на препоръките, изброени в плановете за действие на държавите членки, може да подобрят още повече изпълнението. Конкретни препоръки за тази цел са направени в техническия доклад и в плановете за действие на държавите членки.</w:t>
      </w:r>
    </w:p>
    <w:p>
      <w:pPr>
        <w:spacing w:after="120"/>
        <w:jc w:val="both"/>
        <w:rPr>
          <w:rFonts w:ascii="Times New Roman" w:eastAsia="Times New Roman" w:hAnsi="Times New Roman"/>
          <w:noProof/>
          <w:sz w:val="24"/>
          <w:szCs w:val="24"/>
          <w:lang w:eastAsia="de-DE"/>
        </w:rPr>
      </w:pPr>
    </w:p>
    <w:p>
      <w:pPr>
        <w:pStyle w:val="Heading1"/>
        <w:spacing w:before="0" w:after="200"/>
        <w:rPr>
          <w:noProof/>
        </w:rPr>
      </w:pPr>
      <w:bookmarkStart w:id="61" w:name="_Toc490850440"/>
      <w:bookmarkStart w:id="62" w:name="_Toc519009691"/>
      <w:bookmarkStart w:id="63" w:name="_Toc56071848"/>
      <w:r>
        <w:rPr>
          <w:noProof/>
        </w:rPr>
        <w:t>9. ЗАКЛЮЧЕНИЯ И ПЕРСПЕКТИВИ</w:t>
      </w:r>
      <w:bookmarkEnd w:id="61"/>
      <w:bookmarkEnd w:id="62"/>
      <w:bookmarkEnd w:id="63"/>
      <w:r>
        <w:rPr>
          <w:noProof/>
        </w:rPr>
        <w:t xml:space="preserve"> </w:t>
      </w:r>
    </w:p>
    <w:p>
      <w:pPr>
        <w:spacing w:after="0"/>
        <w:jc w:val="both"/>
        <w:rPr>
          <w:rFonts w:ascii="Times New Roman" w:hAnsi="Times New Roman"/>
          <w:noProof/>
          <w:sz w:val="24"/>
          <w:szCs w:val="24"/>
        </w:rPr>
      </w:pPr>
      <w:bookmarkStart w:id="64" w:name="_Toc490850441"/>
      <w:r>
        <w:rPr>
          <w:rFonts w:ascii="Times New Roman" w:hAnsi="Times New Roman"/>
          <w:noProof/>
          <w:sz w:val="24"/>
          <w:szCs w:val="24"/>
        </w:rPr>
        <w:t>През 2019 г. в емисиите на парникови газове от инсталации, обхванати от СТЕ на ЕС</w:t>
      </w:r>
      <w:r>
        <w:rPr>
          <w:noProof/>
        </w:rPr>
        <w:t xml:space="preserve">, </w:t>
      </w:r>
      <w:r>
        <w:rPr>
          <w:rFonts w:ascii="Times New Roman" w:hAnsi="Times New Roman"/>
          <w:noProof/>
          <w:sz w:val="24"/>
          <w:szCs w:val="24"/>
        </w:rPr>
        <w:t xml:space="preserve">бе отбелязан исторически спад от 9,1 % в сравнение с 2018 г. Това се дължи основно на намаляване с почти 15 % на емисиите от производството на електроенергия и топлинна енергия, с усилено навлизане на възобновяеми източници на енергия, увеличено използване на природен газ и намаляване на използването на въглища с около 19 %. Емисиите от промишлеността също намаляха с близо 2 %, най-големият спад във фаза 3 досега. Верифицираните авиационни емисии обаче продължават да нарастват, макар и с много по-малко количество в сравнение с предходните години (1 % над равнищата от 2018 г.). </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rPr>
        <w:t xml:space="preserve">Договорените през последните години законодателни промени за укрепване на СТЕ и за справяне с излишъка от квоти, продължават да показват положителни резултати. Показателят за излишъка на резерва за стабилност на пазара бе публикуван за четвърти път през май 2020 г., като показва, че излишъкът е намалял до около 1,39 милиарда квоти. Въз основа на излишъка и преразгледаното законодателство за СТЕ на ЕС за фаза 4, тръжните количества през 2020 г. бяха намалени с почти 40 % (около 375 милиона квоти). Тръжните количества за 2021 г. ще бъдат намалени по подобен начин. </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rPr>
        <w:t>Въпреки трудното икономическо положение за промишлеността и въздухоплаването поради извънредното положение във връзка с COVID-19 ценовият сигнал за емисиите на въглероден диоксид остана стабилен между януари 2019 г. и края на юни 2020 г., с кратко изключение през март/април. Общите приходи, генерирани от СТЕ на ЕС от търгове между 2012 г. и 30 юни 2020 г., надвишават 57 млрд. евро, като общите приходи за държавите членки са над 14 млрд. евро през 2019 г. и 7,9 млрд. евро през първата половина на 2020 г. Голяма част от тези приходи се използват от държавите членки за действия в областта на климата.</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rPr>
        <w:t>Освен това, въпреки извънредните обстоятелства през 2020 г., равнището на съответствие със СТЕ на ЕС за 2019 г. остава много високо: повечето оператори, които обхващат над 99 % от емисиите от стационарни инсталации, са изпълнили законовите си задължения. Както при стационарните инсталации, така и при операторите на въздухоплавателни средства неотговарящите на изискванията оператори обикновено са малки.</w:t>
      </w:r>
      <w:r>
        <w:rPr>
          <w:noProof/>
        </w:rPr>
        <w:t xml:space="preserve"> </w:t>
      </w:r>
      <w:r>
        <w:rPr>
          <w:rFonts w:ascii="Times New Roman" w:hAnsi="Times New Roman"/>
          <w:noProof/>
          <w:sz w:val="24"/>
          <w:szCs w:val="24"/>
        </w:rPr>
        <w:t>Архитектурата на СТЕ на ЕС остана стабилна, а административната организация в държавите членки се оказа ефективна.</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rPr>
        <w:t xml:space="preserve">През следващите години, като част от по-широкия законодателен пакет в рамките на Европейския зелен пакт, СТЕ може да бъде подложена на съществени промени по отношение на нейния обхват и изискванията за въздухоплаването, за да може да отговори на по-високите амбиции на ЕС в областта на климата. 2021 г. ще бъде първата година от прилагането на фаза 4 от СТЕ на ЕС. Следващият доклад за пазара на въглеродни емисии, предвиден за публикуване в края на 2021 г., ще представи преглед на цялостното изпълнение на СТЕ във фаза 3. Той също така ще представи първите впечатления за функционирането на СТЕ на ЕС във фаза 4. </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jc w:val="both"/>
        <w:rPr>
          <w:rStyle w:val="Heading1Char"/>
          <w:rFonts w:eastAsia="Calibri"/>
          <w:noProof/>
        </w:rPr>
      </w:pPr>
      <w:bookmarkStart w:id="65" w:name="_Toc519009692"/>
    </w:p>
    <w:p>
      <w:pPr>
        <w:jc w:val="both"/>
        <w:rPr>
          <w:rStyle w:val="Heading1Char"/>
          <w:rFonts w:eastAsia="Calibri"/>
          <w:noProof/>
        </w:rPr>
      </w:pPr>
    </w:p>
    <w:p>
      <w:pPr>
        <w:jc w:val="both"/>
        <w:rPr>
          <w:rStyle w:val="Heading1Char"/>
          <w:rFonts w:eastAsia="Calibri"/>
          <w:noProof/>
        </w:rPr>
      </w:pPr>
    </w:p>
    <w:p>
      <w:pPr>
        <w:jc w:val="both"/>
        <w:rPr>
          <w:rStyle w:val="Heading1Char"/>
          <w:rFonts w:eastAsia="Calibri"/>
          <w:noProof/>
        </w:rPr>
      </w:pPr>
    </w:p>
    <w:p>
      <w:pPr>
        <w:jc w:val="both"/>
        <w:rPr>
          <w:rFonts w:ascii="Times New Roman" w:hAnsi="Times New Roman"/>
          <w:b/>
          <w:bCs/>
          <w:noProof/>
          <w:kern w:val="32"/>
          <w:sz w:val="24"/>
          <w:szCs w:val="32"/>
        </w:rPr>
      </w:pPr>
      <w:bookmarkStart w:id="66" w:name="_Toc56071849"/>
      <w:r>
        <w:rPr>
          <w:rStyle w:val="Heading1Char"/>
          <w:rFonts w:eastAsia="Calibri"/>
          <w:noProof/>
        </w:rPr>
        <w:t>ПРИЛОЖЕНИЕ</w:t>
      </w:r>
      <w:bookmarkEnd w:id="64"/>
      <w:bookmarkEnd w:id="65"/>
      <w:bookmarkEnd w:id="66"/>
      <w:r>
        <w:rPr>
          <w:rFonts w:ascii="Times New Roman" w:hAnsi="Times New Roman"/>
          <w:noProof/>
          <w:sz w:val="24"/>
          <w:szCs w:val="24"/>
        </w:rPr>
        <w:t xml:space="preserve"> </w:t>
      </w:r>
    </w:p>
    <w:p>
      <w:pPr>
        <w:rPr>
          <w:rFonts w:ascii="Times New Roman" w:hAnsi="Times New Roman"/>
          <w:b/>
          <w:noProof/>
        </w:rPr>
      </w:pPr>
      <w:r>
        <w:rPr>
          <w:rFonts w:ascii="Times New Roman" w:hAnsi="Times New Roman"/>
          <w:b/>
          <w:noProof/>
        </w:rPr>
        <w:t>Допълнение 1</w:t>
      </w:r>
    </w:p>
    <w:p>
      <w:pPr>
        <w:keepNext/>
        <w:rPr>
          <w:rFonts w:ascii="Times New Roman" w:hAnsi="Times New Roman"/>
          <w:b/>
          <w:bCs/>
          <w:noProof/>
          <w:sz w:val="20"/>
          <w:szCs w:val="20"/>
        </w:rPr>
      </w:pPr>
      <w:r>
        <w:rPr>
          <w:rFonts w:ascii="Times New Roman" w:hAnsi="Times New Roman"/>
          <w:b/>
          <w:bCs/>
          <w:noProof/>
          <w:sz w:val="20"/>
          <w:szCs w:val="20"/>
        </w:rPr>
        <w:t>Таблица 1.1: Брой на безплатните квоти, разпределени за модернизиране на електроенергийния сектор</w:t>
      </w:r>
      <w:r>
        <w:rPr>
          <w:rStyle w:val="FootnoteReference"/>
          <w:rFonts w:ascii="Times New Roman" w:hAnsi="Times New Roman"/>
          <w:b/>
          <w:bCs/>
          <w:noProof/>
          <w:sz w:val="20"/>
          <w:szCs w:val="20"/>
        </w:rPr>
        <w:footnoteReference w:id="85"/>
      </w:r>
    </w:p>
    <w:tbl>
      <w:tblPr>
        <w:tblW w:w="1058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ayout w:type="fixed"/>
        <w:tblLook w:val="04A0" w:firstRow="1" w:lastRow="0" w:firstColumn="1" w:lastColumn="0" w:noHBand="0" w:noVBand="1"/>
      </w:tblPr>
      <w:tblGrid>
        <w:gridCol w:w="957"/>
        <w:gridCol w:w="1339"/>
        <w:gridCol w:w="1458"/>
        <w:gridCol w:w="1458"/>
        <w:gridCol w:w="1339"/>
        <w:gridCol w:w="1342"/>
        <w:gridCol w:w="1348"/>
        <w:gridCol w:w="1348"/>
      </w:tblGrid>
      <w:tr>
        <w:trPr>
          <w:trHeight w:val="273"/>
          <w:jc w:val="center"/>
        </w:trPr>
        <w:tc>
          <w:tcPr>
            <w:tcW w:w="957" w:type="dxa"/>
            <w:shd w:val="clear" w:color="auto" w:fill="FFFFFF" w:themeFill="background1"/>
            <w:noWrap/>
            <w:hideMark/>
          </w:tcPr>
          <w:p>
            <w:pPr>
              <w:spacing w:after="0"/>
              <w:jc w:val="center"/>
              <w:rPr>
                <w:rFonts w:ascii="Times New Roman" w:hAnsi="Times New Roman"/>
                <w:b/>
                <w:noProof/>
                <w:sz w:val="18"/>
                <w:szCs w:val="18"/>
              </w:rPr>
            </w:pPr>
            <w:r>
              <w:rPr>
                <w:rFonts w:ascii="Times New Roman" w:hAnsi="Times New Roman"/>
                <w:b/>
                <w:noProof/>
                <w:sz w:val="18"/>
                <w:szCs w:val="18"/>
              </w:rPr>
              <w:t>Държава членка</w:t>
            </w:r>
          </w:p>
        </w:tc>
        <w:tc>
          <w:tcPr>
            <w:tcW w:w="1339" w:type="dxa"/>
            <w:shd w:val="clear" w:color="auto" w:fill="FFFFFF" w:themeFill="background1"/>
            <w:noWrap/>
            <w:hideMark/>
          </w:tcPr>
          <w:p>
            <w:pPr>
              <w:spacing w:after="0"/>
              <w:jc w:val="center"/>
              <w:rPr>
                <w:rFonts w:ascii="Times New Roman" w:hAnsi="Times New Roman"/>
                <w:b/>
                <w:noProof/>
                <w:sz w:val="18"/>
                <w:szCs w:val="18"/>
              </w:rPr>
            </w:pPr>
            <w:r>
              <w:rPr>
                <w:rFonts w:ascii="Times New Roman" w:hAnsi="Times New Roman"/>
                <w:b/>
                <w:noProof/>
                <w:sz w:val="18"/>
                <w:szCs w:val="18"/>
              </w:rPr>
              <w:t>2013 г.</w:t>
            </w:r>
          </w:p>
        </w:tc>
        <w:tc>
          <w:tcPr>
            <w:tcW w:w="1458" w:type="dxa"/>
            <w:shd w:val="clear" w:color="auto" w:fill="FFFFFF" w:themeFill="background1"/>
          </w:tcPr>
          <w:p>
            <w:pPr>
              <w:spacing w:after="0"/>
              <w:jc w:val="center"/>
              <w:rPr>
                <w:rFonts w:ascii="Times New Roman" w:hAnsi="Times New Roman"/>
                <w:b/>
                <w:noProof/>
                <w:sz w:val="18"/>
                <w:szCs w:val="18"/>
              </w:rPr>
            </w:pPr>
            <w:r>
              <w:rPr>
                <w:rFonts w:ascii="Times New Roman" w:hAnsi="Times New Roman"/>
                <w:b/>
                <w:noProof/>
                <w:sz w:val="18"/>
                <w:szCs w:val="18"/>
              </w:rPr>
              <w:t>2014 г.</w:t>
            </w:r>
          </w:p>
        </w:tc>
        <w:tc>
          <w:tcPr>
            <w:tcW w:w="1458" w:type="dxa"/>
            <w:shd w:val="clear" w:color="auto" w:fill="FFFFFF" w:themeFill="background1"/>
          </w:tcPr>
          <w:p>
            <w:pPr>
              <w:spacing w:after="0"/>
              <w:jc w:val="center"/>
              <w:rPr>
                <w:rFonts w:ascii="Times New Roman" w:hAnsi="Times New Roman"/>
                <w:b/>
                <w:noProof/>
                <w:sz w:val="18"/>
                <w:szCs w:val="18"/>
              </w:rPr>
            </w:pPr>
            <w:r>
              <w:rPr>
                <w:rFonts w:ascii="Times New Roman" w:hAnsi="Times New Roman"/>
                <w:b/>
                <w:noProof/>
                <w:sz w:val="18"/>
                <w:szCs w:val="18"/>
              </w:rPr>
              <w:t>2015 г.</w:t>
            </w:r>
          </w:p>
        </w:tc>
        <w:tc>
          <w:tcPr>
            <w:tcW w:w="1339" w:type="dxa"/>
            <w:shd w:val="clear" w:color="auto" w:fill="FFFFFF" w:themeFill="background1"/>
          </w:tcPr>
          <w:p>
            <w:pPr>
              <w:spacing w:after="0"/>
              <w:jc w:val="center"/>
              <w:rPr>
                <w:rFonts w:ascii="Times New Roman" w:hAnsi="Times New Roman"/>
                <w:b/>
                <w:noProof/>
                <w:sz w:val="18"/>
                <w:szCs w:val="18"/>
              </w:rPr>
            </w:pPr>
            <w:r>
              <w:rPr>
                <w:rFonts w:ascii="Times New Roman" w:hAnsi="Times New Roman"/>
                <w:b/>
                <w:noProof/>
                <w:sz w:val="18"/>
                <w:szCs w:val="18"/>
              </w:rPr>
              <w:t>2016 г.</w:t>
            </w:r>
          </w:p>
        </w:tc>
        <w:tc>
          <w:tcPr>
            <w:tcW w:w="1342" w:type="dxa"/>
            <w:shd w:val="clear" w:color="auto" w:fill="FFFFFF" w:themeFill="background1"/>
          </w:tcPr>
          <w:p>
            <w:pPr>
              <w:spacing w:after="0"/>
              <w:jc w:val="center"/>
              <w:rPr>
                <w:rFonts w:ascii="Times New Roman" w:hAnsi="Times New Roman"/>
                <w:b/>
                <w:noProof/>
                <w:sz w:val="18"/>
                <w:szCs w:val="18"/>
              </w:rPr>
            </w:pPr>
            <w:r>
              <w:rPr>
                <w:rFonts w:ascii="Times New Roman" w:hAnsi="Times New Roman"/>
                <w:b/>
                <w:noProof/>
                <w:sz w:val="18"/>
                <w:szCs w:val="18"/>
              </w:rPr>
              <w:t>2017 г.</w:t>
            </w:r>
          </w:p>
        </w:tc>
        <w:tc>
          <w:tcPr>
            <w:tcW w:w="1348" w:type="dxa"/>
            <w:shd w:val="clear" w:color="auto" w:fill="FFFFFF" w:themeFill="background1"/>
          </w:tcPr>
          <w:p>
            <w:pPr>
              <w:spacing w:after="0"/>
              <w:jc w:val="center"/>
              <w:rPr>
                <w:rFonts w:ascii="Times New Roman" w:hAnsi="Times New Roman"/>
                <w:b/>
                <w:noProof/>
                <w:sz w:val="18"/>
                <w:szCs w:val="18"/>
              </w:rPr>
            </w:pPr>
            <w:r>
              <w:rPr>
                <w:rFonts w:ascii="Times New Roman" w:hAnsi="Times New Roman"/>
                <w:b/>
                <w:noProof/>
                <w:sz w:val="18"/>
                <w:szCs w:val="18"/>
              </w:rPr>
              <w:t>2018 г.</w:t>
            </w:r>
          </w:p>
        </w:tc>
        <w:tc>
          <w:tcPr>
            <w:tcW w:w="1348" w:type="dxa"/>
            <w:shd w:val="clear" w:color="auto" w:fill="FFFFFF" w:themeFill="background1"/>
          </w:tcPr>
          <w:p>
            <w:pPr>
              <w:spacing w:after="0"/>
              <w:jc w:val="center"/>
              <w:rPr>
                <w:rFonts w:ascii="Times New Roman" w:hAnsi="Times New Roman"/>
                <w:b/>
                <w:noProof/>
                <w:sz w:val="18"/>
                <w:szCs w:val="18"/>
              </w:rPr>
            </w:pPr>
            <w:r>
              <w:rPr>
                <w:rFonts w:ascii="Times New Roman" w:hAnsi="Times New Roman"/>
                <w:b/>
                <w:noProof/>
                <w:sz w:val="18"/>
                <w:szCs w:val="18"/>
              </w:rPr>
              <w:t>2019 г.</w:t>
            </w:r>
          </w:p>
        </w:tc>
      </w:tr>
      <w:tr>
        <w:trPr>
          <w:trHeight w:val="241"/>
          <w:jc w:val="center"/>
        </w:trPr>
        <w:tc>
          <w:tcPr>
            <w:tcW w:w="957" w:type="dxa"/>
            <w:shd w:val="clear" w:color="auto" w:fill="FFFFFF" w:themeFill="background1"/>
            <w:noWrap/>
            <w:hideMark/>
          </w:tcPr>
          <w:p>
            <w:pPr>
              <w:spacing w:after="0"/>
              <w:jc w:val="center"/>
              <w:rPr>
                <w:rFonts w:ascii="Times New Roman" w:hAnsi="Times New Roman"/>
                <w:b/>
                <w:noProof/>
                <w:sz w:val="18"/>
                <w:szCs w:val="18"/>
              </w:rPr>
            </w:pPr>
            <w:r>
              <w:rPr>
                <w:rFonts w:ascii="Times New Roman" w:hAnsi="Times New Roman"/>
                <w:b/>
                <w:noProof/>
                <w:sz w:val="18"/>
                <w:szCs w:val="18"/>
              </w:rPr>
              <w:t>България</w:t>
            </w:r>
          </w:p>
        </w:tc>
        <w:tc>
          <w:tcPr>
            <w:tcW w:w="1339" w:type="dxa"/>
            <w:shd w:val="clear" w:color="auto" w:fill="FFFFFF" w:themeFill="background1"/>
            <w:noWrap/>
            <w:hideMark/>
          </w:tcPr>
          <w:p>
            <w:pPr>
              <w:spacing w:after="0"/>
              <w:jc w:val="center"/>
              <w:rPr>
                <w:rFonts w:ascii="Times New Roman" w:hAnsi="Times New Roman"/>
                <w:noProof/>
                <w:sz w:val="16"/>
                <w:szCs w:val="16"/>
              </w:rPr>
            </w:pPr>
            <w:r>
              <w:rPr>
                <w:rFonts w:ascii="Times New Roman" w:hAnsi="Times New Roman"/>
                <w:noProof/>
                <w:sz w:val="16"/>
                <w:szCs w:val="16"/>
              </w:rPr>
              <w:t>11 009 416</w:t>
            </w:r>
          </w:p>
        </w:tc>
        <w:tc>
          <w:tcPr>
            <w:tcW w:w="1458" w:type="dxa"/>
            <w:tcBorders>
              <w:bottom w:val="single" w:sz="4" w:space="0" w:color="auto"/>
            </w:tcBorders>
            <w:shd w:val="clear" w:color="auto" w:fill="FFFFFF" w:themeFill="background1"/>
          </w:tcPr>
          <w:p>
            <w:pPr>
              <w:spacing w:after="0"/>
              <w:jc w:val="center"/>
              <w:rPr>
                <w:rFonts w:ascii="Times New Roman" w:hAnsi="Times New Roman"/>
                <w:noProof/>
                <w:sz w:val="16"/>
                <w:szCs w:val="16"/>
              </w:rPr>
            </w:pPr>
            <w:r>
              <w:rPr>
                <w:rFonts w:ascii="Times New Roman" w:hAnsi="Times New Roman"/>
                <w:noProof/>
                <w:sz w:val="16"/>
                <w:szCs w:val="16"/>
              </w:rPr>
              <w:t>9 779 243</w:t>
            </w:r>
          </w:p>
        </w:tc>
        <w:tc>
          <w:tcPr>
            <w:tcW w:w="1458" w:type="dxa"/>
            <w:shd w:val="clear" w:color="auto" w:fill="FFFFFF" w:themeFill="background1"/>
          </w:tcPr>
          <w:p>
            <w:pPr>
              <w:jc w:val="center"/>
              <w:rPr>
                <w:rFonts w:ascii="Times New Roman" w:hAnsi="Times New Roman"/>
                <w:noProof/>
                <w:sz w:val="16"/>
                <w:szCs w:val="16"/>
              </w:rPr>
            </w:pPr>
            <w:r>
              <w:rPr>
                <w:rFonts w:ascii="Times New Roman" w:hAnsi="Times New Roman"/>
                <w:noProof/>
                <w:sz w:val="16"/>
                <w:szCs w:val="16"/>
              </w:rPr>
              <w:t>8 259 680</w:t>
            </w:r>
          </w:p>
        </w:tc>
        <w:tc>
          <w:tcPr>
            <w:tcW w:w="1339" w:type="dxa"/>
            <w:shd w:val="clear" w:color="auto" w:fill="FFFFFF" w:themeFill="background1"/>
            <w:vAlign w:val="bottom"/>
          </w:tcPr>
          <w:p>
            <w:pPr>
              <w:jc w:val="center"/>
              <w:rPr>
                <w:rFonts w:ascii="Times New Roman" w:hAnsi="Times New Roman"/>
                <w:noProof/>
                <w:sz w:val="16"/>
                <w:szCs w:val="16"/>
              </w:rPr>
            </w:pPr>
            <w:r>
              <w:rPr>
                <w:rFonts w:ascii="Times New Roman" w:hAnsi="Times New Roman"/>
                <w:noProof/>
                <w:color w:val="000000"/>
                <w:sz w:val="16"/>
                <w:szCs w:val="16"/>
              </w:rPr>
              <w:t>6 593 238</w:t>
            </w:r>
          </w:p>
        </w:tc>
        <w:tc>
          <w:tcPr>
            <w:tcW w:w="1342"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3 812 436</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2 471 297</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1 948 441</w:t>
            </w:r>
          </w:p>
        </w:tc>
      </w:tr>
      <w:tr>
        <w:trPr>
          <w:trHeight w:val="185"/>
          <w:jc w:val="center"/>
        </w:trPr>
        <w:tc>
          <w:tcPr>
            <w:tcW w:w="957" w:type="dxa"/>
            <w:shd w:val="clear" w:color="auto" w:fill="FFFFFF" w:themeFill="background1"/>
            <w:noWrap/>
            <w:hideMark/>
          </w:tcPr>
          <w:p>
            <w:pPr>
              <w:spacing w:after="0"/>
              <w:jc w:val="center"/>
              <w:rPr>
                <w:rFonts w:ascii="Times New Roman" w:hAnsi="Times New Roman"/>
                <w:b/>
                <w:noProof/>
                <w:sz w:val="18"/>
                <w:szCs w:val="18"/>
              </w:rPr>
            </w:pPr>
            <w:r>
              <w:rPr>
                <w:rFonts w:ascii="Times New Roman" w:hAnsi="Times New Roman"/>
                <w:b/>
                <w:noProof/>
                <w:sz w:val="18"/>
                <w:szCs w:val="18"/>
              </w:rPr>
              <w:t>Кипър</w:t>
            </w:r>
          </w:p>
        </w:tc>
        <w:tc>
          <w:tcPr>
            <w:tcW w:w="1339" w:type="dxa"/>
            <w:tcBorders>
              <w:right w:val="single" w:sz="4" w:space="0" w:color="auto"/>
            </w:tcBorders>
            <w:shd w:val="clear" w:color="auto" w:fill="FFFFFF" w:themeFill="background1"/>
            <w:noWrap/>
            <w:hideMark/>
          </w:tcPr>
          <w:p>
            <w:pPr>
              <w:spacing w:after="0"/>
              <w:jc w:val="center"/>
              <w:rPr>
                <w:rFonts w:ascii="Times New Roman" w:hAnsi="Times New Roman"/>
                <w:noProof/>
                <w:sz w:val="16"/>
                <w:szCs w:val="16"/>
              </w:rPr>
            </w:pPr>
            <w:r>
              <w:rPr>
                <w:rFonts w:ascii="Times New Roman" w:hAnsi="Times New Roman"/>
                <w:noProof/>
                <w:sz w:val="16"/>
                <w:szCs w:val="16"/>
              </w:rPr>
              <w:t>2 519 077</w:t>
            </w:r>
          </w:p>
        </w:tc>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tcPr>
          <w:p>
            <w:pPr>
              <w:spacing w:after="0"/>
              <w:jc w:val="center"/>
              <w:rPr>
                <w:rFonts w:ascii="Times New Roman" w:hAnsi="Times New Roman"/>
                <w:noProof/>
                <w:sz w:val="16"/>
                <w:szCs w:val="16"/>
              </w:rPr>
            </w:pPr>
            <w:r>
              <w:rPr>
                <w:rFonts w:ascii="Times New Roman" w:hAnsi="Times New Roman"/>
                <w:noProof/>
                <w:sz w:val="16"/>
                <w:szCs w:val="16"/>
              </w:rPr>
              <w:t>2 195 195</w:t>
            </w:r>
          </w:p>
        </w:tc>
        <w:tc>
          <w:tcPr>
            <w:tcW w:w="1458" w:type="dxa"/>
            <w:tcBorders>
              <w:left w:val="single" w:sz="4" w:space="0" w:color="auto"/>
            </w:tcBorders>
            <w:shd w:val="clear" w:color="auto" w:fill="FFFFFF" w:themeFill="background1"/>
          </w:tcPr>
          <w:p>
            <w:pPr>
              <w:jc w:val="center"/>
              <w:rPr>
                <w:rFonts w:ascii="Times New Roman" w:hAnsi="Times New Roman"/>
                <w:noProof/>
                <w:sz w:val="16"/>
                <w:szCs w:val="16"/>
              </w:rPr>
            </w:pPr>
            <w:r>
              <w:rPr>
                <w:rFonts w:ascii="Times New Roman" w:hAnsi="Times New Roman"/>
                <w:noProof/>
                <w:sz w:val="16"/>
                <w:szCs w:val="16"/>
              </w:rPr>
              <w:t>1 907 302</w:t>
            </w:r>
          </w:p>
        </w:tc>
        <w:tc>
          <w:tcPr>
            <w:tcW w:w="1339" w:type="dxa"/>
            <w:shd w:val="clear" w:color="auto" w:fill="FFFFFF" w:themeFill="background1"/>
            <w:vAlign w:val="bottom"/>
          </w:tcPr>
          <w:p>
            <w:pPr>
              <w:jc w:val="center"/>
              <w:rPr>
                <w:rFonts w:ascii="Times New Roman" w:hAnsi="Times New Roman"/>
                <w:noProof/>
                <w:sz w:val="16"/>
                <w:szCs w:val="16"/>
              </w:rPr>
            </w:pPr>
            <w:r>
              <w:rPr>
                <w:rFonts w:ascii="Times New Roman" w:hAnsi="Times New Roman"/>
                <w:noProof/>
                <w:color w:val="000000"/>
                <w:sz w:val="16"/>
                <w:szCs w:val="16"/>
              </w:rPr>
              <w:t>1 583 420</w:t>
            </w:r>
          </w:p>
        </w:tc>
        <w:tc>
          <w:tcPr>
            <w:tcW w:w="1342"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1 259 538</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935 657</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575 789</w:t>
            </w:r>
          </w:p>
        </w:tc>
      </w:tr>
      <w:tr>
        <w:trPr>
          <w:trHeight w:val="185"/>
          <w:jc w:val="center"/>
        </w:trPr>
        <w:tc>
          <w:tcPr>
            <w:tcW w:w="957" w:type="dxa"/>
            <w:shd w:val="clear" w:color="auto" w:fill="FFFFFF" w:themeFill="background1"/>
            <w:noWrap/>
            <w:hideMark/>
          </w:tcPr>
          <w:p>
            <w:pPr>
              <w:spacing w:after="0"/>
              <w:jc w:val="center"/>
              <w:rPr>
                <w:rFonts w:ascii="Times New Roman" w:hAnsi="Times New Roman"/>
                <w:b/>
                <w:noProof/>
                <w:sz w:val="18"/>
                <w:szCs w:val="18"/>
              </w:rPr>
            </w:pPr>
            <w:r>
              <w:rPr>
                <w:rFonts w:ascii="Times New Roman" w:hAnsi="Times New Roman"/>
                <w:b/>
                <w:noProof/>
                <w:sz w:val="18"/>
                <w:szCs w:val="18"/>
              </w:rPr>
              <w:t>Чехия</w:t>
            </w:r>
          </w:p>
        </w:tc>
        <w:tc>
          <w:tcPr>
            <w:tcW w:w="1339" w:type="dxa"/>
            <w:shd w:val="clear" w:color="auto" w:fill="FFFFFF" w:themeFill="background1"/>
            <w:noWrap/>
            <w:hideMark/>
          </w:tcPr>
          <w:p>
            <w:pPr>
              <w:spacing w:after="0"/>
              <w:jc w:val="center"/>
              <w:rPr>
                <w:rFonts w:ascii="Times New Roman" w:hAnsi="Times New Roman"/>
                <w:noProof/>
                <w:sz w:val="16"/>
                <w:szCs w:val="16"/>
              </w:rPr>
            </w:pPr>
            <w:r>
              <w:rPr>
                <w:rFonts w:ascii="Times New Roman" w:hAnsi="Times New Roman"/>
                <w:noProof/>
                <w:sz w:val="16"/>
                <w:szCs w:val="16"/>
              </w:rPr>
              <w:t>25 285 353</w:t>
            </w:r>
          </w:p>
        </w:tc>
        <w:tc>
          <w:tcPr>
            <w:tcW w:w="1458" w:type="dxa"/>
            <w:tcBorders>
              <w:top w:val="single" w:sz="4" w:space="0" w:color="auto"/>
            </w:tcBorders>
            <w:shd w:val="clear" w:color="auto" w:fill="FFFFFF" w:themeFill="background1"/>
          </w:tcPr>
          <w:p>
            <w:pPr>
              <w:spacing w:after="0"/>
              <w:jc w:val="center"/>
              <w:rPr>
                <w:rFonts w:ascii="Times New Roman" w:hAnsi="Times New Roman"/>
                <w:noProof/>
                <w:sz w:val="16"/>
                <w:szCs w:val="16"/>
              </w:rPr>
            </w:pPr>
            <w:r>
              <w:rPr>
                <w:rFonts w:ascii="Times New Roman" w:hAnsi="Times New Roman"/>
                <w:noProof/>
                <w:sz w:val="16"/>
                <w:szCs w:val="16"/>
              </w:rPr>
              <w:t>22 383 398</w:t>
            </w:r>
          </w:p>
        </w:tc>
        <w:tc>
          <w:tcPr>
            <w:tcW w:w="1458" w:type="dxa"/>
            <w:shd w:val="clear" w:color="auto" w:fill="FFFFFF" w:themeFill="background1"/>
          </w:tcPr>
          <w:p>
            <w:pPr>
              <w:jc w:val="center"/>
              <w:rPr>
                <w:rFonts w:ascii="Times New Roman" w:hAnsi="Times New Roman"/>
                <w:noProof/>
                <w:sz w:val="16"/>
                <w:szCs w:val="16"/>
              </w:rPr>
            </w:pPr>
            <w:r>
              <w:rPr>
                <w:rFonts w:ascii="Times New Roman" w:hAnsi="Times New Roman"/>
                <w:noProof/>
                <w:sz w:val="16"/>
                <w:szCs w:val="16"/>
              </w:rPr>
              <w:t>20 623 005</w:t>
            </w:r>
          </w:p>
        </w:tc>
        <w:tc>
          <w:tcPr>
            <w:tcW w:w="1339" w:type="dxa"/>
            <w:shd w:val="clear" w:color="auto" w:fill="FFFFFF" w:themeFill="background1"/>
            <w:vAlign w:val="bottom"/>
          </w:tcPr>
          <w:p>
            <w:pPr>
              <w:jc w:val="center"/>
              <w:rPr>
                <w:rFonts w:ascii="Times New Roman" w:hAnsi="Times New Roman"/>
                <w:noProof/>
                <w:sz w:val="16"/>
                <w:szCs w:val="16"/>
              </w:rPr>
            </w:pPr>
            <w:r>
              <w:rPr>
                <w:rFonts w:ascii="Times New Roman" w:hAnsi="Times New Roman"/>
                <w:noProof/>
                <w:color w:val="000000"/>
                <w:sz w:val="16"/>
                <w:szCs w:val="16"/>
              </w:rPr>
              <w:t>15 831 329</w:t>
            </w:r>
          </w:p>
        </w:tc>
        <w:tc>
          <w:tcPr>
            <w:tcW w:w="1342"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11 681 994</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7 661 840</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3 830 905</w:t>
            </w:r>
          </w:p>
        </w:tc>
      </w:tr>
      <w:tr>
        <w:trPr>
          <w:trHeight w:val="185"/>
          <w:jc w:val="center"/>
        </w:trPr>
        <w:tc>
          <w:tcPr>
            <w:tcW w:w="957" w:type="dxa"/>
            <w:shd w:val="clear" w:color="auto" w:fill="FFFFFF" w:themeFill="background1"/>
            <w:noWrap/>
            <w:hideMark/>
          </w:tcPr>
          <w:p>
            <w:pPr>
              <w:spacing w:after="0"/>
              <w:jc w:val="center"/>
              <w:rPr>
                <w:rFonts w:ascii="Times New Roman" w:hAnsi="Times New Roman"/>
                <w:b/>
                <w:noProof/>
                <w:sz w:val="18"/>
                <w:szCs w:val="18"/>
              </w:rPr>
            </w:pPr>
            <w:r>
              <w:rPr>
                <w:rFonts w:ascii="Times New Roman" w:hAnsi="Times New Roman"/>
                <w:b/>
                <w:noProof/>
                <w:sz w:val="18"/>
                <w:szCs w:val="18"/>
              </w:rPr>
              <w:t>Естония</w:t>
            </w:r>
          </w:p>
        </w:tc>
        <w:tc>
          <w:tcPr>
            <w:tcW w:w="1339" w:type="dxa"/>
            <w:shd w:val="clear" w:color="auto" w:fill="FFFFFF" w:themeFill="background1"/>
            <w:noWrap/>
            <w:hideMark/>
          </w:tcPr>
          <w:p>
            <w:pPr>
              <w:spacing w:after="0"/>
              <w:jc w:val="center"/>
              <w:rPr>
                <w:rFonts w:ascii="Times New Roman" w:hAnsi="Times New Roman"/>
                <w:noProof/>
                <w:sz w:val="16"/>
                <w:szCs w:val="16"/>
              </w:rPr>
            </w:pPr>
            <w:r>
              <w:rPr>
                <w:rFonts w:ascii="Times New Roman" w:hAnsi="Times New Roman"/>
                <w:noProof/>
                <w:sz w:val="16"/>
                <w:szCs w:val="16"/>
              </w:rPr>
              <w:t>5 135 166</w:t>
            </w:r>
          </w:p>
        </w:tc>
        <w:tc>
          <w:tcPr>
            <w:tcW w:w="1458" w:type="dxa"/>
            <w:shd w:val="clear" w:color="auto" w:fill="FFFFFF" w:themeFill="background1"/>
          </w:tcPr>
          <w:p>
            <w:pPr>
              <w:spacing w:after="0"/>
              <w:jc w:val="center"/>
              <w:rPr>
                <w:rFonts w:ascii="Times New Roman" w:hAnsi="Times New Roman"/>
                <w:noProof/>
                <w:sz w:val="16"/>
                <w:szCs w:val="16"/>
              </w:rPr>
            </w:pPr>
            <w:r>
              <w:rPr>
                <w:rFonts w:ascii="Times New Roman" w:hAnsi="Times New Roman"/>
                <w:noProof/>
                <w:sz w:val="16"/>
                <w:szCs w:val="16"/>
              </w:rPr>
              <w:t>4 401 568</w:t>
            </w:r>
          </w:p>
        </w:tc>
        <w:tc>
          <w:tcPr>
            <w:tcW w:w="1458" w:type="dxa"/>
            <w:shd w:val="clear" w:color="auto" w:fill="FFFFFF" w:themeFill="background1"/>
          </w:tcPr>
          <w:p>
            <w:pPr>
              <w:jc w:val="center"/>
              <w:rPr>
                <w:rFonts w:ascii="Times New Roman" w:hAnsi="Times New Roman"/>
                <w:noProof/>
                <w:sz w:val="16"/>
                <w:szCs w:val="16"/>
              </w:rPr>
            </w:pPr>
            <w:r>
              <w:rPr>
                <w:rFonts w:ascii="Times New Roman" w:hAnsi="Times New Roman"/>
                <w:noProof/>
                <w:sz w:val="16"/>
                <w:szCs w:val="16"/>
              </w:rPr>
              <w:t>3 667 975</w:t>
            </w:r>
          </w:p>
        </w:tc>
        <w:tc>
          <w:tcPr>
            <w:tcW w:w="1339" w:type="dxa"/>
            <w:shd w:val="clear" w:color="auto" w:fill="FFFFFF" w:themeFill="background1"/>
            <w:vAlign w:val="bottom"/>
          </w:tcPr>
          <w:p>
            <w:pPr>
              <w:jc w:val="center"/>
              <w:rPr>
                <w:rFonts w:ascii="Times New Roman" w:hAnsi="Times New Roman"/>
                <w:noProof/>
                <w:sz w:val="16"/>
                <w:szCs w:val="16"/>
              </w:rPr>
            </w:pPr>
            <w:r>
              <w:rPr>
                <w:rFonts w:ascii="Times New Roman" w:hAnsi="Times New Roman"/>
                <w:noProof/>
                <w:color w:val="000000"/>
                <w:sz w:val="16"/>
                <w:szCs w:val="16"/>
              </w:rPr>
              <w:t>2 934 380</w:t>
            </w:r>
          </w:p>
        </w:tc>
        <w:tc>
          <w:tcPr>
            <w:tcW w:w="1342"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2 055 614</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38 939</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 xml:space="preserve">19 471  </w:t>
            </w:r>
          </w:p>
        </w:tc>
      </w:tr>
      <w:tr>
        <w:trPr>
          <w:trHeight w:val="223"/>
          <w:jc w:val="center"/>
        </w:trPr>
        <w:tc>
          <w:tcPr>
            <w:tcW w:w="957" w:type="dxa"/>
            <w:shd w:val="clear" w:color="auto" w:fill="FFFFFF" w:themeFill="background1"/>
            <w:noWrap/>
            <w:hideMark/>
          </w:tcPr>
          <w:p>
            <w:pPr>
              <w:spacing w:after="0"/>
              <w:jc w:val="center"/>
              <w:rPr>
                <w:rFonts w:ascii="Times New Roman" w:hAnsi="Times New Roman"/>
                <w:b/>
                <w:noProof/>
                <w:sz w:val="18"/>
                <w:szCs w:val="18"/>
              </w:rPr>
            </w:pPr>
            <w:r>
              <w:rPr>
                <w:rFonts w:ascii="Times New Roman" w:hAnsi="Times New Roman"/>
                <w:b/>
                <w:noProof/>
                <w:sz w:val="18"/>
                <w:szCs w:val="18"/>
              </w:rPr>
              <w:t>Унгария</w:t>
            </w:r>
            <w:r>
              <w:rPr>
                <w:rStyle w:val="FootnoteReference"/>
                <w:rFonts w:ascii="Times New Roman" w:hAnsi="Times New Roman"/>
                <w:b/>
                <w:noProof/>
                <w:sz w:val="18"/>
                <w:szCs w:val="18"/>
              </w:rPr>
              <w:footnoteReference w:id="86"/>
            </w:r>
          </w:p>
        </w:tc>
        <w:tc>
          <w:tcPr>
            <w:tcW w:w="1339" w:type="dxa"/>
            <w:shd w:val="clear" w:color="auto" w:fill="FFFFFF" w:themeFill="background1"/>
            <w:noWrap/>
            <w:hideMark/>
          </w:tcPr>
          <w:p>
            <w:pPr>
              <w:spacing w:after="0"/>
              <w:jc w:val="center"/>
              <w:rPr>
                <w:rFonts w:ascii="Times New Roman" w:hAnsi="Times New Roman"/>
                <w:noProof/>
                <w:sz w:val="16"/>
                <w:szCs w:val="16"/>
              </w:rPr>
            </w:pPr>
            <w:r>
              <w:rPr>
                <w:rFonts w:ascii="Times New Roman" w:hAnsi="Times New Roman"/>
                <w:noProof/>
                <w:sz w:val="16"/>
                <w:szCs w:val="16"/>
              </w:rPr>
              <w:t>7 047 255</w:t>
            </w:r>
          </w:p>
        </w:tc>
        <w:tc>
          <w:tcPr>
            <w:tcW w:w="1458" w:type="dxa"/>
            <w:shd w:val="clear" w:color="auto" w:fill="FFFFFF" w:themeFill="background1"/>
          </w:tcPr>
          <w:p>
            <w:pPr>
              <w:spacing w:after="0"/>
              <w:jc w:val="center"/>
              <w:rPr>
                <w:rFonts w:ascii="Times New Roman" w:hAnsi="Times New Roman"/>
                <w:noProof/>
                <w:sz w:val="16"/>
                <w:szCs w:val="16"/>
              </w:rPr>
            </w:pPr>
            <w:r>
              <w:rPr>
                <w:rFonts w:ascii="Times New Roman" w:hAnsi="Times New Roman"/>
                <w:noProof/>
                <w:sz w:val="16"/>
                <w:szCs w:val="16"/>
              </w:rPr>
              <w:t>н.п.</w:t>
            </w:r>
          </w:p>
        </w:tc>
        <w:tc>
          <w:tcPr>
            <w:tcW w:w="1458" w:type="dxa"/>
            <w:shd w:val="clear" w:color="auto" w:fill="FFFFFF" w:themeFill="background1"/>
          </w:tcPr>
          <w:p>
            <w:pPr>
              <w:jc w:val="center"/>
              <w:rPr>
                <w:rFonts w:ascii="Times New Roman" w:hAnsi="Times New Roman"/>
                <w:noProof/>
                <w:sz w:val="16"/>
                <w:szCs w:val="16"/>
              </w:rPr>
            </w:pPr>
            <w:r>
              <w:rPr>
                <w:rFonts w:ascii="Times New Roman" w:hAnsi="Times New Roman"/>
                <w:noProof/>
                <w:sz w:val="16"/>
                <w:szCs w:val="16"/>
              </w:rPr>
              <w:t>н.п.</w:t>
            </w:r>
          </w:p>
        </w:tc>
        <w:tc>
          <w:tcPr>
            <w:tcW w:w="1339" w:type="dxa"/>
            <w:shd w:val="clear" w:color="auto" w:fill="FFFFFF" w:themeFill="background1"/>
            <w:vAlign w:val="bottom"/>
          </w:tcPr>
          <w:p>
            <w:pPr>
              <w:jc w:val="center"/>
              <w:rPr>
                <w:rFonts w:ascii="Times New Roman" w:hAnsi="Times New Roman"/>
                <w:noProof/>
                <w:sz w:val="16"/>
                <w:szCs w:val="16"/>
              </w:rPr>
            </w:pPr>
            <w:r>
              <w:rPr>
                <w:rFonts w:ascii="Times New Roman" w:hAnsi="Times New Roman"/>
                <w:noProof/>
                <w:color w:val="000000"/>
                <w:sz w:val="16"/>
                <w:szCs w:val="16"/>
              </w:rPr>
              <w:t>н.п.</w:t>
            </w:r>
          </w:p>
        </w:tc>
        <w:tc>
          <w:tcPr>
            <w:tcW w:w="1342"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н.п.</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н.п.</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н.п.</w:t>
            </w:r>
          </w:p>
        </w:tc>
      </w:tr>
      <w:tr>
        <w:trPr>
          <w:trHeight w:val="185"/>
          <w:jc w:val="center"/>
        </w:trPr>
        <w:tc>
          <w:tcPr>
            <w:tcW w:w="957" w:type="dxa"/>
            <w:shd w:val="clear" w:color="auto" w:fill="FFFFFF" w:themeFill="background1"/>
            <w:noWrap/>
            <w:hideMark/>
          </w:tcPr>
          <w:p>
            <w:pPr>
              <w:spacing w:after="0"/>
              <w:jc w:val="center"/>
              <w:rPr>
                <w:rFonts w:ascii="Times New Roman" w:hAnsi="Times New Roman"/>
                <w:b/>
                <w:noProof/>
                <w:sz w:val="18"/>
                <w:szCs w:val="18"/>
              </w:rPr>
            </w:pPr>
            <w:r>
              <w:rPr>
                <w:rFonts w:ascii="Times New Roman" w:hAnsi="Times New Roman"/>
                <w:b/>
                <w:noProof/>
                <w:sz w:val="18"/>
                <w:szCs w:val="18"/>
              </w:rPr>
              <w:t>Литва</w:t>
            </w:r>
          </w:p>
        </w:tc>
        <w:tc>
          <w:tcPr>
            <w:tcW w:w="1339" w:type="dxa"/>
            <w:shd w:val="clear" w:color="auto" w:fill="FFFFFF" w:themeFill="background1"/>
            <w:noWrap/>
            <w:hideMark/>
          </w:tcPr>
          <w:p>
            <w:pPr>
              <w:spacing w:after="0"/>
              <w:jc w:val="center"/>
              <w:rPr>
                <w:rFonts w:ascii="Times New Roman" w:hAnsi="Times New Roman"/>
                <w:noProof/>
                <w:sz w:val="16"/>
                <w:szCs w:val="16"/>
              </w:rPr>
            </w:pPr>
            <w:r>
              <w:rPr>
                <w:rFonts w:ascii="Times New Roman" w:hAnsi="Times New Roman"/>
                <w:noProof/>
                <w:sz w:val="16"/>
                <w:szCs w:val="16"/>
              </w:rPr>
              <w:t>322 449</w:t>
            </w:r>
          </w:p>
        </w:tc>
        <w:tc>
          <w:tcPr>
            <w:tcW w:w="1458" w:type="dxa"/>
            <w:shd w:val="clear" w:color="auto" w:fill="FFFFFF" w:themeFill="background1"/>
          </w:tcPr>
          <w:p>
            <w:pPr>
              <w:spacing w:after="0"/>
              <w:jc w:val="center"/>
              <w:rPr>
                <w:rFonts w:ascii="Times New Roman" w:hAnsi="Times New Roman"/>
                <w:noProof/>
                <w:sz w:val="16"/>
                <w:szCs w:val="16"/>
              </w:rPr>
            </w:pPr>
            <w:r>
              <w:rPr>
                <w:rFonts w:ascii="Times New Roman" w:hAnsi="Times New Roman"/>
                <w:noProof/>
                <w:sz w:val="16"/>
                <w:szCs w:val="16"/>
              </w:rPr>
              <w:t>297 113</w:t>
            </w:r>
          </w:p>
        </w:tc>
        <w:tc>
          <w:tcPr>
            <w:tcW w:w="1458" w:type="dxa"/>
            <w:shd w:val="clear" w:color="auto" w:fill="FFFFFF" w:themeFill="background1"/>
          </w:tcPr>
          <w:p>
            <w:pPr>
              <w:jc w:val="center"/>
              <w:rPr>
                <w:rFonts w:ascii="Times New Roman" w:hAnsi="Times New Roman"/>
                <w:noProof/>
                <w:sz w:val="16"/>
                <w:szCs w:val="16"/>
              </w:rPr>
            </w:pPr>
            <w:r>
              <w:rPr>
                <w:rFonts w:ascii="Times New Roman" w:hAnsi="Times New Roman"/>
                <w:noProof/>
                <w:sz w:val="16"/>
                <w:szCs w:val="16"/>
              </w:rPr>
              <w:t>269 475</w:t>
            </w:r>
          </w:p>
        </w:tc>
        <w:tc>
          <w:tcPr>
            <w:tcW w:w="1339" w:type="dxa"/>
            <w:shd w:val="clear" w:color="auto" w:fill="FFFFFF" w:themeFill="background1"/>
            <w:vAlign w:val="bottom"/>
          </w:tcPr>
          <w:p>
            <w:pPr>
              <w:jc w:val="center"/>
              <w:rPr>
                <w:rFonts w:ascii="Times New Roman" w:hAnsi="Times New Roman"/>
                <w:noProof/>
                <w:sz w:val="16"/>
                <w:szCs w:val="16"/>
              </w:rPr>
            </w:pPr>
            <w:r>
              <w:rPr>
                <w:rFonts w:ascii="Times New Roman" w:hAnsi="Times New Roman"/>
                <w:noProof/>
                <w:color w:val="000000"/>
                <w:sz w:val="16"/>
                <w:szCs w:val="16"/>
              </w:rPr>
              <w:t>237 230</w:t>
            </w:r>
          </w:p>
        </w:tc>
        <w:tc>
          <w:tcPr>
            <w:tcW w:w="1342"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200 379</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158 922</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94 432</w:t>
            </w:r>
          </w:p>
        </w:tc>
      </w:tr>
      <w:tr>
        <w:trPr>
          <w:trHeight w:val="185"/>
          <w:jc w:val="center"/>
        </w:trPr>
        <w:tc>
          <w:tcPr>
            <w:tcW w:w="957" w:type="dxa"/>
            <w:shd w:val="clear" w:color="auto" w:fill="FFFFFF" w:themeFill="background1"/>
            <w:noWrap/>
            <w:hideMark/>
          </w:tcPr>
          <w:p>
            <w:pPr>
              <w:spacing w:after="0"/>
              <w:jc w:val="center"/>
              <w:rPr>
                <w:rFonts w:ascii="Times New Roman" w:hAnsi="Times New Roman"/>
                <w:b/>
                <w:noProof/>
                <w:sz w:val="18"/>
                <w:szCs w:val="18"/>
              </w:rPr>
            </w:pPr>
            <w:r>
              <w:rPr>
                <w:rFonts w:ascii="Times New Roman" w:hAnsi="Times New Roman"/>
                <w:b/>
                <w:noProof/>
                <w:sz w:val="18"/>
                <w:szCs w:val="18"/>
              </w:rPr>
              <w:t>Полша</w:t>
            </w:r>
            <w:r>
              <w:rPr>
                <w:rStyle w:val="FootnoteReference"/>
                <w:rFonts w:ascii="Times New Roman" w:hAnsi="Times New Roman"/>
                <w:b/>
                <w:noProof/>
                <w:sz w:val="18"/>
                <w:szCs w:val="18"/>
              </w:rPr>
              <w:footnoteReference w:id="87"/>
            </w:r>
          </w:p>
        </w:tc>
        <w:tc>
          <w:tcPr>
            <w:tcW w:w="1339" w:type="dxa"/>
            <w:shd w:val="clear" w:color="auto" w:fill="FFFFFF" w:themeFill="background1"/>
            <w:noWrap/>
            <w:hideMark/>
          </w:tcPr>
          <w:p>
            <w:pPr>
              <w:spacing w:after="0"/>
              <w:jc w:val="center"/>
              <w:rPr>
                <w:rFonts w:ascii="Times New Roman" w:hAnsi="Times New Roman"/>
                <w:noProof/>
                <w:sz w:val="16"/>
                <w:szCs w:val="16"/>
              </w:rPr>
            </w:pPr>
            <w:r>
              <w:rPr>
                <w:rFonts w:ascii="Times New Roman" w:hAnsi="Times New Roman"/>
                <w:noProof/>
                <w:sz w:val="16"/>
                <w:szCs w:val="16"/>
              </w:rPr>
              <w:t>65 992 703</w:t>
            </w:r>
          </w:p>
        </w:tc>
        <w:tc>
          <w:tcPr>
            <w:tcW w:w="1458" w:type="dxa"/>
            <w:shd w:val="clear" w:color="auto" w:fill="FFFFFF" w:themeFill="background1"/>
          </w:tcPr>
          <w:p>
            <w:pPr>
              <w:spacing w:after="0"/>
              <w:jc w:val="center"/>
              <w:rPr>
                <w:rFonts w:ascii="Times New Roman" w:hAnsi="Times New Roman"/>
                <w:noProof/>
                <w:sz w:val="16"/>
                <w:szCs w:val="16"/>
              </w:rPr>
            </w:pPr>
            <w:r>
              <w:rPr>
                <w:rFonts w:ascii="Times New Roman" w:hAnsi="Times New Roman"/>
                <w:noProof/>
                <w:sz w:val="16"/>
                <w:szCs w:val="16"/>
              </w:rPr>
              <w:t>52 920 889</w:t>
            </w:r>
          </w:p>
        </w:tc>
        <w:tc>
          <w:tcPr>
            <w:tcW w:w="1458" w:type="dxa"/>
            <w:shd w:val="clear" w:color="auto" w:fill="FFFFFF" w:themeFill="background1"/>
          </w:tcPr>
          <w:p>
            <w:pPr>
              <w:jc w:val="center"/>
              <w:rPr>
                <w:rFonts w:ascii="Times New Roman" w:hAnsi="Times New Roman"/>
                <w:noProof/>
                <w:sz w:val="16"/>
                <w:szCs w:val="16"/>
              </w:rPr>
            </w:pPr>
            <w:r>
              <w:rPr>
                <w:rFonts w:ascii="Times New Roman" w:hAnsi="Times New Roman"/>
                <w:noProof/>
                <w:sz w:val="16"/>
                <w:szCs w:val="16"/>
              </w:rPr>
              <w:t>43 594 320</w:t>
            </w:r>
          </w:p>
        </w:tc>
        <w:tc>
          <w:tcPr>
            <w:tcW w:w="1339" w:type="dxa"/>
            <w:shd w:val="clear" w:color="auto" w:fill="FFFFFF" w:themeFill="background1"/>
            <w:vAlign w:val="bottom"/>
          </w:tcPr>
          <w:p>
            <w:pPr>
              <w:jc w:val="center"/>
              <w:rPr>
                <w:rFonts w:ascii="Times New Roman" w:hAnsi="Times New Roman"/>
                <w:noProof/>
                <w:sz w:val="16"/>
                <w:szCs w:val="16"/>
              </w:rPr>
            </w:pPr>
            <w:r>
              <w:rPr>
                <w:rFonts w:ascii="Times New Roman" w:hAnsi="Times New Roman"/>
                <w:noProof/>
                <w:color w:val="000000"/>
                <w:sz w:val="16"/>
                <w:szCs w:val="16"/>
              </w:rPr>
              <w:t>31 621 148</w:t>
            </w:r>
          </w:p>
        </w:tc>
        <w:tc>
          <w:tcPr>
            <w:tcW w:w="1342"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21 752 908</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31 942 281</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16 912 108</w:t>
            </w:r>
          </w:p>
        </w:tc>
      </w:tr>
      <w:tr>
        <w:trPr>
          <w:trHeight w:val="312"/>
          <w:jc w:val="center"/>
        </w:trPr>
        <w:tc>
          <w:tcPr>
            <w:tcW w:w="957" w:type="dxa"/>
            <w:shd w:val="clear" w:color="auto" w:fill="FFFFFF" w:themeFill="background1"/>
            <w:noWrap/>
            <w:hideMark/>
          </w:tcPr>
          <w:p>
            <w:pPr>
              <w:spacing w:after="0"/>
              <w:jc w:val="center"/>
              <w:rPr>
                <w:rFonts w:ascii="Times New Roman" w:hAnsi="Times New Roman"/>
                <w:b/>
                <w:noProof/>
                <w:sz w:val="18"/>
                <w:szCs w:val="18"/>
              </w:rPr>
            </w:pPr>
            <w:r>
              <w:rPr>
                <w:rFonts w:ascii="Times New Roman" w:hAnsi="Times New Roman"/>
                <w:b/>
                <w:noProof/>
                <w:sz w:val="18"/>
                <w:szCs w:val="18"/>
              </w:rPr>
              <w:t>Румъния</w:t>
            </w:r>
          </w:p>
        </w:tc>
        <w:tc>
          <w:tcPr>
            <w:tcW w:w="1339" w:type="dxa"/>
            <w:shd w:val="clear" w:color="auto" w:fill="FFFFFF" w:themeFill="background1"/>
            <w:noWrap/>
            <w:hideMark/>
          </w:tcPr>
          <w:p>
            <w:pPr>
              <w:spacing w:after="0"/>
              <w:jc w:val="center"/>
              <w:rPr>
                <w:rFonts w:ascii="Times New Roman" w:hAnsi="Times New Roman"/>
                <w:noProof/>
                <w:sz w:val="16"/>
                <w:szCs w:val="16"/>
              </w:rPr>
            </w:pPr>
            <w:r>
              <w:rPr>
                <w:rFonts w:ascii="Times New Roman" w:hAnsi="Times New Roman"/>
                <w:noProof/>
                <w:sz w:val="16"/>
                <w:szCs w:val="16"/>
              </w:rPr>
              <w:t>15 748 011</w:t>
            </w:r>
          </w:p>
        </w:tc>
        <w:tc>
          <w:tcPr>
            <w:tcW w:w="1458" w:type="dxa"/>
            <w:shd w:val="clear" w:color="auto" w:fill="FFFFFF" w:themeFill="background1"/>
          </w:tcPr>
          <w:p>
            <w:pPr>
              <w:spacing w:after="0"/>
              <w:jc w:val="center"/>
              <w:rPr>
                <w:rFonts w:ascii="Times New Roman" w:hAnsi="Times New Roman"/>
                <w:noProof/>
                <w:sz w:val="16"/>
                <w:szCs w:val="16"/>
              </w:rPr>
            </w:pPr>
            <w:r>
              <w:rPr>
                <w:rFonts w:ascii="Times New Roman" w:hAnsi="Times New Roman"/>
                <w:noProof/>
                <w:sz w:val="16"/>
                <w:szCs w:val="16"/>
              </w:rPr>
              <w:t>8 591 461</w:t>
            </w:r>
          </w:p>
        </w:tc>
        <w:tc>
          <w:tcPr>
            <w:tcW w:w="1458" w:type="dxa"/>
            <w:shd w:val="clear" w:color="auto" w:fill="FFFFFF" w:themeFill="background1"/>
          </w:tcPr>
          <w:p>
            <w:pPr>
              <w:jc w:val="center"/>
              <w:rPr>
                <w:rFonts w:ascii="Times New Roman" w:hAnsi="Times New Roman"/>
                <w:noProof/>
                <w:sz w:val="16"/>
                <w:szCs w:val="16"/>
              </w:rPr>
            </w:pPr>
            <w:r>
              <w:rPr>
                <w:rFonts w:ascii="Times New Roman" w:hAnsi="Times New Roman"/>
                <w:noProof/>
                <w:sz w:val="16"/>
                <w:szCs w:val="16"/>
              </w:rPr>
              <w:t>9 210 797</w:t>
            </w:r>
          </w:p>
        </w:tc>
        <w:tc>
          <w:tcPr>
            <w:tcW w:w="1339" w:type="dxa"/>
            <w:shd w:val="clear" w:color="auto" w:fill="FFFFFF" w:themeFill="background1"/>
            <w:vAlign w:val="bottom"/>
          </w:tcPr>
          <w:p>
            <w:pPr>
              <w:jc w:val="center"/>
              <w:rPr>
                <w:rFonts w:ascii="Times New Roman" w:hAnsi="Times New Roman"/>
                <w:noProof/>
                <w:sz w:val="16"/>
                <w:szCs w:val="16"/>
              </w:rPr>
            </w:pPr>
            <w:r>
              <w:rPr>
                <w:rFonts w:ascii="Times New Roman" w:hAnsi="Times New Roman"/>
                <w:noProof/>
                <w:color w:val="000000"/>
                <w:sz w:val="16"/>
                <w:szCs w:val="16"/>
              </w:rPr>
              <w:t>7 189 961</w:t>
            </w:r>
          </w:p>
        </w:tc>
        <w:tc>
          <w:tcPr>
            <w:tcW w:w="1342"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6 222 255</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3 778 439</w:t>
            </w:r>
          </w:p>
        </w:tc>
        <w:tc>
          <w:tcPr>
            <w:tcW w:w="1348" w:type="dxa"/>
            <w:shd w:val="clear" w:color="auto" w:fill="FFFFFF" w:themeFill="background1"/>
          </w:tcPr>
          <w:p>
            <w:pPr>
              <w:jc w:val="center"/>
              <w:rPr>
                <w:rFonts w:ascii="Times New Roman" w:hAnsi="Times New Roman"/>
                <w:noProof/>
                <w:color w:val="000000"/>
                <w:sz w:val="16"/>
                <w:szCs w:val="16"/>
              </w:rPr>
            </w:pPr>
            <w:r>
              <w:rPr>
                <w:rFonts w:ascii="Times New Roman" w:hAnsi="Times New Roman"/>
                <w:noProof/>
                <w:color w:val="000000"/>
                <w:sz w:val="16"/>
                <w:szCs w:val="16"/>
              </w:rPr>
              <w:t xml:space="preserve">1 723 016  </w:t>
            </w:r>
          </w:p>
        </w:tc>
      </w:tr>
      <w:tr>
        <w:trPr>
          <w:trHeight w:val="257"/>
          <w:jc w:val="center"/>
        </w:trPr>
        <w:tc>
          <w:tcPr>
            <w:tcW w:w="957" w:type="dxa"/>
            <w:shd w:val="clear" w:color="auto" w:fill="FFFFFF" w:themeFill="background1"/>
            <w:noWrap/>
          </w:tcPr>
          <w:p>
            <w:pPr>
              <w:spacing w:after="0"/>
              <w:jc w:val="center"/>
              <w:rPr>
                <w:rFonts w:ascii="Times New Roman" w:hAnsi="Times New Roman"/>
                <w:b/>
                <w:noProof/>
                <w:sz w:val="18"/>
                <w:szCs w:val="18"/>
              </w:rPr>
            </w:pPr>
            <w:r>
              <w:rPr>
                <w:rFonts w:ascii="Times New Roman" w:hAnsi="Times New Roman"/>
                <w:b/>
                <w:noProof/>
                <w:sz w:val="18"/>
                <w:szCs w:val="18"/>
              </w:rPr>
              <w:t>Общо</w:t>
            </w:r>
          </w:p>
        </w:tc>
        <w:tc>
          <w:tcPr>
            <w:tcW w:w="1339" w:type="dxa"/>
            <w:shd w:val="clear" w:color="auto" w:fill="FFFFFF" w:themeFill="background1"/>
            <w:noWrap/>
          </w:tcPr>
          <w:p>
            <w:pPr>
              <w:spacing w:after="0"/>
              <w:jc w:val="center"/>
              <w:rPr>
                <w:rFonts w:ascii="Times New Roman" w:hAnsi="Times New Roman"/>
                <w:noProof/>
                <w:sz w:val="16"/>
                <w:szCs w:val="16"/>
              </w:rPr>
            </w:pPr>
            <w:r>
              <w:rPr>
                <w:rFonts w:ascii="Times New Roman" w:hAnsi="Times New Roman"/>
                <w:noProof/>
                <w:sz w:val="16"/>
                <w:szCs w:val="16"/>
              </w:rPr>
              <w:t>133 059 430</w:t>
            </w:r>
          </w:p>
          <w:p>
            <w:pPr>
              <w:spacing w:after="0"/>
              <w:jc w:val="center"/>
              <w:rPr>
                <w:rFonts w:ascii="Times New Roman" w:hAnsi="Times New Roman"/>
                <w:noProof/>
                <w:sz w:val="16"/>
                <w:szCs w:val="16"/>
              </w:rPr>
            </w:pPr>
          </w:p>
        </w:tc>
        <w:tc>
          <w:tcPr>
            <w:tcW w:w="1458" w:type="dxa"/>
            <w:shd w:val="clear" w:color="auto" w:fill="FFFFFF" w:themeFill="background1"/>
          </w:tcPr>
          <w:p>
            <w:pPr>
              <w:spacing w:after="0"/>
              <w:jc w:val="center"/>
              <w:rPr>
                <w:rFonts w:ascii="Times New Roman" w:hAnsi="Times New Roman"/>
                <w:noProof/>
                <w:sz w:val="16"/>
                <w:szCs w:val="16"/>
              </w:rPr>
            </w:pPr>
            <w:r>
              <w:rPr>
                <w:rFonts w:ascii="Times New Roman" w:hAnsi="Times New Roman"/>
                <w:noProof/>
                <w:sz w:val="16"/>
                <w:szCs w:val="16"/>
              </w:rPr>
              <w:t>100 568 867</w:t>
            </w:r>
          </w:p>
        </w:tc>
        <w:tc>
          <w:tcPr>
            <w:tcW w:w="1458" w:type="dxa"/>
            <w:shd w:val="clear" w:color="auto" w:fill="FFFFFF" w:themeFill="background1"/>
          </w:tcPr>
          <w:p>
            <w:pPr>
              <w:spacing w:after="0"/>
              <w:jc w:val="center"/>
              <w:rPr>
                <w:rFonts w:ascii="Times New Roman" w:hAnsi="Times New Roman"/>
                <w:noProof/>
                <w:sz w:val="16"/>
                <w:szCs w:val="16"/>
              </w:rPr>
            </w:pPr>
            <w:r>
              <w:rPr>
                <w:rFonts w:ascii="Times New Roman" w:hAnsi="Times New Roman"/>
                <w:noProof/>
                <w:sz w:val="16"/>
                <w:szCs w:val="16"/>
              </w:rPr>
              <w:t>87 532 554</w:t>
            </w:r>
          </w:p>
        </w:tc>
        <w:tc>
          <w:tcPr>
            <w:tcW w:w="1339" w:type="dxa"/>
            <w:shd w:val="clear" w:color="auto" w:fill="FFFFFF" w:themeFill="background1"/>
          </w:tcPr>
          <w:p>
            <w:pPr>
              <w:spacing w:after="0"/>
              <w:jc w:val="center"/>
              <w:rPr>
                <w:rFonts w:ascii="Times New Roman" w:hAnsi="Times New Roman"/>
                <w:noProof/>
                <w:sz w:val="16"/>
                <w:szCs w:val="16"/>
              </w:rPr>
            </w:pPr>
            <w:r>
              <w:rPr>
                <w:rFonts w:ascii="Times New Roman" w:hAnsi="Times New Roman"/>
                <w:noProof/>
                <w:sz w:val="16"/>
                <w:szCs w:val="16"/>
              </w:rPr>
              <w:t>65 990 706</w:t>
            </w:r>
          </w:p>
        </w:tc>
        <w:tc>
          <w:tcPr>
            <w:tcW w:w="1342" w:type="dxa"/>
            <w:shd w:val="clear" w:color="auto" w:fill="FFFFFF" w:themeFill="background1"/>
          </w:tcPr>
          <w:p>
            <w:pPr>
              <w:spacing w:after="0"/>
              <w:jc w:val="center"/>
              <w:rPr>
                <w:rFonts w:ascii="Times New Roman" w:hAnsi="Times New Roman"/>
                <w:noProof/>
                <w:sz w:val="16"/>
                <w:szCs w:val="16"/>
              </w:rPr>
            </w:pPr>
            <w:r>
              <w:rPr>
                <w:rFonts w:ascii="Times New Roman" w:hAnsi="Times New Roman"/>
                <w:noProof/>
                <w:sz w:val="16"/>
                <w:szCs w:val="16"/>
              </w:rPr>
              <w:t>46 985 124</w:t>
            </w:r>
          </w:p>
        </w:tc>
        <w:tc>
          <w:tcPr>
            <w:tcW w:w="1348" w:type="dxa"/>
            <w:shd w:val="clear" w:color="auto" w:fill="FFFFFF" w:themeFill="background1"/>
          </w:tcPr>
          <w:p>
            <w:pPr>
              <w:spacing w:after="0"/>
              <w:jc w:val="center"/>
              <w:rPr>
                <w:rFonts w:ascii="Times New Roman" w:hAnsi="Times New Roman"/>
                <w:noProof/>
                <w:sz w:val="16"/>
                <w:szCs w:val="16"/>
              </w:rPr>
            </w:pPr>
            <w:r>
              <w:rPr>
                <w:rFonts w:ascii="Times New Roman" w:hAnsi="Times New Roman"/>
                <w:noProof/>
                <w:sz w:val="16"/>
                <w:szCs w:val="16"/>
              </w:rPr>
              <w:t>46 987 375</w:t>
            </w:r>
          </w:p>
        </w:tc>
        <w:tc>
          <w:tcPr>
            <w:tcW w:w="1348" w:type="dxa"/>
            <w:shd w:val="clear" w:color="auto" w:fill="FFFFFF" w:themeFill="background1"/>
          </w:tcPr>
          <w:p>
            <w:pPr>
              <w:spacing w:after="0"/>
              <w:jc w:val="center"/>
              <w:rPr>
                <w:rFonts w:ascii="Times New Roman" w:hAnsi="Times New Roman"/>
                <w:noProof/>
                <w:sz w:val="16"/>
                <w:szCs w:val="16"/>
              </w:rPr>
            </w:pPr>
            <w:r>
              <w:rPr>
                <w:rFonts w:ascii="Times New Roman" w:hAnsi="Times New Roman"/>
                <w:noProof/>
                <w:sz w:val="16"/>
                <w:szCs w:val="16"/>
              </w:rPr>
              <w:t>25 104 162</w:t>
            </w:r>
          </w:p>
        </w:tc>
      </w:tr>
    </w:tbl>
    <w:p>
      <w:pPr>
        <w:spacing w:line="240" w:lineRule="auto"/>
        <w:contextualSpacing/>
        <w:jc w:val="both"/>
        <w:rPr>
          <w:rFonts w:ascii="Times New Roman" w:hAnsi="Times New Roman"/>
          <w:noProof/>
          <w:sz w:val="18"/>
          <w:szCs w:val="18"/>
        </w:rPr>
      </w:pPr>
      <w:r>
        <w:rPr>
          <w:rFonts w:ascii="Times New Roman" w:hAnsi="Times New Roman"/>
          <w:noProof/>
          <w:sz w:val="18"/>
          <w:szCs w:val="18"/>
        </w:rPr>
        <w:t>Източник: ГД „Действия по климата“</w:t>
      </w:r>
    </w:p>
    <w:p>
      <w:pPr>
        <w:spacing w:line="240" w:lineRule="auto"/>
        <w:contextualSpacing/>
        <w:jc w:val="both"/>
        <w:rPr>
          <w:rFonts w:ascii="Times New Roman" w:hAnsi="Times New Roman"/>
          <w:noProof/>
          <w:sz w:val="18"/>
          <w:szCs w:val="18"/>
        </w:rPr>
      </w:pPr>
    </w:p>
    <w:p>
      <w:pPr>
        <w:spacing w:line="240" w:lineRule="auto"/>
        <w:jc w:val="both"/>
        <w:rPr>
          <w:rFonts w:ascii="Times New Roman" w:hAnsi="Times New Roman"/>
          <w:b/>
          <w:noProof/>
          <w:sz w:val="20"/>
          <w:szCs w:val="20"/>
        </w:rPr>
      </w:pPr>
    </w:p>
    <w:p>
      <w:pPr>
        <w:spacing w:line="240" w:lineRule="auto"/>
        <w:jc w:val="both"/>
        <w:rPr>
          <w:rFonts w:ascii="Times New Roman" w:hAnsi="Times New Roman"/>
          <w:b/>
          <w:noProof/>
          <w:sz w:val="20"/>
          <w:szCs w:val="20"/>
        </w:rPr>
      </w:pPr>
      <w:r>
        <w:rPr>
          <w:rFonts w:ascii="Times New Roman" w:hAnsi="Times New Roman"/>
          <w:b/>
          <w:noProof/>
          <w:sz w:val="20"/>
          <w:szCs w:val="20"/>
        </w:rPr>
        <w:t>Таблица 1.2: Максимален брой безплатни квоти по години по силата на дерогацията от задължението за тръжна продажба на всички квоти за сектора за производство на електрическа и топлинна енергия</w:t>
      </w:r>
    </w:p>
    <w:tbl>
      <w:tblPr>
        <w:tblW w:w="961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23"/>
        <w:gridCol w:w="1161"/>
        <w:gridCol w:w="1031"/>
        <w:gridCol w:w="1031"/>
        <w:gridCol w:w="1031"/>
        <w:gridCol w:w="1031"/>
        <w:gridCol w:w="1031"/>
        <w:gridCol w:w="1031"/>
        <w:gridCol w:w="1149"/>
      </w:tblGrid>
      <w:tr>
        <w:trPr>
          <w:trHeight w:val="449"/>
          <w:jc w:val="center"/>
        </w:trPr>
        <w:tc>
          <w:tcPr>
            <w:tcW w:w="1123" w:type="dxa"/>
          </w:tcPr>
          <w:p>
            <w:pPr>
              <w:spacing w:after="0"/>
              <w:jc w:val="center"/>
              <w:rPr>
                <w:rFonts w:ascii="Times New Roman" w:hAnsi="Times New Roman"/>
                <w:b/>
                <w:noProof/>
                <w:sz w:val="18"/>
                <w:szCs w:val="18"/>
              </w:rPr>
            </w:pPr>
            <w:r>
              <w:rPr>
                <w:rFonts w:ascii="Times New Roman" w:hAnsi="Times New Roman"/>
                <w:b/>
                <w:noProof/>
                <w:sz w:val="18"/>
                <w:szCs w:val="18"/>
              </w:rPr>
              <w:t>Държава членка</w:t>
            </w:r>
          </w:p>
        </w:tc>
        <w:tc>
          <w:tcPr>
            <w:tcW w:w="1161" w:type="dxa"/>
          </w:tcPr>
          <w:p>
            <w:pPr>
              <w:spacing w:after="0"/>
              <w:jc w:val="center"/>
              <w:rPr>
                <w:rFonts w:ascii="Times New Roman" w:hAnsi="Times New Roman"/>
                <w:b/>
                <w:noProof/>
                <w:sz w:val="18"/>
                <w:szCs w:val="18"/>
              </w:rPr>
            </w:pPr>
            <w:r>
              <w:rPr>
                <w:rFonts w:ascii="Times New Roman" w:hAnsi="Times New Roman"/>
                <w:b/>
                <w:noProof/>
                <w:sz w:val="18"/>
                <w:szCs w:val="18"/>
              </w:rPr>
              <w:t>2013 г.</w:t>
            </w:r>
          </w:p>
        </w:tc>
        <w:tc>
          <w:tcPr>
            <w:tcW w:w="1031" w:type="dxa"/>
          </w:tcPr>
          <w:p>
            <w:pPr>
              <w:spacing w:after="0"/>
              <w:jc w:val="center"/>
              <w:rPr>
                <w:rFonts w:ascii="Times New Roman" w:hAnsi="Times New Roman"/>
                <w:b/>
                <w:noProof/>
                <w:sz w:val="18"/>
                <w:szCs w:val="18"/>
              </w:rPr>
            </w:pPr>
            <w:r>
              <w:rPr>
                <w:rFonts w:ascii="Times New Roman" w:hAnsi="Times New Roman"/>
                <w:b/>
                <w:noProof/>
                <w:sz w:val="18"/>
                <w:szCs w:val="18"/>
              </w:rPr>
              <w:t>2014 г.</w:t>
            </w:r>
          </w:p>
        </w:tc>
        <w:tc>
          <w:tcPr>
            <w:tcW w:w="1031" w:type="dxa"/>
          </w:tcPr>
          <w:p>
            <w:pPr>
              <w:spacing w:after="0"/>
              <w:jc w:val="center"/>
              <w:rPr>
                <w:rFonts w:ascii="Times New Roman" w:hAnsi="Times New Roman"/>
                <w:b/>
                <w:noProof/>
                <w:sz w:val="18"/>
                <w:szCs w:val="18"/>
              </w:rPr>
            </w:pPr>
            <w:r>
              <w:rPr>
                <w:rFonts w:ascii="Times New Roman" w:hAnsi="Times New Roman"/>
                <w:b/>
                <w:noProof/>
                <w:sz w:val="18"/>
                <w:szCs w:val="18"/>
              </w:rPr>
              <w:t>2015 г.</w:t>
            </w:r>
          </w:p>
        </w:tc>
        <w:tc>
          <w:tcPr>
            <w:tcW w:w="1031" w:type="dxa"/>
          </w:tcPr>
          <w:p>
            <w:pPr>
              <w:spacing w:after="0"/>
              <w:jc w:val="center"/>
              <w:rPr>
                <w:rFonts w:ascii="Times New Roman" w:hAnsi="Times New Roman"/>
                <w:b/>
                <w:noProof/>
                <w:sz w:val="18"/>
                <w:szCs w:val="18"/>
              </w:rPr>
            </w:pPr>
            <w:r>
              <w:rPr>
                <w:rFonts w:ascii="Times New Roman" w:hAnsi="Times New Roman"/>
                <w:b/>
                <w:noProof/>
                <w:sz w:val="18"/>
                <w:szCs w:val="18"/>
              </w:rPr>
              <w:t>2016 г.</w:t>
            </w:r>
          </w:p>
        </w:tc>
        <w:tc>
          <w:tcPr>
            <w:tcW w:w="1031" w:type="dxa"/>
          </w:tcPr>
          <w:p>
            <w:pPr>
              <w:spacing w:after="0"/>
              <w:jc w:val="center"/>
              <w:rPr>
                <w:rFonts w:ascii="Times New Roman" w:hAnsi="Times New Roman"/>
                <w:b/>
                <w:noProof/>
                <w:sz w:val="18"/>
                <w:szCs w:val="18"/>
              </w:rPr>
            </w:pPr>
            <w:r>
              <w:rPr>
                <w:rFonts w:ascii="Times New Roman" w:hAnsi="Times New Roman"/>
                <w:b/>
                <w:noProof/>
                <w:sz w:val="18"/>
                <w:szCs w:val="18"/>
              </w:rPr>
              <w:t>2017 г.</w:t>
            </w:r>
          </w:p>
        </w:tc>
        <w:tc>
          <w:tcPr>
            <w:tcW w:w="1031" w:type="dxa"/>
          </w:tcPr>
          <w:p>
            <w:pPr>
              <w:spacing w:after="0"/>
              <w:ind w:right="317"/>
              <w:jc w:val="center"/>
              <w:rPr>
                <w:rFonts w:ascii="Times New Roman" w:hAnsi="Times New Roman"/>
                <w:b/>
                <w:noProof/>
                <w:sz w:val="18"/>
                <w:szCs w:val="18"/>
              </w:rPr>
            </w:pPr>
            <w:r>
              <w:rPr>
                <w:rFonts w:ascii="Times New Roman" w:hAnsi="Times New Roman"/>
                <w:b/>
                <w:noProof/>
                <w:sz w:val="18"/>
                <w:szCs w:val="18"/>
              </w:rPr>
              <w:t>2018 г.</w:t>
            </w:r>
          </w:p>
        </w:tc>
        <w:tc>
          <w:tcPr>
            <w:tcW w:w="1031" w:type="dxa"/>
          </w:tcPr>
          <w:p>
            <w:pPr>
              <w:spacing w:after="0"/>
              <w:jc w:val="center"/>
              <w:rPr>
                <w:rFonts w:ascii="Times New Roman" w:hAnsi="Times New Roman"/>
                <w:b/>
                <w:noProof/>
                <w:sz w:val="18"/>
                <w:szCs w:val="18"/>
              </w:rPr>
            </w:pPr>
            <w:r>
              <w:rPr>
                <w:rFonts w:ascii="Times New Roman" w:hAnsi="Times New Roman"/>
                <w:b/>
                <w:noProof/>
                <w:sz w:val="18"/>
                <w:szCs w:val="18"/>
              </w:rPr>
              <w:t>2019 г.</w:t>
            </w:r>
          </w:p>
        </w:tc>
        <w:tc>
          <w:tcPr>
            <w:tcW w:w="1149" w:type="dxa"/>
          </w:tcPr>
          <w:p>
            <w:pPr>
              <w:spacing w:after="0"/>
              <w:jc w:val="center"/>
              <w:rPr>
                <w:rFonts w:ascii="Times New Roman" w:hAnsi="Times New Roman"/>
                <w:b/>
                <w:noProof/>
                <w:sz w:val="18"/>
                <w:szCs w:val="18"/>
              </w:rPr>
            </w:pPr>
            <w:r>
              <w:rPr>
                <w:rFonts w:ascii="Times New Roman" w:hAnsi="Times New Roman"/>
                <w:b/>
                <w:noProof/>
                <w:sz w:val="18"/>
                <w:szCs w:val="18"/>
              </w:rPr>
              <w:t>Общо</w:t>
            </w:r>
          </w:p>
        </w:tc>
      </w:tr>
      <w:tr>
        <w:trPr>
          <w:trHeight w:val="306"/>
          <w:jc w:val="center"/>
        </w:trPr>
        <w:tc>
          <w:tcPr>
            <w:tcW w:w="1123" w:type="dxa"/>
          </w:tcPr>
          <w:p>
            <w:pPr>
              <w:spacing w:after="0"/>
              <w:jc w:val="center"/>
              <w:rPr>
                <w:rFonts w:ascii="Times New Roman" w:hAnsi="Times New Roman"/>
                <w:noProof/>
                <w:sz w:val="18"/>
                <w:szCs w:val="18"/>
              </w:rPr>
            </w:pPr>
            <w:r>
              <w:rPr>
                <w:rFonts w:ascii="Times New Roman" w:hAnsi="Times New Roman"/>
                <w:noProof/>
                <w:sz w:val="18"/>
                <w:szCs w:val="18"/>
              </w:rPr>
              <w:t>България</w:t>
            </w:r>
          </w:p>
        </w:tc>
        <w:tc>
          <w:tcPr>
            <w:tcW w:w="1161" w:type="dxa"/>
          </w:tcPr>
          <w:p>
            <w:pPr>
              <w:spacing w:after="0"/>
              <w:jc w:val="center"/>
              <w:rPr>
                <w:rFonts w:ascii="Times New Roman" w:hAnsi="Times New Roman"/>
                <w:noProof/>
                <w:sz w:val="16"/>
                <w:szCs w:val="16"/>
              </w:rPr>
            </w:pPr>
            <w:r>
              <w:rPr>
                <w:rFonts w:ascii="Times New Roman" w:hAnsi="Times New Roman"/>
                <w:noProof/>
                <w:sz w:val="16"/>
                <w:szCs w:val="16"/>
              </w:rPr>
              <w:t>13 542 000</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11 607 428</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9 672 857</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7 738 286</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5 803 714</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3 869 143</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1 934 571</w:t>
            </w:r>
          </w:p>
        </w:tc>
        <w:tc>
          <w:tcPr>
            <w:tcW w:w="1149" w:type="dxa"/>
          </w:tcPr>
          <w:p>
            <w:pPr>
              <w:spacing w:after="0"/>
              <w:jc w:val="center"/>
              <w:rPr>
                <w:rFonts w:ascii="Times New Roman" w:hAnsi="Times New Roman"/>
                <w:noProof/>
                <w:sz w:val="16"/>
                <w:szCs w:val="16"/>
              </w:rPr>
            </w:pPr>
            <w:r>
              <w:rPr>
                <w:rFonts w:ascii="Times New Roman" w:hAnsi="Times New Roman"/>
                <w:noProof/>
                <w:sz w:val="16"/>
                <w:szCs w:val="16"/>
              </w:rPr>
              <w:t>54 167 999</w:t>
            </w:r>
          </w:p>
        </w:tc>
      </w:tr>
      <w:tr>
        <w:trPr>
          <w:trHeight w:val="306"/>
          <w:jc w:val="center"/>
        </w:trPr>
        <w:tc>
          <w:tcPr>
            <w:tcW w:w="1123" w:type="dxa"/>
          </w:tcPr>
          <w:p>
            <w:pPr>
              <w:spacing w:after="0"/>
              <w:jc w:val="center"/>
              <w:rPr>
                <w:rFonts w:ascii="Times New Roman" w:hAnsi="Times New Roman"/>
                <w:noProof/>
                <w:sz w:val="18"/>
                <w:szCs w:val="18"/>
              </w:rPr>
            </w:pPr>
            <w:r>
              <w:rPr>
                <w:rFonts w:ascii="Times New Roman" w:hAnsi="Times New Roman"/>
                <w:noProof/>
                <w:sz w:val="18"/>
                <w:szCs w:val="18"/>
              </w:rPr>
              <w:t>Кипър</w:t>
            </w:r>
          </w:p>
        </w:tc>
        <w:tc>
          <w:tcPr>
            <w:tcW w:w="1161" w:type="dxa"/>
          </w:tcPr>
          <w:p>
            <w:pPr>
              <w:spacing w:after="0"/>
              <w:jc w:val="center"/>
              <w:rPr>
                <w:rFonts w:ascii="Times New Roman" w:hAnsi="Times New Roman"/>
                <w:noProof/>
                <w:sz w:val="16"/>
                <w:szCs w:val="16"/>
              </w:rPr>
            </w:pPr>
            <w:r>
              <w:rPr>
                <w:rFonts w:ascii="Times New Roman" w:hAnsi="Times New Roman"/>
                <w:noProof/>
                <w:sz w:val="16"/>
                <w:szCs w:val="16"/>
              </w:rPr>
              <w:t>2 519 077</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2 195 195</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1 907 302</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1 583 420</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1 259 538</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935 657</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575 789</w:t>
            </w:r>
          </w:p>
        </w:tc>
        <w:tc>
          <w:tcPr>
            <w:tcW w:w="1149" w:type="dxa"/>
          </w:tcPr>
          <w:p>
            <w:pPr>
              <w:spacing w:after="0"/>
              <w:jc w:val="center"/>
              <w:rPr>
                <w:rFonts w:ascii="Times New Roman" w:hAnsi="Times New Roman"/>
                <w:noProof/>
                <w:sz w:val="16"/>
                <w:szCs w:val="16"/>
              </w:rPr>
            </w:pPr>
            <w:r>
              <w:rPr>
                <w:rFonts w:ascii="Times New Roman" w:hAnsi="Times New Roman"/>
                <w:noProof/>
                <w:sz w:val="16"/>
                <w:szCs w:val="16"/>
              </w:rPr>
              <w:t>10 975 978</w:t>
            </w:r>
          </w:p>
        </w:tc>
      </w:tr>
      <w:tr>
        <w:trPr>
          <w:trHeight w:val="306"/>
          <w:jc w:val="center"/>
        </w:trPr>
        <w:tc>
          <w:tcPr>
            <w:tcW w:w="1123" w:type="dxa"/>
          </w:tcPr>
          <w:p>
            <w:pPr>
              <w:spacing w:after="0"/>
              <w:jc w:val="center"/>
              <w:rPr>
                <w:rFonts w:ascii="Times New Roman" w:hAnsi="Times New Roman"/>
                <w:noProof/>
                <w:sz w:val="18"/>
                <w:szCs w:val="18"/>
              </w:rPr>
            </w:pPr>
            <w:r>
              <w:rPr>
                <w:rFonts w:ascii="Times New Roman" w:hAnsi="Times New Roman"/>
                <w:noProof/>
                <w:sz w:val="18"/>
                <w:szCs w:val="18"/>
              </w:rPr>
              <w:t>Чехия</w:t>
            </w:r>
          </w:p>
        </w:tc>
        <w:tc>
          <w:tcPr>
            <w:tcW w:w="1161" w:type="dxa"/>
          </w:tcPr>
          <w:p>
            <w:pPr>
              <w:spacing w:after="0"/>
              <w:jc w:val="center"/>
              <w:rPr>
                <w:rFonts w:ascii="Times New Roman" w:hAnsi="Times New Roman"/>
                <w:noProof/>
                <w:sz w:val="16"/>
                <w:szCs w:val="16"/>
              </w:rPr>
            </w:pPr>
            <w:r>
              <w:rPr>
                <w:rFonts w:ascii="Times New Roman" w:hAnsi="Times New Roman"/>
                <w:noProof/>
                <w:sz w:val="16"/>
                <w:szCs w:val="16"/>
              </w:rPr>
              <w:t>26 916 667</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23 071 429</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19 226 191</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15 380 953</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11 535 714</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7 690 476</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3 845 238</w:t>
            </w:r>
          </w:p>
        </w:tc>
        <w:tc>
          <w:tcPr>
            <w:tcW w:w="1149" w:type="dxa"/>
          </w:tcPr>
          <w:p>
            <w:pPr>
              <w:spacing w:after="0"/>
              <w:jc w:val="center"/>
              <w:rPr>
                <w:rFonts w:ascii="Times New Roman" w:hAnsi="Times New Roman"/>
                <w:noProof/>
                <w:sz w:val="16"/>
                <w:szCs w:val="16"/>
              </w:rPr>
            </w:pPr>
            <w:r>
              <w:rPr>
                <w:rFonts w:ascii="Times New Roman" w:hAnsi="Times New Roman"/>
                <w:noProof/>
                <w:sz w:val="16"/>
                <w:szCs w:val="16"/>
              </w:rPr>
              <w:t>107 666 668</w:t>
            </w:r>
          </w:p>
        </w:tc>
      </w:tr>
      <w:tr>
        <w:trPr>
          <w:trHeight w:val="306"/>
          <w:jc w:val="center"/>
        </w:trPr>
        <w:tc>
          <w:tcPr>
            <w:tcW w:w="1123" w:type="dxa"/>
          </w:tcPr>
          <w:p>
            <w:pPr>
              <w:spacing w:after="0"/>
              <w:jc w:val="center"/>
              <w:rPr>
                <w:rFonts w:ascii="Times New Roman" w:hAnsi="Times New Roman"/>
                <w:noProof/>
                <w:sz w:val="18"/>
                <w:szCs w:val="18"/>
              </w:rPr>
            </w:pPr>
            <w:r>
              <w:rPr>
                <w:rFonts w:ascii="Times New Roman" w:hAnsi="Times New Roman"/>
                <w:noProof/>
                <w:sz w:val="18"/>
                <w:szCs w:val="18"/>
              </w:rPr>
              <w:t>Естония</w:t>
            </w:r>
          </w:p>
        </w:tc>
        <w:tc>
          <w:tcPr>
            <w:tcW w:w="1161" w:type="dxa"/>
          </w:tcPr>
          <w:p>
            <w:pPr>
              <w:spacing w:after="0"/>
              <w:jc w:val="center"/>
              <w:rPr>
                <w:rFonts w:ascii="Times New Roman" w:hAnsi="Times New Roman"/>
                <w:noProof/>
                <w:sz w:val="16"/>
                <w:szCs w:val="16"/>
              </w:rPr>
            </w:pPr>
            <w:r>
              <w:rPr>
                <w:rFonts w:ascii="Times New Roman" w:hAnsi="Times New Roman"/>
                <w:noProof/>
                <w:sz w:val="16"/>
                <w:szCs w:val="16"/>
              </w:rPr>
              <w:t>5 288 827</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4 533 280</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3 777 733</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3 022 187</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2 266 640</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1 511 093</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755 547</w:t>
            </w:r>
          </w:p>
        </w:tc>
        <w:tc>
          <w:tcPr>
            <w:tcW w:w="1149" w:type="dxa"/>
          </w:tcPr>
          <w:p>
            <w:pPr>
              <w:spacing w:after="0"/>
              <w:jc w:val="center"/>
              <w:rPr>
                <w:rFonts w:ascii="Times New Roman" w:hAnsi="Times New Roman"/>
                <w:noProof/>
                <w:sz w:val="16"/>
                <w:szCs w:val="16"/>
              </w:rPr>
            </w:pPr>
            <w:r>
              <w:rPr>
                <w:rFonts w:ascii="Times New Roman" w:hAnsi="Times New Roman"/>
                <w:noProof/>
                <w:sz w:val="16"/>
                <w:szCs w:val="16"/>
              </w:rPr>
              <w:t>21 155 307</w:t>
            </w:r>
          </w:p>
        </w:tc>
      </w:tr>
      <w:tr>
        <w:trPr>
          <w:trHeight w:val="306"/>
          <w:jc w:val="center"/>
        </w:trPr>
        <w:tc>
          <w:tcPr>
            <w:tcW w:w="1123" w:type="dxa"/>
          </w:tcPr>
          <w:p>
            <w:pPr>
              <w:spacing w:after="0"/>
              <w:jc w:val="center"/>
              <w:rPr>
                <w:rFonts w:ascii="Times New Roman" w:hAnsi="Times New Roman"/>
                <w:noProof/>
                <w:sz w:val="18"/>
                <w:szCs w:val="18"/>
              </w:rPr>
            </w:pPr>
            <w:r>
              <w:rPr>
                <w:rFonts w:ascii="Times New Roman" w:hAnsi="Times New Roman"/>
                <w:noProof/>
                <w:sz w:val="18"/>
                <w:szCs w:val="18"/>
              </w:rPr>
              <w:t>Унгария</w:t>
            </w:r>
          </w:p>
        </w:tc>
        <w:tc>
          <w:tcPr>
            <w:tcW w:w="1161" w:type="dxa"/>
          </w:tcPr>
          <w:p>
            <w:pPr>
              <w:spacing w:after="0"/>
              <w:jc w:val="center"/>
              <w:rPr>
                <w:rFonts w:ascii="Times New Roman" w:hAnsi="Times New Roman"/>
                <w:noProof/>
                <w:sz w:val="16"/>
                <w:szCs w:val="16"/>
              </w:rPr>
            </w:pPr>
            <w:r>
              <w:rPr>
                <w:rFonts w:ascii="Times New Roman" w:hAnsi="Times New Roman"/>
                <w:noProof/>
                <w:sz w:val="16"/>
                <w:szCs w:val="16"/>
              </w:rPr>
              <w:t>7 047 255</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0</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0</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0</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0</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0</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0</w:t>
            </w:r>
          </w:p>
        </w:tc>
        <w:tc>
          <w:tcPr>
            <w:tcW w:w="1149" w:type="dxa"/>
          </w:tcPr>
          <w:p>
            <w:pPr>
              <w:spacing w:after="0"/>
              <w:jc w:val="center"/>
              <w:rPr>
                <w:rFonts w:ascii="Times New Roman" w:hAnsi="Times New Roman"/>
                <w:noProof/>
                <w:sz w:val="16"/>
                <w:szCs w:val="16"/>
              </w:rPr>
            </w:pPr>
            <w:r>
              <w:rPr>
                <w:rFonts w:ascii="Times New Roman" w:hAnsi="Times New Roman"/>
                <w:noProof/>
                <w:sz w:val="16"/>
                <w:szCs w:val="16"/>
              </w:rPr>
              <w:t>7 047 255</w:t>
            </w:r>
          </w:p>
        </w:tc>
      </w:tr>
      <w:tr>
        <w:trPr>
          <w:trHeight w:val="306"/>
          <w:jc w:val="center"/>
        </w:trPr>
        <w:tc>
          <w:tcPr>
            <w:tcW w:w="1123" w:type="dxa"/>
          </w:tcPr>
          <w:p>
            <w:pPr>
              <w:spacing w:after="0"/>
              <w:jc w:val="center"/>
              <w:rPr>
                <w:rFonts w:ascii="Times New Roman" w:hAnsi="Times New Roman"/>
                <w:noProof/>
                <w:sz w:val="18"/>
                <w:szCs w:val="18"/>
              </w:rPr>
            </w:pPr>
            <w:r>
              <w:rPr>
                <w:rFonts w:ascii="Times New Roman" w:hAnsi="Times New Roman"/>
                <w:noProof/>
                <w:sz w:val="18"/>
                <w:szCs w:val="18"/>
              </w:rPr>
              <w:t>Литва</w:t>
            </w:r>
          </w:p>
        </w:tc>
        <w:tc>
          <w:tcPr>
            <w:tcW w:w="1161" w:type="dxa"/>
          </w:tcPr>
          <w:p>
            <w:pPr>
              <w:spacing w:after="0"/>
              <w:jc w:val="center"/>
              <w:rPr>
                <w:rFonts w:ascii="Times New Roman" w:hAnsi="Times New Roman"/>
                <w:noProof/>
                <w:sz w:val="16"/>
                <w:szCs w:val="16"/>
                <w:highlight w:val="yellow"/>
              </w:rPr>
            </w:pPr>
            <w:r>
              <w:rPr>
                <w:rFonts w:ascii="Times New Roman" w:hAnsi="Times New Roman"/>
                <w:noProof/>
                <w:sz w:val="16"/>
                <w:szCs w:val="16"/>
              </w:rPr>
              <w:t>582 373</w:t>
            </w:r>
          </w:p>
        </w:tc>
        <w:tc>
          <w:tcPr>
            <w:tcW w:w="1031" w:type="dxa"/>
          </w:tcPr>
          <w:p>
            <w:pPr>
              <w:spacing w:after="0"/>
              <w:jc w:val="center"/>
              <w:rPr>
                <w:rFonts w:ascii="Times New Roman" w:hAnsi="Times New Roman"/>
                <w:noProof/>
                <w:sz w:val="16"/>
                <w:szCs w:val="16"/>
                <w:highlight w:val="yellow"/>
              </w:rPr>
            </w:pPr>
            <w:r>
              <w:rPr>
                <w:rFonts w:ascii="Times New Roman" w:hAnsi="Times New Roman"/>
                <w:noProof/>
                <w:sz w:val="16"/>
                <w:szCs w:val="16"/>
              </w:rPr>
              <w:t>536 615</w:t>
            </w:r>
          </w:p>
        </w:tc>
        <w:tc>
          <w:tcPr>
            <w:tcW w:w="1031" w:type="dxa"/>
          </w:tcPr>
          <w:p>
            <w:pPr>
              <w:spacing w:after="0"/>
              <w:jc w:val="center"/>
              <w:rPr>
                <w:rFonts w:ascii="Times New Roman" w:hAnsi="Times New Roman"/>
                <w:noProof/>
                <w:sz w:val="16"/>
                <w:szCs w:val="16"/>
                <w:highlight w:val="yellow"/>
              </w:rPr>
            </w:pPr>
            <w:r>
              <w:rPr>
                <w:rFonts w:ascii="Times New Roman" w:hAnsi="Times New Roman"/>
                <w:noProof/>
                <w:sz w:val="16"/>
                <w:szCs w:val="16"/>
              </w:rPr>
              <w:t>486 698</w:t>
            </w:r>
          </w:p>
        </w:tc>
        <w:tc>
          <w:tcPr>
            <w:tcW w:w="1031" w:type="dxa"/>
          </w:tcPr>
          <w:p>
            <w:pPr>
              <w:spacing w:after="0"/>
              <w:jc w:val="center"/>
              <w:rPr>
                <w:rFonts w:ascii="Times New Roman" w:hAnsi="Times New Roman"/>
                <w:noProof/>
                <w:sz w:val="16"/>
                <w:szCs w:val="16"/>
                <w:highlight w:val="yellow"/>
              </w:rPr>
            </w:pPr>
            <w:r>
              <w:rPr>
                <w:rFonts w:ascii="Times New Roman" w:hAnsi="Times New Roman"/>
                <w:noProof/>
                <w:sz w:val="16"/>
                <w:szCs w:val="16"/>
              </w:rPr>
              <w:t>428 460</w:t>
            </w:r>
          </w:p>
        </w:tc>
        <w:tc>
          <w:tcPr>
            <w:tcW w:w="1031" w:type="dxa"/>
          </w:tcPr>
          <w:p>
            <w:pPr>
              <w:spacing w:after="0"/>
              <w:jc w:val="center"/>
              <w:rPr>
                <w:rFonts w:ascii="Times New Roman" w:hAnsi="Times New Roman"/>
                <w:noProof/>
                <w:sz w:val="16"/>
                <w:szCs w:val="16"/>
                <w:highlight w:val="yellow"/>
              </w:rPr>
            </w:pPr>
            <w:r>
              <w:rPr>
                <w:rFonts w:ascii="Times New Roman" w:hAnsi="Times New Roman"/>
                <w:noProof/>
                <w:sz w:val="16"/>
                <w:szCs w:val="16"/>
              </w:rPr>
              <w:t>361 903</w:t>
            </w:r>
          </w:p>
        </w:tc>
        <w:tc>
          <w:tcPr>
            <w:tcW w:w="1031" w:type="dxa"/>
          </w:tcPr>
          <w:p>
            <w:pPr>
              <w:spacing w:after="0"/>
              <w:jc w:val="center"/>
              <w:rPr>
                <w:rFonts w:ascii="Times New Roman" w:hAnsi="Times New Roman"/>
                <w:noProof/>
                <w:sz w:val="16"/>
                <w:szCs w:val="16"/>
                <w:highlight w:val="yellow"/>
              </w:rPr>
            </w:pPr>
            <w:r>
              <w:rPr>
                <w:rFonts w:ascii="Times New Roman" w:hAnsi="Times New Roman"/>
                <w:noProof/>
                <w:sz w:val="16"/>
                <w:szCs w:val="16"/>
              </w:rPr>
              <w:t>287 027</w:t>
            </w:r>
          </w:p>
        </w:tc>
        <w:tc>
          <w:tcPr>
            <w:tcW w:w="1031" w:type="dxa"/>
          </w:tcPr>
          <w:p>
            <w:pPr>
              <w:spacing w:after="0"/>
              <w:jc w:val="center"/>
              <w:rPr>
                <w:rFonts w:ascii="Times New Roman" w:hAnsi="Times New Roman"/>
                <w:noProof/>
                <w:sz w:val="16"/>
                <w:szCs w:val="16"/>
                <w:highlight w:val="yellow"/>
              </w:rPr>
            </w:pPr>
            <w:r>
              <w:rPr>
                <w:rFonts w:ascii="Times New Roman" w:hAnsi="Times New Roman"/>
                <w:noProof/>
                <w:sz w:val="16"/>
                <w:szCs w:val="16"/>
              </w:rPr>
              <w:t>170 552</w:t>
            </w:r>
          </w:p>
        </w:tc>
        <w:tc>
          <w:tcPr>
            <w:tcW w:w="1149" w:type="dxa"/>
          </w:tcPr>
          <w:p>
            <w:pPr>
              <w:spacing w:after="0"/>
              <w:jc w:val="center"/>
              <w:rPr>
                <w:rFonts w:ascii="Times New Roman" w:hAnsi="Times New Roman"/>
                <w:noProof/>
                <w:sz w:val="16"/>
                <w:szCs w:val="16"/>
                <w:highlight w:val="yellow"/>
              </w:rPr>
            </w:pPr>
            <w:r>
              <w:rPr>
                <w:rFonts w:ascii="Times New Roman" w:hAnsi="Times New Roman"/>
                <w:noProof/>
                <w:sz w:val="16"/>
                <w:szCs w:val="16"/>
              </w:rPr>
              <w:t>2 853 628</w:t>
            </w:r>
          </w:p>
        </w:tc>
      </w:tr>
      <w:tr>
        <w:trPr>
          <w:trHeight w:val="306"/>
          <w:jc w:val="center"/>
        </w:trPr>
        <w:tc>
          <w:tcPr>
            <w:tcW w:w="1123" w:type="dxa"/>
          </w:tcPr>
          <w:p>
            <w:pPr>
              <w:spacing w:after="0"/>
              <w:jc w:val="center"/>
              <w:rPr>
                <w:rFonts w:ascii="Times New Roman" w:hAnsi="Times New Roman"/>
                <w:noProof/>
                <w:sz w:val="18"/>
                <w:szCs w:val="18"/>
              </w:rPr>
            </w:pPr>
            <w:r>
              <w:rPr>
                <w:rFonts w:ascii="Times New Roman" w:hAnsi="Times New Roman"/>
                <w:noProof/>
                <w:sz w:val="18"/>
                <w:szCs w:val="18"/>
              </w:rPr>
              <w:t>Полша</w:t>
            </w:r>
          </w:p>
        </w:tc>
        <w:tc>
          <w:tcPr>
            <w:tcW w:w="1161" w:type="dxa"/>
          </w:tcPr>
          <w:p>
            <w:pPr>
              <w:spacing w:after="0"/>
              <w:jc w:val="center"/>
              <w:rPr>
                <w:rFonts w:ascii="Times New Roman" w:hAnsi="Times New Roman"/>
                <w:noProof/>
                <w:sz w:val="16"/>
                <w:szCs w:val="16"/>
              </w:rPr>
            </w:pPr>
            <w:r>
              <w:rPr>
                <w:rFonts w:ascii="Times New Roman" w:hAnsi="Times New Roman"/>
                <w:noProof/>
                <w:sz w:val="16"/>
                <w:szCs w:val="16"/>
              </w:rPr>
              <w:t>77 816 756</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72 258 416</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66 700 076</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60 030 069</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52 248 393</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43 355 049</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32 238 370</w:t>
            </w:r>
          </w:p>
        </w:tc>
        <w:tc>
          <w:tcPr>
            <w:tcW w:w="1149" w:type="dxa"/>
          </w:tcPr>
          <w:p>
            <w:pPr>
              <w:spacing w:after="0"/>
              <w:jc w:val="center"/>
              <w:rPr>
                <w:rFonts w:ascii="Times New Roman" w:hAnsi="Times New Roman"/>
                <w:noProof/>
                <w:sz w:val="16"/>
                <w:szCs w:val="16"/>
              </w:rPr>
            </w:pPr>
            <w:r>
              <w:rPr>
                <w:rFonts w:ascii="Times New Roman" w:hAnsi="Times New Roman"/>
                <w:noProof/>
                <w:sz w:val="16"/>
                <w:szCs w:val="16"/>
              </w:rPr>
              <w:t>404 647 129</w:t>
            </w:r>
          </w:p>
        </w:tc>
      </w:tr>
      <w:tr>
        <w:trPr>
          <w:trHeight w:val="306"/>
          <w:jc w:val="center"/>
        </w:trPr>
        <w:tc>
          <w:tcPr>
            <w:tcW w:w="1123" w:type="dxa"/>
          </w:tcPr>
          <w:p>
            <w:pPr>
              <w:spacing w:after="0"/>
              <w:jc w:val="center"/>
              <w:rPr>
                <w:rFonts w:ascii="Times New Roman" w:hAnsi="Times New Roman"/>
                <w:noProof/>
                <w:sz w:val="18"/>
                <w:szCs w:val="18"/>
              </w:rPr>
            </w:pPr>
            <w:r>
              <w:rPr>
                <w:rFonts w:ascii="Times New Roman" w:hAnsi="Times New Roman"/>
                <w:noProof/>
                <w:sz w:val="18"/>
                <w:szCs w:val="18"/>
              </w:rPr>
              <w:t>Румъния</w:t>
            </w:r>
          </w:p>
        </w:tc>
        <w:tc>
          <w:tcPr>
            <w:tcW w:w="1161" w:type="dxa"/>
          </w:tcPr>
          <w:p>
            <w:pPr>
              <w:spacing w:after="0"/>
              <w:jc w:val="center"/>
              <w:rPr>
                <w:rFonts w:ascii="Times New Roman" w:hAnsi="Times New Roman"/>
                <w:noProof/>
                <w:sz w:val="16"/>
                <w:szCs w:val="16"/>
              </w:rPr>
            </w:pPr>
            <w:r>
              <w:rPr>
                <w:rFonts w:ascii="Times New Roman" w:hAnsi="Times New Roman"/>
                <w:noProof/>
                <w:sz w:val="16"/>
                <w:szCs w:val="16"/>
              </w:rPr>
              <w:t>17 852 479</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15 302 125</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12 751 771</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10 201 417</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7 651 063</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5 100 708</w:t>
            </w:r>
          </w:p>
        </w:tc>
        <w:tc>
          <w:tcPr>
            <w:tcW w:w="1031" w:type="dxa"/>
          </w:tcPr>
          <w:p>
            <w:pPr>
              <w:spacing w:after="0"/>
              <w:jc w:val="center"/>
              <w:rPr>
                <w:rFonts w:ascii="Times New Roman" w:hAnsi="Times New Roman"/>
                <w:noProof/>
                <w:sz w:val="16"/>
                <w:szCs w:val="16"/>
              </w:rPr>
            </w:pPr>
            <w:r>
              <w:rPr>
                <w:rFonts w:ascii="Times New Roman" w:hAnsi="Times New Roman"/>
                <w:noProof/>
                <w:sz w:val="16"/>
                <w:szCs w:val="16"/>
              </w:rPr>
              <w:t>2 550 354</w:t>
            </w:r>
          </w:p>
        </w:tc>
        <w:tc>
          <w:tcPr>
            <w:tcW w:w="1149" w:type="dxa"/>
          </w:tcPr>
          <w:p>
            <w:pPr>
              <w:spacing w:after="0"/>
              <w:jc w:val="center"/>
              <w:rPr>
                <w:rFonts w:ascii="Times New Roman" w:hAnsi="Times New Roman"/>
                <w:noProof/>
                <w:sz w:val="16"/>
                <w:szCs w:val="16"/>
              </w:rPr>
            </w:pPr>
            <w:r>
              <w:rPr>
                <w:rFonts w:ascii="Times New Roman" w:hAnsi="Times New Roman"/>
                <w:noProof/>
                <w:sz w:val="16"/>
                <w:szCs w:val="16"/>
              </w:rPr>
              <w:t>71 409 917</w:t>
            </w:r>
          </w:p>
        </w:tc>
      </w:tr>
      <w:tr>
        <w:trPr>
          <w:trHeight w:val="435"/>
          <w:jc w:val="center"/>
        </w:trPr>
        <w:tc>
          <w:tcPr>
            <w:tcW w:w="1123" w:type="dxa"/>
          </w:tcPr>
          <w:p>
            <w:pPr>
              <w:spacing w:after="0"/>
              <w:jc w:val="center"/>
              <w:rPr>
                <w:rFonts w:ascii="Times New Roman" w:hAnsi="Times New Roman"/>
                <w:b/>
                <w:noProof/>
                <w:sz w:val="18"/>
                <w:szCs w:val="18"/>
                <w:u w:val="single"/>
              </w:rPr>
            </w:pPr>
            <w:r>
              <w:rPr>
                <w:rFonts w:ascii="Times New Roman" w:hAnsi="Times New Roman"/>
                <w:b/>
                <w:noProof/>
                <w:sz w:val="18"/>
                <w:szCs w:val="18"/>
                <w:u w:val="single"/>
              </w:rPr>
              <w:t>Общо</w:t>
            </w:r>
          </w:p>
        </w:tc>
        <w:tc>
          <w:tcPr>
            <w:tcW w:w="1161" w:type="dxa"/>
          </w:tcPr>
          <w:p>
            <w:pPr>
              <w:spacing w:after="0"/>
              <w:jc w:val="center"/>
              <w:rPr>
                <w:rFonts w:ascii="Times New Roman" w:hAnsi="Times New Roman"/>
                <w:noProof/>
                <w:sz w:val="16"/>
                <w:szCs w:val="16"/>
                <w:highlight w:val="yellow"/>
              </w:rPr>
            </w:pPr>
            <w:r>
              <w:rPr>
                <w:rFonts w:ascii="Times New Roman" w:hAnsi="Times New Roman"/>
                <w:noProof/>
                <w:sz w:val="16"/>
                <w:szCs w:val="16"/>
              </w:rPr>
              <w:t>151 565 434</w:t>
            </w:r>
          </w:p>
        </w:tc>
        <w:tc>
          <w:tcPr>
            <w:tcW w:w="1031" w:type="dxa"/>
          </w:tcPr>
          <w:p>
            <w:pPr>
              <w:spacing w:after="0"/>
              <w:jc w:val="center"/>
              <w:rPr>
                <w:rFonts w:ascii="Times New Roman" w:hAnsi="Times New Roman"/>
                <w:noProof/>
                <w:sz w:val="16"/>
                <w:szCs w:val="16"/>
                <w:highlight w:val="yellow"/>
              </w:rPr>
            </w:pPr>
            <w:r>
              <w:rPr>
                <w:rFonts w:ascii="Times New Roman" w:hAnsi="Times New Roman"/>
                <w:noProof/>
                <w:sz w:val="16"/>
                <w:szCs w:val="16"/>
              </w:rPr>
              <w:t>129 504 488</w:t>
            </w:r>
          </w:p>
        </w:tc>
        <w:tc>
          <w:tcPr>
            <w:tcW w:w="1031" w:type="dxa"/>
          </w:tcPr>
          <w:p>
            <w:pPr>
              <w:spacing w:after="0"/>
              <w:jc w:val="center"/>
              <w:rPr>
                <w:rFonts w:ascii="Times New Roman" w:hAnsi="Times New Roman"/>
                <w:noProof/>
                <w:sz w:val="16"/>
                <w:szCs w:val="16"/>
                <w:highlight w:val="yellow"/>
              </w:rPr>
            </w:pPr>
            <w:r>
              <w:rPr>
                <w:rFonts w:ascii="Times New Roman" w:hAnsi="Times New Roman"/>
                <w:noProof/>
                <w:sz w:val="16"/>
                <w:szCs w:val="16"/>
              </w:rPr>
              <w:t>114 522 628</w:t>
            </w:r>
          </w:p>
        </w:tc>
        <w:tc>
          <w:tcPr>
            <w:tcW w:w="1031" w:type="dxa"/>
          </w:tcPr>
          <w:p>
            <w:pPr>
              <w:spacing w:after="0"/>
              <w:jc w:val="center"/>
              <w:rPr>
                <w:rFonts w:ascii="Times New Roman" w:hAnsi="Times New Roman"/>
                <w:noProof/>
                <w:sz w:val="16"/>
                <w:szCs w:val="16"/>
                <w:highlight w:val="yellow"/>
              </w:rPr>
            </w:pPr>
            <w:r>
              <w:rPr>
                <w:rFonts w:ascii="Times New Roman" w:hAnsi="Times New Roman"/>
                <w:noProof/>
                <w:sz w:val="16"/>
                <w:szCs w:val="16"/>
              </w:rPr>
              <w:t>98 384 792</w:t>
            </w:r>
          </w:p>
        </w:tc>
        <w:tc>
          <w:tcPr>
            <w:tcW w:w="1031" w:type="dxa"/>
          </w:tcPr>
          <w:p>
            <w:pPr>
              <w:spacing w:after="0"/>
              <w:jc w:val="center"/>
              <w:rPr>
                <w:rFonts w:ascii="Times New Roman" w:hAnsi="Times New Roman"/>
                <w:noProof/>
                <w:sz w:val="16"/>
                <w:szCs w:val="16"/>
                <w:highlight w:val="yellow"/>
              </w:rPr>
            </w:pPr>
            <w:r>
              <w:rPr>
                <w:rFonts w:ascii="Times New Roman" w:hAnsi="Times New Roman"/>
                <w:noProof/>
                <w:sz w:val="16"/>
                <w:szCs w:val="16"/>
              </w:rPr>
              <w:t>81 126 965</w:t>
            </w:r>
          </w:p>
        </w:tc>
        <w:tc>
          <w:tcPr>
            <w:tcW w:w="1031" w:type="dxa"/>
          </w:tcPr>
          <w:p>
            <w:pPr>
              <w:spacing w:after="0"/>
              <w:jc w:val="center"/>
              <w:rPr>
                <w:rFonts w:ascii="Times New Roman" w:hAnsi="Times New Roman"/>
                <w:noProof/>
                <w:sz w:val="16"/>
                <w:szCs w:val="16"/>
                <w:highlight w:val="yellow"/>
              </w:rPr>
            </w:pPr>
            <w:r>
              <w:rPr>
                <w:rFonts w:ascii="Times New Roman" w:hAnsi="Times New Roman"/>
                <w:noProof/>
                <w:sz w:val="16"/>
                <w:szCs w:val="16"/>
              </w:rPr>
              <w:t>62 749 153</w:t>
            </w:r>
          </w:p>
        </w:tc>
        <w:tc>
          <w:tcPr>
            <w:tcW w:w="1031" w:type="dxa"/>
          </w:tcPr>
          <w:p>
            <w:pPr>
              <w:spacing w:after="0"/>
              <w:jc w:val="center"/>
              <w:rPr>
                <w:rFonts w:ascii="Times New Roman" w:hAnsi="Times New Roman"/>
                <w:noProof/>
                <w:sz w:val="16"/>
                <w:szCs w:val="16"/>
                <w:highlight w:val="yellow"/>
              </w:rPr>
            </w:pPr>
            <w:r>
              <w:rPr>
                <w:rFonts w:ascii="Times New Roman" w:hAnsi="Times New Roman"/>
                <w:noProof/>
                <w:sz w:val="16"/>
                <w:szCs w:val="16"/>
              </w:rPr>
              <w:t>42 070 421</w:t>
            </w:r>
          </w:p>
        </w:tc>
        <w:tc>
          <w:tcPr>
            <w:tcW w:w="1149" w:type="dxa"/>
          </w:tcPr>
          <w:p>
            <w:pPr>
              <w:spacing w:after="0"/>
              <w:jc w:val="center"/>
              <w:rPr>
                <w:rFonts w:ascii="Times New Roman" w:hAnsi="Times New Roman"/>
                <w:noProof/>
                <w:sz w:val="16"/>
                <w:szCs w:val="16"/>
                <w:highlight w:val="yellow"/>
              </w:rPr>
            </w:pPr>
            <w:r>
              <w:rPr>
                <w:rFonts w:ascii="Times New Roman" w:hAnsi="Times New Roman"/>
                <w:noProof/>
                <w:sz w:val="16"/>
                <w:szCs w:val="16"/>
              </w:rPr>
              <w:t>679 923 881</w:t>
            </w:r>
          </w:p>
        </w:tc>
      </w:tr>
    </w:tbl>
    <w:p>
      <w:pPr>
        <w:rPr>
          <w:rFonts w:ascii="Times New Roman" w:hAnsi="Times New Roman"/>
          <w:noProof/>
          <w:sz w:val="18"/>
          <w:szCs w:val="18"/>
        </w:rPr>
      </w:pPr>
      <w:r>
        <w:rPr>
          <w:rFonts w:ascii="Times New Roman" w:hAnsi="Times New Roman"/>
          <w:noProof/>
          <w:sz w:val="18"/>
          <w:szCs w:val="18"/>
        </w:rPr>
        <w:t>Източник: ГД „Действия по климата“</w:t>
      </w:r>
    </w:p>
    <w:p>
      <w:pPr>
        <w:rPr>
          <w:rFonts w:ascii="Times New Roman" w:hAnsi="Times New Roman"/>
          <w:b/>
          <w:noProof/>
          <w:sz w:val="20"/>
          <w:szCs w:val="20"/>
        </w:rPr>
      </w:pPr>
    </w:p>
    <w:p>
      <w:pPr>
        <w:rPr>
          <w:rFonts w:ascii="Times New Roman" w:hAnsi="Times New Roman"/>
          <w:b/>
          <w:noProof/>
          <w:sz w:val="20"/>
          <w:szCs w:val="20"/>
        </w:rPr>
      </w:pPr>
      <w:r>
        <w:rPr>
          <w:rFonts w:ascii="Times New Roman" w:hAnsi="Times New Roman"/>
          <w:b/>
          <w:noProof/>
          <w:sz w:val="20"/>
          <w:szCs w:val="20"/>
        </w:rPr>
        <w:t>Таблица 1.3: Брой на неизползваните безплатни квоти съгласно дерогацията по член 10в, които са продадени на търг или са планирани за продажба на търг през периода 2013—2021 г.</w:t>
      </w:r>
      <w:r>
        <w:rPr>
          <w:rStyle w:val="FootnoteReference"/>
          <w:rFonts w:ascii="Times New Roman" w:hAnsi="Times New Roman"/>
          <w:b/>
          <w:noProof/>
          <w:sz w:val="20"/>
          <w:szCs w:val="20"/>
        </w:rPr>
        <w:footnoteReference w:id="88"/>
      </w:r>
    </w:p>
    <w:tbl>
      <w:tblPr>
        <w:tblW w:w="9237" w:type="dxa"/>
        <w:tblInd w:w="85" w:type="dxa"/>
        <w:tblLook w:val="04A0" w:firstRow="1" w:lastRow="0" w:firstColumn="1" w:lastColumn="0" w:noHBand="0" w:noVBand="1"/>
      </w:tblPr>
      <w:tblGrid>
        <w:gridCol w:w="1269"/>
        <w:gridCol w:w="1135"/>
        <w:gridCol w:w="1135"/>
        <w:gridCol w:w="1135"/>
        <w:gridCol w:w="1135"/>
        <w:gridCol w:w="1160"/>
        <w:gridCol w:w="1134"/>
        <w:gridCol w:w="1134"/>
      </w:tblGrid>
      <w:tr>
        <w:trPr>
          <w:trHeight w:val="330"/>
        </w:trPr>
        <w:tc>
          <w:tcPr>
            <w:tcW w:w="1269" w:type="dxa"/>
            <w:tcBorders>
              <w:top w:val="double" w:sz="4" w:space="0" w:color="auto"/>
              <w:left w:val="double" w:sz="6" w:space="0" w:color="auto"/>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Държава членка</w:t>
            </w:r>
          </w:p>
        </w:tc>
        <w:tc>
          <w:tcPr>
            <w:tcW w:w="1135" w:type="dxa"/>
            <w:tcBorders>
              <w:top w:val="double" w:sz="4" w:space="0" w:color="auto"/>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bCs/>
                <w:noProof/>
                <w:color w:val="000000"/>
                <w:sz w:val="18"/>
                <w:szCs w:val="18"/>
              </w:rPr>
              <w:t>2015 г.</w:t>
            </w:r>
          </w:p>
        </w:tc>
        <w:tc>
          <w:tcPr>
            <w:tcW w:w="1135" w:type="dxa"/>
            <w:tcBorders>
              <w:top w:val="double" w:sz="4" w:space="0" w:color="auto"/>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bCs/>
                <w:noProof/>
                <w:color w:val="000000"/>
                <w:sz w:val="18"/>
                <w:szCs w:val="18"/>
              </w:rPr>
              <w:t>2016 г.</w:t>
            </w:r>
          </w:p>
        </w:tc>
        <w:tc>
          <w:tcPr>
            <w:tcW w:w="1135" w:type="dxa"/>
            <w:tcBorders>
              <w:top w:val="double" w:sz="4" w:space="0" w:color="auto"/>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bCs/>
                <w:noProof/>
                <w:color w:val="000000"/>
                <w:sz w:val="18"/>
                <w:szCs w:val="18"/>
              </w:rPr>
              <w:t>2017 г.</w:t>
            </w:r>
          </w:p>
        </w:tc>
        <w:tc>
          <w:tcPr>
            <w:tcW w:w="1135" w:type="dxa"/>
            <w:tcBorders>
              <w:top w:val="double" w:sz="4" w:space="0" w:color="auto"/>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bCs/>
                <w:noProof/>
                <w:color w:val="000000"/>
                <w:sz w:val="18"/>
                <w:szCs w:val="18"/>
              </w:rPr>
              <w:t>2018 г.</w:t>
            </w:r>
          </w:p>
        </w:tc>
        <w:tc>
          <w:tcPr>
            <w:tcW w:w="1160" w:type="dxa"/>
            <w:tcBorders>
              <w:top w:val="double" w:sz="4" w:space="0" w:color="auto"/>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bCs/>
                <w:noProof/>
                <w:color w:val="000000"/>
                <w:sz w:val="18"/>
                <w:szCs w:val="18"/>
              </w:rPr>
              <w:t>2019 г.</w:t>
            </w:r>
          </w:p>
        </w:tc>
        <w:tc>
          <w:tcPr>
            <w:tcW w:w="1134" w:type="dxa"/>
            <w:tcBorders>
              <w:top w:val="double" w:sz="4" w:space="0" w:color="auto"/>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bCs/>
                <w:noProof/>
                <w:color w:val="000000"/>
                <w:sz w:val="18"/>
                <w:szCs w:val="18"/>
              </w:rPr>
              <w:t>2020 г.</w:t>
            </w:r>
          </w:p>
        </w:tc>
        <w:tc>
          <w:tcPr>
            <w:tcW w:w="1134" w:type="dxa"/>
            <w:tcBorders>
              <w:top w:val="double" w:sz="4" w:space="0" w:color="auto"/>
              <w:left w:val="nil"/>
              <w:bottom w:val="double" w:sz="6" w:space="0" w:color="auto"/>
              <w:right w:val="double" w:sz="6" w:space="0" w:color="auto"/>
            </w:tcBorders>
            <w:vAlign w:val="center"/>
            <w:hideMark/>
          </w:tcPr>
          <w:p>
            <w:pPr>
              <w:spacing w:after="0" w:line="240" w:lineRule="auto"/>
              <w:jc w:val="center"/>
              <w:rPr>
                <w:rFonts w:ascii="Times New Roman" w:eastAsia="Times New Roman" w:hAnsi="Times New Roman"/>
                <w:b/>
                <w:bCs/>
                <w:noProof/>
                <w:color w:val="000000"/>
                <w:sz w:val="18"/>
                <w:szCs w:val="18"/>
              </w:rPr>
            </w:pPr>
            <w:r>
              <w:rPr>
                <w:rFonts w:ascii="Times New Roman" w:hAnsi="Times New Roman"/>
                <w:b/>
                <w:bCs/>
                <w:noProof/>
                <w:color w:val="000000"/>
                <w:sz w:val="18"/>
                <w:szCs w:val="18"/>
              </w:rPr>
              <w:t>2021 г.</w:t>
            </w:r>
          </w:p>
        </w:tc>
      </w:tr>
      <w:tr>
        <w:trPr>
          <w:trHeight w:val="330"/>
        </w:trPr>
        <w:tc>
          <w:tcPr>
            <w:tcW w:w="1269" w:type="dxa"/>
            <w:tcBorders>
              <w:top w:val="nil"/>
              <w:left w:val="double" w:sz="6" w:space="0" w:color="auto"/>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България</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5 444 169</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1 461 360</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920 823</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604 908</w:t>
            </w:r>
          </w:p>
        </w:tc>
        <w:tc>
          <w:tcPr>
            <w:tcW w:w="1160"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1 386 372</w:t>
            </w:r>
          </w:p>
        </w:tc>
        <w:tc>
          <w:tcPr>
            <w:tcW w:w="1134"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c>
          <w:tcPr>
            <w:tcW w:w="1134" w:type="dxa"/>
            <w:tcBorders>
              <w:top w:val="nil"/>
              <w:left w:val="nil"/>
              <w:bottom w:val="double" w:sz="6" w:space="0" w:color="auto"/>
              <w:right w:val="double" w:sz="6" w:space="0" w:color="auto"/>
            </w:tcBorders>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476 621</w:t>
            </w:r>
          </w:p>
        </w:tc>
      </w:tr>
      <w:tr>
        <w:trPr>
          <w:trHeight w:val="330"/>
        </w:trPr>
        <w:tc>
          <w:tcPr>
            <w:tcW w:w="1269" w:type="dxa"/>
            <w:tcBorders>
              <w:top w:val="nil"/>
              <w:left w:val="double" w:sz="6" w:space="0" w:color="auto"/>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Кипър</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c>
          <w:tcPr>
            <w:tcW w:w="1160"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c>
          <w:tcPr>
            <w:tcW w:w="1134"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c>
          <w:tcPr>
            <w:tcW w:w="1134" w:type="dxa"/>
            <w:tcBorders>
              <w:top w:val="nil"/>
              <w:left w:val="nil"/>
              <w:bottom w:val="double" w:sz="6" w:space="0" w:color="auto"/>
              <w:right w:val="double" w:sz="6" w:space="0" w:color="auto"/>
            </w:tcBorders>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r>
      <w:tr>
        <w:trPr>
          <w:trHeight w:val="330"/>
        </w:trPr>
        <w:tc>
          <w:tcPr>
            <w:tcW w:w="1269" w:type="dxa"/>
            <w:tcBorders>
              <w:top w:val="nil"/>
              <w:left w:val="double" w:sz="6" w:space="0" w:color="auto"/>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Чехия</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90 694</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77 741</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66 740</w:t>
            </w:r>
          </w:p>
        </w:tc>
        <w:tc>
          <w:tcPr>
            <w:tcW w:w="1160"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54 550</w:t>
            </w:r>
          </w:p>
        </w:tc>
        <w:tc>
          <w:tcPr>
            <w:tcW w:w="1134"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80 295</w:t>
            </w:r>
          </w:p>
        </w:tc>
        <w:tc>
          <w:tcPr>
            <w:tcW w:w="1134" w:type="dxa"/>
            <w:tcBorders>
              <w:top w:val="nil"/>
              <w:left w:val="nil"/>
              <w:bottom w:val="double" w:sz="6" w:space="0" w:color="auto"/>
              <w:right w:val="double" w:sz="6" w:space="0" w:color="auto"/>
            </w:tcBorders>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r>
      <w:tr>
        <w:trPr>
          <w:trHeight w:val="330"/>
        </w:trPr>
        <w:tc>
          <w:tcPr>
            <w:tcW w:w="1269" w:type="dxa"/>
            <w:tcBorders>
              <w:top w:val="nil"/>
              <w:left w:val="double" w:sz="6" w:space="0" w:color="auto"/>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Естония</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188 682</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134 897</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1 767 499</w:t>
            </w:r>
          </w:p>
        </w:tc>
        <w:tc>
          <w:tcPr>
            <w:tcW w:w="1160"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761 088</w:t>
            </w:r>
          </w:p>
        </w:tc>
        <w:tc>
          <w:tcPr>
            <w:tcW w:w="1134"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50 026</w:t>
            </w:r>
          </w:p>
        </w:tc>
        <w:tc>
          <w:tcPr>
            <w:tcW w:w="1134" w:type="dxa"/>
            <w:tcBorders>
              <w:top w:val="nil"/>
              <w:left w:val="nil"/>
              <w:bottom w:val="double" w:sz="6" w:space="0" w:color="auto"/>
              <w:right w:val="double" w:sz="6" w:space="0" w:color="auto"/>
            </w:tcBorders>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r>
      <w:tr>
        <w:trPr>
          <w:trHeight w:val="330"/>
        </w:trPr>
        <w:tc>
          <w:tcPr>
            <w:tcW w:w="1269" w:type="dxa"/>
            <w:tcBorders>
              <w:top w:val="nil"/>
              <w:left w:val="double" w:sz="6" w:space="0" w:color="auto"/>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Литва</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259 924</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456 725</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191 229</w:t>
            </w:r>
          </w:p>
        </w:tc>
        <w:tc>
          <w:tcPr>
            <w:tcW w:w="1160"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161 522</w:t>
            </w:r>
          </w:p>
        </w:tc>
        <w:tc>
          <w:tcPr>
            <w:tcW w:w="1134"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128 105</w:t>
            </w:r>
          </w:p>
        </w:tc>
        <w:tc>
          <w:tcPr>
            <w:tcW w:w="1134" w:type="dxa"/>
            <w:tcBorders>
              <w:top w:val="nil"/>
              <w:left w:val="nil"/>
              <w:bottom w:val="double" w:sz="6" w:space="0" w:color="auto"/>
              <w:right w:val="double" w:sz="6" w:space="0" w:color="auto"/>
            </w:tcBorders>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76 120</w:t>
            </w:r>
          </w:p>
        </w:tc>
      </w:tr>
      <w:tr>
        <w:trPr>
          <w:trHeight w:val="405"/>
        </w:trPr>
        <w:tc>
          <w:tcPr>
            <w:tcW w:w="1269" w:type="dxa"/>
            <w:tcBorders>
              <w:top w:val="nil"/>
              <w:left w:val="double" w:sz="6" w:space="0" w:color="auto"/>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Полша</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1 196</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7 491</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c>
          <w:tcPr>
            <w:tcW w:w="1160"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55 800 000</w:t>
            </w:r>
          </w:p>
        </w:tc>
        <w:tc>
          <w:tcPr>
            <w:tcW w:w="1134"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49 520 000</w:t>
            </w:r>
          </w:p>
        </w:tc>
        <w:tc>
          <w:tcPr>
            <w:tcW w:w="1134" w:type="dxa"/>
            <w:tcBorders>
              <w:top w:val="nil"/>
              <w:left w:val="nil"/>
              <w:bottom w:val="double" w:sz="6" w:space="0" w:color="auto"/>
              <w:right w:val="double" w:sz="6" w:space="0" w:color="auto"/>
            </w:tcBorders>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34 501 299</w:t>
            </w:r>
            <w:r>
              <w:rPr>
                <w:rStyle w:val="FootnoteReference"/>
                <w:rFonts w:ascii="Times New Roman" w:eastAsia="Times New Roman" w:hAnsi="Times New Roman"/>
                <w:noProof/>
                <w:color w:val="000000"/>
                <w:sz w:val="16"/>
                <w:szCs w:val="16"/>
                <w:lang w:eastAsia="en-GB"/>
              </w:rPr>
              <w:footnoteReference w:id="89"/>
            </w:r>
          </w:p>
        </w:tc>
      </w:tr>
      <w:tr>
        <w:trPr>
          <w:trHeight w:val="330"/>
        </w:trPr>
        <w:tc>
          <w:tcPr>
            <w:tcW w:w="1269" w:type="dxa"/>
            <w:tcBorders>
              <w:top w:val="nil"/>
              <w:left w:val="double" w:sz="6" w:space="0" w:color="auto"/>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Румъния</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2 104 468</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6 710 664</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3 540 974</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3 011 456</w:t>
            </w:r>
          </w:p>
        </w:tc>
        <w:tc>
          <w:tcPr>
            <w:tcW w:w="1160"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c>
          <w:tcPr>
            <w:tcW w:w="1134"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c>
          <w:tcPr>
            <w:tcW w:w="1134" w:type="dxa"/>
            <w:tcBorders>
              <w:top w:val="nil"/>
              <w:left w:val="nil"/>
              <w:bottom w:val="double" w:sz="6" w:space="0" w:color="auto"/>
              <w:right w:val="double" w:sz="6" w:space="0" w:color="auto"/>
            </w:tcBorders>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827 338</w:t>
            </w:r>
          </w:p>
        </w:tc>
      </w:tr>
      <w:tr>
        <w:trPr>
          <w:trHeight w:val="330"/>
        </w:trPr>
        <w:tc>
          <w:tcPr>
            <w:tcW w:w="1269" w:type="dxa"/>
            <w:tcBorders>
              <w:top w:val="nil"/>
              <w:left w:val="double" w:sz="6" w:space="0" w:color="auto"/>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b/>
                <w:bCs/>
                <w:noProof/>
                <w:color w:val="000000"/>
                <w:sz w:val="16"/>
                <w:szCs w:val="16"/>
              </w:rPr>
            </w:pPr>
            <w:r>
              <w:rPr>
                <w:rFonts w:ascii="Times New Roman" w:hAnsi="Times New Roman"/>
                <w:b/>
                <w:bCs/>
                <w:noProof/>
                <w:color w:val="000000"/>
                <w:sz w:val="16"/>
                <w:szCs w:val="16"/>
              </w:rPr>
              <w:t>Унгария</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c>
          <w:tcPr>
            <w:tcW w:w="1135"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c>
          <w:tcPr>
            <w:tcW w:w="1160"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c>
          <w:tcPr>
            <w:tcW w:w="1134" w:type="dxa"/>
            <w:tcBorders>
              <w:top w:val="nil"/>
              <w:left w:val="nil"/>
              <w:bottom w:val="double" w:sz="6" w:space="0" w:color="auto"/>
              <w:right w:val="double" w:sz="6" w:space="0" w:color="auto"/>
            </w:tcBorders>
            <w:noWrap/>
            <w:vAlign w:val="center"/>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c>
          <w:tcPr>
            <w:tcW w:w="1134" w:type="dxa"/>
            <w:tcBorders>
              <w:top w:val="nil"/>
              <w:left w:val="nil"/>
              <w:bottom w:val="double" w:sz="6" w:space="0" w:color="auto"/>
              <w:right w:val="double" w:sz="6" w:space="0" w:color="auto"/>
            </w:tcBorders>
            <w:hideMark/>
          </w:tcPr>
          <w:p>
            <w:pPr>
              <w:spacing w:after="0" w:line="240" w:lineRule="auto"/>
              <w:jc w:val="center"/>
              <w:rPr>
                <w:rFonts w:ascii="Times New Roman" w:eastAsia="Times New Roman" w:hAnsi="Times New Roman"/>
                <w:noProof/>
                <w:color w:val="000000"/>
                <w:sz w:val="16"/>
                <w:szCs w:val="16"/>
              </w:rPr>
            </w:pPr>
            <w:r>
              <w:rPr>
                <w:rFonts w:ascii="Times New Roman" w:hAnsi="Times New Roman"/>
                <w:noProof/>
                <w:color w:val="000000"/>
                <w:sz w:val="16"/>
                <w:szCs w:val="16"/>
              </w:rPr>
              <w:t>0</w:t>
            </w:r>
          </w:p>
        </w:tc>
      </w:tr>
    </w:tbl>
    <w:p>
      <w:pPr>
        <w:spacing w:after="0" w:line="240" w:lineRule="auto"/>
        <w:rPr>
          <w:rFonts w:eastAsia="Times New Roman"/>
          <w:noProof/>
        </w:rPr>
      </w:pPr>
    </w:p>
    <w:p>
      <w:pPr>
        <w:spacing w:after="0" w:line="240" w:lineRule="auto"/>
        <w:rPr>
          <w:rFonts w:eastAsia="Times New Roman"/>
          <w:noProof/>
        </w:rPr>
      </w:pPr>
    </w:p>
    <w:p>
      <w:pPr>
        <w:rPr>
          <w:rFonts w:ascii="Times New Roman" w:hAnsi="Times New Roman"/>
          <w:b/>
          <w:noProof/>
        </w:rPr>
      </w:pPr>
      <w:r>
        <w:rPr>
          <w:rFonts w:ascii="Times New Roman" w:hAnsi="Times New Roman"/>
          <w:b/>
          <w:noProof/>
        </w:rPr>
        <w:t>Допълнение 2</w:t>
      </w:r>
    </w:p>
    <w:p>
      <w:pPr>
        <w:rPr>
          <w:rFonts w:ascii="Times New Roman" w:hAnsi="Times New Roman"/>
          <w:b/>
          <w:noProof/>
          <w:sz w:val="20"/>
          <w:szCs w:val="20"/>
        </w:rPr>
      </w:pPr>
      <w:r>
        <w:rPr>
          <w:rFonts w:ascii="Times New Roman" w:hAnsi="Times New Roman"/>
          <w:b/>
          <w:noProof/>
          <w:sz w:val="20"/>
          <w:szCs w:val="20"/>
        </w:rPr>
        <w:t>Фигура 2.1: Брой на участниците в търговете за общи квоти за периода от 2013 г. до 30 юни 2020 г.</w:t>
      </w:r>
    </w:p>
    <w:p>
      <w:pPr>
        <w:rPr>
          <w:rFonts w:ascii="Times New Roman" w:hAnsi="Times New Roman"/>
          <w:b/>
          <w:noProof/>
          <w:sz w:val="20"/>
          <w:szCs w:val="20"/>
        </w:rPr>
      </w:pPr>
      <w:r>
        <w:rPr>
          <w:noProof/>
          <w:lang w:val="en-GB" w:eastAsia="en-GB"/>
        </w:rPr>
        <w:drawing>
          <wp:inline distT="0" distB="0" distL="0" distR="0">
            <wp:extent cx="5731510" cy="2825106"/>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1510" cy="2825106"/>
                    </a:xfrm>
                    <a:prstGeom prst="rect">
                      <a:avLst/>
                    </a:prstGeom>
                    <a:noFill/>
                    <a:ln>
                      <a:noFill/>
                    </a:ln>
                  </pic:spPr>
                </pic:pic>
              </a:graphicData>
            </a:graphic>
          </wp:inline>
        </w:drawing>
      </w:r>
    </w:p>
    <w:p>
      <w:pPr>
        <w:spacing w:after="0"/>
        <w:rPr>
          <w:rFonts w:ascii="Times New Roman" w:hAnsi="Times New Roman"/>
          <w:noProof/>
          <w:color w:val="000000" w:themeColor="text1"/>
          <w:sz w:val="18"/>
          <w:szCs w:val="18"/>
        </w:rPr>
      </w:pPr>
      <w:r>
        <w:rPr>
          <w:rFonts w:ascii="Times New Roman" w:hAnsi="Times New Roman"/>
          <w:noProof/>
          <w:color w:val="000000" w:themeColor="text1"/>
          <w:sz w:val="18"/>
          <w:szCs w:val="18"/>
        </w:rPr>
        <w:t>Източник: ЕЕХ</w:t>
      </w:r>
    </w:p>
    <w:p>
      <w:pPr>
        <w:rPr>
          <w:b/>
          <w:noProof/>
        </w:rPr>
      </w:pPr>
      <w:r>
        <w:rPr>
          <w:b/>
          <w:noProof/>
          <w:sz w:val="32"/>
          <w:szCs w:val="32"/>
        </w:rPr>
        <w:t>.</w:t>
      </w:r>
      <w:r>
        <w:rPr>
          <w:rFonts w:ascii="Times New Roman" w:hAnsi="Times New Roman"/>
          <w:b/>
          <w:noProof/>
          <w:sz w:val="20"/>
          <w:szCs w:val="20"/>
        </w:rPr>
        <w:t xml:space="preserve"> </w:t>
      </w:r>
      <w:r>
        <w:rPr>
          <w:rFonts w:ascii="Times New Roman" w:hAnsi="Times New Roman"/>
          <w:noProof/>
          <w:sz w:val="20"/>
          <w:szCs w:val="20"/>
        </w:rPr>
        <w:t>Брой участници</w:t>
      </w:r>
      <w:r>
        <w:rPr>
          <w:b/>
          <w:noProof/>
        </w:rPr>
        <w:t xml:space="preserve"> </w:t>
      </w:r>
    </w:p>
    <w:p>
      <w:pPr>
        <w:rPr>
          <w:rFonts w:ascii="Times New Roman" w:hAnsi="Times New Roman"/>
          <w:b/>
          <w:noProof/>
          <w:sz w:val="20"/>
          <w:szCs w:val="20"/>
          <w:highlight w:val="yellow"/>
        </w:rPr>
        <w:sectPr>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8" w:footer="708" w:gutter="0"/>
          <w:pgNumType w:start="1"/>
          <w:cols w:space="720"/>
          <w:docGrid w:linePitch="360"/>
        </w:sectPr>
      </w:pPr>
    </w:p>
    <w:p>
      <w:pPr>
        <w:rPr>
          <w:rFonts w:ascii="Times New Roman" w:eastAsia="Times New Roman" w:hAnsi="Times New Roman"/>
          <w:b/>
          <w:bCs/>
          <w:noProof/>
          <w:color w:val="000000"/>
          <w:sz w:val="20"/>
          <w:szCs w:val="20"/>
        </w:rPr>
      </w:pPr>
      <w:r>
        <w:rPr>
          <w:rFonts w:ascii="Times New Roman" w:hAnsi="Times New Roman"/>
          <w:b/>
          <w:noProof/>
          <w:sz w:val="20"/>
          <w:szCs w:val="20"/>
        </w:rPr>
        <w:t xml:space="preserve">Таблица 2.1: Приходи, генерирани </w:t>
      </w:r>
      <w:r>
        <w:rPr>
          <w:rFonts w:ascii="Times New Roman" w:hAnsi="Times New Roman"/>
          <w:b/>
          <w:bCs/>
          <w:noProof/>
          <w:color w:val="000000"/>
          <w:sz w:val="20"/>
          <w:szCs w:val="20"/>
        </w:rPr>
        <w:t xml:space="preserve"> от тръжната продажба на квоти за емисии</w:t>
      </w:r>
      <w:r>
        <w:rPr>
          <w:rFonts w:ascii="Times New Roman" w:hAnsi="Times New Roman"/>
          <w:b/>
          <w:noProof/>
          <w:sz w:val="20"/>
          <w:szCs w:val="20"/>
        </w:rPr>
        <w:t xml:space="preserve"> от държавите членки и от Обединеното кралство за периода 2012—30 юни 2020 г. </w:t>
      </w:r>
      <w:r>
        <w:rPr>
          <w:rFonts w:ascii="Times New Roman" w:hAnsi="Times New Roman"/>
          <w:b/>
          <w:bCs/>
          <w:noProof/>
          <w:color w:val="000000"/>
          <w:sz w:val="20"/>
          <w:szCs w:val="20"/>
        </w:rPr>
        <w:t>(в млн. евро)</w:t>
      </w:r>
      <w:r>
        <w:rPr>
          <w:rStyle w:val="FootnoteReference"/>
          <w:rFonts w:ascii="Times New Roman" w:hAnsi="Times New Roman"/>
          <w:b/>
          <w:noProof/>
          <w:sz w:val="20"/>
          <w:szCs w:val="20"/>
        </w:rPr>
        <w:footnoteReference w:id="90"/>
      </w:r>
    </w:p>
    <w:tbl>
      <w:tblPr>
        <w:tblW w:w="15523" w:type="dxa"/>
        <w:tblInd w:w="-459" w:type="dxa"/>
        <w:tblLook w:val="04A0" w:firstRow="1" w:lastRow="0" w:firstColumn="1" w:lastColumn="0" w:noHBand="0" w:noVBand="1"/>
      </w:tblPr>
      <w:tblGrid>
        <w:gridCol w:w="1176"/>
        <w:gridCol w:w="850"/>
        <w:gridCol w:w="851"/>
        <w:gridCol w:w="846"/>
        <w:gridCol w:w="727"/>
        <w:gridCol w:w="851"/>
        <w:gridCol w:w="708"/>
        <w:gridCol w:w="846"/>
        <w:gridCol w:w="801"/>
        <w:gridCol w:w="898"/>
        <w:gridCol w:w="711"/>
        <w:gridCol w:w="898"/>
        <w:gridCol w:w="711"/>
        <w:gridCol w:w="981"/>
        <w:gridCol w:w="679"/>
        <w:gridCol w:w="936"/>
        <w:gridCol w:w="711"/>
        <w:gridCol w:w="846"/>
        <w:gridCol w:w="611"/>
        <w:gridCol w:w="10"/>
      </w:tblGrid>
      <w:tr>
        <w:trPr>
          <w:gridAfter w:val="1"/>
          <w:wAfter w:w="11" w:type="dxa"/>
          <w:trHeight w:val="315"/>
        </w:trPr>
        <w:tc>
          <w:tcPr>
            <w:tcW w:w="851" w:type="dxa"/>
            <w:tcBorders>
              <w:top w:val="double" w:sz="4" w:space="0" w:color="auto"/>
              <w:left w:val="double" w:sz="4" w:space="0" w:color="auto"/>
              <w:bottom w:val="nil"/>
              <w:right w:val="double" w:sz="4" w:space="0" w:color="auto"/>
            </w:tcBorders>
            <w:shd w:val="clear" w:color="auto" w:fill="auto"/>
            <w:noWrap/>
            <w:vAlign w:val="bottom"/>
            <w:hideMark/>
          </w:tcPr>
          <w:p>
            <w:pPr>
              <w:spacing w:after="0" w:line="240" w:lineRule="auto"/>
              <w:ind w:right="-265"/>
              <w:jc w:val="center"/>
              <w:rPr>
                <w:rFonts w:ascii="Times New Roman" w:eastAsia="Times New Roman" w:hAnsi="Times New Roman"/>
                <w:noProof/>
                <w:color w:val="000000"/>
                <w:sz w:val="20"/>
                <w:szCs w:val="20"/>
              </w:rPr>
            </w:pPr>
            <w:r>
              <w:rPr>
                <w:rFonts w:ascii="Times New Roman" w:hAnsi="Times New Roman"/>
                <w:noProof/>
                <w:color w:val="000000"/>
                <w:sz w:val="20"/>
                <w:szCs w:val="20"/>
              </w:rPr>
              <w:t xml:space="preserve"> </w:t>
            </w:r>
          </w:p>
        </w:tc>
        <w:tc>
          <w:tcPr>
            <w:tcW w:w="1701" w:type="dxa"/>
            <w:gridSpan w:val="2"/>
            <w:tcBorders>
              <w:top w:val="double" w:sz="6" w:space="0" w:color="auto"/>
              <w:left w:val="double" w:sz="4" w:space="0" w:color="auto"/>
              <w:bottom w:val="double" w:sz="6" w:space="0" w:color="auto"/>
              <w:right w:val="double" w:sz="6" w:space="0" w:color="000000"/>
            </w:tcBorders>
            <w:shd w:val="clear" w:color="auto" w:fill="auto"/>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2012 г.</w:t>
            </w:r>
          </w:p>
        </w:tc>
        <w:tc>
          <w:tcPr>
            <w:tcW w:w="1559" w:type="dxa"/>
            <w:gridSpan w:val="2"/>
            <w:tcBorders>
              <w:top w:val="double" w:sz="6" w:space="0" w:color="auto"/>
              <w:left w:val="nil"/>
              <w:bottom w:val="double" w:sz="6" w:space="0" w:color="auto"/>
              <w:right w:val="double" w:sz="6" w:space="0" w:color="000000"/>
            </w:tcBorders>
            <w:shd w:val="clear" w:color="auto" w:fill="auto"/>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2013 г.</w:t>
            </w:r>
          </w:p>
        </w:tc>
        <w:tc>
          <w:tcPr>
            <w:tcW w:w="1559" w:type="dxa"/>
            <w:gridSpan w:val="2"/>
            <w:tcBorders>
              <w:top w:val="double" w:sz="6" w:space="0" w:color="auto"/>
              <w:left w:val="nil"/>
              <w:bottom w:val="double" w:sz="6" w:space="0" w:color="auto"/>
              <w:right w:val="double" w:sz="6" w:space="0" w:color="000000"/>
            </w:tcBorders>
            <w:shd w:val="clear" w:color="auto" w:fill="auto"/>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2014 г.</w:t>
            </w:r>
          </w:p>
        </w:tc>
        <w:tc>
          <w:tcPr>
            <w:tcW w:w="1643" w:type="dxa"/>
            <w:gridSpan w:val="2"/>
            <w:tcBorders>
              <w:top w:val="double" w:sz="6" w:space="0" w:color="auto"/>
              <w:left w:val="nil"/>
              <w:bottom w:val="double" w:sz="6" w:space="0" w:color="auto"/>
              <w:right w:val="double" w:sz="6" w:space="0" w:color="000000"/>
            </w:tcBorders>
            <w:shd w:val="clear" w:color="auto" w:fill="auto"/>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2015 г.</w:t>
            </w:r>
          </w:p>
        </w:tc>
        <w:tc>
          <w:tcPr>
            <w:tcW w:w="1609" w:type="dxa"/>
            <w:gridSpan w:val="2"/>
            <w:tcBorders>
              <w:top w:val="double" w:sz="6" w:space="0" w:color="auto"/>
              <w:left w:val="nil"/>
              <w:bottom w:val="double" w:sz="6" w:space="0" w:color="auto"/>
              <w:right w:val="double" w:sz="6" w:space="0" w:color="000000"/>
            </w:tcBorders>
            <w:shd w:val="clear" w:color="auto" w:fill="auto"/>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2016 г.</w:t>
            </w:r>
          </w:p>
        </w:tc>
        <w:tc>
          <w:tcPr>
            <w:tcW w:w="1609" w:type="dxa"/>
            <w:gridSpan w:val="2"/>
            <w:tcBorders>
              <w:top w:val="double" w:sz="6" w:space="0" w:color="auto"/>
              <w:left w:val="nil"/>
              <w:bottom w:val="double" w:sz="6" w:space="0" w:color="auto"/>
              <w:right w:val="double" w:sz="6" w:space="0" w:color="000000"/>
            </w:tcBorders>
            <w:shd w:val="clear" w:color="auto" w:fill="auto"/>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2017 г.</w:t>
            </w:r>
          </w:p>
        </w:tc>
        <w:tc>
          <w:tcPr>
            <w:tcW w:w="1660" w:type="dxa"/>
            <w:gridSpan w:val="2"/>
            <w:tcBorders>
              <w:top w:val="double" w:sz="6" w:space="0" w:color="auto"/>
              <w:left w:val="nil"/>
              <w:bottom w:val="double" w:sz="6" w:space="0" w:color="auto"/>
              <w:right w:val="double" w:sz="6" w:space="0" w:color="000000"/>
            </w:tcBorders>
            <w:shd w:val="clear" w:color="auto" w:fill="auto"/>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2018 г.</w:t>
            </w:r>
          </w:p>
        </w:tc>
        <w:tc>
          <w:tcPr>
            <w:tcW w:w="1782" w:type="dxa"/>
            <w:gridSpan w:val="2"/>
            <w:tcBorders>
              <w:top w:val="double" w:sz="6" w:space="0" w:color="auto"/>
              <w:left w:val="nil"/>
              <w:bottom w:val="double" w:sz="6" w:space="0" w:color="auto"/>
              <w:right w:val="double" w:sz="6" w:space="0" w:color="000000"/>
            </w:tcBorders>
            <w:vAlign w:val="center"/>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2019 г.</w:t>
            </w:r>
          </w:p>
        </w:tc>
        <w:tc>
          <w:tcPr>
            <w:tcW w:w="1539" w:type="dxa"/>
            <w:gridSpan w:val="2"/>
            <w:tcBorders>
              <w:top w:val="double" w:sz="6" w:space="0" w:color="auto"/>
              <w:left w:val="nil"/>
              <w:bottom w:val="double" w:sz="6" w:space="0" w:color="auto"/>
              <w:right w:val="double" w:sz="6" w:space="0" w:color="000000"/>
            </w:tcBorders>
            <w:vAlign w:val="center"/>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2020 г.</w:t>
            </w:r>
          </w:p>
        </w:tc>
      </w:tr>
      <w:tr>
        <w:trPr>
          <w:cantSplit/>
          <w:trHeight w:val="1134"/>
        </w:trPr>
        <w:tc>
          <w:tcPr>
            <w:tcW w:w="851" w:type="dxa"/>
            <w:tcBorders>
              <w:top w:val="nil"/>
              <w:left w:val="double" w:sz="4" w:space="0" w:color="auto"/>
              <w:bottom w:val="double" w:sz="4" w:space="0" w:color="auto"/>
              <w:right w:val="double" w:sz="4"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 xml:space="preserve"> </w:t>
            </w:r>
          </w:p>
        </w:tc>
        <w:tc>
          <w:tcPr>
            <w:tcW w:w="850" w:type="dxa"/>
            <w:tcBorders>
              <w:top w:val="nil"/>
              <w:left w:val="double" w:sz="4" w:space="0" w:color="auto"/>
              <w:bottom w:val="double" w:sz="6" w:space="0" w:color="auto"/>
              <w:right w:val="double" w:sz="6" w:space="0" w:color="auto"/>
            </w:tcBorders>
            <w:shd w:val="clear" w:color="auto" w:fill="auto"/>
            <w:textDirection w:val="btLr"/>
            <w:vAlign w:val="center"/>
            <w:hideMark/>
          </w:tcPr>
          <w:p>
            <w:pPr>
              <w:spacing w:after="0" w:line="240" w:lineRule="auto"/>
              <w:ind w:left="113" w:right="113"/>
              <w:jc w:val="center"/>
              <w:rPr>
                <w:rFonts w:ascii="Times New Roman" w:eastAsia="Times New Roman" w:hAnsi="Times New Roman"/>
                <w:b/>
                <w:noProof/>
                <w:color w:val="000000"/>
                <w:sz w:val="18"/>
                <w:szCs w:val="18"/>
              </w:rPr>
            </w:pPr>
            <w:r>
              <w:rPr>
                <w:rFonts w:ascii="Times New Roman" w:hAnsi="Times New Roman"/>
                <w:b/>
                <w:noProof/>
                <w:color w:val="000000"/>
                <w:sz w:val="18"/>
                <w:szCs w:val="18"/>
              </w:rPr>
              <w:t>Общи (ранни търгове)</w:t>
            </w:r>
          </w:p>
        </w:tc>
        <w:tc>
          <w:tcPr>
            <w:tcW w:w="851" w:type="dxa"/>
            <w:tcBorders>
              <w:top w:val="nil"/>
              <w:left w:val="nil"/>
              <w:bottom w:val="double" w:sz="6" w:space="0" w:color="auto"/>
              <w:right w:val="double" w:sz="6" w:space="0" w:color="auto"/>
            </w:tcBorders>
            <w:shd w:val="clear" w:color="auto" w:fill="auto"/>
            <w:textDirection w:val="btLr"/>
            <w:vAlign w:val="center"/>
            <w:hideMark/>
          </w:tcPr>
          <w:p>
            <w:pPr>
              <w:spacing w:after="0" w:line="240" w:lineRule="auto"/>
              <w:ind w:left="113" w:right="113"/>
              <w:jc w:val="center"/>
              <w:rPr>
                <w:rFonts w:ascii="Times New Roman" w:eastAsia="Times New Roman" w:hAnsi="Times New Roman"/>
                <w:b/>
                <w:noProof/>
                <w:color w:val="000000"/>
                <w:sz w:val="18"/>
                <w:szCs w:val="18"/>
              </w:rPr>
            </w:pPr>
            <w:r>
              <w:rPr>
                <w:rFonts w:ascii="Times New Roman" w:hAnsi="Times New Roman"/>
                <w:b/>
                <w:noProof/>
                <w:color w:val="000000"/>
                <w:sz w:val="18"/>
                <w:szCs w:val="18"/>
              </w:rPr>
              <w:t>Авиационни (ранни търгове)</w:t>
            </w:r>
          </w:p>
        </w:tc>
        <w:tc>
          <w:tcPr>
            <w:tcW w:w="832" w:type="dxa"/>
            <w:tcBorders>
              <w:top w:val="nil"/>
              <w:left w:val="nil"/>
              <w:bottom w:val="double" w:sz="6" w:space="0" w:color="auto"/>
              <w:right w:val="double" w:sz="6" w:space="0" w:color="auto"/>
            </w:tcBorders>
            <w:shd w:val="clear" w:color="auto" w:fill="auto"/>
            <w:noWrap/>
            <w:textDirection w:val="btLr"/>
            <w:vAlign w:val="center"/>
            <w:hideMark/>
          </w:tcPr>
          <w:p>
            <w:pPr>
              <w:spacing w:after="0" w:line="240" w:lineRule="auto"/>
              <w:ind w:left="113" w:right="113"/>
              <w:jc w:val="center"/>
              <w:rPr>
                <w:rFonts w:ascii="Times New Roman" w:eastAsia="Times New Roman" w:hAnsi="Times New Roman"/>
                <w:b/>
                <w:noProof/>
                <w:color w:val="000000"/>
                <w:sz w:val="18"/>
                <w:szCs w:val="18"/>
              </w:rPr>
            </w:pPr>
            <w:r>
              <w:rPr>
                <w:rFonts w:ascii="Times New Roman" w:hAnsi="Times New Roman"/>
                <w:b/>
                <w:noProof/>
                <w:color w:val="000000"/>
                <w:sz w:val="18"/>
                <w:szCs w:val="18"/>
              </w:rPr>
              <w:t>Общи</w:t>
            </w:r>
          </w:p>
        </w:tc>
        <w:tc>
          <w:tcPr>
            <w:tcW w:w="727" w:type="dxa"/>
            <w:tcBorders>
              <w:top w:val="nil"/>
              <w:left w:val="nil"/>
              <w:bottom w:val="double" w:sz="6" w:space="0" w:color="auto"/>
              <w:right w:val="double" w:sz="6" w:space="0" w:color="auto"/>
            </w:tcBorders>
            <w:shd w:val="clear" w:color="auto" w:fill="auto"/>
            <w:noWrap/>
            <w:textDirection w:val="btLr"/>
            <w:vAlign w:val="center"/>
            <w:hideMark/>
          </w:tcPr>
          <w:p>
            <w:pPr>
              <w:spacing w:after="0" w:line="240" w:lineRule="auto"/>
              <w:ind w:left="113" w:right="113"/>
              <w:jc w:val="center"/>
              <w:rPr>
                <w:rFonts w:ascii="Times New Roman" w:eastAsia="Times New Roman" w:hAnsi="Times New Roman"/>
                <w:b/>
                <w:noProof/>
                <w:color w:val="000000"/>
                <w:sz w:val="18"/>
                <w:szCs w:val="18"/>
              </w:rPr>
            </w:pPr>
            <w:r>
              <w:rPr>
                <w:rFonts w:ascii="Times New Roman" w:hAnsi="Times New Roman"/>
                <w:b/>
                <w:noProof/>
                <w:color w:val="000000"/>
                <w:sz w:val="18"/>
                <w:szCs w:val="18"/>
              </w:rPr>
              <w:t>Авиационни</w:t>
            </w:r>
          </w:p>
        </w:tc>
        <w:tc>
          <w:tcPr>
            <w:tcW w:w="851" w:type="dxa"/>
            <w:tcBorders>
              <w:top w:val="nil"/>
              <w:left w:val="nil"/>
              <w:bottom w:val="double" w:sz="6" w:space="0" w:color="auto"/>
              <w:right w:val="double" w:sz="6" w:space="0" w:color="auto"/>
            </w:tcBorders>
            <w:shd w:val="clear" w:color="auto" w:fill="auto"/>
            <w:noWrap/>
            <w:textDirection w:val="btLr"/>
            <w:vAlign w:val="center"/>
            <w:hideMark/>
          </w:tcPr>
          <w:p>
            <w:pPr>
              <w:spacing w:after="0" w:line="240" w:lineRule="auto"/>
              <w:ind w:left="113" w:right="113"/>
              <w:jc w:val="center"/>
              <w:rPr>
                <w:rFonts w:ascii="Times New Roman" w:eastAsia="Times New Roman" w:hAnsi="Times New Roman"/>
                <w:b/>
                <w:noProof/>
                <w:color w:val="000000"/>
                <w:sz w:val="18"/>
                <w:szCs w:val="18"/>
              </w:rPr>
            </w:pPr>
            <w:r>
              <w:rPr>
                <w:rFonts w:ascii="Times New Roman" w:hAnsi="Times New Roman"/>
                <w:b/>
                <w:noProof/>
                <w:color w:val="000000"/>
                <w:sz w:val="18"/>
                <w:szCs w:val="18"/>
              </w:rPr>
              <w:t>Общи</w:t>
            </w:r>
          </w:p>
        </w:tc>
        <w:tc>
          <w:tcPr>
            <w:tcW w:w="708" w:type="dxa"/>
            <w:tcBorders>
              <w:top w:val="nil"/>
              <w:left w:val="nil"/>
              <w:bottom w:val="double" w:sz="6" w:space="0" w:color="auto"/>
              <w:right w:val="double" w:sz="6" w:space="0" w:color="auto"/>
            </w:tcBorders>
            <w:shd w:val="clear" w:color="auto" w:fill="auto"/>
            <w:noWrap/>
            <w:textDirection w:val="btLr"/>
            <w:vAlign w:val="center"/>
            <w:hideMark/>
          </w:tcPr>
          <w:p>
            <w:pPr>
              <w:spacing w:after="0" w:line="240" w:lineRule="auto"/>
              <w:ind w:left="113" w:right="113"/>
              <w:jc w:val="center"/>
              <w:rPr>
                <w:rFonts w:ascii="Times New Roman" w:eastAsia="Times New Roman" w:hAnsi="Times New Roman"/>
                <w:b/>
                <w:noProof/>
                <w:color w:val="000000"/>
                <w:sz w:val="18"/>
                <w:szCs w:val="18"/>
              </w:rPr>
            </w:pPr>
            <w:r>
              <w:rPr>
                <w:rFonts w:ascii="Times New Roman" w:hAnsi="Times New Roman"/>
                <w:b/>
                <w:noProof/>
                <w:color w:val="000000"/>
                <w:sz w:val="18"/>
                <w:szCs w:val="18"/>
              </w:rPr>
              <w:t>Авиационни</w:t>
            </w:r>
          </w:p>
        </w:tc>
        <w:tc>
          <w:tcPr>
            <w:tcW w:w="842" w:type="dxa"/>
            <w:tcBorders>
              <w:top w:val="nil"/>
              <w:left w:val="nil"/>
              <w:bottom w:val="double" w:sz="6" w:space="0" w:color="auto"/>
              <w:right w:val="double" w:sz="6" w:space="0" w:color="auto"/>
            </w:tcBorders>
            <w:shd w:val="clear" w:color="auto" w:fill="auto"/>
            <w:noWrap/>
            <w:textDirection w:val="btLr"/>
            <w:vAlign w:val="center"/>
            <w:hideMark/>
          </w:tcPr>
          <w:p>
            <w:pPr>
              <w:spacing w:after="0" w:line="240" w:lineRule="auto"/>
              <w:ind w:left="113" w:right="113"/>
              <w:jc w:val="center"/>
              <w:rPr>
                <w:rFonts w:ascii="Times New Roman" w:eastAsia="Times New Roman" w:hAnsi="Times New Roman"/>
                <w:b/>
                <w:noProof/>
                <w:color w:val="000000"/>
                <w:sz w:val="18"/>
                <w:szCs w:val="18"/>
              </w:rPr>
            </w:pPr>
            <w:r>
              <w:rPr>
                <w:rFonts w:ascii="Times New Roman" w:hAnsi="Times New Roman"/>
                <w:b/>
                <w:noProof/>
                <w:color w:val="000000"/>
                <w:sz w:val="18"/>
                <w:szCs w:val="18"/>
              </w:rPr>
              <w:t>Общи</w:t>
            </w:r>
          </w:p>
        </w:tc>
        <w:tc>
          <w:tcPr>
            <w:tcW w:w="801" w:type="dxa"/>
            <w:tcBorders>
              <w:top w:val="nil"/>
              <w:left w:val="nil"/>
              <w:bottom w:val="double" w:sz="6" w:space="0" w:color="auto"/>
              <w:right w:val="double" w:sz="6" w:space="0" w:color="auto"/>
            </w:tcBorders>
            <w:shd w:val="clear" w:color="auto" w:fill="auto"/>
            <w:noWrap/>
            <w:textDirection w:val="btLr"/>
            <w:vAlign w:val="center"/>
            <w:hideMark/>
          </w:tcPr>
          <w:p>
            <w:pPr>
              <w:spacing w:after="0" w:line="240" w:lineRule="auto"/>
              <w:ind w:left="113" w:right="113"/>
              <w:jc w:val="center"/>
              <w:rPr>
                <w:rFonts w:ascii="Times New Roman" w:eastAsia="Times New Roman" w:hAnsi="Times New Roman"/>
                <w:b/>
                <w:noProof/>
                <w:color w:val="000000"/>
                <w:sz w:val="18"/>
                <w:szCs w:val="18"/>
              </w:rPr>
            </w:pPr>
            <w:r>
              <w:rPr>
                <w:rFonts w:ascii="Times New Roman" w:hAnsi="Times New Roman"/>
                <w:b/>
                <w:noProof/>
                <w:color w:val="000000"/>
                <w:sz w:val="18"/>
                <w:szCs w:val="18"/>
              </w:rPr>
              <w:t>Авиационни</w:t>
            </w:r>
          </w:p>
        </w:tc>
        <w:tc>
          <w:tcPr>
            <w:tcW w:w="898" w:type="dxa"/>
            <w:tcBorders>
              <w:top w:val="nil"/>
              <w:left w:val="nil"/>
              <w:bottom w:val="double" w:sz="6" w:space="0" w:color="auto"/>
              <w:right w:val="double" w:sz="6" w:space="0" w:color="auto"/>
            </w:tcBorders>
            <w:shd w:val="clear" w:color="auto" w:fill="auto"/>
            <w:noWrap/>
            <w:textDirection w:val="btLr"/>
            <w:vAlign w:val="center"/>
            <w:hideMark/>
          </w:tcPr>
          <w:p>
            <w:pPr>
              <w:spacing w:after="0" w:line="240" w:lineRule="auto"/>
              <w:ind w:left="113" w:right="113"/>
              <w:jc w:val="center"/>
              <w:rPr>
                <w:rFonts w:ascii="Times New Roman" w:eastAsia="Times New Roman" w:hAnsi="Times New Roman"/>
                <w:b/>
                <w:noProof/>
                <w:color w:val="000000"/>
                <w:sz w:val="18"/>
                <w:szCs w:val="18"/>
              </w:rPr>
            </w:pPr>
            <w:r>
              <w:rPr>
                <w:rFonts w:ascii="Times New Roman" w:hAnsi="Times New Roman"/>
                <w:b/>
                <w:noProof/>
                <w:color w:val="000000"/>
                <w:sz w:val="18"/>
                <w:szCs w:val="18"/>
              </w:rPr>
              <w:t>Общи</w:t>
            </w:r>
          </w:p>
        </w:tc>
        <w:tc>
          <w:tcPr>
            <w:tcW w:w="711" w:type="dxa"/>
            <w:tcBorders>
              <w:top w:val="nil"/>
              <w:left w:val="nil"/>
              <w:bottom w:val="double" w:sz="6" w:space="0" w:color="auto"/>
              <w:right w:val="double" w:sz="6" w:space="0" w:color="auto"/>
            </w:tcBorders>
            <w:shd w:val="clear" w:color="auto" w:fill="auto"/>
            <w:noWrap/>
            <w:textDirection w:val="btLr"/>
            <w:vAlign w:val="center"/>
            <w:hideMark/>
          </w:tcPr>
          <w:p>
            <w:pPr>
              <w:spacing w:after="0" w:line="240" w:lineRule="auto"/>
              <w:ind w:left="113" w:right="113"/>
              <w:jc w:val="center"/>
              <w:rPr>
                <w:rFonts w:ascii="Times New Roman" w:eastAsia="Times New Roman" w:hAnsi="Times New Roman"/>
                <w:b/>
                <w:noProof/>
                <w:color w:val="000000"/>
                <w:sz w:val="18"/>
                <w:szCs w:val="18"/>
              </w:rPr>
            </w:pPr>
            <w:r>
              <w:rPr>
                <w:rFonts w:ascii="Times New Roman" w:hAnsi="Times New Roman"/>
                <w:b/>
                <w:noProof/>
                <w:color w:val="000000"/>
                <w:sz w:val="18"/>
                <w:szCs w:val="18"/>
              </w:rPr>
              <w:t>Авиационни</w:t>
            </w:r>
          </w:p>
        </w:tc>
        <w:tc>
          <w:tcPr>
            <w:tcW w:w="898" w:type="dxa"/>
            <w:tcBorders>
              <w:top w:val="nil"/>
              <w:left w:val="nil"/>
              <w:bottom w:val="double" w:sz="6" w:space="0" w:color="auto"/>
              <w:right w:val="double" w:sz="6" w:space="0" w:color="auto"/>
            </w:tcBorders>
            <w:shd w:val="clear" w:color="auto" w:fill="auto"/>
            <w:noWrap/>
            <w:textDirection w:val="btLr"/>
            <w:vAlign w:val="center"/>
            <w:hideMark/>
          </w:tcPr>
          <w:p>
            <w:pPr>
              <w:spacing w:after="0" w:line="240" w:lineRule="auto"/>
              <w:ind w:left="113" w:right="113"/>
              <w:jc w:val="center"/>
              <w:rPr>
                <w:rFonts w:ascii="Times New Roman" w:eastAsia="Times New Roman" w:hAnsi="Times New Roman"/>
                <w:b/>
                <w:noProof/>
                <w:color w:val="000000"/>
                <w:sz w:val="18"/>
                <w:szCs w:val="18"/>
              </w:rPr>
            </w:pPr>
            <w:r>
              <w:rPr>
                <w:rFonts w:ascii="Times New Roman" w:hAnsi="Times New Roman"/>
                <w:b/>
                <w:noProof/>
                <w:color w:val="000000"/>
                <w:sz w:val="18"/>
                <w:szCs w:val="18"/>
              </w:rPr>
              <w:t>Общи</w:t>
            </w:r>
          </w:p>
        </w:tc>
        <w:tc>
          <w:tcPr>
            <w:tcW w:w="711" w:type="dxa"/>
            <w:tcBorders>
              <w:top w:val="nil"/>
              <w:left w:val="nil"/>
              <w:bottom w:val="double" w:sz="6" w:space="0" w:color="auto"/>
              <w:right w:val="double" w:sz="6" w:space="0" w:color="auto"/>
            </w:tcBorders>
            <w:shd w:val="clear" w:color="auto" w:fill="auto"/>
            <w:noWrap/>
            <w:textDirection w:val="btLr"/>
            <w:vAlign w:val="center"/>
            <w:hideMark/>
          </w:tcPr>
          <w:p>
            <w:pPr>
              <w:spacing w:after="0" w:line="240" w:lineRule="auto"/>
              <w:ind w:left="113" w:right="113"/>
              <w:jc w:val="center"/>
              <w:rPr>
                <w:rFonts w:ascii="Times New Roman" w:eastAsia="Times New Roman" w:hAnsi="Times New Roman"/>
                <w:b/>
                <w:noProof/>
                <w:color w:val="000000"/>
                <w:sz w:val="18"/>
                <w:szCs w:val="18"/>
              </w:rPr>
            </w:pPr>
            <w:r>
              <w:rPr>
                <w:rFonts w:ascii="Times New Roman" w:hAnsi="Times New Roman"/>
                <w:b/>
                <w:noProof/>
                <w:color w:val="000000"/>
                <w:sz w:val="18"/>
                <w:szCs w:val="18"/>
              </w:rPr>
              <w:t>Авиационни</w:t>
            </w:r>
          </w:p>
        </w:tc>
        <w:tc>
          <w:tcPr>
            <w:tcW w:w="981" w:type="dxa"/>
            <w:tcBorders>
              <w:top w:val="nil"/>
              <w:left w:val="nil"/>
              <w:bottom w:val="double" w:sz="6" w:space="0" w:color="auto"/>
              <w:right w:val="double" w:sz="6" w:space="0" w:color="auto"/>
            </w:tcBorders>
            <w:shd w:val="clear" w:color="auto" w:fill="auto"/>
            <w:noWrap/>
            <w:textDirection w:val="btLr"/>
            <w:vAlign w:val="center"/>
            <w:hideMark/>
          </w:tcPr>
          <w:p>
            <w:pPr>
              <w:spacing w:after="0" w:line="240" w:lineRule="auto"/>
              <w:ind w:left="113" w:right="113"/>
              <w:jc w:val="center"/>
              <w:rPr>
                <w:rFonts w:ascii="Times New Roman" w:eastAsia="Times New Roman" w:hAnsi="Times New Roman"/>
                <w:b/>
                <w:noProof/>
                <w:color w:val="000000"/>
                <w:sz w:val="18"/>
                <w:szCs w:val="18"/>
              </w:rPr>
            </w:pPr>
            <w:r>
              <w:rPr>
                <w:rFonts w:ascii="Times New Roman" w:hAnsi="Times New Roman"/>
                <w:b/>
                <w:noProof/>
                <w:color w:val="000000"/>
                <w:sz w:val="18"/>
                <w:szCs w:val="18"/>
              </w:rPr>
              <w:t>Общи</w:t>
            </w:r>
          </w:p>
        </w:tc>
        <w:tc>
          <w:tcPr>
            <w:tcW w:w="679" w:type="dxa"/>
            <w:tcBorders>
              <w:top w:val="nil"/>
              <w:left w:val="nil"/>
              <w:bottom w:val="double" w:sz="6" w:space="0" w:color="auto"/>
              <w:right w:val="double" w:sz="6" w:space="0" w:color="auto"/>
            </w:tcBorders>
            <w:shd w:val="clear" w:color="auto" w:fill="auto"/>
            <w:noWrap/>
            <w:textDirection w:val="btLr"/>
            <w:vAlign w:val="center"/>
            <w:hideMark/>
          </w:tcPr>
          <w:p>
            <w:pPr>
              <w:spacing w:after="0" w:line="240" w:lineRule="auto"/>
              <w:ind w:left="113" w:right="113"/>
              <w:jc w:val="center"/>
              <w:rPr>
                <w:rFonts w:ascii="Times New Roman" w:eastAsia="Times New Roman" w:hAnsi="Times New Roman"/>
                <w:b/>
                <w:noProof/>
                <w:color w:val="000000"/>
                <w:sz w:val="18"/>
                <w:szCs w:val="18"/>
              </w:rPr>
            </w:pPr>
            <w:r>
              <w:rPr>
                <w:rFonts w:ascii="Times New Roman" w:hAnsi="Times New Roman"/>
                <w:b/>
                <w:noProof/>
                <w:color w:val="000000"/>
                <w:sz w:val="18"/>
                <w:szCs w:val="18"/>
              </w:rPr>
              <w:t>Авиационни</w:t>
            </w:r>
          </w:p>
        </w:tc>
        <w:tc>
          <w:tcPr>
            <w:tcW w:w="981" w:type="dxa"/>
            <w:tcBorders>
              <w:top w:val="nil"/>
              <w:left w:val="nil"/>
              <w:bottom w:val="double" w:sz="4" w:space="0" w:color="auto"/>
              <w:right w:val="double" w:sz="6" w:space="0" w:color="auto"/>
            </w:tcBorders>
            <w:textDirection w:val="btLr"/>
            <w:vAlign w:val="center"/>
          </w:tcPr>
          <w:p>
            <w:pPr>
              <w:spacing w:after="0" w:line="240" w:lineRule="auto"/>
              <w:ind w:left="113" w:right="113"/>
              <w:jc w:val="center"/>
              <w:rPr>
                <w:rFonts w:ascii="Times New Roman" w:eastAsia="Times New Roman" w:hAnsi="Times New Roman"/>
                <w:b/>
                <w:noProof/>
                <w:color w:val="000000"/>
                <w:sz w:val="18"/>
                <w:szCs w:val="18"/>
              </w:rPr>
            </w:pPr>
            <w:r>
              <w:rPr>
                <w:rFonts w:ascii="Times New Roman" w:hAnsi="Times New Roman"/>
                <w:b/>
                <w:noProof/>
                <w:color w:val="000000"/>
                <w:sz w:val="18"/>
                <w:szCs w:val="18"/>
              </w:rPr>
              <w:t>Общи</w:t>
            </w:r>
          </w:p>
        </w:tc>
        <w:tc>
          <w:tcPr>
            <w:tcW w:w="801" w:type="dxa"/>
            <w:tcBorders>
              <w:top w:val="nil"/>
              <w:left w:val="nil"/>
              <w:bottom w:val="double" w:sz="4" w:space="0" w:color="auto"/>
              <w:right w:val="double" w:sz="6" w:space="0" w:color="auto"/>
            </w:tcBorders>
            <w:textDirection w:val="btLr"/>
            <w:vAlign w:val="center"/>
          </w:tcPr>
          <w:p>
            <w:pPr>
              <w:spacing w:after="0" w:line="240" w:lineRule="auto"/>
              <w:ind w:left="113" w:right="113"/>
              <w:jc w:val="center"/>
              <w:rPr>
                <w:rFonts w:ascii="Times New Roman" w:eastAsia="Times New Roman" w:hAnsi="Times New Roman"/>
                <w:b/>
                <w:noProof/>
                <w:color w:val="000000"/>
                <w:sz w:val="18"/>
                <w:szCs w:val="18"/>
              </w:rPr>
            </w:pPr>
            <w:r>
              <w:rPr>
                <w:rFonts w:ascii="Times New Roman" w:hAnsi="Times New Roman"/>
                <w:b/>
                <w:noProof/>
                <w:color w:val="000000"/>
                <w:sz w:val="18"/>
                <w:szCs w:val="18"/>
              </w:rPr>
              <w:t>Авиационни</w:t>
            </w:r>
          </w:p>
        </w:tc>
        <w:tc>
          <w:tcPr>
            <w:tcW w:w="837" w:type="dxa"/>
            <w:tcBorders>
              <w:top w:val="nil"/>
              <w:left w:val="nil"/>
              <w:bottom w:val="double" w:sz="4" w:space="0" w:color="auto"/>
              <w:right w:val="double" w:sz="6" w:space="0" w:color="auto"/>
            </w:tcBorders>
            <w:textDirection w:val="btLr"/>
            <w:vAlign w:val="center"/>
          </w:tcPr>
          <w:p>
            <w:pPr>
              <w:spacing w:after="0" w:line="240" w:lineRule="auto"/>
              <w:ind w:left="113" w:right="113"/>
              <w:jc w:val="center"/>
              <w:rPr>
                <w:rFonts w:ascii="Times New Roman" w:eastAsia="Times New Roman" w:hAnsi="Times New Roman"/>
                <w:b/>
                <w:noProof/>
                <w:color w:val="000000"/>
                <w:sz w:val="18"/>
                <w:szCs w:val="18"/>
              </w:rPr>
            </w:pPr>
            <w:r>
              <w:rPr>
                <w:rFonts w:ascii="Times New Roman" w:hAnsi="Times New Roman"/>
                <w:b/>
                <w:noProof/>
                <w:color w:val="000000"/>
                <w:sz w:val="18"/>
                <w:szCs w:val="18"/>
              </w:rPr>
              <w:t>Общи</w:t>
            </w:r>
          </w:p>
        </w:tc>
        <w:tc>
          <w:tcPr>
            <w:tcW w:w="713" w:type="dxa"/>
            <w:gridSpan w:val="2"/>
            <w:tcBorders>
              <w:top w:val="nil"/>
              <w:left w:val="nil"/>
              <w:bottom w:val="double" w:sz="4" w:space="0" w:color="auto"/>
              <w:right w:val="double" w:sz="6" w:space="0" w:color="auto"/>
            </w:tcBorders>
            <w:textDirection w:val="btLr"/>
            <w:vAlign w:val="center"/>
          </w:tcPr>
          <w:p>
            <w:pPr>
              <w:spacing w:after="0" w:line="240" w:lineRule="auto"/>
              <w:ind w:left="113" w:right="113"/>
              <w:jc w:val="center"/>
              <w:rPr>
                <w:rFonts w:ascii="Times New Roman" w:eastAsia="Times New Roman" w:hAnsi="Times New Roman"/>
                <w:b/>
                <w:noProof/>
                <w:color w:val="000000"/>
                <w:sz w:val="18"/>
                <w:szCs w:val="18"/>
              </w:rPr>
            </w:pPr>
            <w:r>
              <w:rPr>
                <w:rFonts w:ascii="Times New Roman" w:hAnsi="Times New Roman"/>
                <w:b/>
                <w:noProof/>
                <w:color w:val="000000"/>
                <w:sz w:val="18"/>
                <w:szCs w:val="18"/>
              </w:rPr>
              <w:t>Авиационни</w:t>
            </w:r>
          </w:p>
        </w:tc>
      </w:tr>
      <w:tr>
        <w:trPr>
          <w:trHeight w:val="315"/>
        </w:trPr>
        <w:tc>
          <w:tcPr>
            <w:tcW w:w="851" w:type="dxa"/>
            <w:tcBorders>
              <w:top w:val="double" w:sz="4" w:space="0" w:color="auto"/>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Австрия</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11,05</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55,75</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52,17</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1,18</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76,24</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2,36</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58,81</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0,65</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78,74</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0,69</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208,20</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2,16</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180,94</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2,89</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82,07</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1,50</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Белгия</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114,99</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95,03</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2,05</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138,96</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2,69</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107,14</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0,74</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143,52</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0,79</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379,00</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2,47</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353,47</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3,30</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160,28</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1,70</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България</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22,14</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52,63</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36,19</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0,22</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120,91</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0,91</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85,08</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0,25</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130,15</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0,27</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367,34</w:t>
            </w:r>
          </w:p>
        </w:tc>
        <w:tc>
          <w:tcPr>
            <w:tcW w:w="679" w:type="dxa"/>
            <w:tcBorders>
              <w:top w:val="nil"/>
              <w:left w:val="nil"/>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0,83</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439,19</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1,11</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205,96</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0,58</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Кипър</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1,58</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0,35</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0,43</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0,30</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1,42</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0,39</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6,15</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0,41</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 xml:space="preserve">24,66 </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1,30</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24,4</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1,74</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17,03</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0,91</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Хърватия</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86,40</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0,49</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20,09</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0,16</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26,97</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0,18</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70,96</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0,55</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71,97</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0,74</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32,52</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0,37</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Чехия</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55,24</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0,47</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110,30</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1,20</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117,63</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0,33</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199,43</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0,35</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 xml:space="preserve">583,33 </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1,10</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628,94</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1,46</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329,84</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0,75</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Германия</w:t>
            </w:r>
          </w:p>
        </w:tc>
        <w:tc>
          <w:tcPr>
            <w:tcW w:w="850" w:type="dxa"/>
            <w:tcBorders>
              <w:top w:val="nil"/>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166,18</w:t>
            </w:r>
          </w:p>
        </w:tc>
        <w:tc>
          <w:tcPr>
            <w:tcW w:w="851" w:type="dxa"/>
            <w:tcBorders>
              <w:top w:val="nil"/>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17,52</w:t>
            </w:r>
          </w:p>
        </w:tc>
        <w:tc>
          <w:tcPr>
            <w:tcW w:w="832" w:type="dxa"/>
            <w:tcBorders>
              <w:top w:val="nil"/>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791,25</w:t>
            </w:r>
          </w:p>
        </w:tc>
        <w:tc>
          <w:tcPr>
            <w:tcW w:w="727" w:type="dxa"/>
            <w:tcBorders>
              <w:top w:val="nil"/>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749,97</w:t>
            </w:r>
          </w:p>
        </w:tc>
        <w:tc>
          <w:tcPr>
            <w:tcW w:w="708" w:type="dxa"/>
            <w:tcBorders>
              <w:top w:val="nil"/>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42" w:type="dxa"/>
            <w:tcBorders>
              <w:top w:val="nil"/>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1 093,31</w:t>
            </w:r>
          </w:p>
        </w:tc>
        <w:tc>
          <w:tcPr>
            <w:tcW w:w="801" w:type="dxa"/>
            <w:tcBorders>
              <w:top w:val="nil"/>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16,87</w:t>
            </w:r>
          </w:p>
        </w:tc>
        <w:tc>
          <w:tcPr>
            <w:tcW w:w="898" w:type="dxa"/>
            <w:tcBorders>
              <w:top w:val="nil"/>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845,74</w:t>
            </w:r>
          </w:p>
        </w:tc>
        <w:tc>
          <w:tcPr>
            <w:tcW w:w="711" w:type="dxa"/>
            <w:tcBorders>
              <w:top w:val="nil"/>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4,65</w:t>
            </w:r>
          </w:p>
        </w:tc>
        <w:tc>
          <w:tcPr>
            <w:tcW w:w="898" w:type="dxa"/>
            <w:tcBorders>
              <w:top w:val="nil"/>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1 141,74</w:t>
            </w:r>
          </w:p>
        </w:tc>
        <w:tc>
          <w:tcPr>
            <w:tcW w:w="711" w:type="dxa"/>
            <w:tcBorders>
              <w:top w:val="nil"/>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5,07</w:t>
            </w:r>
          </w:p>
        </w:tc>
        <w:tc>
          <w:tcPr>
            <w:tcW w:w="981" w:type="dxa"/>
            <w:tcBorders>
              <w:top w:val="nil"/>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2 565,34</w:t>
            </w:r>
          </w:p>
        </w:tc>
        <w:tc>
          <w:tcPr>
            <w:tcW w:w="679" w:type="dxa"/>
            <w:tcBorders>
              <w:top w:val="nil"/>
              <w:left w:val="nil"/>
              <w:bottom w:val="double" w:sz="6" w:space="0" w:color="auto"/>
              <w:right w:val="double" w:sz="4" w:space="0" w:color="auto"/>
            </w:tcBorders>
            <w:shd w:val="clear" w:color="auto" w:fill="auto"/>
            <w:noWrap/>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16,31</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3 146,14</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17,89</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1 149,91</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Дания</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1,07</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56,06</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46,93</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1,16</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68,64</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2,71</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52,93</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0,74</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70,93</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0,79</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187,32</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2,48</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162,78</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3,31</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73,56</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1,70</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Естония</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18,07</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7,41</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0,04</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21,13</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0,15</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23,57</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0,04</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39,31</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0,05</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139,89</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0,14</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142,65</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0,20</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65,81</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0,08</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Гърция</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14,84</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147,64</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129,97</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1,10</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190,17</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4,99</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146,68</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1,37</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196,57</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1,46</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518,96</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4,57</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503,34</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6,11</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229,19</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3,16</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Испания</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68,53</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346,11</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323,53</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6,56</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473,20</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16,32</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364,97</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4,48</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488,78</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4,77</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1 291,07</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14,97</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1 225,22</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19,97</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555,93</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10,31</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Финландия</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13,28</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66,97</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62,68</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0,81</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91,64</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2,13</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70,63</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0,58</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94,64</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0,62</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249,84</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1,96</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217,35</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2,60</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98,33</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1,33</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Франция</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43,46</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219,25</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205,29</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10,05</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299,94</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12,18</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231,34</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3,35</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309,85</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3,55</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818,40</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11,16</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711,64</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14,89</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322,10</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7,69</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Унгария</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3,99</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34,59</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56,21</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0,29</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82,28</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0,99</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63,43</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0,27</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84,94</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0,29</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224,48</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0,91</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226,8</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1,21</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102,98</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0,62</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Ирландия</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41,68</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35,11</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0,87</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51,32</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2,15</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39,54</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0,59</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52,93</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0,63</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140,10</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1,97</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121,64</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2,62</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54,97</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1,37</w:t>
            </w:r>
          </w:p>
        </w:tc>
      </w:tr>
      <w:tr>
        <w:trPr>
          <w:trHeight w:val="315"/>
        </w:trPr>
        <w:tc>
          <w:tcPr>
            <w:tcW w:w="851" w:type="dxa"/>
            <w:tcBorders>
              <w:top w:val="nil"/>
              <w:left w:val="double" w:sz="6" w:space="0" w:color="auto"/>
              <w:bottom w:val="double" w:sz="4"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Италия</w:t>
            </w:r>
          </w:p>
        </w:tc>
        <w:tc>
          <w:tcPr>
            <w:tcW w:w="850" w:type="dxa"/>
            <w:tcBorders>
              <w:top w:val="nil"/>
              <w:left w:val="nil"/>
              <w:bottom w:val="double" w:sz="4"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76,50</w:t>
            </w:r>
          </w:p>
        </w:tc>
        <w:tc>
          <w:tcPr>
            <w:tcW w:w="851" w:type="dxa"/>
            <w:tcBorders>
              <w:top w:val="nil"/>
              <w:left w:val="nil"/>
              <w:bottom w:val="double" w:sz="4"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4"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385,98</w:t>
            </w:r>
          </w:p>
        </w:tc>
        <w:tc>
          <w:tcPr>
            <w:tcW w:w="727" w:type="dxa"/>
            <w:tcBorders>
              <w:top w:val="nil"/>
              <w:left w:val="nil"/>
              <w:bottom w:val="double" w:sz="4"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4"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361,25</w:t>
            </w:r>
          </w:p>
        </w:tc>
        <w:tc>
          <w:tcPr>
            <w:tcW w:w="708" w:type="dxa"/>
            <w:tcBorders>
              <w:top w:val="nil"/>
              <w:left w:val="nil"/>
              <w:bottom w:val="double" w:sz="4"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5,24</w:t>
            </w:r>
          </w:p>
        </w:tc>
        <w:tc>
          <w:tcPr>
            <w:tcW w:w="842" w:type="dxa"/>
            <w:tcBorders>
              <w:top w:val="nil"/>
              <w:left w:val="nil"/>
              <w:bottom w:val="double" w:sz="4"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528,00</w:t>
            </w:r>
          </w:p>
        </w:tc>
        <w:tc>
          <w:tcPr>
            <w:tcW w:w="801" w:type="dxa"/>
            <w:tcBorders>
              <w:top w:val="nil"/>
              <w:left w:val="nil"/>
              <w:bottom w:val="double" w:sz="4"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14,41</w:t>
            </w:r>
          </w:p>
        </w:tc>
        <w:tc>
          <w:tcPr>
            <w:tcW w:w="898" w:type="dxa"/>
            <w:tcBorders>
              <w:top w:val="nil"/>
              <w:left w:val="nil"/>
              <w:bottom w:val="double" w:sz="4"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407,23</w:t>
            </w:r>
          </w:p>
        </w:tc>
        <w:tc>
          <w:tcPr>
            <w:tcW w:w="711" w:type="dxa"/>
            <w:tcBorders>
              <w:top w:val="nil"/>
              <w:left w:val="nil"/>
              <w:bottom w:val="double" w:sz="4"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3,96</w:t>
            </w:r>
          </w:p>
        </w:tc>
        <w:tc>
          <w:tcPr>
            <w:tcW w:w="898" w:type="dxa"/>
            <w:tcBorders>
              <w:top w:val="nil"/>
              <w:left w:val="nil"/>
              <w:bottom w:val="double" w:sz="4"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545,44</w:t>
            </w:r>
          </w:p>
        </w:tc>
        <w:tc>
          <w:tcPr>
            <w:tcW w:w="711" w:type="dxa"/>
            <w:tcBorders>
              <w:top w:val="nil"/>
              <w:left w:val="nil"/>
              <w:bottom w:val="double" w:sz="4"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4,21</w:t>
            </w:r>
          </w:p>
        </w:tc>
        <w:tc>
          <w:tcPr>
            <w:tcW w:w="981" w:type="dxa"/>
            <w:tcBorders>
              <w:top w:val="nil"/>
              <w:left w:val="nil"/>
              <w:bottom w:val="double" w:sz="4"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1 440,10</w:t>
            </w:r>
          </w:p>
        </w:tc>
        <w:tc>
          <w:tcPr>
            <w:tcW w:w="679" w:type="dxa"/>
            <w:tcBorders>
              <w:top w:val="nil"/>
              <w:left w:val="nil"/>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13,22</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1 271,35</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17,64</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576,06</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9,11</w:t>
            </w:r>
          </w:p>
        </w:tc>
      </w:tr>
      <w:tr>
        <w:trPr>
          <w:trHeight w:val="315"/>
        </w:trPr>
        <w:tc>
          <w:tcPr>
            <w:tcW w:w="851"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Литва</w:t>
            </w:r>
          </w:p>
        </w:tc>
        <w:tc>
          <w:tcPr>
            <w:tcW w:w="850"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3,29</w:t>
            </w:r>
          </w:p>
        </w:tc>
        <w:tc>
          <w:tcPr>
            <w:tcW w:w="851"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19,98</w:t>
            </w:r>
          </w:p>
        </w:tc>
        <w:tc>
          <w:tcPr>
            <w:tcW w:w="727"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17,28</w:t>
            </w:r>
          </w:p>
        </w:tc>
        <w:tc>
          <w:tcPr>
            <w:tcW w:w="708"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0,06</w:t>
            </w:r>
          </w:p>
        </w:tc>
        <w:tc>
          <w:tcPr>
            <w:tcW w:w="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28,13</w:t>
            </w:r>
          </w:p>
        </w:tc>
        <w:tc>
          <w:tcPr>
            <w:tcW w:w="801"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0,29</w:t>
            </w:r>
          </w:p>
        </w:tc>
        <w:tc>
          <w:tcPr>
            <w:tcW w:w="898"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20,76</w:t>
            </w:r>
          </w:p>
        </w:tc>
        <w:tc>
          <w:tcPr>
            <w:tcW w:w="711"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0,08</w:t>
            </w:r>
          </w:p>
        </w:tc>
        <w:tc>
          <w:tcPr>
            <w:tcW w:w="898"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31,43</w:t>
            </w:r>
          </w:p>
        </w:tc>
        <w:tc>
          <w:tcPr>
            <w:tcW w:w="711"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0,09</w:t>
            </w:r>
          </w:p>
        </w:tc>
        <w:tc>
          <w:tcPr>
            <w:tcW w:w="981"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80,11</w:t>
            </w:r>
          </w:p>
        </w:tc>
        <w:tc>
          <w:tcPr>
            <w:tcW w:w="679"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0,25</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83,69</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0,35</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39,49</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0,17</w:t>
            </w:r>
          </w:p>
        </w:tc>
      </w:tr>
      <w:tr>
        <w:trPr>
          <w:trHeight w:val="315"/>
        </w:trPr>
        <w:tc>
          <w:tcPr>
            <w:tcW w:w="851" w:type="dxa"/>
            <w:tcBorders>
              <w:top w:val="double" w:sz="4" w:space="0" w:color="auto"/>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Люксембург</w:t>
            </w:r>
          </w:p>
        </w:tc>
        <w:tc>
          <w:tcPr>
            <w:tcW w:w="850" w:type="dxa"/>
            <w:tcBorders>
              <w:top w:val="double" w:sz="4"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0,74</w:t>
            </w:r>
          </w:p>
        </w:tc>
        <w:tc>
          <w:tcPr>
            <w:tcW w:w="851" w:type="dxa"/>
            <w:tcBorders>
              <w:top w:val="double" w:sz="4"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double" w:sz="4"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4,97</w:t>
            </w:r>
          </w:p>
        </w:tc>
        <w:tc>
          <w:tcPr>
            <w:tcW w:w="727" w:type="dxa"/>
            <w:tcBorders>
              <w:top w:val="double" w:sz="4"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double" w:sz="4"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4,52</w:t>
            </w:r>
          </w:p>
        </w:tc>
        <w:tc>
          <w:tcPr>
            <w:tcW w:w="708" w:type="dxa"/>
            <w:tcBorders>
              <w:top w:val="double" w:sz="4"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0,63</w:t>
            </w:r>
          </w:p>
        </w:tc>
        <w:tc>
          <w:tcPr>
            <w:tcW w:w="842" w:type="dxa"/>
            <w:tcBorders>
              <w:top w:val="double" w:sz="4"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6,62</w:t>
            </w:r>
          </w:p>
        </w:tc>
        <w:tc>
          <w:tcPr>
            <w:tcW w:w="801" w:type="dxa"/>
            <w:tcBorders>
              <w:top w:val="double" w:sz="4"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0,22</w:t>
            </w:r>
          </w:p>
        </w:tc>
        <w:tc>
          <w:tcPr>
            <w:tcW w:w="898" w:type="dxa"/>
            <w:tcBorders>
              <w:top w:val="double" w:sz="4"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5,08</w:t>
            </w:r>
          </w:p>
        </w:tc>
        <w:tc>
          <w:tcPr>
            <w:tcW w:w="711" w:type="dxa"/>
            <w:tcBorders>
              <w:top w:val="double" w:sz="4"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0,06</w:t>
            </w:r>
          </w:p>
        </w:tc>
        <w:tc>
          <w:tcPr>
            <w:tcW w:w="898" w:type="dxa"/>
            <w:tcBorders>
              <w:top w:val="double" w:sz="4"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6,81</w:t>
            </w:r>
          </w:p>
        </w:tc>
        <w:tc>
          <w:tcPr>
            <w:tcW w:w="711" w:type="dxa"/>
            <w:tcBorders>
              <w:top w:val="double" w:sz="4"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0,07</w:t>
            </w:r>
          </w:p>
        </w:tc>
        <w:tc>
          <w:tcPr>
            <w:tcW w:w="981" w:type="dxa"/>
            <w:tcBorders>
              <w:top w:val="double" w:sz="4"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18,09</w:t>
            </w:r>
          </w:p>
        </w:tc>
        <w:tc>
          <w:tcPr>
            <w:tcW w:w="679" w:type="dxa"/>
            <w:tcBorders>
              <w:top w:val="double" w:sz="4" w:space="0" w:color="auto"/>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Cs/>
                <w:noProof/>
                <w:color w:val="000000"/>
                <w:sz w:val="18"/>
                <w:szCs w:val="18"/>
              </w:rPr>
            </w:pPr>
            <w:r>
              <w:rPr>
                <w:rFonts w:ascii="Times New Roman" w:hAnsi="Times New Roman"/>
                <w:bCs/>
                <w:noProof/>
                <w:color w:val="000000"/>
                <w:sz w:val="18"/>
                <w:szCs w:val="18"/>
              </w:rPr>
              <w:t>0,20</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noProof/>
                <w:color w:val="000000"/>
                <w:sz w:val="18"/>
                <w:szCs w:val="18"/>
              </w:rPr>
              <w:t>16,79</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b/>
                <w:bCs/>
                <w:noProof/>
                <w:color w:val="000000"/>
                <w:sz w:val="18"/>
                <w:szCs w:val="18"/>
              </w:rPr>
            </w:pPr>
            <w:r>
              <w:rPr>
                <w:rFonts w:ascii="Times New Roman" w:hAnsi="Times New Roman"/>
                <w:noProof/>
                <w:color w:val="000000"/>
                <w:sz w:val="18"/>
                <w:szCs w:val="18"/>
              </w:rPr>
              <w:t>0,28</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7,74</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0,17</w:t>
            </w:r>
          </w:p>
        </w:tc>
      </w:tr>
      <w:tr>
        <w:trPr>
          <w:trHeight w:val="315"/>
        </w:trPr>
        <w:tc>
          <w:tcPr>
            <w:tcW w:w="851"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Латвия</w:t>
            </w:r>
          </w:p>
        </w:tc>
        <w:tc>
          <w:tcPr>
            <w:tcW w:w="850" w:type="dxa"/>
            <w:tcBorders>
              <w:top w:val="double" w:sz="6"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2,13</w:t>
            </w:r>
          </w:p>
        </w:tc>
        <w:tc>
          <w:tcPr>
            <w:tcW w:w="851" w:type="dxa"/>
            <w:tcBorders>
              <w:top w:val="double" w:sz="6"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double" w:sz="6"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10,79</w:t>
            </w:r>
          </w:p>
        </w:tc>
        <w:tc>
          <w:tcPr>
            <w:tcW w:w="727" w:type="dxa"/>
            <w:tcBorders>
              <w:top w:val="double" w:sz="6"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double" w:sz="6"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10,08</w:t>
            </w:r>
          </w:p>
        </w:tc>
        <w:tc>
          <w:tcPr>
            <w:tcW w:w="708" w:type="dxa"/>
            <w:tcBorders>
              <w:top w:val="double" w:sz="6"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0,14</w:t>
            </w:r>
          </w:p>
        </w:tc>
        <w:tc>
          <w:tcPr>
            <w:tcW w:w="842" w:type="dxa"/>
            <w:tcBorders>
              <w:top w:val="double" w:sz="6"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14,76</w:t>
            </w:r>
          </w:p>
        </w:tc>
        <w:tc>
          <w:tcPr>
            <w:tcW w:w="801" w:type="dxa"/>
            <w:tcBorders>
              <w:top w:val="double" w:sz="6"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0,53</w:t>
            </w:r>
          </w:p>
        </w:tc>
        <w:tc>
          <w:tcPr>
            <w:tcW w:w="898" w:type="dxa"/>
            <w:tcBorders>
              <w:top w:val="double" w:sz="6"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11,36</w:t>
            </w:r>
          </w:p>
        </w:tc>
        <w:tc>
          <w:tcPr>
            <w:tcW w:w="711" w:type="dxa"/>
            <w:tcBorders>
              <w:top w:val="double" w:sz="6"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0,15</w:t>
            </w:r>
          </w:p>
        </w:tc>
        <w:tc>
          <w:tcPr>
            <w:tcW w:w="898" w:type="dxa"/>
            <w:tcBorders>
              <w:top w:val="double" w:sz="6"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15,24</w:t>
            </w:r>
          </w:p>
        </w:tc>
        <w:tc>
          <w:tcPr>
            <w:tcW w:w="711" w:type="dxa"/>
            <w:tcBorders>
              <w:top w:val="double" w:sz="6"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0,15</w:t>
            </w:r>
          </w:p>
        </w:tc>
        <w:tc>
          <w:tcPr>
            <w:tcW w:w="981" w:type="dxa"/>
            <w:tcBorders>
              <w:top w:val="double" w:sz="6" w:space="0" w:color="auto"/>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40,20</w:t>
            </w:r>
          </w:p>
        </w:tc>
        <w:tc>
          <w:tcPr>
            <w:tcW w:w="679" w:type="dxa"/>
            <w:tcBorders>
              <w:top w:val="double" w:sz="6" w:space="0" w:color="auto"/>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0,49</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41,92</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0,66</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18,58</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0,33</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Малта</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0,27</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4,47</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3,81</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0,10</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5,62</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0,57</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4,30</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0,16</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5,78</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0,17</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15,19</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0,52</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15,21</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0,71</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6,97</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0,37</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Нидерландия</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25,61</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134,24</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125,63</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5,47</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183,57</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3,68</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141,59</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1,01</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189,63</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1,07</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500,84</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3,37</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435,64</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4,50</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197,44</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2,33</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Полша</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244,02</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78,01</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129,84</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2,98</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135,57</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0,58</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505,31</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0,69</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1 209,98</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1,59</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2 545,94</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2,89</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1 384,13</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4,38</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Португалия</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10,65</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72,78</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65,82</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1,27</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96,32</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2,89</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74,29</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0,79</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99,50</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0,85</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262,96</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2,65</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253,58</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3,53</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115,37</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1,83</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Румъния</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39,71</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122,74</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97,57</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0,32</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193,62</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1,60</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193,56</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0,44</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260,29</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0,47</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717,64</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1,45</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747,87</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1,95</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369,33</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1,00</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Швеция</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7,07</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35,67</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33,34</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1,02</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48,79</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3,63</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37,61</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1,00</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50,45</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1,06</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132,98</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3,34</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124,1</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4,43</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56,52</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2,29</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Словения</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3,51</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17,74</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16,59</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0,05</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24,28</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0,14</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18,70</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0,04</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25,05</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0,04</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66,19</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0,12</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65,14</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0,16</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29,42</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0,08</w:t>
            </w:r>
          </w:p>
        </w:tc>
      </w:tr>
      <w:tr>
        <w:trPr>
          <w:trHeight w:val="315"/>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Словакия</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12,19</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61,70</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57,59</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0,04</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84.31</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0,20</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64,99</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0,06</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87,01</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0,06</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229,74</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0,18</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244,47</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0,24</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111,50</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0,12</w:t>
            </w:r>
          </w:p>
        </w:tc>
      </w:tr>
      <w:tr>
        <w:trPr>
          <w:trHeight w:val="373"/>
        </w:trPr>
        <w:tc>
          <w:tcPr>
            <w:tcW w:w="851" w:type="dxa"/>
            <w:tcBorders>
              <w:top w:val="nil"/>
              <w:left w:val="double" w:sz="6" w:space="0" w:color="auto"/>
              <w:bottom w:val="double" w:sz="6" w:space="0" w:color="auto"/>
              <w:right w:val="double" w:sz="6" w:space="0" w:color="auto"/>
            </w:tcBorders>
            <w:shd w:val="clear" w:color="auto" w:fill="auto"/>
            <w:noWrap/>
            <w:vAlign w:val="bottom"/>
            <w:hideMark/>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Обединеното кралство</w:t>
            </w:r>
          </w:p>
        </w:tc>
        <w:tc>
          <w:tcPr>
            <w:tcW w:w="850"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75,74</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3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409,63</w:t>
            </w:r>
          </w:p>
        </w:tc>
        <w:tc>
          <w:tcPr>
            <w:tcW w:w="727"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85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387,42</w:t>
            </w:r>
          </w:p>
        </w:tc>
        <w:tc>
          <w:tcPr>
            <w:tcW w:w="70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14,08</w:t>
            </w:r>
          </w:p>
        </w:tc>
        <w:tc>
          <w:tcPr>
            <w:tcW w:w="842"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567,72</w:t>
            </w:r>
          </w:p>
        </w:tc>
        <w:tc>
          <w:tcPr>
            <w:tcW w:w="80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18,54</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418,96</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5,37</w:t>
            </w:r>
          </w:p>
        </w:tc>
        <w:tc>
          <w:tcPr>
            <w:tcW w:w="898"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604,02</w:t>
            </w:r>
          </w:p>
        </w:tc>
        <w:tc>
          <w:tcPr>
            <w:tcW w:w="71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5,30</w:t>
            </w:r>
          </w:p>
        </w:tc>
        <w:tc>
          <w:tcPr>
            <w:tcW w:w="981" w:type="dxa"/>
            <w:tcBorders>
              <w:top w:val="nil"/>
              <w:left w:val="nil"/>
              <w:bottom w:val="double" w:sz="6" w:space="0" w:color="auto"/>
              <w:right w:val="double" w:sz="6"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1 607,32</w:t>
            </w:r>
          </w:p>
        </w:tc>
        <w:tc>
          <w:tcPr>
            <w:tcW w:w="679" w:type="dxa"/>
            <w:tcBorders>
              <w:top w:val="nil"/>
              <w:left w:val="nil"/>
              <w:bottom w:val="double" w:sz="6"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0,00</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1 043,32</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color w:val="000000"/>
                <w:sz w:val="18"/>
                <w:szCs w:val="18"/>
              </w:rPr>
              <w:t>0,83</w:t>
            </w:r>
          </w:p>
        </w:tc>
      </w:tr>
      <w:tr>
        <w:trPr>
          <w:trHeight w:val="315"/>
        </w:trPr>
        <w:tc>
          <w:tcPr>
            <w:tcW w:w="851" w:type="dxa"/>
            <w:tcBorders>
              <w:top w:val="double" w:sz="4" w:space="0" w:color="auto"/>
              <w:left w:val="double" w:sz="6" w:space="0" w:color="auto"/>
              <w:bottom w:val="double" w:sz="6" w:space="0" w:color="auto"/>
              <w:right w:val="double" w:sz="6" w:space="0" w:color="auto"/>
            </w:tcBorders>
            <w:shd w:val="clear" w:color="auto" w:fill="auto"/>
            <w:noWrap/>
            <w:vAlign w:val="bottom"/>
          </w:tcPr>
          <w:p>
            <w:pPr>
              <w:spacing w:after="0" w:line="240" w:lineRule="auto"/>
              <w:ind w:right="-265"/>
              <w:rPr>
                <w:rFonts w:ascii="Times New Roman" w:eastAsia="Times New Roman" w:hAnsi="Times New Roman"/>
                <w:b/>
                <w:bCs/>
                <w:noProof/>
                <w:color w:val="000000"/>
                <w:sz w:val="20"/>
                <w:szCs w:val="20"/>
              </w:rPr>
            </w:pPr>
            <w:r>
              <w:rPr>
                <w:rFonts w:ascii="Times New Roman" w:hAnsi="Times New Roman"/>
                <w:b/>
                <w:bCs/>
                <w:noProof/>
                <w:color w:val="000000"/>
                <w:sz w:val="20"/>
                <w:szCs w:val="20"/>
              </w:rPr>
              <w:t>ОБЩО</w:t>
            </w:r>
          </w:p>
        </w:tc>
        <w:tc>
          <w:tcPr>
            <w:tcW w:w="850" w:type="dxa"/>
            <w:tcBorders>
              <w:top w:val="double" w:sz="4" w:space="0" w:color="auto"/>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b/>
                <w:noProof/>
                <w:color w:val="000000"/>
                <w:sz w:val="18"/>
                <w:szCs w:val="18"/>
              </w:rPr>
            </w:pPr>
            <w:r>
              <w:rPr>
                <w:rFonts w:ascii="Times New Roman" w:hAnsi="Times New Roman"/>
                <w:b/>
                <w:noProof/>
                <w:color w:val="000000"/>
                <w:sz w:val="18"/>
                <w:szCs w:val="18"/>
              </w:rPr>
              <w:t>603,52</w:t>
            </w:r>
          </w:p>
        </w:tc>
        <w:tc>
          <w:tcPr>
            <w:tcW w:w="851" w:type="dxa"/>
            <w:tcBorders>
              <w:top w:val="double" w:sz="4" w:space="0" w:color="auto"/>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b/>
                <w:noProof/>
                <w:color w:val="000000"/>
                <w:sz w:val="18"/>
                <w:szCs w:val="18"/>
              </w:rPr>
            </w:pPr>
            <w:r>
              <w:rPr>
                <w:rFonts w:ascii="Times New Roman" w:hAnsi="Times New Roman"/>
                <w:b/>
                <w:noProof/>
                <w:color w:val="000000"/>
                <w:sz w:val="18"/>
                <w:szCs w:val="18"/>
              </w:rPr>
              <w:t>17,53</w:t>
            </w:r>
          </w:p>
        </w:tc>
        <w:tc>
          <w:tcPr>
            <w:tcW w:w="832" w:type="dxa"/>
            <w:tcBorders>
              <w:top w:val="double" w:sz="4" w:space="0" w:color="auto"/>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b/>
                <w:noProof/>
                <w:color w:val="000000"/>
                <w:sz w:val="18"/>
                <w:szCs w:val="18"/>
              </w:rPr>
            </w:pPr>
            <w:r>
              <w:rPr>
                <w:rFonts w:ascii="Times New Roman" w:hAnsi="Times New Roman"/>
                <w:b/>
                <w:noProof/>
                <w:color w:val="000000"/>
                <w:sz w:val="18"/>
                <w:szCs w:val="18"/>
              </w:rPr>
              <w:t>3 550,73</w:t>
            </w:r>
          </w:p>
        </w:tc>
        <w:tc>
          <w:tcPr>
            <w:tcW w:w="727" w:type="dxa"/>
            <w:tcBorders>
              <w:top w:val="double" w:sz="4" w:space="0" w:color="auto"/>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b/>
                <w:noProof/>
                <w:color w:val="000000"/>
                <w:sz w:val="18"/>
                <w:szCs w:val="18"/>
              </w:rPr>
            </w:pPr>
            <w:r>
              <w:rPr>
                <w:rFonts w:ascii="Times New Roman" w:hAnsi="Times New Roman"/>
                <w:b/>
                <w:noProof/>
                <w:color w:val="000000"/>
                <w:sz w:val="18"/>
                <w:szCs w:val="18"/>
              </w:rPr>
              <w:t>0,00</w:t>
            </w:r>
          </w:p>
        </w:tc>
        <w:tc>
          <w:tcPr>
            <w:tcW w:w="851" w:type="dxa"/>
            <w:tcBorders>
              <w:top w:val="double" w:sz="4" w:space="0" w:color="auto"/>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b/>
                <w:noProof/>
                <w:color w:val="000000"/>
                <w:sz w:val="18"/>
                <w:szCs w:val="18"/>
              </w:rPr>
            </w:pPr>
            <w:r>
              <w:rPr>
                <w:rFonts w:ascii="Times New Roman" w:hAnsi="Times New Roman"/>
                <w:b/>
                <w:noProof/>
                <w:color w:val="000000"/>
                <w:sz w:val="18"/>
                <w:szCs w:val="18"/>
              </w:rPr>
              <w:t>3 115,11</w:t>
            </w:r>
          </w:p>
        </w:tc>
        <w:tc>
          <w:tcPr>
            <w:tcW w:w="708" w:type="dxa"/>
            <w:tcBorders>
              <w:top w:val="double" w:sz="4" w:space="0" w:color="auto"/>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b/>
                <w:noProof/>
                <w:color w:val="000000"/>
                <w:sz w:val="18"/>
                <w:szCs w:val="18"/>
              </w:rPr>
            </w:pPr>
            <w:r>
              <w:rPr>
                <w:rFonts w:ascii="Times New Roman" w:hAnsi="Times New Roman"/>
                <w:b/>
                <w:noProof/>
                <w:color w:val="000000"/>
                <w:sz w:val="18"/>
                <w:szCs w:val="18"/>
              </w:rPr>
              <w:t>53,53</w:t>
            </w:r>
          </w:p>
        </w:tc>
        <w:tc>
          <w:tcPr>
            <w:tcW w:w="842" w:type="dxa"/>
            <w:tcBorders>
              <w:top w:val="double" w:sz="4" w:space="0" w:color="auto"/>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b/>
                <w:noProof/>
                <w:color w:val="000000"/>
                <w:sz w:val="18"/>
                <w:szCs w:val="18"/>
              </w:rPr>
            </w:pPr>
            <w:r>
              <w:rPr>
                <w:rFonts w:ascii="Times New Roman" w:hAnsi="Times New Roman"/>
                <w:b/>
                <w:noProof/>
                <w:color w:val="000000"/>
                <w:sz w:val="18"/>
                <w:szCs w:val="18"/>
              </w:rPr>
              <w:t>4 815,97</w:t>
            </w:r>
          </w:p>
        </w:tc>
        <w:tc>
          <w:tcPr>
            <w:tcW w:w="801" w:type="dxa"/>
            <w:tcBorders>
              <w:top w:val="double" w:sz="4" w:space="0" w:color="auto"/>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b/>
                <w:noProof/>
                <w:color w:val="000000"/>
                <w:sz w:val="18"/>
                <w:szCs w:val="18"/>
              </w:rPr>
            </w:pPr>
            <w:r>
              <w:rPr>
                <w:rFonts w:ascii="Times New Roman" w:hAnsi="Times New Roman"/>
                <w:b/>
                <w:noProof/>
                <w:color w:val="000000"/>
                <w:sz w:val="18"/>
                <w:szCs w:val="18"/>
              </w:rPr>
              <w:t>117,26</w:t>
            </w:r>
          </w:p>
        </w:tc>
        <w:tc>
          <w:tcPr>
            <w:tcW w:w="898" w:type="dxa"/>
            <w:tcBorders>
              <w:top w:val="double" w:sz="4" w:space="0" w:color="auto"/>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b/>
                <w:noProof/>
                <w:color w:val="000000"/>
                <w:sz w:val="18"/>
                <w:szCs w:val="18"/>
              </w:rPr>
            </w:pPr>
            <w:r>
              <w:rPr>
                <w:rFonts w:ascii="Times New Roman" w:hAnsi="Times New Roman"/>
                <w:b/>
                <w:noProof/>
                <w:color w:val="000000"/>
                <w:sz w:val="18"/>
                <w:szCs w:val="18"/>
              </w:rPr>
              <w:t>3 761,57</w:t>
            </w:r>
          </w:p>
        </w:tc>
        <w:tc>
          <w:tcPr>
            <w:tcW w:w="711" w:type="dxa"/>
            <w:tcBorders>
              <w:top w:val="double" w:sz="4" w:space="0" w:color="auto"/>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b/>
                <w:noProof/>
                <w:color w:val="000000"/>
                <w:sz w:val="18"/>
                <w:szCs w:val="18"/>
              </w:rPr>
            </w:pPr>
            <w:r>
              <w:rPr>
                <w:rFonts w:ascii="Times New Roman" w:hAnsi="Times New Roman"/>
                <w:b/>
                <w:noProof/>
                <w:color w:val="000000"/>
                <w:sz w:val="18"/>
                <w:szCs w:val="18"/>
              </w:rPr>
              <w:t>32,28</w:t>
            </w:r>
          </w:p>
        </w:tc>
        <w:tc>
          <w:tcPr>
            <w:tcW w:w="898" w:type="dxa"/>
            <w:tcBorders>
              <w:top w:val="double" w:sz="4" w:space="0" w:color="auto"/>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b/>
                <w:noProof/>
                <w:color w:val="000000"/>
                <w:sz w:val="18"/>
                <w:szCs w:val="18"/>
              </w:rPr>
            </w:pPr>
            <w:r>
              <w:rPr>
                <w:rFonts w:ascii="Times New Roman" w:hAnsi="Times New Roman"/>
                <w:b/>
                <w:noProof/>
                <w:color w:val="000000"/>
                <w:sz w:val="18"/>
                <w:szCs w:val="18"/>
              </w:rPr>
              <w:t>5 490,60</w:t>
            </w:r>
          </w:p>
        </w:tc>
        <w:tc>
          <w:tcPr>
            <w:tcW w:w="711" w:type="dxa"/>
            <w:tcBorders>
              <w:top w:val="double" w:sz="4" w:space="0" w:color="auto"/>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b/>
                <w:noProof/>
                <w:color w:val="000000"/>
                <w:sz w:val="18"/>
                <w:szCs w:val="18"/>
              </w:rPr>
            </w:pPr>
            <w:r>
              <w:rPr>
                <w:rFonts w:ascii="Times New Roman" w:hAnsi="Times New Roman"/>
                <w:b/>
                <w:noProof/>
                <w:color w:val="000000"/>
                <w:sz w:val="18"/>
                <w:szCs w:val="18"/>
              </w:rPr>
              <w:t>34,14</w:t>
            </w:r>
          </w:p>
        </w:tc>
        <w:tc>
          <w:tcPr>
            <w:tcW w:w="981" w:type="dxa"/>
            <w:tcBorders>
              <w:top w:val="double" w:sz="4" w:space="0" w:color="auto"/>
              <w:left w:val="nil"/>
              <w:bottom w:val="double" w:sz="6" w:space="0" w:color="auto"/>
              <w:right w:val="double" w:sz="6" w:space="0" w:color="auto"/>
            </w:tcBorders>
            <w:shd w:val="clear" w:color="auto" w:fill="auto"/>
            <w:noWrap/>
            <w:vAlign w:val="bottom"/>
          </w:tcPr>
          <w:p>
            <w:pPr>
              <w:spacing w:after="0" w:line="240" w:lineRule="auto"/>
              <w:jc w:val="right"/>
              <w:rPr>
                <w:rFonts w:ascii="Times New Roman" w:eastAsia="Times New Roman" w:hAnsi="Times New Roman"/>
                <w:b/>
                <w:noProof/>
                <w:color w:val="000000"/>
                <w:sz w:val="18"/>
                <w:szCs w:val="18"/>
              </w:rPr>
            </w:pPr>
            <w:r>
              <w:rPr>
                <w:rFonts w:ascii="Times New Roman" w:hAnsi="Times New Roman"/>
                <w:b/>
                <w:noProof/>
                <w:color w:val="000000"/>
                <w:sz w:val="18"/>
                <w:szCs w:val="18"/>
              </w:rPr>
              <w:t>14 090,23</w:t>
            </w:r>
          </w:p>
        </w:tc>
        <w:tc>
          <w:tcPr>
            <w:tcW w:w="679" w:type="dxa"/>
            <w:tcBorders>
              <w:top w:val="double" w:sz="4" w:space="0" w:color="auto"/>
              <w:left w:val="nil"/>
              <w:bottom w:val="double" w:sz="6" w:space="0" w:color="auto"/>
              <w:right w:val="double" w:sz="4" w:space="0" w:color="auto"/>
            </w:tcBorders>
            <w:shd w:val="clear" w:color="auto" w:fill="auto"/>
            <w:noWrap/>
            <w:vAlign w:val="bottom"/>
          </w:tcPr>
          <w:p>
            <w:pPr>
              <w:spacing w:after="0" w:line="240" w:lineRule="auto"/>
              <w:jc w:val="right"/>
              <w:rPr>
                <w:rFonts w:ascii="Times New Roman" w:eastAsia="Times New Roman" w:hAnsi="Times New Roman"/>
                <w:b/>
                <w:noProof/>
                <w:color w:val="000000"/>
                <w:sz w:val="18"/>
                <w:szCs w:val="18"/>
              </w:rPr>
            </w:pPr>
            <w:r>
              <w:rPr>
                <w:rFonts w:ascii="Times New Roman" w:hAnsi="Times New Roman"/>
                <w:b/>
                <w:noProof/>
                <w:color w:val="000000"/>
                <w:sz w:val="18"/>
                <w:szCs w:val="18"/>
              </w:rPr>
              <w:t>90,27</w:t>
            </w:r>
          </w:p>
        </w:tc>
        <w:tc>
          <w:tcPr>
            <w:tcW w:w="98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b/>
                <w:noProof/>
                <w:color w:val="000000"/>
                <w:sz w:val="18"/>
                <w:szCs w:val="18"/>
              </w:rPr>
            </w:pPr>
            <w:r>
              <w:rPr>
                <w:rFonts w:ascii="Times New Roman" w:hAnsi="Times New Roman"/>
                <w:b/>
                <w:bCs/>
                <w:noProof/>
                <w:color w:val="000000"/>
                <w:sz w:val="18"/>
                <w:szCs w:val="18"/>
              </w:rPr>
              <w:t>14 002,17</w:t>
            </w:r>
          </w:p>
        </w:tc>
        <w:tc>
          <w:tcPr>
            <w:tcW w:w="801"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b/>
                <w:noProof/>
                <w:color w:val="000000"/>
                <w:sz w:val="18"/>
                <w:szCs w:val="18"/>
              </w:rPr>
            </w:pPr>
            <w:r>
              <w:rPr>
                <w:rFonts w:ascii="Times New Roman" w:hAnsi="Times New Roman"/>
                <w:b/>
                <w:bCs/>
                <w:noProof/>
                <w:color w:val="000000"/>
                <w:sz w:val="18"/>
                <w:szCs w:val="18"/>
              </w:rPr>
              <w:t>117,37</w:t>
            </w:r>
          </w:p>
        </w:tc>
        <w:tc>
          <w:tcPr>
            <w:tcW w:w="837" w:type="dxa"/>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b/>
                <w:noProof/>
                <w:color w:val="000000"/>
                <w:sz w:val="18"/>
                <w:szCs w:val="18"/>
              </w:rPr>
            </w:pPr>
            <w:r>
              <w:rPr>
                <w:rFonts w:ascii="Times New Roman" w:hAnsi="Times New Roman"/>
                <w:b/>
                <w:noProof/>
                <w:color w:val="000000"/>
                <w:sz w:val="18"/>
                <w:szCs w:val="18"/>
              </w:rPr>
              <w:t>7 436,36</w:t>
            </w:r>
          </w:p>
        </w:tc>
        <w:tc>
          <w:tcPr>
            <w:tcW w:w="713" w:type="dxa"/>
            <w:gridSpan w:val="2"/>
            <w:tcBorders>
              <w:top w:val="double" w:sz="4" w:space="0" w:color="auto"/>
              <w:left w:val="double" w:sz="4" w:space="0" w:color="auto"/>
              <w:bottom w:val="double" w:sz="4" w:space="0" w:color="auto"/>
              <w:right w:val="double" w:sz="4" w:space="0" w:color="auto"/>
            </w:tcBorders>
            <w:vAlign w:val="bottom"/>
          </w:tcPr>
          <w:p>
            <w:pPr>
              <w:spacing w:after="0" w:line="240" w:lineRule="auto"/>
              <w:jc w:val="right"/>
              <w:rPr>
                <w:rFonts w:ascii="Times New Roman" w:eastAsia="Times New Roman" w:hAnsi="Times New Roman"/>
                <w:b/>
                <w:noProof/>
                <w:color w:val="000000"/>
                <w:sz w:val="18"/>
                <w:szCs w:val="18"/>
              </w:rPr>
            </w:pPr>
            <w:r>
              <w:rPr>
                <w:rFonts w:ascii="Times New Roman" w:hAnsi="Times New Roman"/>
                <w:b/>
                <w:noProof/>
                <w:color w:val="000000"/>
                <w:sz w:val="18"/>
                <w:szCs w:val="18"/>
              </w:rPr>
              <w:t>55,11</w:t>
            </w:r>
          </w:p>
        </w:tc>
      </w:tr>
    </w:tbl>
    <w:p>
      <w:pPr>
        <w:rPr>
          <w:rFonts w:ascii="Times New Roman" w:hAnsi="Times New Roman"/>
          <w:b/>
          <w:noProof/>
          <w:sz w:val="20"/>
          <w:szCs w:val="20"/>
        </w:rPr>
      </w:pPr>
    </w:p>
    <w:p>
      <w:pPr>
        <w:rPr>
          <w:rFonts w:ascii="Times New Roman" w:hAnsi="Times New Roman"/>
          <w:b/>
          <w:noProof/>
        </w:rPr>
        <w:sectPr>
          <w:headerReference w:type="even" r:id="rId36"/>
          <w:headerReference w:type="default" r:id="rId37"/>
          <w:footerReference w:type="even" r:id="rId38"/>
          <w:footerReference w:type="default" r:id="rId39"/>
          <w:headerReference w:type="first" r:id="rId40"/>
          <w:footerReference w:type="first" r:id="rId41"/>
          <w:pgSz w:w="16838" w:h="11906" w:orient="landscape"/>
          <w:pgMar w:top="1440" w:right="1440" w:bottom="1440" w:left="1440" w:header="709" w:footer="709" w:gutter="0"/>
          <w:cols w:space="720"/>
          <w:docGrid w:linePitch="360"/>
        </w:sectPr>
      </w:pPr>
    </w:p>
    <w:p>
      <w:pPr>
        <w:rPr>
          <w:rFonts w:ascii="Times New Roman" w:hAnsi="Times New Roman"/>
          <w:b/>
          <w:noProof/>
          <w:sz w:val="20"/>
          <w:szCs w:val="20"/>
        </w:rPr>
      </w:pPr>
      <w:r>
        <w:rPr>
          <w:rFonts w:ascii="Times New Roman" w:hAnsi="Times New Roman"/>
          <w:b/>
          <w:noProof/>
          <w:sz w:val="20"/>
          <w:szCs w:val="20"/>
        </w:rPr>
        <w:t>Таблица 2.2: Приходи, генерирани</w:t>
      </w:r>
      <w:r>
        <w:rPr>
          <w:rFonts w:ascii="Times New Roman" w:hAnsi="Times New Roman"/>
          <w:b/>
          <w:bCs/>
          <w:noProof/>
          <w:color w:val="000000"/>
          <w:sz w:val="20"/>
          <w:szCs w:val="20"/>
        </w:rPr>
        <w:t xml:space="preserve"> от тръжната продажба на квоти за емисии</w:t>
      </w:r>
      <w:r>
        <w:rPr>
          <w:rFonts w:ascii="Times New Roman" w:hAnsi="Times New Roman"/>
          <w:b/>
          <w:noProof/>
          <w:sz w:val="20"/>
          <w:szCs w:val="20"/>
        </w:rPr>
        <w:t xml:space="preserve"> от държавите от ЕИП за периода 2019—30 юни 2020 г. </w:t>
      </w:r>
      <w:r>
        <w:rPr>
          <w:rFonts w:ascii="Times New Roman" w:hAnsi="Times New Roman"/>
          <w:b/>
          <w:bCs/>
          <w:noProof/>
          <w:color w:val="000000"/>
          <w:sz w:val="20"/>
          <w:szCs w:val="20"/>
        </w:rPr>
        <w:t>(в млн. евро)</w:t>
      </w:r>
      <w:r>
        <w:rPr>
          <w:rStyle w:val="FootnoteReference"/>
          <w:rFonts w:ascii="Times New Roman" w:hAnsi="Times New Roman"/>
          <w:b/>
          <w:noProof/>
          <w:sz w:val="20"/>
          <w:szCs w:val="20"/>
        </w:rPr>
        <w:footnoteReference w:id="91"/>
      </w:r>
    </w:p>
    <w:tbl>
      <w:tblPr>
        <w:tblW w:w="5662" w:type="dxa"/>
        <w:tblInd w:w="108" w:type="dxa"/>
        <w:tblLook w:val="04A0" w:firstRow="1" w:lastRow="0" w:firstColumn="1" w:lastColumn="0" w:noHBand="0" w:noVBand="1"/>
      </w:tblPr>
      <w:tblGrid>
        <w:gridCol w:w="1382"/>
        <w:gridCol w:w="1190"/>
        <w:gridCol w:w="1360"/>
        <w:gridCol w:w="756"/>
        <w:gridCol w:w="1360"/>
      </w:tblGrid>
      <w:tr>
        <w:trPr>
          <w:trHeight w:val="283"/>
        </w:trPr>
        <w:tc>
          <w:tcPr>
            <w:tcW w:w="595" w:type="dxa"/>
            <w:vMerge w:val="restart"/>
            <w:tcBorders>
              <w:top w:val="double" w:sz="6" w:space="0" w:color="auto"/>
              <w:left w:val="double" w:sz="6" w:space="0" w:color="auto"/>
              <w:right w:val="double" w:sz="6" w:space="0" w:color="auto"/>
            </w:tcBorders>
            <w:shd w:val="clear" w:color="auto" w:fill="auto"/>
            <w:noWrap/>
            <w:vAlign w:val="center"/>
            <w:hideMark/>
          </w:tcPr>
          <w:p>
            <w:pPr>
              <w:spacing w:after="0" w:line="240" w:lineRule="auto"/>
              <w:jc w:val="center"/>
              <w:rPr>
                <w:rFonts w:ascii="Times New Roman" w:eastAsia="Times New Roman" w:hAnsi="Times New Roman"/>
                <w:noProof/>
                <w:color w:val="000000"/>
                <w:sz w:val="20"/>
                <w:szCs w:val="20"/>
              </w:rPr>
            </w:pPr>
            <w:r>
              <w:rPr>
                <w:rFonts w:ascii="Times New Roman" w:hAnsi="Times New Roman"/>
                <w:noProof/>
                <w:color w:val="000000"/>
                <w:sz w:val="20"/>
                <w:szCs w:val="20"/>
              </w:rPr>
              <w:t xml:space="preserve"> </w:t>
            </w:r>
          </w:p>
          <w:p>
            <w:pPr>
              <w:spacing w:after="0" w:line="240" w:lineRule="auto"/>
              <w:rPr>
                <w:rFonts w:ascii="Times New Roman" w:eastAsia="Times New Roman" w:hAnsi="Times New Roman"/>
                <w:noProof/>
                <w:color w:val="000000"/>
                <w:sz w:val="20"/>
                <w:szCs w:val="20"/>
              </w:rPr>
            </w:pPr>
            <w:r>
              <w:rPr>
                <w:rFonts w:ascii="Times New Roman" w:hAnsi="Times New Roman"/>
                <w:b/>
                <w:bCs/>
                <w:noProof/>
                <w:color w:val="000000"/>
                <w:sz w:val="20"/>
                <w:szCs w:val="20"/>
              </w:rPr>
              <w:t xml:space="preserve"> </w:t>
            </w:r>
          </w:p>
        </w:tc>
        <w:tc>
          <w:tcPr>
            <w:tcW w:w="1785" w:type="dxa"/>
            <w:gridSpan w:val="2"/>
            <w:tcBorders>
              <w:top w:val="double" w:sz="6" w:space="0" w:color="auto"/>
              <w:left w:val="nil"/>
              <w:bottom w:val="double" w:sz="6" w:space="0" w:color="auto"/>
              <w:right w:val="double" w:sz="6" w:space="0" w:color="000000"/>
            </w:tcBorders>
            <w:shd w:val="clear" w:color="auto" w:fill="auto"/>
            <w:noWrap/>
            <w:vAlign w:val="center"/>
            <w:hideMark/>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2019 г.</w:t>
            </w:r>
          </w:p>
        </w:tc>
        <w:tc>
          <w:tcPr>
            <w:tcW w:w="3282" w:type="dxa"/>
            <w:gridSpan w:val="2"/>
            <w:tcBorders>
              <w:top w:val="double" w:sz="6" w:space="0" w:color="auto"/>
              <w:left w:val="nil"/>
              <w:bottom w:val="double" w:sz="6" w:space="0" w:color="auto"/>
              <w:right w:val="double" w:sz="6" w:space="0" w:color="000000"/>
            </w:tcBorders>
          </w:tcPr>
          <w:p>
            <w:pPr>
              <w:spacing w:after="0" w:line="240" w:lineRule="auto"/>
              <w:jc w:val="center"/>
              <w:rPr>
                <w:rFonts w:ascii="Times New Roman" w:eastAsia="Times New Roman" w:hAnsi="Times New Roman"/>
                <w:b/>
                <w:bCs/>
                <w:noProof/>
                <w:color w:val="000000"/>
                <w:sz w:val="20"/>
                <w:szCs w:val="20"/>
              </w:rPr>
            </w:pPr>
            <w:r>
              <w:rPr>
                <w:rFonts w:ascii="Times New Roman" w:hAnsi="Times New Roman"/>
                <w:b/>
                <w:bCs/>
                <w:noProof/>
                <w:color w:val="000000"/>
                <w:sz w:val="20"/>
                <w:szCs w:val="20"/>
              </w:rPr>
              <w:t>2020 г.</w:t>
            </w:r>
          </w:p>
        </w:tc>
      </w:tr>
      <w:tr>
        <w:trPr>
          <w:trHeight w:val="283"/>
        </w:trPr>
        <w:tc>
          <w:tcPr>
            <w:tcW w:w="595" w:type="dxa"/>
            <w:vMerge/>
            <w:tcBorders>
              <w:left w:val="double" w:sz="6" w:space="0" w:color="auto"/>
              <w:bottom w:val="double" w:sz="6" w:space="0" w:color="auto"/>
              <w:right w:val="double" w:sz="6" w:space="0" w:color="auto"/>
            </w:tcBorders>
            <w:shd w:val="clear" w:color="auto" w:fill="auto"/>
            <w:noWrap/>
            <w:vAlign w:val="center"/>
            <w:hideMark/>
          </w:tcPr>
          <w:p>
            <w:pPr>
              <w:spacing w:after="0" w:line="240" w:lineRule="auto"/>
              <w:rPr>
                <w:rFonts w:ascii="Times New Roman" w:eastAsia="Times New Roman" w:hAnsi="Times New Roman"/>
                <w:b/>
                <w:bCs/>
                <w:noProof/>
                <w:color w:val="000000"/>
                <w:sz w:val="20"/>
                <w:szCs w:val="20"/>
                <w:lang w:eastAsia="en-IE"/>
              </w:rPr>
            </w:pPr>
          </w:p>
        </w:tc>
        <w:tc>
          <w:tcPr>
            <w:tcW w:w="1190" w:type="dxa"/>
            <w:tcBorders>
              <w:top w:val="nil"/>
              <w:left w:val="nil"/>
              <w:bottom w:val="double" w:sz="6" w:space="0" w:color="auto"/>
              <w:right w:val="double" w:sz="6" w:space="0" w:color="auto"/>
            </w:tcBorders>
            <w:shd w:val="clear" w:color="auto" w:fill="auto"/>
            <w:vAlign w:val="center"/>
            <w:hideMark/>
          </w:tcPr>
          <w:p>
            <w:pPr>
              <w:spacing w:after="0" w:line="240" w:lineRule="auto"/>
              <w:jc w:val="center"/>
              <w:rPr>
                <w:rFonts w:ascii="Times New Roman" w:eastAsia="Times New Roman" w:hAnsi="Times New Roman"/>
                <w:b/>
                <w:noProof/>
                <w:color w:val="000000"/>
                <w:sz w:val="20"/>
                <w:szCs w:val="20"/>
              </w:rPr>
            </w:pPr>
            <w:r>
              <w:rPr>
                <w:rFonts w:ascii="Times New Roman" w:hAnsi="Times New Roman"/>
                <w:b/>
                <w:noProof/>
                <w:color w:val="000000"/>
                <w:sz w:val="20"/>
                <w:szCs w:val="20"/>
              </w:rPr>
              <w:t>Общи</w:t>
            </w:r>
          </w:p>
        </w:tc>
        <w:tc>
          <w:tcPr>
            <w:tcW w:w="595" w:type="dxa"/>
            <w:tcBorders>
              <w:top w:val="nil"/>
              <w:left w:val="nil"/>
              <w:bottom w:val="double" w:sz="6" w:space="0" w:color="auto"/>
              <w:right w:val="double" w:sz="6" w:space="0" w:color="auto"/>
            </w:tcBorders>
            <w:shd w:val="clear" w:color="auto" w:fill="auto"/>
            <w:vAlign w:val="center"/>
            <w:hideMark/>
          </w:tcPr>
          <w:p>
            <w:pPr>
              <w:spacing w:after="0" w:line="240" w:lineRule="auto"/>
              <w:jc w:val="center"/>
              <w:rPr>
                <w:rFonts w:ascii="Times New Roman" w:eastAsia="Times New Roman" w:hAnsi="Times New Roman"/>
                <w:b/>
                <w:noProof/>
                <w:color w:val="000000"/>
                <w:sz w:val="20"/>
                <w:szCs w:val="20"/>
              </w:rPr>
            </w:pPr>
            <w:r>
              <w:rPr>
                <w:rFonts w:ascii="Times New Roman" w:hAnsi="Times New Roman"/>
                <w:b/>
                <w:noProof/>
                <w:color w:val="000000"/>
                <w:sz w:val="20"/>
                <w:szCs w:val="20"/>
              </w:rPr>
              <w:t>Авиационни</w:t>
            </w:r>
          </w:p>
        </w:tc>
        <w:tc>
          <w:tcPr>
            <w:tcW w:w="1641" w:type="dxa"/>
            <w:tcBorders>
              <w:top w:val="nil"/>
              <w:left w:val="nil"/>
              <w:bottom w:val="double" w:sz="6" w:space="0" w:color="auto"/>
              <w:right w:val="double" w:sz="6" w:space="0" w:color="auto"/>
            </w:tcBorders>
            <w:vAlign w:val="center"/>
          </w:tcPr>
          <w:p>
            <w:pPr>
              <w:spacing w:after="0" w:line="240" w:lineRule="auto"/>
              <w:jc w:val="center"/>
              <w:rPr>
                <w:rFonts w:ascii="Times New Roman" w:eastAsia="Times New Roman" w:hAnsi="Times New Roman"/>
                <w:b/>
                <w:noProof/>
                <w:color w:val="000000"/>
                <w:sz w:val="20"/>
                <w:szCs w:val="20"/>
              </w:rPr>
            </w:pPr>
            <w:r>
              <w:rPr>
                <w:rFonts w:ascii="Times New Roman" w:hAnsi="Times New Roman"/>
                <w:b/>
                <w:noProof/>
                <w:color w:val="000000"/>
                <w:sz w:val="20"/>
                <w:szCs w:val="20"/>
              </w:rPr>
              <w:t>Общи</w:t>
            </w:r>
          </w:p>
        </w:tc>
        <w:tc>
          <w:tcPr>
            <w:tcW w:w="1641" w:type="dxa"/>
            <w:tcBorders>
              <w:top w:val="nil"/>
              <w:left w:val="nil"/>
              <w:bottom w:val="double" w:sz="6" w:space="0" w:color="auto"/>
              <w:right w:val="double" w:sz="6" w:space="0" w:color="auto"/>
            </w:tcBorders>
            <w:vAlign w:val="center"/>
          </w:tcPr>
          <w:p>
            <w:pPr>
              <w:spacing w:after="0" w:line="240" w:lineRule="auto"/>
              <w:jc w:val="center"/>
              <w:rPr>
                <w:rFonts w:ascii="Times New Roman" w:eastAsia="Times New Roman" w:hAnsi="Times New Roman"/>
                <w:b/>
                <w:noProof/>
                <w:color w:val="000000"/>
                <w:sz w:val="20"/>
                <w:szCs w:val="20"/>
              </w:rPr>
            </w:pPr>
            <w:r>
              <w:rPr>
                <w:rFonts w:ascii="Times New Roman" w:hAnsi="Times New Roman"/>
                <w:b/>
                <w:noProof/>
                <w:color w:val="000000"/>
                <w:sz w:val="20"/>
                <w:szCs w:val="20"/>
              </w:rPr>
              <w:t>Авиационни</w:t>
            </w:r>
          </w:p>
        </w:tc>
      </w:tr>
      <w:tr>
        <w:trPr>
          <w:trHeight w:val="283"/>
        </w:trPr>
        <w:tc>
          <w:tcPr>
            <w:tcW w:w="595" w:type="dxa"/>
            <w:tcBorders>
              <w:top w:val="nil"/>
              <w:left w:val="double" w:sz="6" w:space="0" w:color="auto"/>
              <w:bottom w:val="double" w:sz="6" w:space="0" w:color="auto"/>
              <w:right w:val="double" w:sz="6" w:space="0" w:color="auto"/>
            </w:tcBorders>
            <w:shd w:val="clear" w:color="auto" w:fill="auto"/>
            <w:noWrap/>
            <w:vAlign w:val="center"/>
            <w:hideMark/>
          </w:tcPr>
          <w:p>
            <w:pPr>
              <w:spacing w:after="0" w:line="240" w:lineRule="auto"/>
              <w:rPr>
                <w:rFonts w:ascii="Times New Roman" w:eastAsia="Times New Roman" w:hAnsi="Times New Roman"/>
                <w:b/>
                <w:bCs/>
                <w:noProof/>
                <w:color w:val="000000"/>
                <w:sz w:val="20"/>
                <w:szCs w:val="20"/>
              </w:rPr>
            </w:pPr>
            <w:r>
              <w:rPr>
                <w:rFonts w:ascii="Times New Roman" w:hAnsi="Times New Roman"/>
                <w:b/>
                <w:bCs/>
                <w:noProof/>
                <w:color w:val="000000"/>
                <w:sz w:val="20"/>
                <w:szCs w:val="20"/>
              </w:rPr>
              <w:t>Исландия</w:t>
            </w:r>
          </w:p>
        </w:tc>
        <w:tc>
          <w:tcPr>
            <w:tcW w:w="1190" w:type="dxa"/>
            <w:tcBorders>
              <w:top w:val="nil"/>
              <w:left w:val="nil"/>
              <w:bottom w:val="double" w:sz="6" w:space="0" w:color="auto"/>
              <w:right w:val="double" w:sz="6"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sz w:val="18"/>
                <w:szCs w:val="18"/>
              </w:rPr>
              <w:t>23,91</w:t>
            </w:r>
          </w:p>
        </w:tc>
        <w:tc>
          <w:tcPr>
            <w:tcW w:w="595" w:type="dxa"/>
            <w:tcBorders>
              <w:top w:val="nil"/>
              <w:left w:val="nil"/>
              <w:bottom w:val="double" w:sz="6" w:space="0" w:color="auto"/>
              <w:right w:val="double" w:sz="6"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sz w:val="18"/>
                <w:szCs w:val="18"/>
              </w:rPr>
              <w:t>1,86</w:t>
            </w:r>
          </w:p>
        </w:tc>
        <w:tc>
          <w:tcPr>
            <w:tcW w:w="1641" w:type="dxa"/>
            <w:tcBorders>
              <w:top w:val="nil"/>
              <w:left w:val="nil"/>
              <w:bottom w:val="double" w:sz="6" w:space="0" w:color="auto"/>
              <w:right w:val="double" w:sz="6" w:space="0" w:color="auto"/>
            </w:tcBorders>
          </w:tcPr>
          <w:p>
            <w:pPr>
              <w:spacing w:after="0" w:line="240" w:lineRule="auto"/>
              <w:jc w:val="right"/>
              <w:rPr>
                <w:rFonts w:ascii="Times New Roman" w:eastAsia="Times New Roman" w:hAnsi="Times New Roman"/>
                <w:noProof/>
                <w:sz w:val="18"/>
                <w:szCs w:val="18"/>
              </w:rPr>
            </w:pPr>
            <w:r>
              <w:rPr>
                <w:rFonts w:ascii="Times New Roman" w:hAnsi="Times New Roman"/>
                <w:noProof/>
                <w:sz w:val="18"/>
                <w:szCs w:val="18"/>
              </w:rPr>
              <w:t>16,26</w:t>
            </w:r>
          </w:p>
        </w:tc>
        <w:tc>
          <w:tcPr>
            <w:tcW w:w="1641" w:type="dxa"/>
            <w:tcBorders>
              <w:top w:val="nil"/>
              <w:left w:val="nil"/>
              <w:bottom w:val="double" w:sz="6" w:space="0" w:color="auto"/>
              <w:right w:val="double" w:sz="6" w:space="0" w:color="auto"/>
            </w:tcBorders>
          </w:tcPr>
          <w:p>
            <w:pPr>
              <w:spacing w:after="0" w:line="240" w:lineRule="auto"/>
              <w:jc w:val="right"/>
              <w:rPr>
                <w:rFonts w:ascii="Times New Roman" w:eastAsia="Times New Roman" w:hAnsi="Times New Roman"/>
                <w:noProof/>
                <w:sz w:val="18"/>
                <w:szCs w:val="18"/>
              </w:rPr>
            </w:pPr>
            <w:r>
              <w:rPr>
                <w:rFonts w:ascii="Times New Roman" w:hAnsi="Times New Roman"/>
                <w:noProof/>
                <w:sz w:val="18"/>
                <w:szCs w:val="18"/>
              </w:rPr>
              <w:t>1,66</w:t>
            </w:r>
          </w:p>
        </w:tc>
      </w:tr>
      <w:tr>
        <w:trPr>
          <w:trHeight w:val="283"/>
        </w:trPr>
        <w:tc>
          <w:tcPr>
            <w:tcW w:w="595" w:type="dxa"/>
            <w:tcBorders>
              <w:top w:val="nil"/>
              <w:left w:val="double" w:sz="6" w:space="0" w:color="auto"/>
              <w:bottom w:val="double" w:sz="6" w:space="0" w:color="auto"/>
              <w:right w:val="double" w:sz="6" w:space="0" w:color="auto"/>
            </w:tcBorders>
            <w:shd w:val="clear" w:color="auto" w:fill="auto"/>
            <w:noWrap/>
            <w:vAlign w:val="center"/>
            <w:hideMark/>
          </w:tcPr>
          <w:p>
            <w:pPr>
              <w:spacing w:after="0" w:line="240" w:lineRule="auto"/>
              <w:rPr>
                <w:rFonts w:ascii="Times New Roman" w:eastAsia="Times New Roman" w:hAnsi="Times New Roman"/>
                <w:b/>
                <w:bCs/>
                <w:noProof/>
                <w:color w:val="000000"/>
                <w:sz w:val="20"/>
                <w:szCs w:val="20"/>
              </w:rPr>
            </w:pPr>
            <w:r>
              <w:rPr>
                <w:rFonts w:ascii="Times New Roman" w:hAnsi="Times New Roman"/>
                <w:b/>
                <w:bCs/>
                <w:noProof/>
                <w:color w:val="000000"/>
                <w:sz w:val="20"/>
                <w:szCs w:val="20"/>
              </w:rPr>
              <w:t>Лихтенщайн</w:t>
            </w:r>
          </w:p>
        </w:tc>
        <w:tc>
          <w:tcPr>
            <w:tcW w:w="1190" w:type="dxa"/>
            <w:tcBorders>
              <w:top w:val="nil"/>
              <w:left w:val="nil"/>
              <w:bottom w:val="double" w:sz="6" w:space="0" w:color="auto"/>
              <w:right w:val="double" w:sz="6"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sz w:val="18"/>
                <w:szCs w:val="18"/>
              </w:rPr>
              <w:t>0,52</w:t>
            </w:r>
          </w:p>
        </w:tc>
        <w:tc>
          <w:tcPr>
            <w:tcW w:w="595" w:type="dxa"/>
            <w:tcBorders>
              <w:top w:val="nil"/>
              <w:left w:val="nil"/>
              <w:bottom w:val="double" w:sz="6" w:space="0" w:color="auto"/>
              <w:right w:val="double" w:sz="6"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sz w:val="18"/>
                <w:szCs w:val="18"/>
              </w:rPr>
              <w:t>0</w:t>
            </w:r>
          </w:p>
        </w:tc>
        <w:tc>
          <w:tcPr>
            <w:tcW w:w="1641" w:type="dxa"/>
            <w:tcBorders>
              <w:top w:val="nil"/>
              <w:left w:val="nil"/>
              <w:bottom w:val="double" w:sz="6" w:space="0" w:color="auto"/>
              <w:right w:val="double" w:sz="6" w:space="0" w:color="auto"/>
            </w:tcBorders>
          </w:tcPr>
          <w:p>
            <w:pPr>
              <w:spacing w:after="0" w:line="240" w:lineRule="auto"/>
              <w:jc w:val="right"/>
              <w:rPr>
                <w:rFonts w:ascii="Times New Roman" w:eastAsia="Times New Roman" w:hAnsi="Times New Roman"/>
                <w:noProof/>
                <w:sz w:val="18"/>
                <w:szCs w:val="18"/>
              </w:rPr>
            </w:pPr>
            <w:r>
              <w:rPr>
                <w:rFonts w:ascii="Times New Roman" w:hAnsi="Times New Roman"/>
                <w:noProof/>
                <w:sz w:val="18"/>
                <w:szCs w:val="18"/>
              </w:rPr>
              <w:t>0,47</w:t>
            </w:r>
          </w:p>
        </w:tc>
        <w:tc>
          <w:tcPr>
            <w:tcW w:w="1641" w:type="dxa"/>
            <w:tcBorders>
              <w:top w:val="nil"/>
              <w:left w:val="nil"/>
              <w:bottom w:val="double" w:sz="6" w:space="0" w:color="auto"/>
              <w:right w:val="double" w:sz="6" w:space="0" w:color="auto"/>
            </w:tcBorders>
          </w:tcPr>
          <w:p>
            <w:pPr>
              <w:spacing w:after="0" w:line="240" w:lineRule="auto"/>
              <w:jc w:val="right"/>
              <w:rPr>
                <w:rFonts w:ascii="Times New Roman" w:eastAsia="Times New Roman" w:hAnsi="Times New Roman"/>
                <w:noProof/>
                <w:sz w:val="18"/>
                <w:szCs w:val="18"/>
              </w:rPr>
            </w:pPr>
            <w:r>
              <w:rPr>
                <w:rFonts w:ascii="Times New Roman" w:hAnsi="Times New Roman"/>
                <w:noProof/>
                <w:sz w:val="18"/>
                <w:szCs w:val="18"/>
              </w:rPr>
              <w:t>0,00</w:t>
            </w:r>
          </w:p>
        </w:tc>
      </w:tr>
      <w:tr>
        <w:trPr>
          <w:trHeight w:val="283"/>
        </w:trPr>
        <w:tc>
          <w:tcPr>
            <w:tcW w:w="595" w:type="dxa"/>
            <w:tcBorders>
              <w:top w:val="nil"/>
              <w:left w:val="double" w:sz="6" w:space="0" w:color="auto"/>
              <w:bottom w:val="double" w:sz="6" w:space="0" w:color="auto"/>
              <w:right w:val="double" w:sz="6" w:space="0" w:color="auto"/>
            </w:tcBorders>
            <w:shd w:val="clear" w:color="auto" w:fill="auto"/>
            <w:noWrap/>
            <w:vAlign w:val="center"/>
            <w:hideMark/>
          </w:tcPr>
          <w:p>
            <w:pPr>
              <w:spacing w:after="0" w:line="240" w:lineRule="auto"/>
              <w:rPr>
                <w:rFonts w:ascii="Times New Roman" w:eastAsia="Times New Roman" w:hAnsi="Times New Roman"/>
                <w:b/>
                <w:bCs/>
                <w:noProof/>
                <w:color w:val="000000"/>
                <w:sz w:val="20"/>
                <w:szCs w:val="20"/>
              </w:rPr>
            </w:pPr>
            <w:r>
              <w:rPr>
                <w:rFonts w:ascii="Times New Roman" w:hAnsi="Times New Roman"/>
                <w:b/>
                <w:bCs/>
                <w:noProof/>
                <w:color w:val="000000"/>
                <w:sz w:val="20"/>
                <w:szCs w:val="20"/>
              </w:rPr>
              <w:t>Норвегия</w:t>
            </w:r>
          </w:p>
        </w:tc>
        <w:tc>
          <w:tcPr>
            <w:tcW w:w="1190" w:type="dxa"/>
            <w:tcBorders>
              <w:top w:val="nil"/>
              <w:left w:val="nil"/>
              <w:bottom w:val="double" w:sz="6" w:space="0" w:color="auto"/>
              <w:right w:val="double" w:sz="6"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sz w:val="18"/>
                <w:szCs w:val="18"/>
              </w:rPr>
              <w:t>476,78</w:t>
            </w:r>
          </w:p>
        </w:tc>
        <w:tc>
          <w:tcPr>
            <w:tcW w:w="595" w:type="dxa"/>
            <w:tcBorders>
              <w:top w:val="nil"/>
              <w:left w:val="nil"/>
              <w:bottom w:val="double" w:sz="6" w:space="0" w:color="auto"/>
              <w:right w:val="double" w:sz="6"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18"/>
                <w:szCs w:val="18"/>
              </w:rPr>
            </w:pPr>
            <w:r>
              <w:rPr>
                <w:rFonts w:ascii="Times New Roman" w:hAnsi="Times New Roman"/>
                <w:noProof/>
                <w:sz w:val="18"/>
                <w:szCs w:val="18"/>
              </w:rPr>
              <w:t>18,24</w:t>
            </w:r>
          </w:p>
        </w:tc>
        <w:tc>
          <w:tcPr>
            <w:tcW w:w="1641" w:type="dxa"/>
            <w:tcBorders>
              <w:top w:val="nil"/>
              <w:left w:val="nil"/>
              <w:bottom w:val="double" w:sz="6" w:space="0" w:color="auto"/>
              <w:right w:val="double" w:sz="6" w:space="0" w:color="auto"/>
            </w:tcBorders>
          </w:tcPr>
          <w:p>
            <w:pPr>
              <w:spacing w:after="0" w:line="240" w:lineRule="auto"/>
              <w:jc w:val="right"/>
              <w:rPr>
                <w:rFonts w:ascii="Times New Roman" w:eastAsia="Times New Roman" w:hAnsi="Times New Roman"/>
                <w:noProof/>
                <w:sz w:val="18"/>
                <w:szCs w:val="18"/>
              </w:rPr>
            </w:pPr>
            <w:r>
              <w:rPr>
                <w:rFonts w:ascii="Times New Roman" w:hAnsi="Times New Roman"/>
                <w:noProof/>
                <w:sz w:val="18"/>
                <w:szCs w:val="18"/>
              </w:rPr>
              <w:t>332,17</w:t>
            </w:r>
          </w:p>
        </w:tc>
        <w:tc>
          <w:tcPr>
            <w:tcW w:w="1641" w:type="dxa"/>
            <w:tcBorders>
              <w:top w:val="nil"/>
              <w:left w:val="nil"/>
              <w:bottom w:val="double" w:sz="6" w:space="0" w:color="auto"/>
              <w:right w:val="double" w:sz="6" w:space="0" w:color="auto"/>
            </w:tcBorders>
          </w:tcPr>
          <w:p>
            <w:pPr>
              <w:spacing w:after="0" w:line="240" w:lineRule="auto"/>
              <w:jc w:val="right"/>
              <w:rPr>
                <w:rFonts w:ascii="Times New Roman" w:eastAsia="Times New Roman" w:hAnsi="Times New Roman"/>
                <w:noProof/>
                <w:sz w:val="18"/>
                <w:szCs w:val="18"/>
              </w:rPr>
            </w:pPr>
            <w:r>
              <w:rPr>
                <w:rFonts w:ascii="Times New Roman" w:hAnsi="Times New Roman"/>
                <w:noProof/>
                <w:sz w:val="18"/>
                <w:szCs w:val="18"/>
              </w:rPr>
              <w:t>15,84</w:t>
            </w:r>
          </w:p>
        </w:tc>
      </w:tr>
      <w:tr>
        <w:trPr>
          <w:trHeight w:val="283"/>
        </w:trPr>
        <w:tc>
          <w:tcPr>
            <w:tcW w:w="595" w:type="dxa"/>
            <w:tcBorders>
              <w:top w:val="double" w:sz="6" w:space="0" w:color="auto"/>
              <w:left w:val="double" w:sz="6" w:space="0" w:color="auto"/>
              <w:bottom w:val="double" w:sz="6" w:space="0" w:color="auto"/>
              <w:right w:val="double" w:sz="6" w:space="0" w:color="auto"/>
            </w:tcBorders>
            <w:shd w:val="clear" w:color="auto" w:fill="auto"/>
            <w:noWrap/>
            <w:vAlign w:val="center"/>
          </w:tcPr>
          <w:p>
            <w:pPr>
              <w:spacing w:after="0" w:line="240" w:lineRule="auto"/>
              <w:rPr>
                <w:rFonts w:ascii="Times New Roman" w:eastAsia="Times New Roman" w:hAnsi="Times New Roman"/>
                <w:b/>
                <w:bCs/>
                <w:noProof/>
                <w:color w:val="000000"/>
                <w:sz w:val="20"/>
                <w:szCs w:val="20"/>
              </w:rPr>
            </w:pPr>
            <w:r>
              <w:rPr>
                <w:rFonts w:ascii="Times New Roman" w:hAnsi="Times New Roman"/>
                <w:b/>
                <w:bCs/>
                <w:noProof/>
                <w:color w:val="000000"/>
                <w:sz w:val="20"/>
                <w:szCs w:val="20"/>
              </w:rPr>
              <w:t>ОБЩО</w:t>
            </w:r>
          </w:p>
        </w:tc>
        <w:tc>
          <w:tcPr>
            <w:tcW w:w="1190" w:type="dxa"/>
            <w:tcBorders>
              <w:top w:val="double" w:sz="6" w:space="0" w:color="auto"/>
              <w:left w:val="nil"/>
              <w:bottom w:val="double" w:sz="6" w:space="0" w:color="auto"/>
              <w:right w:val="double" w:sz="6" w:space="0" w:color="auto"/>
            </w:tcBorders>
            <w:shd w:val="clear" w:color="auto" w:fill="auto"/>
            <w:noWrap/>
            <w:vAlign w:val="center"/>
          </w:tcPr>
          <w:p>
            <w:pPr>
              <w:spacing w:after="0" w:line="240" w:lineRule="auto"/>
              <w:jc w:val="right"/>
              <w:rPr>
                <w:rFonts w:ascii="Times New Roman" w:eastAsia="Times New Roman" w:hAnsi="Times New Roman"/>
                <w:b/>
                <w:noProof/>
                <w:sz w:val="18"/>
                <w:szCs w:val="18"/>
              </w:rPr>
            </w:pPr>
            <w:r>
              <w:rPr>
                <w:rFonts w:ascii="Times New Roman" w:hAnsi="Times New Roman"/>
                <w:b/>
                <w:noProof/>
                <w:sz w:val="18"/>
                <w:szCs w:val="18"/>
              </w:rPr>
              <w:t>501,21</w:t>
            </w:r>
          </w:p>
        </w:tc>
        <w:tc>
          <w:tcPr>
            <w:tcW w:w="595" w:type="dxa"/>
            <w:tcBorders>
              <w:top w:val="double" w:sz="6" w:space="0" w:color="auto"/>
              <w:left w:val="nil"/>
              <w:bottom w:val="double" w:sz="6" w:space="0" w:color="auto"/>
              <w:right w:val="double" w:sz="6" w:space="0" w:color="auto"/>
            </w:tcBorders>
            <w:shd w:val="clear" w:color="auto" w:fill="auto"/>
            <w:noWrap/>
            <w:vAlign w:val="center"/>
          </w:tcPr>
          <w:p>
            <w:pPr>
              <w:spacing w:after="0" w:line="240" w:lineRule="auto"/>
              <w:jc w:val="right"/>
              <w:rPr>
                <w:rFonts w:ascii="Times New Roman" w:eastAsia="Times New Roman" w:hAnsi="Times New Roman"/>
                <w:b/>
                <w:noProof/>
                <w:sz w:val="18"/>
                <w:szCs w:val="18"/>
              </w:rPr>
            </w:pPr>
            <w:r>
              <w:rPr>
                <w:rFonts w:ascii="Times New Roman" w:hAnsi="Times New Roman"/>
                <w:b/>
                <w:noProof/>
                <w:sz w:val="18"/>
                <w:szCs w:val="18"/>
              </w:rPr>
              <w:t>20,1</w:t>
            </w:r>
          </w:p>
        </w:tc>
        <w:tc>
          <w:tcPr>
            <w:tcW w:w="1641" w:type="dxa"/>
            <w:tcBorders>
              <w:top w:val="double" w:sz="6" w:space="0" w:color="auto"/>
              <w:left w:val="nil"/>
              <w:bottom w:val="double" w:sz="6" w:space="0" w:color="auto"/>
              <w:right w:val="double" w:sz="6" w:space="0" w:color="auto"/>
            </w:tcBorders>
          </w:tcPr>
          <w:p>
            <w:pPr>
              <w:spacing w:after="0" w:line="240" w:lineRule="auto"/>
              <w:jc w:val="right"/>
              <w:rPr>
                <w:rFonts w:ascii="Times New Roman" w:eastAsia="Times New Roman" w:hAnsi="Times New Roman"/>
                <w:b/>
                <w:noProof/>
                <w:sz w:val="18"/>
                <w:szCs w:val="18"/>
              </w:rPr>
            </w:pPr>
            <w:r>
              <w:rPr>
                <w:rFonts w:ascii="Times New Roman" w:hAnsi="Times New Roman"/>
                <w:b/>
                <w:noProof/>
                <w:sz w:val="18"/>
                <w:szCs w:val="18"/>
              </w:rPr>
              <w:t>348,90</w:t>
            </w:r>
          </w:p>
        </w:tc>
        <w:tc>
          <w:tcPr>
            <w:tcW w:w="1641" w:type="dxa"/>
            <w:tcBorders>
              <w:top w:val="double" w:sz="6" w:space="0" w:color="auto"/>
              <w:left w:val="nil"/>
              <w:bottom w:val="double" w:sz="6" w:space="0" w:color="auto"/>
              <w:right w:val="double" w:sz="6" w:space="0" w:color="auto"/>
            </w:tcBorders>
          </w:tcPr>
          <w:p>
            <w:pPr>
              <w:spacing w:after="0" w:line="240" w:lineRule="auto"/>
              <w:jc w:val="right"/>
              <w:rPr>
                <w:rFonts w:ascii="Times New Roman" w:eastAsia="Times New Roman" w:hAnsi="Times New Roman"/>
                <w:b/>
                <w:noProof/>
                <w:sz w:val="18"/>
                <w:szCs w:val="18"/>
              </w:rPr>
            </w:pPr>
            <w:r>
              <w:rPr>
                <w:rFonts w:ascii="Times New Roman" w:hAnsi="Times New Roman"/>
                <w:b/>
                <w:noProof/>
                <w:sz w:val="18"/>
                <w:szCs w:val="18"/>
              </w:rPr>
              <w:t>17,51</w:t>
            </w:r>
          </w:p>
        </w:tc>
      </w:tr>
    </w:tbl>
    <w:p>
      <w:pPr>
        <w:rPr>
          <w:rFonts w:ascii="Times New Roman" w:hAnsi="Times New Roman"/>
          <w:b/>
          <w:noProof/>
        </w:rPr>
      </w:pPr>
    </w:p>
    <w:p>
      <w:pPr>
        <w:rPr>
          <w:rFonts w:ascii="Times New Roman" w:hAnsi="Times New Roman"/>
          <w:b/>
          <w:noProof/>
        </w:rPr>
      </w:pPr>
      <w:r>
        <w:rPr>
          <w:rFonts w:ascii="Times New Roman" w:hAnsi="Times New Roman"/>
          <w:b/>
          <w:noProof/>
        </w:rPr>
        <w:t>Допълнение 3</w:t>
      </w:r>
    </w:p>
    <w:p>
      <w:pPr>
        <w:rPr>
          <w:rFonts w:ascii="Times New Roman" w:hAnsi="Times New Roman"/>
          <w:b/>
          <w:noProof/>
          <w:sz w:val="20"/>
          <w:szCs w:val="20"/>
        </w:rPr>
      </w:pPr>
      <w:r>
        <w:rPr>
          <w:rFonts w:ascii="Times New Roman" w:hAnsi="Times New Roman"/>
          <w:b/>
          <w:noProof/>
          <w:sz w:val="20"/>
          <w:szCs w:val="20"/>
        </w:rPr>
        <w:t>Таблица 3.1: Обобщени данни за международните кредити, обменени до юни 2020 г.</w:t>
      </w:r>
      <w:r>
        <w:rPr>
          <w:rStyle w:val="FootnoteReference"/>
          <w:rFonts w:ascii="Times New Roman" w:hAnsi="Times New Roman"/>
          <w:b/>
          <w:noProof/>
          <w:sz w:val="20"/>
          <w:szCs w:val="20"/>
        </w:rPr>
        <w:footnoteReference w:id="92"/>
      </w:r>
    </w:p>
    <w:tbl>
      <w:tblPr>
        <w:tblW w:w="4957"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86"/>
        <w:gridCol w:w="1397"/>
        <w:gridCol w:w="1547"/>
        <w:gridCol w:w="1635"/>
        <w:gridCol w:w="1455"/>
        <w:gridCol w:w="1543"/>
      </w:tblGrid>
      <w:tr>
        <w:trPr>
          <w:trHeight w:val="238"/>
        </w:trPr>
        <w:tc>
          <w:tcPr>
            <w:tcW w:w="865" w:type="pct"/>
            <w:shd w:val="clear" w:color="auto" w:fill="auto"/>
            <w:noWrap/>
            <w:hideMark/>
          </w:tcPr>
          <w:p>
            <w:pPr>
              <w:spacing w:after="0" w:line="240" w:lineRule="auto"/>
              <w:ind w:right="57"/>
              <w:rPr>
                <w:rFonts w:ascii="Times New Roman" w:eastAsia="Times New Roman" w:hAnsi="Times New Roman"/>
                <w:b/>
                <w:bCs/>
                <w:noProof/>
                <w:color w:val="000000"/>
                <w:sz w:val="20"/>
                <w:szCs w:val="20"/>
              </w:rPr>
            </w:pPr>
            <w:r>
              <w:rPr>
                <w:rFonts w:ascii="Times New Roman" w:hAnsi="Times New Roman"/>
                <w:b/>
                <w:noProof/>
                <w:sz w:val="20"/>
                <w:szCs w:val="20"/>
              </w:rPr>
              <w:t>Международни кредити, обменени до края на юни 2020 г.</w:t>
            </w:r>
          </w:p>
        </w:tc>
        <w:tc>
          <w:tcPr>
            <w:tcW w:w="762" w:type="pct"/>
            <w:shd w:val="clear" w:color="auto" w:fill="auto"/>
            <w:noWrap/>
            <w:hideMark/>
          </w:tcPr>
          <w:p>
            <w:pPr>
              <w:spacing w:after="0" w:line="240" w:lineRule="auto"/>
              <w:ind w:right="57"/>
              <w:jc w:val="center"/>
              <w:rPr>
                <w:rFonts w:ascii="Times New Roman" w:eastAsia="Times New Roman" w:hAnsi="Times New Roman"/>
                <w:b/>
                <w:bCs/>
                <w:noProof/>
                <w:color w:val="000000"/>
                <w:sz w:val="20"/>
                <w:szCs w:val="20"/>
              </w:rPr>
            </w:pPr>
            <w:r>
              <w:rPr>
                <w:rFonts w:ascii="Times New Roman" w:hAnsi="Times New Roman"/>
                <w:b/>
                <w:noProof/>
                <w:sz w:val="20"/>
                <w:szCs w:val="20"/>
              </w:rPr>
              <w:t>милиона</w:t>
            </w:r>
          </w:p>
        </w:tc>
        <w:tc>
          <w:tcPr>
            <w:tcW w:w="844" w:type="pct"/>
            <w:shd w:val="clear" w:color="auto" w:fill="auto"/>
            <w:noWrap/>
            <w:hideMark/>
          </w:tcPr>
          <w:p>
            <w:pPr>
              <w:spacing w:after="0" w:line="240" w:lineRule="auto"/>
              <w:ind w:right="57"/>
              <w:jc w:val="center"/>
              <w:rPr>
                <w:rFonts w:ascii="Times New Roman" w:eastAsia="Times New Roman" w:hAnsi="Times New Roman"/>
                <w:b/>
                <w:bCs/>
                <w:noProof/>
                <w:color w:val="000000"/>
                <w:sz w:val="20"/>
                <w:szCs w:val="20"/>
              </w:rPr>
            </w:pPr>
            <w:r>
              <w:rPr>
                <w:rFonts w:ascii="Times New Roman" w:hAnsi="Times New Roman"/>
                <w:b/>
                <w:noProof/>
                <w:sz w:val="20"/>
                <w:szCs w:val="20"/>
              </w:rPr>
              <w:t>проценти</w:t>
            </w:r>
          </w:p>
        </w:tc>
        <w:tc>
          <w:tcPr>
            <w:tcW w:w="892" w:type="pct"/>
            <w:shd w:val="clear" w:color="auto" w:fill="auto"/>
            <w:noWrap/>
            <w:hideMark/>
          </w:tcPr>
          <w:p>
            <w:pPr>
              <w:spacing w:after="0" w:line="240" w:lineRule="auto"/>
              <w:ind w:right="57"/>
              <w:jc w:val="center"/>
              <w:rPr>
                <w:rFonts w:ascii="Times New Roman" w:eastAsia="Times New Roman" w:hAnsi="Times New Roman"/>
                <w:b/>
                <w:noProof/>
                <w:color w:val="000000"/>
                <w:sz w:val="20"/>
                <w:szCs w:val="20"/>
              </w:rPr>
            </w:pPr>
            <w:r>
              <w:rPr>
                <w:rFonts w:ascii="Times New Roman" w:hAnsi="Times New Roman"/>
                <w:b/>
                <w:noProof/>
                <w:sz w:val="20"/>
                <w:szCs w:val="20"/>
              </w:rPr>
              <w:t>Международни кредити, обменени до края на юни 2020 г.</w:t>
            </w:r>
          </w:p>
        </w:tc>
        <w:tc>
          <w:tcPr>
            <w:tcW w:w="794" w:type="pct"/>
            <w:shd w:val="clear" w:color="auto" w:fill="auto"/>
            <w:noWrap/>
            <w:hideMark/>
          </w:tcPr>
          <w:p>
            <w:pPr>
              <w:spacing w:after="0" w:line="240" w:lineRule="auto"/>
              <w:ind w:right="57"/>
              <w:jc w:val="center"/>
              <w:rPr>
                <w:rFonts w:ascii="Times New Roman" w:eastAsia="Times New Roman" w:hAnsi="Times New Roman"/>
                <w:b/>
                <w:noProof/>
                <w:color w:val="000000"/>
                <w:sz w:val="20"/>
                <w:szCs w:val="20"/>
              </w:rPr>
            </w:pPr>
            <w:r>
              <w:rPr>
                <w:rFonts w:ascii="Times New Roman" w:hAnsi="Times New Roman"/>
                <w:b/>
                <w:noProof/>
                <w:sz w:val="20"/>
                <w:szCs w:val="20"/>
              </w:rPr>
              <w:t>милиона</w:t>
            </w:r>
          </w:p>
        </w:tc>
        <w:tc>
          <w:tcPr>
            <w:tcW w:w="842" w:type="pct"/>
            <w:shd w:val="clear" w:color="auto" w:fill="auto"/>
            <w:noWrap/>
            <w:hideMark/>
          </w:tcPr>
          <w:p>
            <w:pPr>
              <w:spacing w:after="0" w:line="240" w:lineRule="auto"/>
              <w:ind w:right="57"/>
              <w:jc w:val="center"/>
              <w:rPr>
                <w:rFonts w:ascii="Times New Roman" w:eastAsia="Times New Roman" w:hAnsi="Times New Roman"/>
                <w:b/>
                <w:noProof/>
                <w:color w:val="000000"/>
                <w:sz w:val="20"/>
                <w:szCs w:val="20"/>
              </w:rPr>
            </w:pPr>
            <w:r>
              <w:rPr>
                <w:rFonts w:ascii="Times New Roman" w:hAnsi="Times New Roman"/>
                <w:b/>
                <w:noProof/>
                <w:sz w:val="20"/>
                <w:szCs w:val="20"/>
              </w:rPr>
              <w:t>проценти</w:t>
            </w:r>
          </w:p>
        </w:tc>
      </w:tr>
      <w:tr>
        <w:trPr>
          <w:trHeight w:val="238"/>
        </w:trPr>
        <w:tc>
          <w:tcPr>
            <w:tcW w:w="865" w:type="pct"/>
            <w:shd w:val="clear" w:color="auto" w:fill="auto"/>
            <w:noWrap/>
            <w:hideMark/>
          </w:tcPr>
          <w:p>
            <w:pPr>
              <w:spacing w:after="120" w:line="240" w:lineRule="auto"/>
              <w:ind w:right="57"/>
              <w:rPr>
                <w:rFonts w:ascii="Times New Roman" w:eastAsia="Times New Roman" w:hAnsi="Times New Roman"/>
                <w:b/>
                <w:bCs/>
                <w:noProof/>
                <w:color w:val="000000"/>
                <w:sz w:val="20"/>
                <w:szCs w:val="20"/>
              </w:rPr>
            </w:pPr>
            <w:r>
              <w:rPr>
                <w:rFonts w:ascii="Times New Roman" w:hAnsi="Times New Roman"/>
                <w:b/>
                <w:noProof/>
                <w:sz w:val="20"/>
                <w:szCs w:val="20"/>
              </w:rPr>
              <w:t>СЕРЕ</w:t>
            </w:r>
          </w:p>
        </w:tc>
        <w:tc>
          <w:tcPr>
            <w:tcW w:w="762" w:type="pct"/>
            <w:shd w:val="clear" w:color="auto" w:fill="auto"/>
            <w:noWrap/>
            <w:hideMark/>
          </w:tcPr>
          <w:p>
            <w:pPr>
              <w:spacing w:after="120" w:line="240" w:lineRule="auto"/>
              <w:ind w:right="57"/>
              <w:jc w:val="center"/>
              <w:rPr>
                <w:rFonts w:ascii="Times New Roman" w:eastAsia="Times New Roman" w:hAnsi="Times New Roman"/>
                <w:b/>
                <w:bCs/>
                <w:noProof/>
                <w:color w:val="000000"/>
                <w:sz w:val="20"/>
                <w:szCs w:val="20"/>
              </w:rPr>
            </w:pPr>
            <w:r>
              <w:rPr>
                <w:rFonts w:ascii="Times New Roman" w:hAnsi="Times New Roman"/>
                <w:b/>
                <w:noProof/>
                <w:sz w:val="20"/>
                <w:szCs w:val="20"/>
              </w:rPr>
              <w:t>288,86</w:t>
            </w:r>
          </w:p>
        </w:tc>
        <w:tc>
          <w:tcPr>
            <w:tcW w:w="844" w:type="pct"/>
            <w:shd w:val="clear" w:color="auto" w:fill="auto"/>
            <w:noWrap/>
            <w:hideMark/>
          </w:tcPr>
          <w:p>
            <w:pPr>
              <w:spacing w:after="120"/>
              <w:jc w:val="center"/>
              <w:rPr>
                <w:rFonts w:ascii="Times New Roman" w:hAnsi="Times New Roman"/>
                <w:b/>
                <w:noProof/>
                <w:sz w:val="20"/>
                <w:szCs w:val="20"/>
              </w:rPr>
            </w:pPr>
            <w:r>
              <w:rPr>
                <w:rFonts w:ascii="Times New Roman" w:hAnsi="Times New Roman"/>
                <w:b/>
                <w:noProof/>
                <w:sz w:val="20"/>
                <w:szCs w:val="20"/>
              </w:rPr>
              <w:t>60,06%</w:t>
            </w:r>
          </w:p>
        </w:tc>
        <w:tc>
          <w:tcPr>
            <w:tcW w:w="892"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b/>
                <w:noProof/>
                <w:sz w:val="20"/>
                <w:szCs w:val="20"/>
              </w:rPr>
              <w:t>ЕРЕ</w:t>
            </w:r>
          </w:p>
        </w:tc>
        <w:tc>
          <w:tcPr>
            <w:tcW w:w="794"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b/>
                <w:noProof/>
                <w:sz w:val="20"/>
                <w:szCs w:val="20"/>
              </w:rPr>
              <w:t>192,07</w:t>
            </w:r>
          </w:p>
        </w:tc>
        <w:tc>
          <w:tcPr>
            <w:tcW w:w="842"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b/>
                <w:noProof/>
                <w:sz w:val="20"/>
                <w:szCs w:val="20"/>
              </w:rPr>
              <w:t>39,94 %</w:t>
            </w:r>
          </w:p>
        </w:tc>
      </w:tr>
      <w:tr>
        <w:trPr>
          <w:trHeight w:val="229"/>
        </w:trPr>
        <w:tc>
          <w:tcPr>
            <w:tcW w:w="865"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Китай</w:t>
            </w:r>
          </w:p>
        </w:tc>
        <w:tc>
          <w:tcPr>
            <w:tcW w:w="762" w:type="pct"/>
            <w:shd w:val="clear" w:color="auto" w:fill="auto"/>
            <w:noWrap/>
          </w:tcPr>
          <w:p>
            <w:pPr>
              <w:spacing w:after="120" w:line="240" w:lineRule="auto"/>
              <w:ind w:right="57"/>
              <w:jc w:val="center"/>
              <w:rPr>
                <w:rFonts w:ascii="Times New Roman" w:eastAsia="Times New Roman" w:hAnsi="Times New Roman"/>
                <w:noProof/>
                <w:sz w:val="20"/>
                <w:szCs w:val="20"/>
              </w:rPr>
            </w:pPr>
            <w:r>
              <w:rPr>
                <w:rFonts w:ascii="Times New Roman" w:hAnsi="Times New Roman"/>
                <w:noProof/>
                <w:sz w:val="20"/>
                <w:szCs w:val="20"/>
              </w:rPr>
              <w:t>213,31</w:t>
            </w:r>
          </w:p>
        </w:tc>
        <w:tc>
          <w:tcPr>
            <w:tcW w:w="844" w:type="pct"/>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73,85</w:t>
            </w:r>
          </w:p>
        </w:tc>
        <w:tc>
          <w:tcPr>
            <w:tcW w:w="892"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Украйна</w:t>
            </w:r>
          </w:p>
        </w:tc>
        <w:tc>
          <w:tcPr>
            <w:tcW w:w="794"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147,69</w:t>
            </w:r>
          </w:p>
        </w:tc>
        <w:tc>
          <w:tcPr>
            <w:tcW w:w="842"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76,89 %</w:t>
            </w:r>
          </w:p>
        </w:tc>
      </w:tr>
      <w:tr>
        <w:trPr>
          <w:trHeight w:val="249"/>
        </w:trPr>
        <w:tc>
          <w:tcPr>
            <w:tcW w:w="865"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Индия</w:t>
            </w:r>
          </w:p>
        </w:tc>
        <w:tc>
          <w:tcPr>
            <w:tcW w:w="762" w:type="pct"/>
            <w:shd w:val="clear" w:color="auto" w:fill="auto"/>
            <w:noWrap/>
          </w:tcPr>
          <w:p>
            <w:pPr>
              <w:spacing w:after="120" w:line="240" w:lineRule="auto"/>
              <w:ind w:right="57"/>
              <w:jc w:val="center"/>
              <w:rPr>
                <w:rFonts w:ascii="Times New Roman" w:eastAsia="Times New Roman" w:hAnsi="Times New Roman"/>
                <w:noProof/>
                <w:sz w:val="20"/>
                <w:szCs w:val="20"/>
              </w:rPr>
            </w:pPr>
            <w:r>
              <w:rPr>
                <w:rFonts w:ascii="Times New Roman" w:hAnsi="Times New Roman"/>
                <w:noProof/>
                <w:sz w:val="20"/>
                <w:szCs w:val="20"/>
              </w:rPr>
              <w:t>20,30</w:t>
            </w:r>
          </w:p>
        </w:tc>
        <w:tc>
          <w:tcPr>
            <w:tcW w:w="844" w:type="pct"/>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7,03</w:t>
            </w:r>
          </w:p>
        </w:tc>
        <w:tc>
          <w:tcPr>
            <w:tcW w:w="892"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Русия</w:t>
            </w:r>
          </w:p>
        </w:tc>
        <w:tc>
          <w:tcPr>
            <w:tcW w:w="794"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32,06</w:t>
            </w:r>
          </w:p>
        </w:tc>
        <w:tc>
          <w:tcPr>
            <w:tcW w:w="842"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16,69 %</w:t>
            </w:r>
          </w:p>
        </w:tc>
      </w:tr>
      <w:tr>
        <w:trPr>
          <w:trHeight w:val="249"/>
        </w:trPr>
        <w:tc>
          <w:tcPr>
            <w:tcW w:w="865"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Узбекистан</w:t>
            </w:r>
          </w:p>
        </w:tc>
        <w:tc>
          <w:tcPr>
            <w:tcW w:w="762" w:type="pct"/>
            <w:shd w:val="clear" w:color="auto" w:fill="auto"/>
            <w:noWrap/>
          </w:tcPr>
          <w:p>
            <w:pPr>
              <w:spacing w:after="120" w:line="240" w:lineRule="auto"/>
              <w:ind w:right="57"/>
              <w:jc w:val="center"/>
              <w:rPr>
                <w:rFonts w:ascii="Times New Roman" w:eastAsia="Times New Roman" w:hAnsi="Times New Roman"/>
                <w:noProof/>
                <w:sz w:val="20"/>
                <w:szCs w:val="20"/>
              </w:rPr>
            </w:pPr>
            <w:r>
              <w:rPr>
                <w:rFonts w:ascii="Times New Roman" w:hAnsi="Times New Roman"/>
                <w:noProof/>
                <w:sz w:val="20"/>
                <w:szCs w:val="20"/>
              </w:rPr>
              <w:t>10,17</w:t>
            </w:r>
          </w:p>
        </w:tc>
        <w:tc>
          <w:tcPr>
            <w:tcW w:w="844" w:type="pct"/>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3,52</w:t>
            </w:r>
          </w:p>
        </w:tc>
        <w:tc>
          <w:tcPr>
            <w:tcW w:w="892"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Полша</w:t>
            </w:r>
          </w:p>
        </w:tc>
        <w:tc>
          <w:tcPr>
            <w:tcW w:w="794"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2,82</w:t>
            </w:r>
          </w:p>
        </w:tc>
        <w:tc>
          <w:tcPr>
            <w:tcW w:w="842"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1,46 %</w:t>
            </w:r>
          </w:p>
        </w:tc>
      </w:tr>
      <w:tr>
        <w:trPr>
          <w:trHeight w:val="249"/>
        </w:trPr>
        <w:tc>
          <w:tcPr>
            <w:tcW w:w="865"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Бразилия</w:t>
            </w:r>
          </w:p>
        </w:tc>
        <w:tc>
          <w:tcPr>
            <w:tcW w:w="762" w:type="pct"/>
            <w:shd w:val="clear" w:color="auto" w:fill="auto"/>
            <w:noWrap/>
          </w:tcPr>
          <w:p>
            <w:pPr>
              <w:spacing w:after="120" w:line="240" w:lineRule="auto"/>
              <w:ind w:right="57"/>
              <w:jc w:val="center"/>
              <w:rPr>
                <w:rFonts w:ascii="Times New Roman" w:eastAsia="Times New Roman" w:hAnsi="Times New Roman"/>
                <w:noProof/>
                <w:sz w:val="20"/>
                <w:szCs w:val="20"/>
              </w:rPr>
            </w:pPr>
            <w:r>
              <w:rPr>
                <w:rFonts w:ascii="Times New Roman" w:hAnsi="Times New Roman"/>
                <w:noProof/>
                <w:sz w:val="20"/>
                <w:szCs w:val="20"/>
              </w:rPr>
              <w:t>6,00</w:t>
            </w:r>
          </w:p>
        </w:tc>
        <w:tc>
          <w:tcPr>
            <w:tcW w:w="844" w:type="pct"/>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 xml:space="preserve">2,08 </w:t>
            </w:r>
          </w:p>
        </w:tc>
        <w:tc>
          <w:tcPr>
            <w:tcW w:w="892"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Германия</w:t>
            </w:r>
          </w:p>
        </w:tc>
        <w:tc>
          <w:tcPr>
            <w:tcW w:w="794"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1,65</w:t>
            </w:r>
          </w:p>
        </w:tc>
        <w:tc>
          <w:tcPr>
            <w:tcW w:w="842"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0,85 %</w:t>
            </w:r>
          </w:p>
        </w:tc>
      </w:tr>
      <w:tr>
        <w:trPr>
          <w:trHeight w:val="249"/>
        </w:trPr>
        <w:tc>
          <w:tcPr>
            <w:tcW w:w="865" w:type="pct"/>
            <w:shd w:val="clear" w:color="auto" w:fill="auto"/>
            <w:noWrap/>
          </w:tcPr>
          <w:p>
            <w:pPr>
              <w:spacing w:after="120" w:line="240" w:lineRule="auto"/>
              <w:ind w:right="57"/>
              <w:rPr>
                <w:rFonts w:ascii="Times New Roman" w:eastAsia="Times New Roman" w:hAnsi="Times New Roman"/>
                <w:noProof/>
                <w:sz w:val="20"/>
                <w:szCs w:val="20"/>
              </w:rPr>
            </w:pPr>
            <w:r>
              <w:rPr>
                <w:rFonts w:ascii="Times New Roman" w:hAnsi="Times New Roman"/>
                <w:noProof/>
                <w:sz w:val="20"/>
                <w:szCs w:val="20"/>
              </w:rPr>
              <w:t>Виетнам</w:t>
            </w:r>
          </w:p>
        </w:tc>
        <w:tc>
          <w:tcPr>
            <w:tcW w:w="762" w:type="pct"/>
            <w:shd w:val="clear" w:color="auto" w:fill="auto"/>
            <w:noWrap/>
          </w:tcPr>
          <w:p>
            <w:pPr>
              <w:spacing w:after="120" w:line="240" w:lineRule="auto"/>
              <w:ind w:right="57"/>
              <w:jc w:val="center"/>
              <w:rPr>
                <w:rFonts w:ascii="Times New Roman" w:eastAsia="Times New Roman" w:hAnsi="Times New Roman"/>
                <w:noProof/>
                <w:sz w:val="20"/>
                <w:szCs w:val="20"/>
              </w:rPr>
            </w:pPr>
            <w:r>
              <w:rPr>
                <w:rFonts w:ascii="Times New Roman" w:hAnsi="Times New Roman"/>
                <w:noProof/>
                <w:sz w:val="20"/>
                <w:szCs w:val="20"/>
              </w:rPr>
              <w:t>3,71</w:t>
            </w:r>
          </w:p>
        </w:tc>
        <w:tc>
          <w:tcPr>
            <w:tcW w:w="844" w:type="pct"/>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1,28</w:t>
            </w:r>
          </w:p>
        </w:tc>
        <w:tc>
          <w:tcPr>
            <w:tcW w:w="892" w:type="pct"/>
            <w:shd w:val="clear" w:color="auto" w:fill="auto"/>
            <w:noWrap/>
          </w:tcPr>
          <w:p>
            <w:pPr>
              <w:spacing w:after="120" w:line="240" w:lineRule="auto"/>
              <w:ind w:right="57"/>
              <w:rPr>
                <w:rFonts w:ascii="Times New Roman" w:eastAsia="Times New Roman" w:hAnsi="Times New Roman"/>
                <w:noProof/>
                <w:sz w:val="20"/>
                <w:szCs w:val="20"/>
              </w:rPr>
            </w:pPr>
            <w:r>
              <w:rPr>
                <w:rFonts w:ascii="Times New Roman" w:hAnsi="Times New Roman"/>
                <w:noProof/>
                <w:sz w:val="20"/>
                <w:szCs w:val="20"/>
              </w:rPr>
              <w:t>Франция</w:t>
            </w:r>
          </w:p>
        </w:tc>
        <w:tc>
          <w:tcPr>
            <w:tcW w:w="794" w:type="pct"/>
            <w:shd w:val="clear" w:color="auto" w:fill="auto"/>
            <w:noWrap/>
          </w:tcPr>
          <w:p>
            <w:pPr>
              <w:spacing w:after="120" w:line="240" w:lineRule="auto"/>
              <w:ind w:right="57"/>
              <w:rPr>
                <w:rFonts w:ascii="Times New Roman" w:eastAsia="Times New Roman" w:hAnsi="Times New Roman"/>
                <w:noProof/>
                <w:sz w:val="20"/>
                <w:szCs w:val="20"/>
              </w:rPr>
            </w:pPr>
            <w:r>
              <w:rPr>
                <w:rFonts w:ascii="Times New Roman" w:hAnsi="Times New Roman"/>
                <w:noProof/>
                <w:sz w:val="20"/>
                <w:szCs w:val="20"/>
              </w:rPr>
              <w:t>1,24</w:t>
            </w:r>
          </w:p>
        </w:tc>
        <w:tc>
          <w:tcPr>
            <w:tcW w:w="842" w:type="pct"/>
            <w:shd w:val="clear" w:color="auto" w:fill="auto"/>
            <w:noWrap/>
          </w:tcPr>
          <w:p>
            <w:pPr>
              <w:spacing w:after="120" w:line="240" w:lineRule="auto"/>
              <w:ind w:right="57"/>
              <w:rPr>
                <w:rFonts w:ascii="Times New Roman" w:hAnsi="Times New Roman"/>
                <w:noProof/>
                <w:sz w:val="20"/>
                <w:szCs w:val="20"/>
              </w:rPr>
            </w:pPr>
            <w:r>
              <w:rPr>
                <w:rFonts w:ascii="Times New Roman" w:hAnsi="Times New Roman"/>
                <w:noProof/>
                <w:sz w:val="20"/>
                <w:szCs w:val="20"/>
              </w:rPr>
              <w:t>0,64 %</w:t>
            </w:r>
          </w:p>
        </w:tc>
      </w:tr>
      <w:tr>
        <w:trPr>
          <w:trHeight w:val="249"/>
        </w:trPr>
        <w:tc>
          <w:tcPr>
            <w:tcW w:w="865"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Чили</w:t>
            </w:r>
          </w:p>
        </w:tc>
        <w:tc>
          <w:tcPr>
            <w:tcW w:w="762" w:type="pct"/>
            <w:shd w:val="clear" w:color="auto" w:fill="auto"/>
            <w:noWrap/>
          </w:tcPr>
          <w:p>
            <w:pPr>
              <w:spacing w:after="120" w:line="240" w:lineRule="auto"/>
              <w:ind w:right="57"/>
              <w:jc w:val="center"/>
              <w:rPr>
                <w:rFonts w:ascii="Times New Roman" w:eastAsia="Times New Roman" w:hAnsi="Times New Roman"/>
                <w:noProof/>
                <w:sz w:val="20"/>
                <w:szCs w:val="20"/>
              </w:rPr>
            </w:pPr>
            <w:r>
              <w:rPr>
                <w:rFonts w:ascii="Times New Roman" w:hAnsi="Times New Roman"/>
                <w:noProof/>
                <w:sz w:val="20"/>
                <w:szCs w:val="20"/>
              </w:rPr>
              <w:t>3,21</w:t>
            </w:r>
          </w:p>
        </w:tc>
        <w:tc>
          <w:tcPr>
            <w:tcW w:w="844" w:type="pct"/>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 xml:space="preserve">1,11 </w:t>
            </w:r>
          </w:p>
        </w:tc>
        <w:tc>
          <w:tcPr>
            <w:tcW w:w="892" w:type="pct"/>
            <w:shd w:val="clear" w:color="auto" w:fill="auto"/>
            <w:noWrap/>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България</w:t>
            </w:r>
          </w:p>
        </w:tc>
        <w:tc>
          <w:tcPr>
            <w:tcW w:w="794" w:type="pct"/>
            <w:shd w:val="clear" w:color="auto" w:fill="auto"/>
            <w:noWrap/>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0,50</w:t>
            </w:r>
          </w:p>
        </w:tc>
        <w:tc>
          <w:tcPr>
            <w:tcW w:w="842" w:type="pct"/>
            <w:shd w:val="clear" w:color="auto" w:fill="auto"/>
            <w:noWrap/>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0,26 %</w:t>
            </w:r>
          </w:p>
        </w:tc>
      </w:tr>
      <w:tr>
        <w:trPr>
          <w:trHeight w:val="249"/>
        </w:trPr>
        <w:tc>
          <w:tcPr>
            <w:tcW w:w="865"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 xml:space="preserve">Мексико </w:t>
            </w:r>
          </w:p>
        </w:tc>
        <w:tc>
          <w:tcPr>
            <w:tcW w:w="762" w:type="pct"/>
            <w:shd w:val="clear" w:color="auto" w:fill="auto"/>
            <w:noWrap/>
          </w:tcPr>
          <w:p>
            <w:pPr>
              <w:spacing w:after="120" w:line="240" w:lineRule="auto"/>
              <w:ind w:right="57"/>
              <w:jc w:val="center"/>
              <w:rPr>
                <w:rFonts w:ascii="Times New Roman" w:eastAsia="Times New Roman" w:hAnsi="Times New Roman"/>
                <w:noProof/>
                <w:sz w:val="20"/>
                <w:szCs w:val="20"/>
              </w:rPr>
            </w:pPr>
            <w:r>
              <w:rPr>
                <w:rFonts w:ascii="Times New Roman" w:hAnsi="Times New Roman"/>
                <w:noProof/>
                <w:sz w:val="20"/>
                <w:szCs w:val="20"/>
              </w:rPr>
              <w:t>3,17</w:t>
            </w:r>
          </w:p>
        </w:tc>
        <w:tc>
          <w:tcPr>
            <w:tcW w:w="844" w:type="pct"/>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1,10</w:t>
            </w:r>
          </w:p>
        </w:tc>
        <w:tc>
          <w:tcPr>
            <w:tcW w:w="892" w:type="pct"/>
            <w:shd w:val="clear" w:color="auto" w:fill="auto"/>
            <w:noWrap/>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Други</w:t>
            </w:r>
          </w:p>
        </w:tc>
        <w:tc>
          <w:tcPr>
            <w:tcW w:w="794" w:type="pct"/>
            <w:shd w:val="clear" w:color="auto" w:fill="auto"/>
            <w:noWrap/>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6,11</w:t>
            </w:r>
          </w:p>
        </w:tc>
        <w:tc>
          <w:tcPr>
            <w:tcW w:w="842" w:type="pct"/>
            <w:shd w:val="clear" w:color="auto" w:fill="auto"/>
            <w:noWrap/>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3,21 %</w:t>
            </w:r>
          </w:p>
        </w:tc>
      </w:tr>
      <w:tr>
        <w:trPr>
          <w:trHeight w:val="260"/>
        </w:trPr>
        <w:tc>
          <w:tcPr>
            <w:tcW w:w="865"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 xml:space="preserve">Корея </w:t>
            </w:r>
          </w:p>
        </w:tc>
        <w:tc>
          <w:tcPr>
            <w:tcW w:w="762" w:type="pct"/>
            <w:shd w:val="clear" w:color="auto" w:fill="auto"/>
            <w:noWrap/>
          </w:tcPr>
          <w:p>
            <w:pPr>
              <w:spacing w:after="120" w:line="240" w:lineRule="auto"/>
              <w:ind w:right="57"/>
              <w:jc w:val="center"/>
              <w:rPr>
                <w:rFonts w:ascii="Times New Roman" w:eastAsia="Times New Roman" w:hAnsi="Times New Roman"/>
                <w:noProof/>
                <w:sz w:val="20"/>
                <w:szCs w:val="20"/>
              </w:rPr>
            </w:pPr>
            <w:r>
              <w:rPr>
                <w:rFonts w:ascii="Times New Roman" w:hAnsi="Times New Roman"/>
                <w:noProof/>
                <w:sz w:val="20"/>
                <w:szCs w:val="20"/>
              </w:rPr>
              <w:t>2,93</w:t>
            </w:r>
          </w:p>
        </w:tc>
        <w:tc>
          <w:tcPr>
            <w:tcW w:w="844" w:type="pct"/>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1,01</w:t>
            </w:r>
          </w:p>
        </w:tc>
        <w:tc>
          <w:tcPr>
            <w:tcW w:w="892" w:type="pct"/>
            <w:shd w:val="clear" w:color="auto" w:fill="auto"/>
            <w:noWrap/>
          </w:tcPr>
          <w:p>
            <w:pPr>
              <w:spacing w:after="120" w:line="240" w:lineRule="auto"/>
              <w:ind w:right="57"/>
              <w:rPr>
                <w:rFonts w:ascii="Times New Roman" w:eastAsia="Times New Roman" w:hAnsi="Times New Roman"/>
                <w:noProof/>
                <w:color w:val="000000"/>
                <w:sz w:val="20"/>
                <w:szCs w:val="20"/>
                <w:lang w:eastAsia="en-GB"/>
              </w:rPr>
            </w:pPr>
          </w:p>
        </w:tc>
        <w:tc>
          <w:tcPr>
            <w:tcW w:w="794" w:type="pct"/>
            <w:shd w:val="clear" w:color="auto" w:fill="auto"/>
            <w:noWrap/>
          </w:tcPr>
          <w:p>
            <w:pPr>
              <w:spacing w:after="120" w:line="240" w:lineRule="auto"/>
              <w:ind w:right="57"/>
              <w:rPr>
                <w:rFonts w:ascii="Times New Roman" w:eastAsia="Times New Roman" w:hAnsi="Times New Roman"/>
                <w:noProof/>
                <w:color w:val="000000"/>
                <w:sz w:val="20"/>
                <w:szCs w:val="20"/>
                <w:lang w:eastAsia="en-GB"/>
              </w:rPr>
            </w:pPr>
          </w:p>
        </w:tc>
        <w:tc>
          <w:tcPr>
            <w:tcW w:w="842" w:type="pct"/>
            <w:shd w:val="clear" w:color="auto" w:fill="auto"/>
            <w:noWrap/>
          </w:tcPr>
          <w:p>
            <w:pPr>
              <w:spacing w:after="120" w:line="240" w:lineRule="auto"/>
              <w:ind w:right="57"/>
              <w:rPr>
                <w:rFonts w:ascii="Times New Roman" w:eastAsia="Times New Roman" w:hAnsi="Times New Roman"/>
                <w:noProof/>
                <w:color w:val="000000"/>
                <w:sz w:val="20"/>
                <w:szCs w:val="20"/>
                <w:lang w:eastAsia="en-GB"/>
              </w:rPr>
            </w:pPr>
          </w:p>
        </w:tc>
      </w:tr>
      <w:tr>
        <w:trPr>
          <w:trHeight w:val="260"/>
        </w:trPr>
        <w:tc>
          <w:tcPr>
            <w:tcW w:w="865" w:type="pct"/>
            <w:shd w:val="clear" w:color="auto" w:fill="auto"/>
            <w:noWrap/>
          </w:tcPr>
          <w:p>
            <w:pPr>
              <w:spacing w:after="120" w:line="240" w:lineRule="auto"/>
              <w:ind w:right="57"/>
              <w:rPr>
                <w:rFonts w:ascii="Times New Roman" w:eastAsia="Times New Roman" w:hAnsi="Times New Roman"/>
                <w:noProof/>
                <w:sz w:val="20"/>
                <w:szCs w:val="20"/>
              </w:rPr>
            </w:pPr>
            <w:r>
              <w:rPr>
                <w:rFonts w:ascii="Times New Roman" w:hAnsi="Times New Roman"/>
                <w:noProof/>
                <w:sz w:val="20"/>
                <w:szCs w:val="20"/>
              </w:rPr>
              <w:t>Други</w:t>
            </w:r>
          </w:p>
        </w:tc>
        <w:tc>
          <w:tcPr>
            <w:tcW w:w="762" w:type="pct"/>
            <w:shd w:val="clear" w:color="auto" w:fill="auto"/>
            <w:noWrap/>
          </w:tcPr>
          <w:p>
            <w:pPr>
              <w:spacing w:after="120" w:line="240" w:lineRule="auto"/>
              <w:ind w:right="57"/>
              <w:jc w:val="center"/>
              <w:rPr>
                <w:rFonts w:ascii="Times New Roman" w:eastAsia="Times New Roman" w:hAnsi="Times New Roman"/>
                <w:noProof/>
                <w:sz w:val="20"/>
                <w:szCs w:val="20"/>
              </w:rPr>
            </w:pPr>
            <w:r>
              <w:rPr>
                <w:rFonts w:ascii="Times New Roman" w:hAnsi="Times New Roman"/>
                <w:noProof/>
                <w:sz w:val="20"/>
                <w:szCs w:val="20"/>
              </w:rPr>
              <w:t>26,06</w:t>
            </w:r>
          </w:p>
        </w:tc>
        <w:tc>
          <w:tcPr>
            <w:tcW w:w="844" w:type="pct"/>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9,02</w:t>
            </w:r>
          </w:p>
        </w:tc>
        <w:tc>
          <w:tcPr>
            <w:tcW w:w="892" w:type="pct"/>
            <w:shd w:val="clear" w:color="auto" w:fill="auto"/>
            <w:noWrap/>
          </w:tcPr>
          <w:p>
            <w:pPr>
              <w:spacing w:after="120" w:line="240" w:lineRule="auto"/>
              <w:ind w:right="57"/>
              <w:rPr>
                <w:rFonts w:ascii="Times New Roman" w:eastAsia="Times New Roman" w:hAnsi="Times New Roman"/>
                <w:noProof/>
                <w:color w:val="000000"/>
                <w:sz w:val="20"/>
                <w:szCs w:val="20"/>
                <w:highlight w:val="yellow"/>
                <w:lang w:eastAsia="en-GB"/>
              </w:rPr>
            </w:pPr>
          </w:p>
        </w:tc>
        <w:tc>
          <w:tcPr>
            <w:tcW w:w="794" w:type="pct"/>
            <w:shd w:val="clear" w:color="auto" w:fill="auto"/>
            <w:noWrap/>
          </w:tcPr>
          <w:p>
            <w:pPr>
              <w:spacing w:after="120" w:line="240" w:lineRule="auto"/>
              <w:ind w:right="57"/>
              <w:rPr>
                <w:rFonts w:ascii="Times New Roman" w:eastAsia="Times New Roman" w:hAnsi="Times New Roman"/>
                <w:noProof/>
                <w:color w:val="000000"/>
                <w:sz w:val="20"/>
                <w:szCs w:val="20"/>
                <w:highlight w:val="yellow"/>
                <w:lang w:eastAsia="en-GB"/>
              </w:rPr>
            </w:pPr>
          </w:p>
        </w:tc>
        <w:tc>
          <w:tcPr>
            <w:tcW w:w="842" w:type="pct"/>
            <w:shd w:val="clear" w:color="auto" w:fill="auto"/>
            <w:noWrap/>
          </w:tcPr>
          <w:p>
            <w:pPr>
              <w:spacing w:after="120" w:line="240" w:lineRule="auto"/>
              <w:ind w:right="57"/>
              <w:rPr>
                <w:rFonts w:ascii="Times New Roman" w:eastAsia="Times New Roman" w:hAnsi="Times New Roman"/>
                <w:noProof/>
                <w:color w:val="000000"/>
                <w:sz w:val="20"/>
                <w:szCs w:val="20"/>
                <w:highlight w:val="yellow"/>
                <w:lang w:eastAsia="en-GB"/>
              </w:rPr>
            </w:pPr>
          </w:p>
        </w:tc>
      </w:tr>
      <w:tr>
        <w:trPr>
          <w:trHeight w:val="260"/>
        </w:trPr>
        <w:tc>
          <w:tcPr>
            <w:tcW w:w="865" w:type="pct"/>
            <w:shd w:val="clear" w:color="auto" w:fill="auto"/>
            <w:noWrap/>
          </w:tcPr>
          <w:p>
            <w:pPr>
              <w:spacing w:after="120" w:line="240" w:lineRule="auto"/>
              <w:ind w:right="57"/>
              <w:rPr>
                <w:rFonts w:ascii="Times New Roman" w:eastAsia="Times New Roman" w:hAnsi="Times New Roman"/>
                <w:b/>
                <w:noProof/>
                <w:sz w:val="20"/>
                <w:szCs w:val="20"/>
              </w:rPr>
            </w:pPr>
            <w:r>
              <w:rPr>
                <w:rFonts w:ascii="Times New Roman" w:hAnsi="Times New Roman"/>
                <w:b/>
                <w:noProof/>
                <w:sz w:val="20"/>
                <w:szCs w:val="20"/>
              </w:rPr>
              <w:t>Общо СЕРЕ и ЕРЕ</w:t>
            </w:r>
          </w:p>
        </w:tc>
        <w:tc>
          <w:tcPr>
            <w:tcW w:w="762" w:type="pct"/>
            <w:shd w:val="clear" w:color="auto" w:fill="auto"/>
            <w:noWrap/>
          </w:tcPr>
          <w:p>
            <w:pPr>
              <w:spacing w:after="120" w:line="240" w:lineRule="auto"/>
              <w:ind w:right="57"/>
              <w:jc w:val="center"/>
              <w:rPr>
                <w:rFonts w:ascii="Times New Roman" w:eastAsia="Times New Roman" w:hAnsi="Times New Roman"/>
                <w:b/>
                <w:noProof/>
                <w:sz w:val="20"/>
                <w:szCs w:val="20"/>
              </w:rPr>
            </w:pPr>
            <w:r>
              <w:rPr>
                <w:rFonts w:ascii="Times New Roman" w:hAnsi="Times New Roman"/>
                <w:b/>
                <w:noProof/>
                <w:sz w:val="20"/>
                <w:szCs w:val="20"/>
              </w:rPr>
              <w:t>480,94</w:t>
            </w:r>
          </w:p>
        </w:tc>
        <w:tc>
          <w:tcPr>
            <w:tcW w:w="844" w:type="pct"/>
            <w:shd w:val="clear" w:color="auto" w:fill="auto"/>
            <w:noWrap/>
          </w:tcPr>
          <w:p>
            <w:pPr>
              <w:spacing w:after="120"/>
              <w:jc w:val="center"/>
              <w:rPr>
                <w:rFonts w:ascii="Times New Roman" w:hAnsi="Times New Roman"/>
                <w:b/>
                <w:noProof/>
                <w:sz w:val="20"/>
                <w:szCs w:val="20"/>
              </w:rPr>
            </w:pPr>
            <w:r>
              <w:rPr>
                <w:rFonts w:ascii="Times New Roman" w:hAnsi="Times New Roman"/>
                <w:b/>
                <w:noProof/>
                <w:sz w:val="20"/>
                <w:szCs w:val="20"/>
              </w:rPr>
              <w:t>100 %</w:t>
            </w:r>
          </w:p>
        </w:tc>
        <w:tc>
          <w:tcPr>
            <w:tcW w:w="892" w:type="pct"/>
            <w:shd w:val="clear" w:color="auto" w:fill="auto"/>
            <w:noWrap/>
          </w:tcPr>
          <w:p>
            <w:pPr>
              <w:spacing w:after="120" w:line="240" w:lineRule="auto"/>
              <w:ind w:right="57"/>
              <w:rPr>
                <w:rFonts w:ascii="Times New Roman" w:eastAsia="Times New Roman" w:hAnsi="Times New Roman"/>
                <w:b/>
                <w:noProof/>
                <w:color w:val="000000"/>
                <w:sz w:val="20"/>
                <w:szCs w:val="20"/>
                <w:lang w:eastAsia="en-GB"/>
              </w:rPr>
            </w:pPr>
          </w:p>
        </w:tc>
        <w:tc>
          <w:tcPr>
            <w:tcW w:w="794" w:type="pct"/>
            <w:shd w:val="clear" w:color="auto" w:fill="auto"/>
            <w:noWrap/>
          </w:tcPr>
          <w:p>
            <w:pPr>
              <w:spacing w:after="120" w:line="240" w:lineRule="auto"/>
              <w:ind w:right="57"/>
              <w:rPr>
                <w:rFonts w:ascii="Times New Roman" w:eastAsia="Times New Roman" w:hAnsi="Times New Roman"/>
                <w:b/>
                <w:noProof/>
                <w:color w:val="000000"/>
                <w:sz w:val="20"/>
                <w:szCs w:val="20"/>
                <w:lang w:eastAsia="en-GB"/>
              </w:rPr>
            </w:pPr>
          </w:p>
        </w:tc>
        <w:tc>
          <w:tcPr>
            <w:tcW w:w="842" w:type="pct"/>
            <w:shd w:val="clear" w:color="auto" w:fill="auto"/>
            <w:noWrap/>
          </w:tcPr>
          <w:p>
            <w:pPr>
              <w:spacing w:after="120" w:line="240" w:lineRule="auto"/>
              <w:ind w:right="57"/>
              <w:rPr>
                <w:rFonts w:ascii="Times New Roman" w:eastAsia="Times New Roman" w:hAnsi="Times New Roman"/>
                <w:b/>
                <w:noProof/>
                <w:color w:val="000000"/>
                <w:sz w:val="20"/>
                <w:szCs w:val="20"/>
                <w:lang w:eastAsia="en-GB"/>
              </w:rPr>
            </w:pPr>
          </w:p>
        </w:tc>
      </w:tr>
    </w:tbl>
    <w:p>
      <w:pPr>
        <w:rPr>
          <w:rFonts w:ascii="Times New Roman" w:hAnsi="Times New Roman"/>
          <w:b/>
          <w:noProof/>
          <w:sz w:val="18"/>
          <w:szCs w:val="18"/>
        </w:rPr>
      </w:pPr>
      <w:r>
        <w:rPr>
          <w:rFonts w:ascii="Times New Roman" w:hAnsi="Times New Roman"/>
          <w:b/>
          <w:noProof/>
          <w:sz w:val="18"/>
          <w:szCs w:val="18"/>
        </w:rPr>
        <w:t>Източник: ЕUTL</w:t>
      </w:r>
    </w:p>
    <w:p>
      <w:pPr>
        <w:rPr>
          <w:rFonts w:ascii="Times New Roman" w:hAnsi="Times New Roman"/>
          <w:b/>
          <w:noProof/>
          <w:sz w:val="20"/>
          <w:szCs w:val="20"/>
        </w:rPr>
      </w:pPr>
      <w:r>
        <w:rPr>
          <w:rFonts w:ascii="Times New Roman" w:hAnsi="Times New Roman"/>
          <w:b/>
          <w:noProof/>
          <w:sz w:val="20"/>
          <w:szCs w:val="20"/>
        </w:rPr>
        <w:t xml:space="preserve">Таблица 3.2: Обобщени данни за международните кредити, обменени до юни 2020 г., по видове инсталации </w:t>
      </w:r>
    </w:p>
    <w:tbl>
      <w:tblPr>
        <w:tblW w:w="4111"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533"/>
        <w:gridCol w:w="2534"/>
        <w:gridCol w:w="2532"/>
      </w:tblGrid>
      <w:tr>
        <w:trPr>
          <w:trHeight w:val="247"/>
        </w:trPr>
        <w:tc>
          <w:tcPr>
            <w:tcW w:w="1667" w:type="pct"/>
            <w:shd w:val="clear" w:color="auto" w:fill="auto"/>
            <w:noWrap/>
            <w:hideMark/>
          </w:tcPr>
          <w:p>
            <w:pPr>
              <w:spacing w:after="0" w:line="240" w:lineRule="auto"/>
              <w:ind w:right="57"/>
              <w:rPr>
                <w:rFonts w:ascii="Times New Roman" w:eastAsia="Times New Roman" w:hAnsi="Times New Roman"/>
                <w:b/>
                <w:bCs/>
                <w:noProof/>
                <w:color w:val="000000"/>
                <w:sz w:val="20"/>
                <w:szCs w:val="20"/>
              </w:rPr>
            </w:pPr>
            <w:r>
              <w:rPr>
                <w:rFonts w:ascii="Times New Roman" w:hAnsi="Times New Roman"/>
                <w:b/>
                <w:noProof/>
                <w:sz w:val="20"/>
                <w:szCs w:val="20"/>
              </w:rPr>
              <w:t>Международни кредити, обменени до края на юни 2020 г., изразени в:</w:t>
            </w:r>
          </w:p>
        </w:tc>
        <w:tc>
          <w:tcPr>
            <w:tcW w:w="1667" w:type="pct"/>
            <w:shd w:val="clear" w:color="auto" w:fill="auto"/>
            <w:noWrap/>
            <w:hideMark/>
          </w:tcPr>
          <w:p>
            <w:pPr>
              <w:spacing w:after="0" w:line="240" w:lineRule="auto"/>
              <w:ind w:right="57"/>
              <w:jc w:val="center"/>
              <w:rPr>
                <w:rFonts w:ascii="Times New Roman" w:eastAsia="Times New Roman" w:hAnsi="Times New Roman"/>
                <w:b/>
                <w:noProof/>
                <w:sz w:val="20"/>
                <w:szCs w:val="20"/>
              </w:rPr>
            </w:pPr>
            <w:r>
              <w:rPr>
                <w:rFonts w:ascii="Times New Roman" w:hAnsi="Times New Roman"/>
                <w:b/>
                <w:noProof/>
                <w:sz w:val="20"/>
                <w:szCs w:val="20"/>
              </w:rPr>
              <w:t>СЕРЕ</w:t>
            </w:r>
          </w:p>
          <w:p>
            <w:pPr>
              <w:spacing w:after="0" w:line="240" w:lineRule="auto"/>
              <w:ind w:right="57"/>
              <w:jc w:val="center"/>
              <w:rPr>
                <w:rFonts w:ascii="Times New Roman" w:eastAsia="Times New Roman" w:hAnsi="Times New Roman"/>
                <w:b/>
                <w:bCs/>
                <w:noProof/>
                <w:color w:val="000000"/>
                <w:sz w:val="20"/>
                <w:szCs w:val="20"/>
              </w:rPr>
            </w:pPr>
            <w:r>
              <w:rPr>
                <w:rFonts w:ascii="Times New Roman" w:hAnsi="Times New Roman"/>
                <w:b/>
                <w:noProof/>
                <w:sz w:val="20"/>
                <w:szCs w:val="20"/>
              </w:rPr>
              <w:t xml:space="preserve">в милиони  </w:t>
            </w:r>
          </w:p>
        </w:tc>
        <w:tc>
          <w:tcPr>
            <w:tcW w:w="1666" w:type="pct"/>
            <w:shd w:val="clear" w:color="auto" w:fill="auto"/>
            <w:noWrap/>
            <w:hideMark/>
          </w:tcPr>
          <w:p>
            <w:pPr>
              <w:spacing w:after="0" w:line="240" w:lineRule="auto"/>
              <w:ind w:right="57"/>
              <w:jc w:val="center"/>
              <w:rPr>
                <w:rFonts w:ascii="Times New Roman" w:eastAsia="Times New Roman" w:hAnsi="Times New Roman"/>
                <w:b/>
                <w:noProof/>
                <w:sz w:val="20"/>
                <w:szCs w:val="20"/>
              </w:rPr>
            </w:pPr>
            <w:r>
              <w:rPr>
                <w:rFonts w:ascii="Times New Roman" w:hAnsi="Times New Roman"/>
                <w:b/>
                <w:noProof/>
                <w:sz w:val="20"/>
                <w:szCs w:val="20"/>
              </w:rPr>
              <w:t>ЕРЕ</w:t>
            </w:r>
          </w:p>
          <w:p>
            <w:pPr>
              <w:spacing w:after="0" w:line="240" w:lineRule="auto"/>
              <w:ind w:right="57"/>
              <w:jc w:val="center"/>
              <w:rPr>
                <w:rFonts w:ascii="Times New Roman" w:eastAsia="Times New Roman" w:hAnsi="Times New Roman"/>
                <w:b/>
                <w:bCs/>
                <w:noProof/>
                <w:color w:val="000000"/>
                <w:sz w:val="20"/>
                <w:szCs w:val="20"/>
              </w:rPr>
            </w:pPr>
            <w:r>
              <w:rPr>
                <w:rFonts w:ascii="Times New Roman" w:hAnsi="Times New Roman"/>
                <w:b/>
                <w:noProof/>
                <w:sz w:val="20"/>
                <w:szCs w:val="20"/>
              </w:rPr>
              <w:t xml:space="preserve">в милиони </w:t>
            </w:r>
          </w:p>
        </w:tc>
      </w:tr>
      <w:tr>
        <w:trPr>
          <w:trHeight w:val="247"/>
        </w:trPr>
        <w:tc>
          <w:tcPr>
            <w:tcW w:w="1667" w:type="pct"/>
            <w:shd w:val="clear" w:color="auto" w:fill="auto"/>
            <w:noWrap/>
            <w:hideMark/>
          </w:tcPr>
          <w:p>
            <w:pPr>
              <w:spacing w:after="120" w:line="240" w:lineRule="auto"/>
              <w:ind w:right="57"/>
              <w:rPr>
                <w:rFonts w:ascii="Times New Roman" w:eastAsia="Times New Roman" w:hAnsi="Times New Roman"/>
                <w:bCs/>
                <w:noProof/>
                <w:color w:val="000000"/>
                <w:sz w:val="20"/>
                <w:szCs w:val="20"/>
              </w:rPr>
            </w:pPr>
            <w:r>
              <w:rPr>
                <w:rFonts w:ascii="Times New Roman" w:hAnsi="Times New Roman"/>
                <w:noProof/>
                <w:sz w:val="20"/>
                <w:szCs w:val="20"/>
              </w:rPr>
              <w:t>Стационарни инсталации</w:t>
            </w:r>
          </w:p>
        </w:tc>
        <w:tc>
          <w:tcPr>
            <w:tcW w:w="1667" w:type="pct"/>
            <w:shd w:val="clear" w:color="auto" w:fill="auto"/>
            <w:noWrap/>
            <w:hideMark/>
          </w:tcPr>
          <w:p>
            <w:pPr>
              <w:spacing w:after="120" w:line="240" w:lineRule="auto"/>
              <w:ind w:right="57"/>
              <w:jc w:val="center"/>
              <w:rPr>
                <w:rFonts w:ascii="Times New Roman" w:eastAsia="Times New Roman" w:hAnsi="Times New Roman"/>
                <w:bCs/>
                <w:noProof/>
                <w:color w:val="000000"/>
                <w:sz w:val="20"/>
                <w:szCs w:val="20"/>
              </w:rPr>
            </w:pPr>
            <w:r>
              <w:rPr>
                <w:rFonts w:ascii="Times New Roman" w:hAnsi="Times New Roman"/>
                <w:noProof/>
                <w:sz w:val="20"/>
                <w:szCs w:val="20"/>
              </w:rPr>
              <w:t>282,54</w:t>
            </w:r>
          </w:p>
        </w:tc>
        <w:tc>
          <w:tcPr>
            <w:tcW w:w="1666" w:type="pct"/>
            <w:shd w:val="clear" w:color="auto" w:fill="auto"/>
            <w:noWrap/>
            <w:hideMark/>
          </w:tcPr>
          <w:p>
            <w:pPr>
              <w:spacing w:after="120"/>
              <w:jc w:val="center"/>
              <w:rPr>
                <w:rFonts w:ascii="Times New Roman" w:hAnsi="Times New Roman"/>
                <w:noProof/>
                <w:sz w:val="20"/>
                <w:szCs w:val="20"/>
              </w:rPr>
            </w:pPr>
            <w:r>
              <w:rPr>
                <w:rFonts w:ascii="Times New Roman" w:hAnsi="Times New Roman"/>
                <w:noProof/>
                <w:sz w:val="20"/>
                <w:szCs w:val="20"/>
              </w:rPr>
              <w:t>191,25</w:t>
            </w:r>
          </w:p>
        </w:tc>
      </w:tr>
      <w:tr>
        <w:trPr>
          <w:trHeight w:val="237"/>
        </w:trPr>
        <w:tc>
          <w:tcPr>
            <w:tcW w:w="1667" w:type="pct"/>
            <w:shd w:val="clear" w:color="auto" w:fill="auto"/>
            <w:noWrap/>
            <w:hideMark/>
          </w:tcPr>
          <w:p>
            <w:pPr>
              <w:spacing w:after="120" w:line="240" w:lineRule="auto"/>
              <w:ind w:right="57"/>
              <w:rPr>
                <w:rFonts w:ascii="Times New Roman" w:eastAsia="Times New Roman" w:hAnsi="Times New Roman"/>
                <w:noProof/>
                <w:color w:val="000000"/>
                <w:sz w:val="20"/>
                <w:szCs w:val="20"/>
              </w:rPr>
            </w:pPr>
            <w:r>
              <w:rPr>
                <w:rFonts w:ascii="Times New Roman" w:hAnsi="Times New Roman"/>
                <w:noProof/>
                <w:sz w:val="20"/>
                <w:szCs w:val="20"/>
              </w:rPr>
              <w:t xml:space="preserve">Оператори на въздухоплавателни средства </w:t>
            </w:r>
          </w:p>
        </w:tc>
        <w:tc>
          <w:tcPr>
            <w:tcW w:w="1667" w:type="pct"/>
            <w:shd w:val="clear" w:color="auto" w:fill="auto"/>
            <w:noWrap/>
          </w:tcPr>
          <w:p>
            <w:pPr>
              <w:spacing w:after="120" w:line="240" w:lineRule="auto"/>
              <w:ind w:right="57"/>
              <w:jc w:val="center"/>
              <w:rPr>
                <w:rFonts w:ascii="Times New Roman" w:eastAsia="Times New Roman" w:hAnsi="Times New Roman"/>
                <w:noProof/>
                <w:sz w:val="20"/>
                <w:szCs w:val="20"/>
              </w:rPr>
            </w:pPr>
            <w:r>
              <w:rPr>
                <w:rFonts w:ascii="Times New Roman" w:hAnsi="Times New Roman"/>
                <w:noProof/>
                <w:sz w:val="20"/>
                <w:szCs w:val="20"/>
              </w:rPr>
              <w:t>6,32</w:t>
            </w:r>
          </w:p>
        </w:tc>
        <w:tc>
          <w:tcPr>
            <w:tcW w:w="1666" w:type="pct"/>
            <w:shd w:val="clear" w:color="auto" w:fill="auto"/>
            <w:noWrap/>
          </w:tcPr>
          <w:p>
            <w:pPr>
              <w:spacing w:after="120"/>
              <w:jc w:val="center"/>
              <w:rPr>
                <w:rFonts w:ascii="Times New Roman" w:hAnsi="Times New Roman"/>
                <w:noProof/>
                <w:sz w:val="20"/>
                <w:szCs w:val="20"/>
              </w:rPr>
            </w:pPr>
            <w:r>
              <w:rPr>
                <w:rFonts w:ascii="Times New Roman" w:hAnsi="Times New Roman"/>
                <w:noProof/>
                <w:sz w:val="20"/>
                <w:szCs w:val="20"/>
              </w:rPr>
              <w:t>0,82</w:t>
            </w:r>
          </w:p>
        </w:tc>
      </w:tr>
      <w:tr>
        <w:trPr>
          <w:trHeight w:val="269"/>
        </w:trPr>
        <w:tc>
          <w:tcPr>
            <w:tcW w:w="1667" w:type="pct"/>
            <w:shd w:val="clear" w:color="auto" w:fill="auto"/>
            <w:noWrap/>
          </w:tcPr>
          <w:p>
            <w:pPr>
              <w:spacing w:after="120" w:line="240" w:lineRule="auto"/>
              <w:ind w:right="57"/>
              <w:rPr>
                <w:rFonts w:ascii="Times New Roman" w:eastAsia="Times New Roman" w:hAnsi="Times New Roman"/>
                <w:b/>
                <w:noProof/>
                <w:sz w:val="20"/>
                <w:szCs w:val="20"/>
              </w:rPr>
            </w:pPr>
            <w:r>
              <w:rPr>
                <w:rFonts w:ascii="Times New Roman" w:hAnsi="Times New Roman"/>
                <w:b/>
                <w:noProof/>
                <w:sz w:val="20"/>
                <w:szCs w:val="20"/>
              </w:rPr>
              <w:t>ОБЩО</w:t>
            </w:r>
          </w:p>
        </w:tc>
        <w:tc>
          <w:tcPr>
            <w:tcW w:w="1667" w:type="pct"/>
            <w:shd w:val="clear" w:color="auto" w:fill="auto"/>
            <w:noWrap/>
          </w:tcPr>
          <w:p>
            <w:pPr>
              <w:spacing w:after="120" w:line="240" w:lineRule="auto"/>
              <w:ind w:right="57"/>
              <w:jc w:val="center"/>
              <w:rPr>
                <w:rFonts w:ascii="Times New Roman" w:eastAsia="Times New Roman" w:hAnsi="Times New Roman"/>
                <w:b/>
                <w:noProof/>
                <w:sz w:val="20"/>
                <w:szCs w:val="20"/>
              </w:rPr>
            </w:pPr>
            <w:r>
              <w:rPr>
                <w:rFonts w:ascii="Times New Roman" w:hAnsi="Times New Roman"/>
                <w:b/>
                <w:noProof/>
                <w:sz w:val="20"/>
                <w:szCs w:val="20"/>
              </w:rPr>
              <w:t>288,86</w:t>
            </w:r>
          </w:p>
        </w:tc>
        <w:tc>
          <w:tcPr>
            <w:tcW w:w="1666" w:type="pct"/>
            <w:shd w:val="clear" w:color="auto" w:fill="auto"/>
            <w:noWrap/>
          </w:tcPr>
          <w:p>
            <w:pPr>
              <w:spacing w:after="120"/>
              <w:jc w:val="center"/>
              <w:rPr>
                <w:rFonts w:ascii="Times New Roman" w:hAnsi="Times New Roman"/>
                <w:b/>
                <w:noProof/>
                <w:sz w:val="20"/>
                <w:szCs w:val="20"/>
              </w:rPr>
            </w:pPr>
            <w:r>
              <w:rPr>
                <w:rFonts w:ascii="Times New Roman" w:hAnsi="Times New Roman"/>
                <w:b/>
                <w:noProof/>
                <w:sz w:val="20"/>
                <w:szCs w:val="20"/>
              </w:rPr>
              <w:t>192,07</w:t>
            </w:r>
          </w:p>
        </w:tc>
      </w:tr>
    </w:tbl>
    <w:p>
      <w:pPr>
        <w:rPr>
          <w:rFonts w:ascii="Times New Roman" w:hAnsi="Times New Roman"/>
          <w:b/>
          <w:noProof/>
          <w:sz w:val="18"/>
          <w:szCs w:val="18"/>
        </w:rPr>
      </w:pPr>
      <w:r>
        <w:rPr>
          <w:rFonts w:ascii="Times New Roman" w:hAnsi="Times New Roman"/>
          <w:b/>
          <w:noProof/>
          <w:sz w:val="18"/>
          <w:szCs w:val="18"/>
        </w:rPr>
        <w:t>Източник: ЕUTL</w:t>
      </w:r>
    </w:p>
    <w:p>
      <w:pPr>
        <w:rPr>
          <w:rFonts w:ascii="Times New Roman" w:hAnsi="Times New Roman"/>
          <w:b/>
          <w:noProof/>
        </w:rPr>
      </w:pPr>
    </w:p>
    <w:p>
      <w:pPr>
        <w:rPr>
          <w:rFonts w:ascii="Times New Roman" w:hAnsi="Times New Roman"/>
          <w:b/>
          <w:noProof/>
        </w:rPr>
      </w:pPr>
      <w:r>
        <w:rPr>
          <w:rFonts w:ascii="Times New Roman" w:hAnsi="Times New Roman"/>
          <w:b/>
          <w:noProof/>
        </w:rPr>
        <w:t>Допълнение 4</w:t>
      </w:r>
    </w:p>
    <w:p>
      <w:pPr>
        <w:rPr>
          <w:rFonts w:ascii="Times New Roman" w:hAnsi="Times New Roman"/>
          <w:b/>
          <w:noProof/>
        </w:rPr>
      </w:pPr>
      <w:r>
        <w:rPr>
          <w:rFonts w:ascii="Times New Roman" w:hAnsi="Times New Roman"/>
          <w:b/>
          <w:noProof/>
          <w:sz w:val="20"/>
          <w:szCs w:val="20"/>
        </w:rPr>
        <w:t xml:space="preserve">Таблица 4.1 Верифицирани емисии на парникови газове, различни от </w:t>
      </w:r>
      <w:r>
        <w:rPr>
          <w:rFonts w:ascii="Times New Roman" w:hAnsi="Times New Roman"/>
          <w:b/>
          <w:bCs/>
          <w:noProof/>
          <w:color w:val="262626"/>
          <w:sz w:val="20"/>
          <w:szCs w:val="20"/>
        </w:rPr>
        <w:t>CO</w:t>
      </w:r>
      <w:r>
        <w:rPr>
          <w:rFonts w:ascii="Times New Roman" w:hAnsi="Times New Roman"/>
          <w:b/>
          <w:bCs/>
          <w:noProof/>
          <w:color w:val="262626"/>
          <w:sz w:val="20"/>
          <w:szCs w:val="20"/>
          <w:bdr w:val="none" w:sz="0" w:space="0" w:color="auto" w:frame="1"/>
          <w:vertAlign w:val="subscript"/>
        </w:rPr>
        <w:t>2</w:t>
      </w:r>
      <w:r>
        <w:rPr>
          <w:rFonts w:ascii="Times New Roman" w:hAnsi="Times New Roman"/>
          <w:b/>
          <w:noProof/>
          <w:sz w:val="20"/>
          <w:szCs w:val="20"/>
        </w:rPr>
        <w:t>, от инсталации в рамките на СТЕ според вида на парниковия газ за периода 2013—2019 г. (в милиони тонове</w:t>
      </w:r>
      <w:r>
        <w:rPr>
          <w:rFonts w:ascii="Times New Roman" w:hAnsi="Times New Roman"/>
          <w:b/>
          <w:noProof/>
        </w:rPr>
        <w:t>)</w:t>
      </w:r>
      <w:r>
        <w:rPr>
          <w:rStyle w:val="FootnoteReference"/>
          <w:rFonts w:ascii="Times New Roman" w:hAnsi="Times New Roman"/>
          <w:b/>
          <w:noProof/>
        </w:rPr>
        <w:footnoteReference w:id="93"/>
      </w:r>
      <w:r>
        <w:rPr>
          <w:rFonts w:ascii="Times New Roman" w:hAnsi="Times New Roman"/>
          <w:b/>
          <w:noProof/>
        </w:rPr>
        <w:fldChar w:fldCharType="begin"/>
      </w:r>
      <w:r>
        <w:rPr>
          <w:rFonts w:ascii="Times New Roman" w:hAnsi="Times New Roman"/>
          <w:b/>
          <w:noProof/>
        </w:rPr>
        <w:instrText xml:space="preserve"> LINK Excel.Sheet.12 "\\\\net1.cec.eu.int\\CLIMA\\B\\1\\23.01 General\\23.01-7.6 Carbon market reports\\2019\\Copy of Report emissions_N2O_PFC_CO2.xlsx" Sheet1!R20C1:R24C9 \a \f 5 \h  \* MERGEFORMAT </w:instrText>
      </w:r>
      <w:r>
        <w:rPr>
          <w:rFonts w:ascii="Times New Roman" w:hAnsi="Times New Roman"/>
          <w:b/>
          <w:noProof/>
        </w:rPr>
        <w:fldChar w:fldCharType="separate"/>
      </w:r>
    </w:p>
    <w:tbl>
      <w:tblPr>
        <w:tblStyle w:val="TableGrid"/>
        <w:tblpPr w:leftFromText="180" w:rightFromText="180" w:vertAnchor="text" w:tblpY="1"/>
        <w:tblOverlap w:val="never"/>
        <w:tblW w:w="77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2"/>
        <w:gridCol w:w="973"/>
        <w:gridCol w:w="972"/>
        <w:gridCol w:w="973"/>
        <w:gridCol w:w="973"/>
        <w:gridCol w:w="973"/>
        <w:gridCol w:w="973"/>
        <w:gridCol w:w="973"/>
      </w:tblGrid>
      <w:tr>
        <w:trPr>
          <w:trHeight w:val="506"/>
        </w:trPr>
        <w:tc>
          <w:tcPr>
            <w:tcW w:w="972" w:type="dxa"/>
            <w:noWrap/>
            <w:vAlign w:val="center"/>
            <w:hideMark/>
          </w:tcPr>
          <w:p>
            <w:pPr>
              <w:rPr>
                <w:rFonts w:ascii="Times New Roman" w:hAnsi="Times New Roman"/>
                <w:noProof/>
              </w:rPr>
            </w:pPr>
          </w:p>
        </w:tc>
        <w:tc>
          <w:tcPr>
            <w:tcW w:w="973" w:type="dxa"/>
            <w:noWrap/>
            <w:vAlign w:val="center"/>
            <w:hideMark/>
          </w:tcPr>
          <w:p>
            <w:pPr>
              <w:jc w:val="center"/>
              <w:rPr>
                <w:rFonts w:ascii="Times New Roman" w:hAnsi="Times New Roman"/>
                <w:b/>
                <w:noProof/>
              </w:rPr>
            </w:pPr>
            <w:r>
              <w:rPr>
                <w:rFonts w:ascii="Times New Roman" w:hAnsi="Times New Roman"/>
                <w:b/>
                <w:noProof/>
              </w:rPr>
              <w:t>2013</w:t>
            </w:r>
          </w:p>
        </w:tc>
        <w:tc>
          <w:tcPr>
            <w:tcW w:w="972" w:type="dxa"/>
            <w:noWrap/>
            <w:vAlign w:val="center"/>
            <w:hideMark/>
          </w:tcPr>
          <w:p>
            <w:pPr>
              <w:jc w:val="center"/>
              <w:rPr>
                <w:rFonts w:ascii="Times New Roman" w:hAnsi="Times New Roman"/>
                <w:b/>
                <w:noProof/>
              </w:rPr>
            </w:pPr>
            <w:r>
              <w:rPr>
                <w:rFonts w:ascii="Times New Roman" w:hAnsi="Times New Roman"/>
                <w:b/>
                <w:noProof/>
              </w:rPr>
              <w:t>2014</w:t>
            </w:r>
          </w:p>
        </w:tc>
        <w:tc>
          <w:tcPr>
            <w:tcW w:w="973" w:type="dxa"/>
            <w:noWrap/>
            <w:vAlign w:val="center"/>
            <w:hideMark/>
          </w:tcPr>
          <w:p>
            <w:pPr>
              <w:jc w:val="center"/>
              <w:rPr>
                <w:rFonts w:ascii="Times New Roman" w:hAnsi="Times New Roman"/>
                <w:b/>
                <w:noProof/>
              </w:rPr>
            </w:pPr>
            <w:r>
              <w:rPr>
                <w:rFonts w:ascii="Times New Roman" w:hAnsi="Times New Roman"/>
                <w:b/>
                <w:noProof/>
              </w:rPr>
              <w:t>2015</w:t>
            </w:r>
          </w:p>
        </w:tc>
        <w:tc>
          <w:tcPr>
            <w:tcW w:w="973" w:type="dxa"/>
            <w:noWrap/>
            <w:vAlign w:val="center"/>
            <w:hideMark/>
          </w:tcPr>
          <w:p>
            <w:pPr>
              <w:jc w:val="center"/>
              <w:rPr>
                <w:rFonts w:ascii="Times New Roman" w:hAnsi="Times New Roman"/>
                <w:b/>
                <w:noProof/>
              </w:rPr>
            </w:pPr>
            <w:r>
              <w:rPr>
                <w:rFonts w:ascii="Times New Roman" w:hAnsi="Times New Roman"/>
                <w:b/>
                <w:noProof/>
              </w:rPr>
              <w:t>2016</w:t>
            </w:r>
          </w:p>
        </w:tc>
        <w:tc>
          <w:tcPr>
            <w:tcW w:w="973" w:type="dxa"/>
            <w:noWrap/>
            <w:vAlign w:val="center"/>
            <w:hideMark/>
          </w:tcPr>
          <w:p>
            <w:pPr>
              <w:jc w:val="center"/>
              <w:rPr>
                <w:rFonts w:ascii="Times New Roman" w:hAnsi="Times New Roman"/>
                <w:b/>
                <w:noProof/>
              </w:rPr>
            </w:pPr>
            <w:r>
              <w:rPr>
                <w:rFonts w:ascii="Times New Roman" w:hAnsi="Times New Roman"/>
                <w:b/>
                <w:noProof/>
              </w:rPr>
              <w:t>2017</w:t>
            </w:r>
          </w:p>
        </w:tc>
        <w:tc>
          <w:tcPr>
            <w:tcW w:w="973" w:type="dxa"/>
            <w:noWrap/>
            <w:vAlign w:val="center"/>
            <w:hideMark/>
          </w:tcPr>
          <w:p>
            <w:pPr>
              <w:jc w:val="center"/>
              <w:rPr>
                <w:rFonts w:ascii="Times New Roman" w:hAnsi="Times New Roman"/>
                <w:b/>
                <w:noProof/>
              </w:rPr>
            </w:pPr>
            <w:r>
              <w:rPr>
                <w:rFonts w:ascii="Times New Roman" w:hAnsi="Times New Roman"/>
                <w:b/>
                <w:noProof/>
              </w:rPr>
              <w:t>2018</w:t>
            </w:r>
          </w:p>
        </w:tc>
        <w:tc>
          <w:tcPr>
            <w:tcW w:w="973" w:type="dxa"/>
            <w:vAlign w:val="center"/>
          </w:tcPr>
          <w:p>
            <w:pPr>
              <w:jc w:val="center"/>
              <w:rPr>
                <w:rFonts w:ascii="Times New Roman" w:hAnsi="Times New Roman"/>
                <w:b/>
                <w:noProof/>
              </w:rPr>
            </w:pPr>
            <w:r>
              <w:rPr>
                <w:rFonts w:ascii="Times New Roman" w:hAnsi="Times New Roman"/>
                <w:b/>
                <w:noProof/>
              </w:rPr>
              <w:t>2019</w:t>
            </w:r>
          </w:p>
        </w:tc>
      </w:tr>
      <w:tr>
        <w:trPr>
          <w:trHeight w:val="506"/>
        </w:trPr>
        <w:tc>
          <w:tcPr>
            <w:tcW w:w="972" w:type="dxa"/>
            <w:noWrap/>
            <w:vAlign w:val="center"/>
            <w:hideMark/>
          </w:tcPr>
          <w:p>
            <w:pPr>
              <w:rPr>
                <w:rFonts w:ascii="Times New Roman" w:hAnsi="Times New Roman"/>
                <w:b/>
                <w:noProof/>
              </w:rPr>
            </w:pPr>
            <w:r>
              <w:rPr>
                <w:rFonts w:ascii="Times New Roman" w:hAnsi="Times New Roman"/>
                <w:b/>
                <w:noProof/>
              </w:rPr>
              <w:t>PFCs</w:t>
            </w:r>
          </w:p>
        </w:tc>
        <w:tc>
          <w:tcPr>
            <w:tcW w:w="973" w:type="dxa"/>
            <w:noWrap/>
            <w:vAlign w:val="center"/>
            <w:hideMark/>
          </w:tcPr>
          <w:p>
            <w:pPr>
              <w:jc w:val="center"/>
              <w:rPr>
                <w:rFonts w:ascii="Times New Roman" w:hAnsi="Times New Roman"/>
                <w:noProof/>
              </w:rPr>
            </w:pPr>
            <w:r>
              <w:rPr>
                <w:rFonts w:ascii="Times New Roman" w:hAnsi="Times New Roman"/>
                <w:noProof/>
              </w:rPr>
              <w:t>0,40</w:t>
            </w:r>
          </w:p>
        </w:tc>
        <w:tc>
          <w:tcPr>
            <w:tcW w:w="972" w:type="dxa"/>
            <w:noWrap/>
            <w:vAlign w:val="center"/>
            <w:hideMark/>
          </w:tcPr>
          <w:p>
            <w:pPr>
              <w:jc w:val="center"/>
              <w:rPr>
                <w:rFonts w:ascii="Times New Roman" w:hAnsi="Times New Roman"/>
                <w:noProof/>
              </w:rPr>
            </w:pPr>
            <w:r>
              <w:rPr>
                <w:rFonts w:ascii="Times New Roman" w:hAnsi="Times New Roman"/>
                <w:noProof/>
              </w:rPr>
              <w:t>0,74</w:t>
            </w:r>
          </w:p>
        </w:tc>
        <w:tc>
          <w:tcPr>
            <w:tcW w:w="973" w:type="dxa"/>
            <w:noWrap/>
            <w:vAlign w:val="center"/>
            <w:hideMark/>
          </w:tcPr>
          <w:p>
            <w:pPr>
              <w:jc w:val="center"/>
              <w:rPr>
                <w:rFonts w:ascii="Times New Roman" w:hAnsi="Times New Roman"/>
                <w:noProof/>
              </w:rPr>
            </w:pPr>
            <w:r>
              <w:rPr>
                <w:rFonts w:ascii="Times New Roman" w:hAnsi="Times New Roman"/>
                <w:noProof/>
              </w:rPr>
              <w:t>0,58</w:t>
            </w:r>
          </w:p>
        </w:tc>
        <w:tc>
          <w:tcPr>
            <w:tcW w:w="973" w:type="dxa"/>
            <w:noWrap/>
            <w:vAlign w:val="center"/>
            <w:hideMark/>
          </w:tcPr>
          <w:p>
            <w:pPr>
              <w:jc w:val="center"/>
              <w:rPr>
                <w:rFonts w:ascii="Times New Roman" w:hAnsi="Times New Roman"/>
                <w:noProof/>
              </w:rPr>
            </w:pPr>
            <w:r>
              <w:rPr>
                <w:rFonts w:ascii="Times New Roman" w:hAnsi="Times New Roman"/>
                <w:noProof/>
              </w:rPr>
              <w:t>0,64</w:t>
            </w:r>
          </w:p>
        </w:tc>
        <w:tc>
          <w:tcPr>
            <w:tcW w:w="973" w:type="dxa"/>
            <w:noWrap/>
            <w:vAlign w:val="center"/>
            <w:hideMark/>
          </w:tcPr>
          <w:p>
            <w:pPr>
              <w:jc w:val="center"/>
              <w:rPr>
                <w:rFonts w:ascii="Times New Roman" w:hAnsi="Times New Roman"/>
                <w:noProof/>
              </w:rPr>
            </w:pPr>
            <w:r>
              <w:rPr>
                <w:rFonts w:ascii="Times New Roman" w:hAnsi="Times New Roman"/>
                <w:noProof/>
              </w:rPr>
              <w:t>0,51</w:t>
            </w:r>
          </w:p>
        </w:tc>
        <w:tc>
          <w:tcPr>
            <w:tcW w:w="973" w:type="dxa"/>
            <w:noWrap/>
            <w:vAlign w:val="center"/>
            <w:hideMark/>
          </w:tcPr>
          <w:p>
            <w:pPr>
              <w:jc w:val="center"/>
              <w:rPr>
                <w:rFonts w:ascii="Times New Roman" w:hAnsi="Times New Roman"/>
                <w:noProof/>
              </w:rPr>
            </w:pPr>
            <w:r>
              <w:rPr>
                <w:rFonts w:ascii="Times New Roman" w:hAnsi="Times New Roman"/>
                <w:noProof/>
              </w:rPr>
              <w:t>0,64</w:t>
            </w:r>
          </w:p>
        </w:tc>
        <w:tc>
          <w:tcPr>
            <w:tcW w:w="973" w:type="dxa"/>
            <w:vAlign w:val="center"/>
          </w:tcPr>
          <w:p>
            <w:pPr>
              <w:jc w:val="center"/>
              <w:rPr>
                <w:rFonts w:ascii="Times New Roman" w:hAnsi="Times New Roman"/>
                <w:noProof/>
              </w:rPr>
            </w:pPr>
            <w:r>
              <w:rPr>
                <w:rFonts w:ascii="Times New Roman" w:hAnsi="Times New Roman"/>
                <w:noProof/>
              </w:rPr>
              <w:t>0,57</w:t>
            </w:r>
          </w:p>
        </w:tc>
      </w:tr>
      <w:tr>
        <w:trPr>
          <w:trHeight w:val="506"/>
        </w:trPr>
        <w:tc>
          <w:tcPr>
            <w:tcW w:w="972" w:type="dxa"/>
            <w:noWrap/>
            <w:vAlign w:val="center"/>
            <w:hideMark/>
          </w:tcPr>
          <w:p>
            <w:pPr>
              <w:rPr>
                <w:rFonts w:ascii="Times New Roman" w:hAnsi="Times New Roman"/>
                <w:b/>
                <w:noProof/>
              </w:rPr>
            </w:pPr>
            <w:r>
              <w:rPr>
                <w:rFonts w:ascii="Times New Roman" w:hAnsi="Times New Roman"/>
                <w:b/>
                <w:bCs/>
                <w:noProof/>
                <w:color w:val="262626"/>
              </w:rPr>
              <w:t>N</w:t>
            </w:r>
            <w:r>
              <w:rPr>
                <w:rFonts w:ascii="Times New Roman" w:hAnsi="Times New Roman"/>
                <w:b/>
                <w:bCs/>
                <w:noProof/>
                <w:color w:val="262626"/>
                <w:bdr w:val="none" w:sz="0" w:space="0" w:color="auto" w:frame="1"/>
                <w:vertAlign w:val="subscript"/>
              </w:rPr>
              <w:t>2</w:t>
            </w:r>
            <w:r>
              <w:rPr>
                <w:rFonts w:ascii="Times New Roman" w:hAnsi="Times New Roman"/>
                <w:b/>
                <w:bCs/>
                <w:noProof/>
                <w:color w:val="262626"/>
              </w:rPr>
              <w:t>O</w:t>
            </w:r>
          </w:p>
        </w:tc>
        <w:tc>
          <w:tcPr>
            <w:tcW w:w="973" w:type="dxa"/>
            <w:noWrap/>
            <w:vAlign w:val="center"/>
            <w:hideMark/>
          </w:tcPr>
          <w:p>
            <w:pPr>
              <w:jc w:val="center"/>
              <w:rPr>
                <w:rFonts w:ascii="Times New Roman" w:hAnsi="Times New Roman"/>
                <w:noProof/>
              </w:rPr>
            </w:pPr>
            <w:r>
              <w:rPr>
                <w:rFonts w:ascii="Times New Roman" w:hAnsi="Times New Roman"/>
                <w:noProof/>
              </w:rPr>
              <w:t>2,48</w:t>
            </w:r>
          </w:p>
        </w:tc>
        <w:tc>
          <w:tcPr>
            <w:tcW w:w="972" w:type="dxa"/>
            <w:noWrap/>
            <w:vAlign w:val="center"/>
            <w:hideMark/>
          </w:tcPr>
          <w:p>
            <w:pPr>
              <w:jc w:val="center"/>
              <w:rPr>
                <w:rFonts w:ascii="Times New Roman" w:hAnsi="Times New Roman"/>
                <w:noProof/>
              </w:rPr>
            </w:pPr>
            <w:r>
              <w:rPr>
                <w:rFonts w:ascii="Times New Roman" w:hAnsi="Times New Roman"/>
                <w:noProof/>
              </w:rPr>
              <w:t>5,48</w:t>
            </w:r>
          </w:p>
        </w:tc>
        <w:tc>
          <w:tcPr>
            <w:tcW w:w="973" w:type="dxa"/>
            <w:noWrap/>
            <w:vAlign w:val="center"/>
            <w:hideMark/>
          </w:tcPr>
          <w:p>
            <w:pPr>
              <w:jc w:val="center"/>
              <w:rPr>
                <w:rFonts w:ascii="Times New Roman" w:hAnsi="Times New Roman"/>
                <w:noProof/>
              </w:rPr>
            </w:pPr>
            <w:r>
              <w:rPr>
                <w:rFonts w:ascii="Times New Roman" w:hAnsi="Times New Roman"/>
                <w:noProof/>
              </w:rPr>
              <w:t>5,31</w:t>
            </w:r>
          </w:p>
        </w:tc>
        <w:tc>
          <w:tcPr>
            <w:tcW w:w="973" w:type="dxa"/>
            <w:noWrap/>
            <w:vAlign w:val="center"/>
            <w:hideMark/>
          </w:tcPr>
          <w:p>
            <w:pPr>
              <w:jc w:val="center"/>
              <w:rPr>
                <w:rFonts w:ascii="Times New Roman" w:hAnsi="Times New Roman"/>
                <w:noProof/>
              </w:rPr>
            </w:pPr>
            <w:r>
              <w:rPr>
                <w:rFonts w:ascii="Times New Roman" w:hAnsi="Times New Roman"/>
                <w:noProof/>
              </w:rPr>
              <w:t>4,62</w:t>
            </w:r>
          </w:p>
        </w:tc>
        <w:tc>
          <w:tcPr>
            <w:tcW w:w="973" w:type="dxa"/>
            <w:noWrap/>
            <w:vAlign w:val="center"/>
            <w:hideMark/>
          </w:tcPr>
          <w:p>
            <w:pPr>
              <w:jc w:val="center"/>
              <w:rPr>
                <w:rFonts w:ascii="Times New Roman" w:hAnsi="Times New Roman"/>
                <w:noProof/>
              </w:rPr>
            </w:pPr>
            <w:r>
              <w:rPr>
                <w:rFonts w:ascii="Times New Roman" w:hAnsi="Times New Roman"/>
                <w:noProof/>
              </w:rPr>
              <w:t>4,92</w:t>
            </w:r>
          </w:p>
        </w:tc>
        <w:tc>
          <w:tcPr>
            <w:tcW w:w="973" w:type="dxa"/>
            <w:noWrap/>
            <w:vAlign w:val="center"/>
            <w:hideMark/>
          </w:tcPr>
          <w:p>
            <w:pPr>
              <w:jc w:val="center"/>
              <w:rPr>
                <w:rFonts w:ascii="Times New Roman" w:hAnsi="Times New Roman"/>
                <w:noProof/>
              </w:rPr>
            </w:pPr>
            <w:r>
              <w:rPr>
                <w:rFonts w:ascii="Times New Roman" w:hAnsi="Times New Roman"/>
                <w:noProof/>
              </w:rPr>
              <w:t>4,108</w:t>
            </w:r>
          </w:p>
        </w:tc>
        <w:tc>
          <w:tcPr>
            <w:tcW w:w="973" w:type="dxa"/>
            <w:vAlign w:val="center"/>
          </w:tcPr>
          <w:p>
            <w:pPr>
              <w:jc w:val="center"/>
              <w:rPr>
                <w:rFonts w:ascii="Times New Roman" w:hAnsi="Times New Roman"/>
                <w:noProof/>
              </w:rPr>
            </w:pPr>
            <w:r>
              <w:rPr>
                <w:rFonts w:ascii="Times New Roman" w:hAnsi="Times New Roman"/>
                <w:noProof/>
              </w:rPr>
              <w:t>3,68</w:t>
            </w:r>
          </w:p>
        </w:tc>
      </w:tr>
    </w:tbl>
    <w:p>
      <w:pPr>
        <w:rPr>
          <w:rFonts w:ascii="Times New Roman" w:hAnsi="Times New Roman"/>
          <w:noProof/>
          <w:sz w:val="18"/>
          <w:szCs w:val="18"/>
        </w:rPr>
      </w:pPr>
      <w:r>
        <w:rPr>
          <w:rFonts w:ascii="Times New Roman" w:hAnsi="Times New Roman"/>
          <w:noProof/>
        </w:rPr>
        <w:fldChar w:fldCharType="end"/>
      </w:r>
      <w:r>
        <w:rPr>
          <w:noProof/>
        </w:rPr>
        <w:br w:type="textWrapping" w:clear="all"/>
      </w:r>
      <w:r>
        <w:rPr>
          <w:rFonts w:ascii="Times New Roman" w:hAnsi="Times New Roman"/>
          <w:noProof/>
          <w:sz w:val="18"/>
          <w:szCs w:val="18"/>
        </w:rPr>
        <w:t>Източник: ЕUTL</w:t>
      </w:r>
    </w:p>
    <w:p>
      <w:pPr>
        <w:rPr>
          <w:rFonts w:ascii="Times New Roman" w:hAnsi="Times New Roman"/>
          <w:b/>
          <w:noProof/>
        </w:rPr>
      </w:pPr>
    </w:p>
    <w:p>
      <w:pPr>
        <w:rPr>
          <w:rFonts w:ascii="Times New Roman" w:hAnsi="Times New Roman"/>
          <w:b/>
          <w:noProof/>
        </w:rPr>
      </w:pPr>
      <w:r>
        <w:rPr>
          <w:rFonts w:ascii="Times New Roman" w:hAnsi="Times New Roman"/>
          <w:b/>
          <w:noProof/>
        </w:rPr>
        <w:t>Допълнение 5</w:t>
      </w:r>
    </w:p>
    <w:p>
      <w:pPr>
        <w:rPr>
          <w:rFonts w:ascii="Times New Roman" w:hAnsi="Times New Roman"/>
          <w:b/>
          <w:noProof/>
          <w:sz w:val="20"/>
          <w:szCs w:val="20"/>
        </w:rPr>
      </w:pPr>
      <w:r>
        <w:rPr>
          <w:rFonts w:ascii="Times New Roman" w:hAnsi="Times New Roman"/>
          <w:b/>
          <w:noProof/>
          <w:sz w:val="20"/>
          <w:szCs w:val="20"/>
        </w:rPr>
        <w:t>Таблица 5.1: Избрани решения на Съда на ЕС относно функционирането на СТЕ на ЕС през периода от юли 2019 г. до юни 2020 г.</w:t>
      </w:r>
    </w:p>
    <w:tbl>
      <w:tblPr>
        <w:tblStyle w:val="TableGrid4"/>
        <w:tblW w:w="9565"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34"/>
        <w:gridCol w:w="1253"/>
        <w:gridCol w:w="1382"/>
        <w:gridCol w:w="2640"/>
        <w:gridCol w:w="753"/>
        <w:gridCol w:w="2403"/>
      </w:tblGrid>
      <w:tr>
        <w:trPr>
          <w:trHeight w:val="551"/>
        </w:trPr>
        <w:tc>
          <w:tcPr>
            <w:tcW w:w="1134" w:type="dxa"/>
            <w:vAlign w:val="center"/>
            <w:hideMark/>
          </w:tcPr>
          <w:p>
            <w:pPr>
              <w:rPr>
                <w:rFonts w:ascii="Times New Roman" w:hAnsi="Times New Roman"/>
                <w:b/>
                <w:bCs/>
                <w:noProof/>
                <w:sz w:val="20"/>
                <w:szCs w:val="20"/>
              </w:rPr>
            </w:pPr>
            <w:r>
              <w:rPr>
                <w:rFonts w:ascii="Times New Roman" w:hAnsi="Times New Roman"/>
                <w:b/>
                <w:bCs/>
                <w:noProof/>
                <w:sz w:val="20"/>
                <w:szCs w:val="20"/>
              </w:rPr>
              <w:t>Референтен номер на делото</w:t>
            </w:r>
          </w:p>
        </w:tc>
        <w:tc>
          <w:tcPr>
            <w:tcW w:w="1253" w:type="dxa"/>
            <w:vAlign w:val="center"/>
          </w:tcPr>
          <w:p>
            <w:pPr>
              <w:rPr>
                <w:rFonts w:ascii="Times New Roman" w:hAnsi="Times New Roman"/>
                <w:b/>
                <w:noProof/>
                <w:sz w:val="20"/>
                <w:szCs w:val="20"/>
              </w:rPr>
            </w:pPr>
            <w:r>
              <w:rPr>
                <w:rFonts w:ascii="Times New Roman" w:hAnsi="Times New Roman"/>
                <w:b/>
                <w:noProof/>
                <w:sz w:val="20"/>
                <w:szCs w:val="20"/>
              </w:rPr>
              <w:t>Приложимо законодателство</w:t>
            </w:r>
          </w:p>
        </w:tc>
        <w:tc>
          <w:tcPr>
            <w:tcW w:w="1382" w:type="dxa"/>
            <w:vAlign w:val="center"/>
          </w:tcPr>
          <w:p>
            <w:pPr>
              <w:rPr>
                <w:rFonts w:ascii="Times New Roman" w:hAnsi="Times New Roman"/>
                <w:b/>
                <w:noProof/>
                <w:sz w:val="20"/>
                <w:szCs w:val="20"/>
              </w:rPr>
            </w:pPr>
            <w:r>
              <w:rPr>
                <w:rFonts w:ascii="Times New Roman" w:hAnsi="Times New Roman"/>
                <w:b/>
                <w:noProof/>
                <w:sz w:val="20"/>
                <w:szCs w:val="20"/>
              </w:rPr>
              <w:t>Страни</w:t>
            </w:r>
          </w:p>
        </w:tc>
        <w:tc>
          <w:tcPr>
            <w:tcW w:w="2640" w:type="dxa"/>
            <w:vAlign w:val="center"/>
          </w:tcPr>
          <w:p>
            <w:pPr>
              <w:jc w:val="center"/>
              <w:rPr>
                <w:rFonts w:ascii="Times New Roman" w:hAnsi="Times New Roman"/>
                <w:b/>
                <w:bCs/>
                <w:noProof/>
                <w:sz w:val="20"/>
                <w:szCs w:val="20"/>
              </w:rPr>
            </w:pPr>
            <w:r>
              <w:rPr>
                <w:rFonts w:ascii="Times New Roman" w:hAnsi="Times New Roman"/>
                <w:b/>
                <w:bCs/>
                <w:noProof/>
                <w:sz w:val="20"/>
                <w:szCs w:val="20"/>
              </w:rPr>
              <w:t>Контекст на делото</w:t>
            </w:r>
          </w:p>
        </w:tc>
        <w:tc>
          <w:tcPr>
            <w:tcW w:w="753" w:type="dxa"/>
            <w:vAlign w:val="center"/>
            <w:hideMark/>
          </w:tcPr>
          <w:p>
            <w:pPr>
              <w:jc w:val="center"/>
              <w:rPr>
                <w:rFonts w:ascii="Times New Roman" w:hAnsi="Times New Roman"/>
                <w:b/>
                <w:bCs/>
                <w:noProof/>
                <w:sz w:val="20"/>
                <w:szCs w:val="20"/>
              </w:rPr>
            </w:pPr>
            <w:r>
              <w:rPr>
                <w:rFonts w:ascii="Times New Roman" w:hAnsi="Times New Roman"/>
                <w:b/>
                <w:bCs/>
                <w:noProof/>
                <w:sz w:val="20"/>
                <w:szCs w:val="20"/>
              </w:rPr>
              <w:t>Дата</w:t>
            </w:r>
          </w:p>
        </w:tc>
        <w:tc>
          <w:tcPr>
            <w:tcW w:w="2403" w:type="dxa"/>
            <w:vAlign w:val="center"/>
            <w:hideMark/>
          </w:tcPr>
          <w:p>
            <w:pPr>
              <w:jc w:val="center"/>
              <w:rPr>
                <w:rFonts w:ascii="Times New Roman" w:hAnsi="Times New Roman"/>
                <w:b/>
                <w:bCs/>
                <w:noProof/>
                <w:sz w:val="20"/>
                <w:szCs w:val="20"/>
              </w:rPr>
            </w:pPr>
            <w:r>
              <w:rPr>
                <w:rFonts w:ascii="Times New Roman" w:hAnsi="Times New Roman"/>
                <w:b/>
                <w:bCs/>
                <w:noProof/>
                <w:sz w:val="20"/>
                <w:szCs w:val="20"/>
              </w:rPr>
              <w:t>Констатация на Съда</w:t>
            </w:r>
          </w:p>
        </w:tc>
      </w:tr>
      <w:tr>
        <w:trPr>
          <w:trHeight w:val="1384"/>
        </w:trPr>
        <w:tc>
          <w:tcPr>
            <w:tcW w:w="1134" w:type="dxa"/>
          </w:tcPr>
          <w:p>
            <w:pPr>
              <w:rPr>
                <w:rFonts w:ascii="Times New Roman" w:hAnsi="Times New Roman"/>
                <w:bCs/>
                <w:noProof/>
                <w:sz w:val="20"/>
                <w:szCs w:val="20"/>
              </w:rPr>
            </w:pPr>
            <w:r>
              <w:rPr>
                <w:rFonts w:ascii="Times New Roman" w:hAnsi="Times New Roman"/>
                <w:noProof/>
                <w:sz w:val="20"/>
                <w:szCs w:val="20"/>
              </w:rPr>
              <w:t xml:space="preserve">Дело </w:t>
            </w:r>
            <w:r>
              <w:rPr>
                <w:rFonts w:ascii="Times New Roman" w:hAnsi="Times New Roman"/>
                <w:bCs/>
                <w:noProof/>
                <w:sz w:val="20"/>
                <w:szCs w:val="20"/>
              </w:rPr>
              <w:t>C‑189/19</w:t>
            </w:r>
          </w:p>
        </w:tc>
        <w:tc>
          <w:tcPr>
            <w:tcW w:w="1253" w:type="dxa"/>
          </w:tcPr>
          <w:p>
            <w:pPr>
              <w:rPr>
                <w:rFonts w:ascii="Times New Roman" w:hAnsi="Times New Roman"/>
                <w:noProof/>
                <w:sz w:val="20"/>
                <w:szCs w:val="20"/>
              </w:rPr>
            </w:pPr>
            <w:r>
              <w:rPr>
                <w:rFonts w:ascii="Times New Roman" w:hAnsi="Times New Roman"/>
                <w:noProof/>
                <w:sz w:val="20"/>
                <w:szCs w:val="20"/>
              </w:rPr>
              <w:t>Решение 2011/278 на Комисията</w:t>
            </w:r>
          </w:p>
        </w:tc>
        <w:tc>
          <w:tcPr>
            <w:tcW w:w="1382" w:type="dxa"/>
          </w:tcPr>
          <w:p>
            <w:pPr>
              <w:rPr>
                <w:rFonts w:ascii="Times New Roman" w:hAnsi="Times New Roman"/>
                <w:noProof/>
                <w:sz w:val="20"/>
                <w:szCs w:val="20"/>
              </w:rPr>
            </w:pPr>
            <w:r>
              <w:rPr>
                <w:noProof/>
              </w:rPr>
              <w:t xml:space="preserve"> </w:t>
            </w:r>
            <w:r>
              <w:rPr>
                <w:rFonts w:ascii="Times New Roman" w:hAnsi="Times New Roman"/>
                <w:noProof/>
                <w:sz w:val="20"/>
                <w:szCs w:val="20"/>
              </w:rPr>
              <w:t>Spenner GmbH &amp; Co. KG/DE</w:t>
            </w:r>
          </w:p>
        </w:tc>
        <w:tc>
          <w:tcPr>
            <w:tcW w:w="2640" w:type="dxa"/>
          </w:tcPr>
          <w:p>
            <w:pPr>
              <w:rPr>
                <w:rFonts w:ascii="Times New Roman" w:hAnsi="Times New Roman"/>
                <w:bCs/>
                <w:noProof/>
                <w:sz w:val="20"/>
                <w:szCs w:val="20"/>
              </w:rPr>
            </w:pPr>
            <w:r>
              <w:rPr>
                <w:rFonts w:ascii="Times New Roman" w:hAnsi="Times New Roman"/>
                <w:bCs/>
                <w:noProof/>
                <w:sz w:val="20"/>
                <w:szCs w:val="20"/>
              </w:rPr>
              <w:t xml:space="preserve">Spenner Gmbh желаеше да получи безплатно разпределение за фаза 3 от СТЕ (2013—2020 г.), като претендира, че германският компетентен орган не му е предоставил достатъчно безплатно разпределени квоти поради погрешно тълкуване от негова страна на Решение 2011/278/ЕС на Комисията, по-специално член 9, който се отнася до историческите нива на активност. </w:t>
            </w:r>
          </w:p>
        </w:tc>
        <w:tc>
          <w:tcPr>
            <w:tcW w:w="753" w:type="dxa"/>
          </w:tcPr>
          <w:p>
            <w:pPr>
              <w:rPr>
                <w:rFonts w:ascii="Times New Roman" w:hAnsi="Times New Roman"/>
                <w:bCs/>
                <w:noProof/>
                <w:sz w:val="20"/>
                <w:szCs w:val="20"/>
              </w:rPr>
            </w:pPr>
            <w:r>
              <w:rPr>
                <w:rFonts w:ascii="Times New Roman" w:hAnsi="Times New Roman"/>
                <w:bCs/>
                <w:noProof/>
                <w:sz w:val="20"/>
                <w:szCs w:val="20"/>
              </w:rPr>
              <w:t>14.5.2020 г.</w:t>
            </w:r>
          </w:p>
        </w:tc>
        <w:tc>
          <w:tcPr>
            <w:tcW w:w="2403" w:type="dxa"/>
          </w:tcPr>
          <w:p>
            <w:pPr>
              <w:rPr>
                <w:rFonts w:ascii="Times New Roman" w:hAnsi="Times New Roman"/>
                <w:bCs/>
                <w:noProof/>
                <w:sz w:val="20"/>
                <w:szCs w:val="20"/>
              </w:rPr>
            </w:pPr>
            <w:r>
              <w:rPr>
                <w:rFonts w:ascii="Times New Roman" w:hAnsi="Times New Roman"/>
                <w:bCs/>
                <w:noProof/>
                <w:sz w:val="20"/>
                <w:szCs w:val="20"/>
              </w:rPr>
              <w:t>Съдът постанови, че член 9, параграф 9 от Решение 2011/278 не се прилага при значително увеличение на капацитета на работеща инсталация, настъпило преди базовия период, определен в съответствие с член 9, параграф 1 от решението, и че член 9, параграф 1 от Решение 2011/278 не задължава компетентния орган да определи съответния базов период, за да оцени историческите нива на активност на инсталацията.</w:t>
            </w:r>
          </w:p>
        </w:tc>
      </w:tr>
      <w:tr>
        <w:trPr>
          <w:trHeight w:val="1384"/>
        </w:trPr>
        <w:tc>
          <w:tcPr>
            <w:tcW w:w="1134" w:type="dxa"/>
          </w:tcPr>
          <w:p>
            <w:pPr>
              <w:rPr>
                <w:rFonts w:ascii="Times New Roman" w:hAnsi="Times New Roman"/>
                <w:bCs/>
                <w:noProof/>
                <w:sz w:val="20"/>
                <w:szCs w:val="20"/>
              </w:rPr>
            </w:pPr>
            <w:r>
              <w:rPr>
                <w:rFonts w:ascii="Times New Roman" w:hAnsi="Times New Roman"/>
                <w:bCs/>
                <w:noProof/>
                <w:sz w:val="20"/>
                <w:szCs w:val="20"/>
              </w:rPr>
              <w:t>Дело C-113/19</w:t>
            </w:r>
          </w:p>
        </w:tc>
        <w:tc>
          <w:tcPr>
            <w:tcW w:w="1253" w:type="dxa"/>
          </w:tcPr>
          <w:p>
            <w:pPr>
              <w:rPr>
                <w:rFonts w:ascii="Times New Roman" w:hAnsi="Times New Roman"/>
                <w:noProof/>
                <w:sz w:val="20"/>
                <w:szCs w:val="20"/>
              </w:rPr>
            </w:pPr>
            <w:r>
              <w:rPr>
                <w:rFonts w:ascii="Times New Roman" w:hAnsi="Times New Roman"/>
                <w:noProof/>
                <w:sz w:val="20"/>
                <w:szCs w:val="20"/>
              </w:rPr>
              <w:t>Директива 2003/87/ЕО, Харта на основните права на Европейския съюз</w:t>
            </w:r>
          </w:p>
        </w:tc>
        <w:tc>
          <w:tcPr>
            <w:tcW w:w="1382" w:type="dxa"/>
          </w:tcPr>
          <w:p>
            <w:pPr>
              <w:rPr>
                <w:rFonts w:ascii="Times New Roman" w:hAnsi="Times New Roman"/>
                <w:noProof/>
                <w:sz w:val="20"/>
                <w:szCs w:val="20"/>
              </w:rPr>
            </w:pPr>
            <w:r>
              <w:rPr>
                <w:rFonts w:ascii="Times New Roman" w:hAnsi="Times New Roman"/>
                <w:noProof/>
                <w:sz w:val="20"/>
                <w:szCs w:val="20"/>
              </w:rPr>
              <w:t>Luxaviation SA/ Министър на околната среда, Люксембург</w:t>
            </w:r>
          </w:p>
        </w:tc>
        <w:tc>
          <w:tcPr>
            <w:tcW w:w="2640" w:type="dxa"/>
          </w:tcPr>
          <w:p>
            <w:pPr>
              <w:rPr>
                <w:rFonts w:ascii="Times New Roman" w:hAnsi="Times New Roman"/>
                <w:bCs/>
                <w:noProof/>
                <w:sz w:val="20"/>
                <w:szCs w:val="20"/>
              </w:rPr>
            </w:pPr>
            <w:r>
              <w:rPr>
                <w:rFonts w:ascii="Times New Roman" w:hAnsi="Times New Roman"/>
                <w:bCs/>
                <w:noProof/>
                <w:sz w:val="20"/>
                <w:szCs w:val="20"/>
              </w:rPr>
              <w:t>Luxaviation смята, че е приключило процедурата за предаване на квотите за емисии през 2016 г., но според Министерството на околната среда това не е така.</w:t>
            </w:r>
            <w:r>
              <w:rPr>
                <w:noProof/>
              </w:rPr>
              <w:t xml:space="preserve"> </w:t>
            </w:r>
            <w:r>
              <w:rPr>
                <w:rFonts w:ascii="Times New Roman" w:hAnsi="Times New Roman"/>
                <w:bCs/>
                <w:noProof/>
                <w:sz w:val="20"/>
                <w:szCs w:val="20"/>
              </w:rPr>
              <w:t>През юни 2016 г. министърът на околната среда посочи на Luxaviation, че то не е осъществило необходимото предаване в разрешеното време, а именно, преди 30 април същата година. Наложено е наказание и името на Luxaviation е публикувано на уебсайта на Агенцията по околна среда.</w:t>
            </w:r>
            <w:r>
              <w:rPr>
                <w:noProof/>
              </w:rPr>
              <w:t xml:space="preserve"> </w:t>
            </w:r>
          </w:p>
        </w:tc>
        <w:tc>
          <w:tcPr>
            <w:tcW w:w="753" w:type="dxa"/>
          </w:tcPr>
          <w:p>
            <w:pPr>
              <w:rPr>
                <w:rFonts w:ascii="Times New Roman" w:hAnsi="Times New Roman"/>
                <w:bCs/>
                <w:noProof/>
                <w:sz w:val="20"/>
                <w:szCs w:val="20"/>
              </w:rPr>
            </w:pPr>
            <w:r>
              <w:rPr>
                <w:rFonts w:ascii="Times New Roman" w:hAnsi="Times New Roman"/>
                <w:bCs/>
                <w:noProof/>
                <w:sz w:val="20"/>
                <w:szCs w:val="20"/>
              </w:rPr>
              <w:t>26.3. 2020 г.</w:t>
            </w:r>
          </w:p>
        </w:tc>
        <w:tc>
          <w:tcPr>
            <w:tcW w:w="2403" w:type="dxa"/>
          </w:tcPr>
          <w:p>
            <w:pPr>
              <w:rPr>
                <w:rFonts w:ascii="Times New Roman" w:hAnsi="Times New Roman"/>
                <w:bCs/>
                <w:noProof/>
                <w:sz w:val="20"/>
                <w:szCs w:val="20"/>
              </w:rPr>
            </w:pPr>
            <w:r>
              <w:rPr>
                <w:rFonts w:ascii="Times New Roman" w:hAnsi="Times New Roman"/>
                <w:bCs/>
                <w:noProof/>
                <w:sz w:val="20"/>
                <w:szCs w:val="20"/>
              </w:rPr>
              <w:t xml:space="preserve">Съдът разпореди, че членове 20, 47 и член 49, параграф 3 от Хартата на основните права на ЕС не изключват, че санкцията с фиксиран размер съгласно Директивата за СТЕ може да бъде променяна от национален съд, член 41 от Хартата не се прилага по отношение на въпроса дали е задължително или незадължително държавите членки да отправят предупреждения или напомняния на операторите, които действат добросъвестно, и че принципът на защита на оправданите правни очаквания не изключва налагането на наказанието, предвидено в член 16, параграф 3 от Директивата 2003/87, в случай, когато компетентните органи не са предупредили оператора преди изтичане на срока за предаване. </w:t>
            </w:r>
          </w:p>
        </w:tc>
      </w:tr>
    </w:tbl>
    <w:p>
      <w:pPr>
        <w:rPr>
          <w:rFonts w:ascii="Times New Roman" w:hAnsi="Times New Roman"/>
          <w:b/>
          <w:noProof/>
          <w:sz w:val="20"/>
          <w:szCs w:val="20"/>
        </w:rPr>
      </w:pPr>
    </w:p>
    <w:p>
      <w:pPr>
        <w:rPr>
          <w:rFonts w:ascii="Times New Roman" w:hAnsi="Times New Roman"/>
          <w:b/>
          <w:noProof/>
        </w:rPr>
      </w:pPr>
    </w:p>
    <w:p>
      <w:pPr>
        <w:rPr>
          <w:rFonts w:ascii="Times New Roman" w:hAnsi="Times New Roman"/>
          <w:b/>
          <w:noProof/>
        </w:rPr>
      </w:pPr>
      <w:r>
        <w:rPr>
          <w:rFonts w:ascii="Times New Roman" w:hAnsi="Times New Roman"/>
          <w:b/>
          <w:noProof/>
        </w:rPr>
        <w:t>Допълнение 6</w:t>
      </w:r>
    </w:p>
    <w:p>
      <w:pPr>
        <w:rPr>
          <w:rFonts w:ascii="Times New Roman" w:hAnsi="Times New Roman"/>
          <w:b/>
          <w:noProof/>
          <w:sz w:val="20"/>
          <w:szCs w:val="20"/>
        </w:rPr>
      </w:pPr>
      <w:r>
        <w:rPr>
          <w:rFonts w:ascii="Times New Roman" w:hAnsi="Times New Roman"/>
          <w:b/>
          <w:noProof/>
          <w:sz w:val="20"/>
          <w:szCs w:val="20"/>
        </w:rPr>
        <w:t xml:space="preserve">Таблица 6.1: Актуално състояние на изпълнението на фаза 4 на СТЕ на ЕС </w:t>
      </w:r>
    </w:p>
    <w:tbl>
      <w:tblPr>
        <w:tblStyle w:val="TableGrid"/>
        <w:tblW w:w="96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030"/>
        <w:gridCol w:w="3808"/>
        <w:gridCol w:w="1862"/>
        <w:gridCol w:w="1994"/>
      </w:tblGrid>
      <w:tr>
        <w:trPr>
          <w:trHeight w:val="230"/>
        </w:trPr>
        <w:tc>
          <w:tcPr>
            <w:tcW w:w="2030" w:type="dxa"/>
            <w:vMerge w:val="restart"/>
            <w:vAlign w:val="center"/>
          </w:tcPr>
          <w:p>
            <w:pPr>
              <w:jc w:val="center"/>
              <w:rPr>
                <w:rFonts w:ascii="Times New Roman" w:hAnsi="Times New Roman"/>
                <w:b/>
                <w:noProof/>
              </w:rPr>
            </w:pPr>
            <w:r>
              <w:rPr>
                <w:rFonts w:ascii="Times New Roman" w:hAnsi="Times New Roman"/>
                <w:b/>
                <w:noProof/>
              </w:rPr>
              <w:t>Мярка</w:t>
            </w:r>
          </w:p>
        </w:tc>
        <w:tc>
          <w:tcPr>
            <w:tcW w:w="3808" w:type="dxa"/>
            <w:vMerge w:val="restart"/>
            <w:vAlign w:val="center"/>
          </w:tcPr>
          <w:p>
            <w:pPr>
              <w:jc w:val="center"/>
              <w:rPr>
                <w:rFonts w:ascii="Times New Roman" w:hAnsi="Times New Roman"/>
                <w:b/>
                <w:noProof/>
              </w:rPr>
            </w:pPr>
            <w:r>
              <w:rPr>
                <w:rFonts w:ascii="Times New Roman" w:hAnsi="Times New Roman"/>
                <w:b/>
                <w:noProof/>
              </w:rPr>
              <w:t>Цел</w:t>
            </w:r>
          </w:p>
        </w:tc>
        <w:tc>
          <w:tcPr>
            <w:tcW w:w="1862" w:type="dxa"/>
            <w:vMerge w:val="restart"/>
            <w:vAlign w:val="center"/>
          </w:tcPr>
          <w:p>
            <w:pPr>
              <w:jc w:val="center"/>
              <w:rPr>
                <w:rFonts w:ascii="Times New Roman" w:hAnsi="Times New Roman"/>
                <w:b/>
                <w:noProof/>
              </w:rPr>
            </w:pPr>
            <w:r>
              <w:rPr>
                <w:rFonts w:ascii="Times New Roman" w:hAnsi="Times New Roman"/>
                <w:b/>
                <w:noProof/>
              </w:rPr>
              <w:t>Вид законодателен акт</w:t>
            </w:r>
          </w:p>
        </w:tc>
        <w:tc>
          <w:tcPr>
            <w:tcW w:w="1994" w:type="dxa"/>
            <w:vMerge w:val="restart"/>
            <w:vAlign w:val="center"/>
          </w:tcPr>
          <w:p>
            <w:pPr>
              <w:jc w:val="center"/>
              <w:rPr>
                <w:rFonts w:ascii="Times New Roman" w:hAnsi="Times New Roman"/>
                <w:b/>
                <w:noProof/>
              </w:rPr>
            </w:pPr>
            <w:r>
              <w:rPr>
                <w:rFonts w:ascii="Times New Roman" w:hAnsi="Times New Roman"/>
                <w:b/>
                <w:noProof/>
              </w:rPr>
              <w:t>Предвидено приемане</w:t>
            </w:r>
          </w:p>
        </w:tc>
      </w:tr>
      <w:tr>
        <w:trPr>
          <w:trHeight w:val="230"/>
        </w:trPr>
        <w:tc>
          <w:tcPr>
            <w:tcW w:w="2030" w:type="dxa"/>
            <w:vMerge/>
            <w:vAlign w:val="center"/>
          </w:tcPr>
          <w:p>
            <w:pPr>
              <w:rPr>
                <w:rFonts w:ascii="Times New Roman" w:hAnsi="Times New Roman"/>
                <w:b/>
                <w:noProof/>
              </w:rPr>
            </w:pPr>
          </w:p>
        </w:tc>
        <w:tc>
          <w:tcPr>
            <w:tcW w:w="3808" w:type="dxa"/>
            <w:vMerge/>
          </w:tcPr>
          <w:p>
            <w:pPr>
              <w:rPr>
                <w:rFonts w:ascii="Times New Roman" w:hAnsi="Times New Roman"/>
                <w:b/>
                <w:noProof/>
              </w:rPr>
            </w:pPr>
          </w:p>
        </w:tc>
        <w:tc>
          <w:tcPr>
            <w:tcW w:w="1862" w:type="dxa"/>
            <w:vMerge/>
            <w:vAlign w:val="center"/>
          </w:tcPr>
          <w:p>
            <w:pPr>
              <w:rPr>
                <w:rFonts w:ascii="Times New Roman" w:hAnsi="Times New Roman"/>
                <w:b/>
                <w:noProof/>
              </w:rPr>
            </w:pPr>
          </w:p>
        </w:tc>
        <w:tc>
          <w:tcPr>
            <w:tcW w:w="1994" w:type="dxa"/>
            <w:vMerge/>
            <w:vAlign w:val="center"/>
          </w:tcPr>
          <w:p>
            <w:pPr>
              <w:rPr>
                <w:rFonts w:ascii="Times New Roman" w:hAnsi="Times New Roman"/>
                <w:b/>
                <w:noProof/>
              </w:rPr>
            </w:pPr>
          </w:p>
        </w:tc>
      </w:tr>
      <w:tr>
        <w:trPr>
          <w:trHeight w:val="247"/>
        </w:trPr>
        <w:tc>
          <w:tcPr>
            <w:tcW w:w="2030" w:type="dxa"/>
            <w:shd w:val="clear" w:color="auto" w:fill="CCFFCC"/>
            <w:vAlign w:val="center"/>
          </w:tcPr>
          <w:p>
            <w:pPr>
              <w:rPr>
                <w:rFonts w:ascii="Times New Roman" w:hAnsi="Times New Roman"/>
                <w:noProof/>
              </w:rPr>
            </w:pPr>
            <w:r>
              <w:rPr>
                <w:rFonts w:ascii="Times New Roman" w:hAnsi="Times New Roman"/>
                <w:noProof/>
              </w:rPr>
              <w:t>Списък за изместване на въглеродни емисии за периода 2021—2030 г.</w:t>
            </w:r>
          </w:p>
        </w:tc>
        <w:tc>
          <w:tcPr>
            <w:tcW w:w="3808" w:type="dxa"/>
            <w:shd w:val="clear" w:color="auto" w:fill="CCFFCC"/>
            <w:vAlign w:val="center"/>
          </w:tcPr>
          <w:p>
            <w:pPr>
              <w:rPr>
                <w:rFonts w:ascii="Times New Roman" w:hAnsi="Times New Roman"/>
                <w:noProof/>
              </w:rPr>
            </w:pPr>
            <w:r>
              <w:rPr>
                <w:rFonts w:ascii="Times New Roman" w:hAnsi="Times New Roman"/>
                <w:noProof/>
              </w:rPr>
              <w:t>Създаване на нов списък за изместване на въглеродни емисии за фаза 4 на СТЕ на ЕС въз основа на критериите за определяне на секторите, изложени на значителен риск от изместване на въглеродни емисии</w:t>
            </w:r>
          </w:p>
        </w:tc>
        <w:tc>
          <w:tcPr>
            <w:tcW w:w="1862" w:type="dxa"/>
            <w:shd w:val="clear" w:color="auto" w:fill="CCFFCC"/>
            <w:vAlign w:val="center"/>
          </w:tcPr>
          <w:p>
            <w:pPr>
              <w:jc w:val="center"/>
              <w:rPr>
                <w:rFonts w:ascii="Times New Roman" w:hAnsi="Times New Roman"/>
                <w:noProof/>
              </w:rPr>
            </w:pPr>
            <w:r>
              <w:rPr>
                <w:rFonts w:ascii="Times New Roman" w:hAnsi="Times New Roman"/>
                <w:noProof/>
              </w:rPr>
              <w:t>Делегирано решение на Комисията</w:t>
            </w:r>
          </w:p>
        </w:tc>
        <w:tc>
          <w:tcPr>
            <w:tcW w:w="1994" w:type="dxa"/>
            <w:shd w:val="clear" w:color="auto" w:fill="CCFFCC"/>
            <w:vAlign w:val="center"/>
          </w:tcPr>
          <w:p>
            <w:pPr>
              <w:jc w:val="center"/>
              <w:rPr>
                <w:rFonts w:ascii="Times New Roman" w:hAnsi="Times New Roman"/>
                <w:noProof/>
              </w:rPr>
            </w:pPr>
            <w:r>
              <w:rPr>
                <w:rFonts w:ascii="Times New Roman" w:hAnsi="Times New Roman"/>
                <w:noProof/>
                <w:color w:val="000000" w:themeColor="text1"/>
              </w:rPr>
              <w:t>Прието на 15 февруари 2019 г. и публикувано в Официален вестник на 8 май 2019 г.</w:t>
            </w:r>
            <w:r>
              <w:rPr>
                <w:rStyle w:val="FootnoteReference"/>
                <w:rFonts w:ascii="Times New Roman" w:hAnsi="Times New Roman"/>
                <w:noProof/>
                <w:color w:val="000000" w:themeColor="text1"/>
              </w:rPr>
              <w:footnoteReference w:id="94"/>
            </w:r>
          </w:p>
        </w:tc>
      </w:tr>
      <w:tr>
        <w:trPr>
          <w:trHeight w:val="247"/>
        </w:trPr>
        <w:tc>
          <w:tcPr>
            <w:tcW w:w="2030" w:type="dxa"/>
            <w:tcBorders>
              <w:bottom w:val="double" w:sz="4" w:space="0" w:color="auto"/>
            </w:tcBorders>
            <w:shd w:val="clear" w:color="auto" w:fill="CCFFCC"/>
            <w:vAlign w:val="center"/>
          </w:tcPr>
          <w:p>
            <w:pPr>
              <w:rPr>
                <w:rFonts w:ascii="Times New Roman" w:hAnsi="Times New Roman"/>
                <w:noProof/>
              </w:rPr>
            </w:pPr>
            <w:r>
              <w:rPr>
                <w:rFonts w:ascii="Times New Roman" w:hAnsi="Times New Roman"/>
                <w:noProof/>
              </w:rPr>
              <w:t>Преразглеждане на правилата за безплатно разпределяне на квоти за периода 2021—2030 г.</w:t>
            </w:r>
          </w:p>
        </w:tc>
        <w:tc>
          <w:tcPr>
            <w:tcW w:w="3808" w:type="dxa"/>
            <w:tcBorders>
              <w:bottom w:val="double" w:sz="4" w:space="0" w:color="auto"/>
            </w:tcBorders>
            <w:shd w:val="clear" w:color="auto" w:fill="CCFFCC"/>
            <w:vAlign w:val="center"/>
          </w:tcPr>
          <w:p>
            <w:pPr>
              <w:rPr>
                <w:rFonts w:ascii="Times New Roman" w:hAnsi="Times New Roman"/>
                <w:noProof/>
              </w:rPr>
            </w:pPr>
            <w:r>
              <w:rPr>
                <w:rFonts w:ascii="Times New Roman" w:hAnsi="Times New Roman"/>
                <w:noProof/>
              </w:rPr>
              <w:t>Преразглеждане на Решение 2011/278/ЕС на Комисията за определяне на валидни за целия Европейски съюз преходни правила за хармонизираното безплатно разпределяне на квоти, така че то да се адаптира към новата правна уредба, определена за фаза 4</w:t>
            </w:r>
          </w:p>
        </w:tc>
        <w:tc>
          <w:tcPr>
            <w:tcW w:w="1862" w:type="dxa"/>
            <w:tcBorders>
              <w:bottom w:val="double" w:sz="4" w:space="0" w:color="auto"/>
            </w:tcBorders>
            <w:shd w:val="clear" w:color="auto" w:fill="CCFFCC"/>
            <w:vAlign w:val="center"/>
          </w:tcPr>
          <w:p>
            <w:pPr>
              <w:jc w:val="center"/>
              <w:rPr>
                <w:rFonts w:ascii="Times New Roman" w:hAnsi="Times New Roman"/>
                <w:noProof/>
              </w:rPr>
            </w:pPr>
            <w:r>
              <w:rPr>
                <w:rFonts w:ascii="Times New Roman" w:hAnsi="Times New Roman"/>
                <w:noProof/>
              </w:rPr>
              <w:t>Делегиран регламент на Комисията</w:t>
            </w:r>
          </w:p>
        </w:tc>
        <w:tc>
          <w:tcPr>
            <w:tcW w:w="1994" w:type="dxa"/>
            <w:tcBorders>
              <w:bottom w:val="double" w:sz="4" w:space="0" w:color="auto"/>
            </w:tcBorders>
            <w:shd w:val="clear" w:color="auto" w:fill="CCFFCC"/>
            <w:vAlign w:val="center"/>
          </w:tcPr>
          <w:p>
            <w:pPr>
              <w:jc w:val="center"/>
              <w:rPr>
                <w:rFonts w:ascii="Times New Roman" w:hAnsi="Times New Roman"/>
                <w:noProof/>
              </w:rPr>
            </w:pPr>
            <w:r>
              <w:rPr>
                <w:rFonts w:ascii="Times New Roman" w:hAnsi="Times New Roman"/>
                <w:noProof/>
                <w:color w:val="000000" w:themeColor="text1"/>
              </w:rPr>
              <w:t>Приет на 19 декември 2018 г. и публикуван в Официален вестник на 27 февруари 2019 г.</w:t>
            </w:r>
            <w:r>
              <w:rPr>
                <w:rStyle w:val="FootnoteReference"/>
                <w:rFonts w:ascii="Times New Roman" w:hAnsi="Times New Roman"/>
                <w:noProof/>
                <w:color w:val="000000" w:themeColor="text1"/>
              </w:rPr>
              <w:footnoteReference w:id="95"/>
            </w:r>
          </w:p>
        </w:tc>
      </w:tr>
      <w:tr>
        <w:trPr>
          <w:trHeight w:val="247"/>
        </w:trPr>
        <w:tc>
          <w:tcPr>
            <w:tcW w:w="2030" w:type="dxa"/>
            <w:tcBorders>
              <w:bottom w:val="double" w:sz="4" w:space="0" w:color="auto"/>
            </w:tcBorders>
            <w:shd w:val="clear" w:color="auto" w:fill="CCFFCC"/>
            <w:vAlign w:val="center"/>
          </w:tcPr>
          <w:p>
            <w:pPr>
              <w:rPr>
                <w:rFonts w:ascii="Times New Roman" w:hAnsi="Times New Roman"/>
                <w:noProof/>
              </w:rPr>
            </w:pPr>
            <w:r>
              <w:rPr>
                <w:rFonts w:ascii="Times New Roman" w:hAnsi="Times New Roman"/>
                <w:noProof/>
              </w:rPr>
              <w:t>Корекция на безплатно предоставяните квоти поради изменения в производството</w:t>
            </w:r>
          </w:p>
        </w:tc>
        <w:tc>
          <w:tcPr>
            <w:tcW w:w="3808" w:type="dxa"/>
            <w:tcBorders>
              <w:bottom w:val="double" w:sz="4" w:space="0" w:color="auto"/>
            </w:tcBorders>
            <w:shd w:val="clear" w:color="auto" w:fill="CCFFCC"/>
            <w:vAlign w:val="center"/>
          </w:tcPr>
          <w:p>
            <w:pPr>
              <w:rPr>
                <w:rFonts w:ascii="Times New Roman" w:hAnsi="Times New Roman"/>
                <w:noProof/>
              </w:rPr>
            </w:pPr>
            <w:r>
              <w:rPr>
                <w:rFonts w:ascii="Times New Roman" w:hAnsi="Times New Roman"/>
                <w:noProof/>
              </w:rPr>
              <w:t>Определяне на реда за извършване на корекцията на равнището на безплатно разпределяните квоти за инсталациите, въз основа на променящите се равнища на функционирането с повече от 15 % нагоре или надолу, средно за период от две години</w:t>
            </w:r>
          </w:p>
        </w:tc>
        <w:tc>
          <w:tcPr>
            <w:tcW w:w="1862" w:type="dxa"/>
            <w:tcBorders>
              <w:bottom w:val="double" w:sz="4" w:space="0" w:color="auto"/>
            </w:tcBorders>
            <w:shd w:val="clear" w:color="auto" w:fill="CCFFCC"/>
            <w:vAlign w:val="center"/>
          </w:tcPr>
          <w:p>
            <w:pPr>
              <w:jc w:val="center"/>
              <w:rPr>
                <w:rFonts w:ascii="Times New Roman" w:hAnsi="Times New Roman"/>
                <w:noProof/>
              </w:rPr>
            </w:pPr>
            <w:r>
              <w:rPr>
                <w:rFonts w:ascii="Times New Roman" w:hAnsi="Times New Roman"/>
                <w:noProof/>
              </w:rPr>
              <w:t>Регламент за изпълнение на Комисията</w:t>
            </w:r>
          </w:p>
        </w:tc>
        <w:tc>
          <w:tcPr>
            <w:tcW w:w="1994" w:type="dxa"/>
            <w:tcBorders>
              <w:bottom w:val="double" w:sz="4" w:space="0" w:color="auto"/>
            </w:tcBorders>
            <w:shd w:val="clear" w:color="auto" w:fill="CCFFCC"/>
            <w:vAlign w:val="center"/>
          </w:tcPr>
          <w:p>
            <w:pPr>
              <w:jc w:val="center"/>
              <w:rPr>
                <w:rFonts w:ascii="Times New Roman" w:hAnsi="Times New Roman"/>
                <w:noProof/>
              </w:rPr>
            </w:pPr>
            <w:r>
              <w:rPr>
                <w:rFonts w:ascii="Times New Roman" w:hAnsi="Times New Roman"/>
                <w:noProof/>
              </w:rPr>
              <w:t>Приет на 31 октомври 2019 г. и публикуван в Официален вестник на 4 ноември 2019 г.</w:t>
            </w:r>
            <w:r>
              <w:rPr>
                <w:rStyle w:val="FootnoteReference"/>
                <w:rFonts w:ascii="Times New Roman" w:hAnsi="Times New Roman"/>
                <w:noProof/>
              </w:rPr>
              <w:footnoteReference w:id="96"/>
            </w:r>
          </w:p>
        </w:tc>
      </w:tr>
      <w:tr>
        <w:trPr>
          <w:trHeight w:val="247"/>
        </w:trPr>
        <w:tc>
          <w:tcPr>
            <w:tcW w:w="2030" w:type="dxa"/>
            <w:shd w:val="clear" w:color="auto" w:fill="FFFFCC"/>
            <w:vAlign w:val="center"/>
          </w:tcPr>
          <w:p>
            <w:pPr>
              <w:rPr>
                <w:rFonts w:ascii="Times New Roman" w:hAnsi="Times New Roman"/>
                <w:noProof/>
              </w:rPr>
            </w:pPr>
            <w:r>
              <w:rPr>
                <w:rFonts w:ascii="Times New Roman" w:hAnsi="Times New Roman"/>
                <w:noProof/>
              </w:rPr>
              <w:t>Актуализиране на стойностите на показателите за безплатно предоставяне на квоти за периода 2021—2025 г.</w:t>
            </w:r>
          </w:p>
        </w:tc>
        <w:tc>
          <w:tcPr>
            <w:tcW w:w="3808" w:type="dxa"/>
            <w:shd w:val="clear" w:color="auto" w:fill="FFFFCC"/>
            <w:vAlign w:val="center"/>
          </w:tcPr>
          <w:p>
            <w:pPr>
              <w:rPr>
                <w:rFonts w:ascii="Times New Roman" w:hAnsi="Times New Roman"/>
                <w:noProof/>
              </w:rPr>
            </w:pPr>
            <w:r>
              <w:rPr>
                <w:rFonts w:ascii="Times New Roman" w:hAnsi="Times New Roman"/>
                <w:noProof/>
              </w:rPr>
              <w:t>Определяне на актуализирани показатели за периода 2021—2025 г. въз основа на данните, предоставени от държавите членки до 30 септември 2019 г. за годините 2016 г. и 2017 г.</w:t>
            </w:r>
          </w:p>
        </w:tc>
        <w:tc>
          <w:tcPr>
            <w:tcW w:w="1862" w:type="dxa"/>
            <w:shd w:val="clear" w:color="auto" w:fill="FFFFCC"/>
            <w:vAlign w:val="center"/>
          </w:tcPr>
          <w:p>
            <w:pPr>
              <w:jc w:val="center"/>
              <w:rPr>
                <w:rFonts w:ascii="Times New Roman" w:hAnsi="Times New Roman"/>
                <w:noProof/>
              </w:rPr>
            </w:pPr>
            <w:r>
              <w:rPr>
                <w:rFonts w:ascii="Times New Roman" w:hAnsi="Times New Roman"/>
                <w:noProof/>
              </w:rPr>
              <w:t>Регламент за изпълнение на Комисията</w:t>
            </w:r>
          </w:p>
        </w:tc>
        <w:tc>
          <w:tcPr>
            <w:tcW w:w="1994" w:type="dxa"/>
            <w:shd w:val="clear" w:color="auto" w:fill="FFFFCC"/>
            <w:vAlign w:val="center"/>
          </w:tcPr>
          <w:p>
            <w:pPr>
              <w:jc w:val="center"/>
              <w:rPr>
                <w:rFonts w:ascii="Times New Roman" w:hAnsi="Times New Roman"/>
                <w:noProof/>
              </w:rPr>
            </w:pPr>
            <w:r>
              <w:rPr>
                <w:rFonts w:ascii="Times New Roman" w:hAnsi="Times New Roman"/>
                <w:noProof/>
              </w:rPr>
              <w:t xml:space="preserve">2020 г. </w:t>
            </w:r>
          </w:p>
        </w:tc>
      </w:tr>
      <w:tr>
        <w:trPr>
          <w:trHeight w:val="259"/>
        </w:trPr>
        <w:tc>
          <w:tcPr>
            <w:tcW w:w="2030" w:type="dxa"/>
            <w:tcBorders>
              <w:bottom w:val="double" w:sz="4" w:space="0" w:color="auto"/>
            </w:tcBorders>
            <w:shd w:val="clear" w:color="auto" w:fill="CCFFCC"/>
            <w:vAlign w:val="center"/>
          </w:tcPr>
          <w:p>
            <w:pPr>
              <w:rPr>
                <w:rFonts w:ascii="Times New Roman" w:hAnsi="Times New Roman"/>
                <w:noProof/>
              </w:rPr>
            </w:pPr>
            <w:r>
              <w:rPr>
                <w:rFonts w:ascii="Times New Roman" w:hAnsi="Times New Roman"/>
                <w:noProof/>
              </w:rPr>
              <w:t>Създаване на Фонда за иновации</w:t>
            </w:r>
          </w:p>
        </w:tc>
        <w:tc>
          <w:tcPr>
            <w:tcW w:w="3808" w:type="dxa"/>
            <w:tcBorders>
              <w:bottom w:val="double" w:sz="4" w:space="0" w:color="auto"/>
            </w:tcBorders>
            <w:shd w:val="clear" w:color="auto" w:fill="CCFFCC"/>
            <w:vAlign w:val="center"/>
          </w:tcPr>
          <w:p>
            <w:pPr>
              <w:rPr>
                <w:rFonts w:ascii="Times New Roman" w:hAnsi="Times New Roman"/>
                <w:noProof/>
              </w:rPr>
            </w:pPr>
            <w:r>
              <w:rPr>
                <w:rFonts w:ascii="Times New Roman" w:hAnsi="Times New Roman"/>
                <w:noProof/>
              </w:rPr>
              <w:t>Определяне на правилата относно функционирането на Фонда за иновации, включително процедурата и критериите за подбор</w:t>
            </w:r>
          </w:p>
        </w:tc>
        <w:tc>
          <w:tcPr>
            <w:tcW w:w="1862" w:type="dxa"/>
            <w:tcBorders>
              <w:bottom w:val="double" w:sz="4" w:space="0" w:color="auto"/>
            </w:tcBorders>
            <w:shd w:val="clear" w:color="auto" w:fill="CCFFCC"/>
            <w:vAlign w:val="center"/>
          </w:tcPr>
          <w:p>
            <w:pPr>
              <w:jc w:val="center"/>
              <w:rPr>
                <w:rFonts w:ascii="Times New Roman" w:hAnsi="Times New Roman"/>
                <w:noProof/>
              </w:rPr>
            </w:pPr>
            <w:r>
              <w:rPr>
                <w:rFonts w:ascii="Times New Roman" w:hAnsi="Times New Roman"/>
                <w:noProof/>
              </w:rPr>
              <w:t>Делегиран регламент на Комисията</w:t>
            </w:r>
          </w:p>
        </w:tc>
        <w:tc>
          <w:tcPr>
            <w:tcW w:w="1994" w:type="dxa"/>
            <w:tcBorders>
              <w:bottom w:val="double" w:sz="4" w:space="0" w:color="auto"/>
            </w:tcBorders>
            <w:shd w:val="clear" w:color="auto" w:fill="CCFFCC"/>
            <w:vAlign w:val="center"/>
          </w:tcPr>
          <w:p>
            <w:pPr>
              <w:jc w:val="center"/>
              <w:rPr>
                <w:rFonts w:ascii="Times New Roman" w:hAnsi="Times New Roman"/>
                <w:noProof/>
              </w:rPr>
            </w:pPr>
            <w:r>
              <w:rPr>
                <w:rFonts w:ascii="Times New Roman" w:hAnsi="Times New Roman"/>
                <w:noProof/>
              </w:rPr>
              <w:t>Приет на 26 февруари 2019 г. и публикуван в Официален вестник на 28 май 2019 г.</w:t>
            </w:r>
            <w:r>
              <w:rPr>
                <w:rStyle w:val="FootnoteReference"/>
                <w:rFonts w:ascii="Times New Roman" w:hAnsi="Times New Roman"/>
                <w:noProof/>
              </w:rPr>
              <w:footnoteReference w:id="97"/>
            </w:r>
          </w:p>
        </w:tc>
      </w:tr>
      <w:tr>
        <w:trPr>
          <w:trHeight w:val="154"/>
        </w:trPr>
        <w:tc>
          <w:tcPr>
            <w:tcW w:w="2030" w:type="dxa"/>
            <w:shd w:val="clear" w:color="auto" w:fill="CCFFCC"/>
            <w:vAlign w:val="center"/>
          </w:tcPr>
          <w:p>
            <w:pPr>
              <w:rPr>
                <w:rFonts w:ascii="Times New Roman" w:hAnsi="Times New Roman"/>
                <w:noProof/>
              </w:rPr>
            </w:pPr>
            <w:r>
              <w:rPr>
                <w:rFonts w:ascii="Times New Roman" w:hAnsi="Times New Roman"/>
                <w:noProof/>
              </w:rPr>
              <w:t>Създаване на Модернизационния фонд</w:t>
            </w:r>
          </w:p>
        </w:tc>
        <w:tc>
          <w:tcPr>
            <w:tcW w:w="3808" w:type="dxa"/>
            <w:shd w:val="clear" w:color="auto" w:fill="CCFFCC"/>
            <w:vAlign w:val="center"/>
          </w:tcPr>
          <w:p>
            <w:pPr>
              <w:rPr>
                <w:rFonts w:ascii="Times New Roman" w:hAnsi="Times New Roman"/>
                <w:noProof/>
              </w:rPr>
            </w:pPr>
            <w:r>
              <w:rPr>
                <w:rFonts w:ascii="Times New Roman" w:hAnsi="Times New Roman"/>
                <w:noProof/>
              </w:rPr>
              <w:t>Определяне на правилата относно функционирането на Модернизационния фонд</w:t>
            </w:r>
          </w:p>
        </w:tc>
        <w:tc>
          <w:tcPr>
            <w:tcW w:w="1862" w:type="dxa"/>
            <w:shd w:val="clear" w:color="auto" w:fill="CCFFCC"/>
            <w:vAlign w:val="center"/>
          </w:tcPr>
          <w:p>
            <w:pPr>
              <w:jc w:val="center"/>
              <w:rPr>
                <w:rFonts w:ascii="Times New Roman" w:hAnsi="Times New Roman"/>
                <w:noProof/>
              </w:rPr>
            </w:pPr>
            <w:r>
              <w:rPr>
                <w:rFonts w:ascii="Times New Roman" w:hAnsi="Times New Roman"/>
                <w:noProof/>
              </w:rPr>
              <w:t>Регламент за изпълнение на Комисията</w:t>
            </w:r>
          </w:p>
        </w:tc>
        <w:tc>
          <w:tcPr>
            <w:tcW w:w="1994" w:type="dxa"/>
            <w:shd w:val="clear" w:color="auto" w:fill="CCFFCC"/>
            <w:vAlign w:val="center"/>
          </w:tcPr>
          <w:p>
            <w:pPr>
              <w:jc w:val="center"/>
              <w:rPr>
                <w:rFonts w:ascii="Times New Roman" w:hAnsi="Times New Roman"/>
                <w:noProof/>
              </w:rPr>
            </w:pPr>
            <w:r>
              <w:rPr>
                <w:rFonts w:ascii="Times New Roman" w:hAnsi="Times New Roman"/>
                <w:noProof/>
              </w:rPr>
              <w:t>Приет на 09 юли 2020 г. и публикуван в Официален вестник на 10 юли 2020 г.</w:t>
            </w:r>
            <w:r>
              <w:rPr>
                <w:rStyle w:val="FootnoteReference"/>
                <w:rFonts w:ascii="Times New Roman" w:hAnsi="Times New Roman"/>
                <w:noProof/>
              </w:rPr>
              <w:footnoteReference w:id="98"/>
            </w:r>
          </w:p>
        </w:tc>
      </w:tr>
      <w:tr>
        <w:trPr>
          <w:trHeight w:val="154"/>
        </w:trPr>
        <w:tc>
          <w:tcPr>
            <w:tcW w:w="2030" w:type="dxa"/>
            <w:shd w:val="clear" w:color="auto" w:fill="CCFFCC"/>
            <w:vAlign w:val="center"/>
          </w:tcPr>
          <w:p>
            <w:pPr>
              <w:rPr>
                <w:rFonts w:ascii="Times New Roman" w:hAnsi="Times New Roman"/>
                <w:noProof/>
              </w:rPr>
            </w:pPr>
            <w:r>
              <w:rPr>
                <w:rFonts w:ascii="Times New Roman" w:hAnsi="Times New Roman"/>
                <w:noProof/>
              </w:rPr>
              <w:t>Преразглеждане на Регламент (ЕС) № 389/2013 (Регламента за Регистъра)</w:t>
            </w:r>
          </w:p>
        </w:tc>
        <w:tc>
          <w:tcPr>
            <w:tcW w:w="3808" w:type="dxa"/>
            <w:shd w:val="clear" w:color="auto" w:fill="CCFFCC"/>
            <w:vAlign w:val="center"/>
          </w:tcPr>
          <w:p>
            <w:pPr>
              <w:rPr>
                <w:rFonts w:ascii="Times New Roman" w:hAnsi="Times New Roman"/>
                <w:noProof/>
              </w:rPr>
            </w:pPr>
            <w:r>
              <w:rPr>
                <w:rFonts w:ascii="Times New Roman" w:hAnsi="Times New Roman"/>
                <w:noProof/>
              </w:rPr>
              <w:t>Определяне на изискванията за Регистъра на ЕС за фаза 4, под формата на стандартизирани електронни бази данни, съдържащи общи информационни елементи за проследяване на издаването, притежаването, прехвърлянето и отмяната на квоти, и за осигуряване на публичен достъп и на поверителност</w:t>
            </w:r>
          </w:p>
        </w:tc>
        <w:tc>
          <w:tcPr>
            <w:tcW w:w="1862" w:type="dxa"/>
            <w:shd w:val="clear" w:color="auto" w:fill="CCFFCC"/>
            <w:vAlign w:val="center"/>
          </w:tcPr>
          <w:p>
            <w:pPr>
              <w:jc w:val="center"/>
              <w:rPr>
                <w:rFonts w:ascii="Times New Roman" w:hAnsi="Times New Roman"/>
                <w:noProof/>
              </w:rPr>
            </w:pPr>
            <w:r>
              <w:rPr>
                <w:rFonts w:ascii="Times New Roman" w:hAnsi="Times New Roman"/>
                <w:noProof/>
              </w:rPr>
              <w:t>Делегиран регламент на Комисията</w:t>
            </w:r>
          </w:p>
        </w:tc>
        <w:tc>
          <w:tcPr>
            <w:tcW w:w="1994" w:type="dxa"/>
            <w:shd w:val="clear" w:color="auto" w:fill="CCFFCC"/>
            <w:vAlign w:val="center"/>
          </w:tcPr>
          <w:p>
            <w:pPr>
              <w:jc w:val="center"/>
              <w:rPr>
                <w:rFonts w:ascii="Times New Roman" w:hAnsi="Times New Roman"/>
                <w:noProof/>
              </w:rPr>
            </w:pPr>
            <w:r>
              <w:rPr>
                <w:rFonts w:ascii="Times New Roman" w:hAnsi="Times New Roman"/>
                <w:noProof/>
                <w:color w:val="000000" w:themeColor="text1"/>
              </w:rPr>
              <w:t>Приет на 12 март 2019 г. и публикуван в Официален вестник на 02 юли 2019 г.</w:t>
            </w:r>
            <w:r>
              <w:rPr>
                <w:rStyle w:val="FootnoteReference"/>
                <w:rFonts w:ascii="Times New Roman" w:hAnsi="Times New Roman"/>
                <w:noProof/>
                <w:color w:val="000000" w:themeColor="text1"/>
              </w:rPr>
              <w:footnoteReference w:id="99"/>
            </w:r>
          </w:p>
        </w:tc>
      </w:tr>
      <w:tr>
        <w:trPr>
          <w:trHeight w:val="154"/>
        </w:trPr>
        <w:tc>
          <w:tcPr>
            <w:tcW w:w="2030" w:type="dxa"/>
            <w:tcBorders>
              <w:bottom w:val="double" w:sz="4" w:space="0" w:color="auto"/>
            </w:tcBorders>
            <w:shd w:val="clear" w:color="auto" w:fill="CCFFCC"/>
            <w:vAlign w:val="center"/>
          </w:tcPr>
          <w:p>
            <w:pPr>
              <w:rPr>
                <w:rFonts w:ascii="Times New Roman" w:hAnsi="Times New Roman"/>
                <w:noProof/>
              </w:rPr>
            </w:pPr>
            <w:r>
              <w:rPr>
                <w:rFonts w:ascii="Times New Roman" w:hAnsi="Times New Roman"/>
                <w:noProof/>
              </w:rPr>
              <w:t>Изменение на Регламент (ЕС) № 1031/2010 (Регламента за тръжната продажба)</w:t>
            </w:r>
          </w:p>
        </w:tc>
        <w:tc>
          <w:tcPr>
            <w:tcW w:w="3808" w:type="dxa"/>
            <w:tcBorders>
              <w:bottom w:val="double" w:sz="4" w:space="0" w:color="auto"/>
            </w:tcBorders>
            <w:shd w:val="clear" w:color="auto" w:fill="CCFFCC"/>
            <w:vAlign w:val="center"/>
          </w:tcPr>
          <w:p>
            <w:pPr>
              <w:rPr>
                <w:rFonts w:ascii="Times New Roman" w:hAnsi="Times New Roman"/>
                <w:noProof/>
              </w:rPr>
            </w:pPr>
            <w:r>
              <w:rPr>
                <w:rFonts w:ascii="Times New Roman" w:hAnsi="Times New Roman"/>
                <w:noProof/>
              </w:rPr>
              <w:t>Предоставяне на възможност за разпределяне чрез търг на първите 50 милиона квоти за Фонда за иновации, взети от резерва за стабилност на пазара (MSR) през 2020 г.</w:t>
            </w:r>
          </w:p>
        </w:tc>
        <w:tc>
          <w:tcPr>
            <w:tcW w:w="1862" w:type="dxa"/>
            <w:tcBorders>
              <w:bottom w:val="double" w:sz="4" w:space="0" w:color="auto"/>
            </w:tcBorders>
            <w:shd w:val="clear" w:color="auto" w:fill="CCFFCC"/>
            <w:vAlign w:val="center"/>
          </w:tcPr>
          <w:p>
            <w:pPr>
              <w:jc w:val="center"/>
              <w:rPr>
                <w:rFonts w:ascii="Times New Roman" w:hAnsi="Times New Roman"/>
                <w:noProof/>
              </w:rPr>
            </w:pPr>
            <w:r>
              <w:rPr>
                <w:rFonts w:ascii="Times New Roman" w:hAnsi="Times New Roman"/>
                <w:noProof/>
              </w:rPr>
              <w:t>Делегиран регламент на Комисията</w:t>
            </w:r>
          </w:p>
        </w:tc>
        <w:tc>
          <w:tcPr>
            <w:tcW w:w="1994" w:type="dxa"/>
            <w:tcBorders>
              <w:bottom w:val="double" w:sz="4" w:space="0" w:color="auto"/>
            </w:tcBorders>
            <w:shd w:val="clear" w:color="auto" w:fill="CCFFCC"/>
            <w:vAlign w:val="center"/>
          </w:tcPr>
          <w:p>
            <w:pPr>
              <w:jc w:val="center"/>
              <w:rPr>
                <w:rFonts w:ascii="Times New Roman" w:hAnsi="Times New Roman"/>
                <w:noProof/>
              </w:rPr>
            </w:pPr>
            <w:r>
              <w:rPr>
                <w:rFonts w:ascii="Times New Roman" w:hAnsi="Times New Roman"/>
                <w:noProof/>
                <w:color w:val="000000" w:themeColor="text1"/>
              </w:rPr>
              <w:t>Приет на 30 октомври 2018 г. и публикуван в Официален вестник на 4 януари 2019 г.</w:t>
            </w:r>
            <w:r>
              <w:rPr>
                <w:rStyle w:val="FootnoteReference"/>
                <w:rFonts w:ascii="Times New Roman" w:hAnsi="Times New Roman"/>
                <w:noProof/>
                <w:color w:val="000000" w:themeColor="text1"/>
              </w:rPr>
              <w:footnoteReference w:id="100"/>
            </w:r>
          </w:p>
        </w:tc>
      </w:tr>
      <w:tr>
        <w:trPr>
          <w:trHeight w:val="154"/>
        </w:trPr>
        <w:tc>
          <w:tcPr>
            <w:tcW w:w="2030" w:type="dxa"/>
            <w:shd w:val="clear" w:color="auto" w:fill="CCFFCC"/>
            <w:vAlign w:val="center"/>
          </w:tcPr>
          <w:p>
            <w:pPr>
              <w:rPr>
                <w:rFonts w:ascii="Times New Roman" w:hAnsi="Times New Roman"/>
                <w:noProof/>
              </w:rPr>
            </w:pPr>
            <w:r>
              <w:rPr>
                <w:rFonts w:ascii="Times New Roman" w:hAnsi="Times New Roman"/>
                <w:noProof/>
              </w:rPr>
              <w:t>Преразглеждане на Регламент (ЕС) № 1031/2010 (Регламента за тръжната продажба)</w:t>
            </w:r>
          </w:p>
        </w:tc>
        <w:tc>
          <w:tcPr>
            <w:tcW w:w="3808" w:type="dxa"/>
            <w:shd w:val="clear" w:color="auto" w:fill="CCFFCC"/>
            <w:vAlign w:val="center"/>
          </w:tcPr>
          <w:p>
            <w:pPr>
              <w:spacing w:after="120"/>
              <w:rPr>
                <w:rFonts w:ascii="Times New Roman" w:hAnsi="Times New Roman"/>
                <w:noProof/>
              </w:rPr>
            </w:pPr>
            <w:r>
              <w:rPr>
                <w:rFonts w:ascii="Times New Roman" w:hAnsi="Times New Roman"/>
                <w:noProof/>
              </w:rPr>
              <w:t>Преразглеждане на някои аспекти от тръжната процедура, за да се изпълнят изискванията за фаза 4, по-специално за да се позволи разпределянето чрез търг на квоти за Фонда за иновации и за Модернизационния фонд, както и за да се отрази класификацията на квотите по СТЕ на ЕС като финансови инструменти съгласно</w:t>
            </w:r>
            <w:r>
              <w:rPr>
                <w:noProof/>
              </w:rPr>
              <w:t xml:space="preserve"> </w:t>
            </w:r>
            <w:r>
              <w:rPr>
                <w:rFonts w:ascii="Times New Roman" w:hAnsi="Times New Roman"/>
                <w:noProof/>
              </w:rPr>
              <w:t>Директива 2014/65/ЕС относно пазарите на финансови инструменти (ДПФИ II).</w:t>
            </w:r>
          </w:p>
        </w:tc>
        <w:tc>
          <w:tcPr>
            <w:tcW w:w="1862" w:type="dxa"/>
            <w:shd w:val="clear" w:color="auto" w:fill="CCFFCC"/>
            <w:vAlign w:val="center"/>
          </w:tcPr>
          <w:p>
            <w:pPr>
              <w:jc w:val="center"/>
              <w:rPr>
                <w:rFonts w:ascii="Times New Roman" w:hAnsi="Times New Roman"/>
                <w:noProof/>
              </w:rPr>
            </w:pPr>
            <w:r>
              <w:rPr>
                <w:rFonts w:ascii="Times New Roman" w:hAnsi="Times New Roman"/>
                <w:noProof/>
              </w:rPr>
              <w:t>Делегиран регламент на Комисията</w:t>
            </w:r>
          </w:p>
        </w:tc>
        <w:tc>
          <w:tcPr>
            <w:tcW w:w="1994" w:type="dxa"/>
            <w:shd w:val="clear" w:color="auto" w:fill="CCFFCC"/>
            <w:vAlign w:val="center"/>
          </w:tcPr>
          <w:p>
            <w:pPr>
              <w:jc w:val="center"/>
              <w:rPr>
                <w:rFonts w:ascii="Times New Roman" w:hAnsi="Times New Roman"/>
                <w:noProof/>
              </w:rPr>
            </w:pPr>
            <w:r>
              <w:rPr>
                <w:rFonts w:ascii="Times New Roman" w:hAnsi="Times New Roman"/>
                <w:noProof/>
              </w:rPr>
              <w:t>Приет на 28 август 2019 г. и публикуван в Официален вестник на 08 ноември 2019 г.</w:t>
            </w:r>
            <w:r>
              <w:rPr>
                <w:rStyle w:val="FootnoteReference"/>
                <w:rFonts w:ascii="Times New Roman" w:hAnsi="Times New Roman"/>
                <w:noProof/>
              </w:rPr>
              <w:footnoteReference w:id="101"/>
            </w:r>
          </w:p>
        </w:tc>
      </w:tr>
      <w:tr>
        <w:trPr>
          <w:trHeight w:val="154"/>
        </w:trPr>
        <w:tc>
          <w:tcPr>
            <w:tcW w:w="2030" w:type="dxa"/>
            <w:shd w:val="clear" w:color="auto" w:fill="CCFFCC"/>
            <w:vAlign w:val="center"/>
          </w:tcPr>
          <w:p>
            <w:pPr>
              <w:rPr>
                <w:rFonts w:ascii="Times New Roman" w:hAnsi="Times New Roman"/>
                <w:noProof/>
              </w:rPr>
            </w:pPr>
            <w:r>
              <w:rPr>
                <w:rFonts w:ascii="Times New Roman" w:hAnsi="Times New Roman"/>
                <w:noProof/>
              </w:rPr>
              <w:t>Преразглеждане на Регламент (ЕС) № 601/2012 относно мониторинга и докладването</w:t>
            </w:r>
          </w:p>
        </w:tc>
        <w:tc>
          <w:tcPr>
            <w:tcW w:w="3808" w:type="dxa"/>
            <w:shd w:val="clear" w:color="auto" w:fill="CCFFCC"/>
            <w:vAlign w:val="center"/>
          </w:tcPr>
          <w:p>
            <w:pPr>
              <w:rPr>
                <w:rFonts w:ascii="Times New Roman" w:hAnsi="Times New Roman"/>
                <w:noProof/>
              </w:rPr>
            </w:pPr>
            <w:r>
              <w:rPr>
                <w:rFonts w:ascii="Times New Roman" w:hAnsi="Times New Roman"/>
                <w:noProof/>
              </w:rPr>
              <w:t>Опростяване, подобряване и изясняване на правилата за мониторинг и докладване и намаляване на административната тежест, въз основа на опита от изпълнението от фаза 3</w:t>
            </w:r>
          </w:p>
        </w:tc>
        <w:tc>
          <w:tcPr>
            <w:tcW w:w="1862" w:type="dxa"/>
            <w:shd w:val="clear" w:color="auto" w:fill="CCFFCC"/>
            <w:vAlign w:val="center"/>
          </w:tcPr>
          <w:p>
            <w:pPr>
              <w:jc w:val="center"/>
              <w:rPr>
                <w:rFonts w:ascii="Times New Roman" w:hAnsi="Times New Roman"/>
                <w:noProof/>
              </w:rPr>
            </w:pPr>
            <w:r>
              <w:rPr>
                <w:rFonts w:ascii="Times New Roman" w:hAnsi="Times New Roman"/>
                <w:noProof/>
              </w:rPr>
              <w:t>Регламент за изпълнение на Комисията</w:t>
            </w:r>
          </w:p>
        </w:tc>
        <w:tc>
          <w:tcPr>
            <w:tcW w:w="1994" w:type="dxa"/>
            <w:shd w:val="clear" w:color="auto" w:fill="CCFFCC"/>
            <w:vAlign w:val="center"/>
          </w:tcPr>
          <w:p>
            <w:pPr>
              <w:jc w:val="center"/>
              <w:rPr>
                <w:rFonts w:ascii="Times New Roman" w:hAnsi="Times New Roman"/>
                <w:noProof/>
              </w:rPr>
            </w:pPr>
            <w:r>
              <w:rPr>
                <w:rFonts w:ascii="Times New Roman" w:hAnsi="Times New Roman"/>
                <w:noProof/>
              </w:rPr>
              <w:t>Приет на 19 декември 2018 г. и публикуван в Официален вестник на 31 декември 2018 г.</w:t>
            </w:r>
            <w:r>
              <w:rPr>
                <w:rStyle w:val="FootnoteReference"/>
                <w:rFonts w:ascii="Times New Roman" w:hAnsi="Times New Roman"/>
                <w:noProof/>
              </w:rPr>
              <w:footnoteReference w:id="102"/>
            </w:r>
          </w:p>
        </w:tc>
      </w:tr>
      <w:tr>
        <w:trPr>
          <w:trHeight w:val="154"/>
        </w:trPr>
        <w:tc>
          <w:tcPr>
            <w:tcW w:w="2030" w:type="dxa"/>
            <w:tcBorders>
              <w:bottom w:val="double" w:sz="4" w:space="0" w:color="auto"/>
            </w:tcBorders>
            <w:shd w:val="clear" w:color="auto" w:fill="CCFFCC"/>
            <w:vAlign w:val="center"/>
          </w:tcPr>
          <w:p>
            <w:pPr>
              <w:rPr>
                <w:rFonts w:ascii="Times New Roman" w:hAnsi="Times New Roman"/>
                <w:noProof/>
              </w:rPr>
            </w:pPr>
            <w:r>
              <w:rPr>
                <w:rFonts w:ascii="Times New Roman" w:hAnsi="Times New Roman"/>
                <w:noProof/>
              </w:rPr>
              <w:t>Преразглеждане на Регламент (ЕС) № 600/2012 относно проверката и акредитацията</w:t>
            </w:r>
          </w:p>
        </w:tc>
        <w:tc>
          <w:tcPr>
            <w:tcW w:w="3808" w:type="dxa"/>
            <w:tcBorders>
              <w:bottom w:val="double" w:sz="4" w:space="0" w:color="auto"/>
            </w:tcBorders>
            <w:shd w:val="clear" w:color="auto" w:fill="CCFFCC"/>
            <w:vAlign w:val="center"/>
          </w:tcPr>
          <w:p>
            <w:pPr>
              <w:rPr>
                <w:rFonts w:ascii="Times New Roman" w:hAnsi="Times New Roman"/>
                <w:noProof/>
              </w:rPr>
            </w:pPr>
            <w:r>
              <w:rPr>
                <w:rFonts w:ascii="Times New Roman" w:hAnsi="Times New Roman"/>
                <w:noProof/>
              </w:rPr>
              <w:t>Опростяване, подобряване и изясняване на правилата за акредитация и проверка и намаляване на административната тежест до възможно най-голяма степен, въз основа на опита от изпълнението от фаза 3</w:t>
            </w:r>
          </w:p>
        </w:tc>
        <w:tc>
          <w:tcPr>
            <w:tcW w:w="1862" w:type="dxa"/>
            <w:tcBorders>
              <w:bottom w:val="double" w:sz="4" w:space="0" w:color="auto"/>
            </w:tcBorders>
            <w:shd w:val="clear" w:color="auto" w:fill="CCFFCC"/>
            <w:vAlign w:val="center"/>
          </w:tcPr>
          <w:p>
            <w:pPr>
              <w:jc w:val="center"/>
              <w:rPr>
                <w:rFonts w:ascii="Times New Roman" w:hAnsi="Times New Roman"/>
                <w:noProof/>
              </w:rPr>
            </w:pPr>
            <w:r>
              <w:rPr>
                <w:rFonts w:ascii="Times New Roman" w:hAnsi="Times New Roman"/>
                <w:noProof/>
              </w:rPr>
              <w:t xml:space="preserve">Регламент за изпълнение на Комисията </w:t>
            </w:r>
          </w:p>
        </w:tc>
        <w:tc>
          <w:tcPr>
            <w:tcW w:w="1994" w:type="dxa"/>
            <w:tcBorders>
              <w:bottom w:val="double" w:sz="4" w:space="0" w:color="auto"/>
            </w:tcBorders>
            <w:shd w:val="clear" w:color="auto" w:fill="CCFFCC"/>
            <w:vAlign w:val="center"/>
          </w:tcPr>
          <w:p>
            <w:pPr>
              <w:jc w:val="center"/>
              <w:rPr>
                <w:rFonts w:ascii="Times New Roman" w:hAnsi="Times New Roman"/>
                <w:noProof/>
              </w:rPr>
            </w:pPr>
            <w:r>
              <w:rPr>
                <w:rFonts w:ascii="Times New Roman" w:hAnsi="Times New Roman"/>
                <w:noProof/>
              </w:rPr>
              <w:t>Приет на 19 декември 2018 г. и публикуван в Официален вестник на 31 декември 2018 г.</w:t>
            </w:r>
            <w:r>
              <w:rPr>
                <w:rStyle w:val="FootnoteReference"/>
                <w:rFonts w:ascii="Times New Roman" w:hAnsi="Times New Roman"/>
                <w:noProof/>
              </w:rPr>
              <w:footnoteReference w:id="103"/>
            </w:r>
          </w:p>
        </w:tc>
      </w:tr>
      <w:tr>
        <w:trPr>
          <w:trHeight w:val="154"/>
        </w:trPr>
        <w:tc>
          <w:tcPr>
            <w:tcW w:w="2030" w:type="dxa"/>
            <w:shd w:val="clear" w:color="auto" w:fill="CCFFCC"/>
            <w:vAlign w:val="center"/>
          </w:tcPr>
          <w:p>
            <w:pPr>
              <w:rPr>
                <w:rFonts w:ascii="Times New Roman" w:hAnsi="Times New Roman"/>
                <w:noProof/>
              </w:rPr>
            </w:pPr>
            <w:r>
              <w:rPr>
                <w:rFonts w:ascii="Times New Roman" w:hAnsi="Times New Roman"/>
                <w:noProof/>
              </w:rPr>
              <w:t>Регламент (ЕС) 2019/1603 за допълване на Директива 2003/87/ЕО за мониторинг, докладване и проверка на емисии от въздухоплаването по отношение на глобална, основана на пазара мярка</w:t>
            </w:r>
          </w:p>
        </w:tc>
        <w:tc>
          <w:tcPr>
            <w:tcW w:w="3808" w:type="dxa"/>
            <w:shd w:val="clear" w:color="auto" w:fill="CCFFCC"/>
            <w:vAlign w:val="center"/>
          </w:tcPr>
          <w:p>
            <w:pPr>
              <w:rPr>
                <w:rFonts w:ascii="Times New Roman" w:hAnsi="Times New Roman"/>
                <w:noProof/>
              </w:rPr>
            </w:pPr>
            <w:r>
              <w:rPr>
                <w:rFonts w:ascii="Times New Roman" w:hAnsi="Times New Roman"/>
                <w:noProof/>
              </w:rPr>
              <w:t>Допълване на Директивата за СТЕ на ЕС по отношение на приетите от Международната организация за гражданско въздухоплаване мерки за мониторинг, докладване и проверка на авиационните емисии с цел прилагане на CORSIA</w:t>
            </w:r>
          </w:p>
        </w:tc>
        <w:tc>
          <w:tcPr>
            <w:tcW w:w="1862" w:type="dxa"/>
            <w:shd w:val="clear" w:color="auto" w:fill="CCFFCC"/>
            <w:vAlign w:val="center"/>
          </w:tcPr>
          <w:p>
            <w:pPr>
              <w:jc w:val="center"/>
              <w:rPr>
                <w:rFonts w:ascii="Times New Roman" w:hAnsi="Times New Roman"/>
                <w:noProof/>
              </w:rPr>
            </w:pPr>
            <w:r>
              <w:rPr>
                <w:rFonts w:ascii="Times New Roman" w:hAnsi="Times New Roman"/>
                <w:noProof/>
              </w:rPr>
              <w:t>Делегиран регламент на Комисията</w:t>
            </w:r>
          </w:p>
        </w:tc>
        <w:tc>
          <w:tcPr>
            <w:tcW w:w="1994" w:type="dxa"/>
            <w:shd w:val="clear" w:color="auto" w:fill="CCFFCC"/>
            <w:vAlign w:val="center"/>
          </w:tcPr>
          <w:p>
            <w:pPr>
              <w:jc w:val="center"/>
              <w:rPr>
                <w:rFonts w:ascii="Times New Roman" w:hAnsi="Times New Roman"/>
                <w:noProof/>
              </w:rPr>
            </w:pPr>
            <w:r>
              <w:rPr>
                <w:rFonts w:ascii="Times New Roman" w:hAnsi="Times New Roman"/>
                <w:noProof/>
              </w:rPr>
              <w:t>Приет на 18 юли 2019 г. и публикуван в Официален вестник на 30 септември 2019 г.</w:t>
            </w:r>
            <w:r>
              <w:rPr>
                <w:rStyle w:val="FootnoteReference"/>
                <w:rFonts w:ascii="Times New Roman" w:hAnsi="Times New Roman"/>
                <w:noProof/>
              </w:rPr>
              <w:footnoteReference w:id="104"/>
            </w:r>
          </w:p>
        </w:tc>
      </w:tr>
      <w:tr>
        <w:trPr>
          <w:trHeight w:val="154"/>
        </w:trPr>
        <w:tc>
          <w:tcPr>
            <w:tcW w:w="2030" w:type="dxa"/>
            <w:tcBorders>
              <w:bottom w:val="double" w:sz="4" w:space="0" w:color="auto"/>
            </w:tcBorders>
            <w:shd w:val="clear" w:color="auto" w:fill="FFFFCC"/>
            <w:vAlign w:val="center"/>
          </w:tcPr>
          <w:p>
            <w:pPr>
              <w:rPr>
                <w:rFonts w:ascii="Times New Roman" w:hAnsi="Times New Roman"/>
                <w:noProof/>
              </w:rPr>
            </w:pPr>
            <w:r>
              <w:rPr>
                <w:rFonts w:ascii="Times New Roman" w:hAnsi="Times New Roman"/>
                <w:noProof/>
              </w:rPr>
              <w:t>Насоки за държавни помощи в контекста на СТЕ на ЕС за периода 2021—2030 г.</w:t>
            </w:r>
          </w:p>
        </w:tc>
        <w:tc>
          <w:tcPr>
            <w:tcW w:w="3808" w:type="dxa"/>
            <w:tcBorders>
              <w:bottom w:val="double" w:sz="4" w:space="0" w:color="auto"/>
            </w:tcBorders>
            <w:shd w:val="clear" w:color="auto" w:fill="FFFFCC"/>
            <w:vAlign w:val="center"/>
          </w:tcPr>
          <w:p>
            <w:pPr>
              <w:rPr>
                <w:rFonts w:ascii="Times New Roman" w:hAnsi="Times New Roman"/>
                <w:noProof/>
              </w:rPr>
            </w:pPr>
            <w:r>
              <w:rPr>
                <w:rFonts w:ascii="Times New Roman" w:hAnsi="Times New Roman"/>
                <w:noProof/>
              </w:rPr>
              <w:t>Преразглеждане на насоките за държавни помощи в контекста на СТЕ на ЕС за фаза 4, за да се включат новите разпоредби, въведени от преразгледаната Директива за СТЕ на ЕС за схемите за компенсиране на непреките разходи за ограничаване на въглеродните емисии</w:t>
            </w:r>
          </w:p>
        </w:tc>
        <w:tc>
          <w:tcPr>
            <w:tcW w:w="1862" w:type="dxa"/>
            <w:tcBorders>
              <w:bottom w:val="double" w:sz="4" w:space="0" w:color="auto"/>
            </w:tcBorders>
            <w:shd w:val="clear" w:color="auto" w:fill="FFFFCC"/>
            <w:vAlign w:val="center"/>
          </w:tcPr>
          <w:p>
            <w:pPr>
              <w:jc w:val="center"/>
              <w:rPr>
                <w:rFonts w:ascii="Times New Roman" w:hAnsi="Times New Roman"/>
                <w:noProof/>
              </w:rPr>
            </w:pPr>
            <w:r>
              <w:rPr>
                <w:rFonts w:ascii="Times New Roman" w:hAnsi="Times New Roman"/>
                <w:noProof/>
              </w:rPr>
              <w:t>Съобщение на Комисията</w:t>
            </w:r>
          </w:p>
        </w:tc>
        <w:tc>
          <w:tcPr>
            <w:tcW w:w="1994" w:type="dxa"/>
            <w:tcBorders>
              <w:bottom w:val="double" w:sz="4" w:space="0" w:color="auto"/>
            </w:tcBorders>
            <w:shd w:val="clear" w:color="auto" w:fill="FFFFCC"/>
            <w:vAlign w:val="center"/>
          </w:tcPr>
          <w:p>
            <w:pPr>
              <w:jc w:val="center"/>
              <w:rPr>
                <w:rFonts w:ascii="Times New Roman" w:hAnsi="Times New Roman"/>
                <w:noProof/>
              </w:rPr>
            </w:pPr>
            <w:r>
              <w:rPr>
                <w:rFonts w:ascii="Times New Roman" w:hAnsi="Times New Roman"/>
                <w:noProof/>
              </w:rPr>
              <w:t>2020 г.</w:t>
            </w:r>
          </w:p>
        </w:tc>
      </w:tr>
      <w:tr>
        <w:trPr>
          <w:trHeight w:val="154"/>
        </w:trPr>
        <w:tc>
          <w:tcPr>
            <w:tcW w:w="2030" w:type="dxa"/>
            <w:shd w:val="clear" w:color="auto" w:fill="CCFFCC"/>
            <w:vAlign w:val="center"/>
          </w:tcPr>
          <w:p>
            <w:pPr>
              <w:rPr>
                <w:rFonts w:ascii="Times New Roman" w:hAnsi="Times New Roman"/>
                <w:noProof/>
              </w:rPr>
            </w:pPr>
            <w:r>
              <w:rPr>
                <w:rFonts w:ascii="Times New Roman" w:hAnsi="Times New Roman"/>
                <w:noProof/>
              </w:rPr>
              <w:t>Делегирано решение (ЕС) 2020/1071 на Комисията по отношение на изключването от системата на ЕС за търговия с емисии на пристигащи полети от Швейцария</w:t>
            </w:r>
          </w:p>
        </w:tc>
        <w:tc>
          <w:tcPr>
            <w:tcW w:w="3808" w:type="dxa"/>
            <w:shd w:val="clear" w:color="auto" w:fill="CCFFCC"/>
            <w:vAlign w:val="center"/>
          </w:tcPr>
          <w:p>
            <w:pPr>
              <w:rPr>
                <w:rFonts w:ascii="Times New Roman" w:hAnsi="Times New Roman"/>
                <w:noProof/>
              </w:rPr>
            </w:pPr>
            <w:r>
              <w:rPr>
                <w:rFonts w:ascii="Times New Roman" w:hAnsi="Times New Roman"/>
                <w:noProof/>
              </w:rPr>
              <w:t>Изменя приложение I към Директивата за СТЕ на ЕС за изключване на пристигащи полети от Швейцария от системата на ЕС за търговия с емисии, считано от 1 януари 2020 г.</w:t>
            </w:r>
          </w:p>
        </w:tc>
        <w:tc>
          <w:tcPr>
            <w:tcW w:w="1862" w:type="dxa"/>
            <w:shd w:val="clear" w:color="auto" w:fill="CCFFCC"/>
            <w:vAlign w:val="center"/>
          </w:tcPr>
          <w:p>
            <w:pPr>
              <w:jc w:val="center"/>
              <w:rPr>
                <w:rFonts w:ascii="Times New Roman" w:hAnsi="Times New Roman"/>
                <w:noProof/>
              </w:rPr>
            </w:pPr>
            <w:r>
              <w:rPr>
                <w:rFonts w:ascii="Times New Roman" w:hAnsi="Times New Roman"/>
                <w:noProof/>
              </w:rPr>
              <w:t>Делегиран регламент на Комисията</w:t>
            </w:r>
          </w:p>
        </w:tc>
        <w:tc>
          <w:tcPr>
            <w:tcW w:w="1994" w:type="dxa"/>
            <w:shd w:val="clear" w:color="auto" w:fill="CCFFCC"/>
            <w:vAlign w:val="center"/>
          </w:tcPr>
          <w:p>
            <w:pPr>
              <w:jc w:val="center"/>
              <w:rPr>
                <w:rFonts w:ascii="Times New Roman" w:hAnsi="Times New Roman"/>
                <w:noProof/>
              </w:rPr>
            </w:pPr>
            <w:r>
              <w:rPr>
                <w:rFonts w:ascii="Times New Roman" w:hAnsi="Times New Roman"/>
                <w:noProof/>
              </w:rPr>
              <w:t>Приет на 18 март 2020 г. и публикуван в Официален вестник на 21 юли 2020 г.</w:t>
            </w:r>
            <w:r>
              <w:rPr>
                <w:rStyle w:val="FootnoteReference"/>
                <w:rFonts w:ascii="Times New Roman" w:hAnsi="Times New Roman"/>
                <w:noProof/>
              </w:rPr>
              <w:footnoteReference w:id="105"/>
            </w:r>
          </w:p>
        </w:tc>
      </w:tr>
    </w:tbl>
    <w:tbl>
      <w:tblPr>
        <w:tblStyle w:val="TableGrid6"/>
        <w:tblpPr w:leftFromText="180" w:rightFromText="180" w:vertAnchor="text" w:horzAnchor="margin" w:tblpY="72"/>
        <w:tblW w:w="1851" w:type="dxa"/>
        <w:tblLook w:val="04A0" w:firstRow="1" w:lastRow="0" w:firstColumn="1" w:lastColumn="0" w:noHBand="0" w:noVBand="1"/>
      </w:tblPr>
      <w:tblGrid>
        <w:gridCol w:w="1851"/>
      </w:tblGrid>
      <w:tr>
        <w:trPr>
          <w:trHeight w:val="251"/>
        </w:trPr>
        <w:tc>
          <w:tcPr>
            <w:tcW w:w="1851" w:type="dxa"/>
          </w:tcPr>
          <w:p>
            <w:pPr>
              <w:rPr>
                <w:rFonts w:ascii="Times New Roman" w:hAnsi="Times New Roman"/>
                <w:b/>
                <w:noProof/>
              </w:rPr>
            </w:pPr>
            <w:r>
              <w:rPr>
                <w:rFonts w:ascii="Times New Roman" w:hAnsi="Times New Roman"/>
                <w:b/>
                <w:noProof/>
              </w:rPr>
              <w:t xml:space="preserve">Актуално състояние </w:t>
            </w:r>
          </w:p>
        </w:tc>
      </w:tr>
      <w:tr>
        <w:trPr>
          <w:trHeight w:val="251"/>
        </w:trPr>
        <w:tc>
          <w:tcPr>
            <w:tcW w:w="1851" w:type="dxa"/>
            <w:tcBorders>
              <w:bottom w:val="single" w:sz="4" w:space="0" w:color="auto"/>
            </w:tcBorders>
          </w:tcPr>
          <w:p>
            <w:pPr>
              <w:rPr>
                <w:rFonts w:ascii="Times New Roman" w:hAnsi="Times New Roman"/>
                <w:noProof/>
              </w:rPr>
            </w:pPr>
            <w:r>
              <w:rPr>
                <w:rFonts w:ascii="Times New Roman" w:hAnsi="Times New Roman"/>
                <w:noProof/>
              </w:rPr>
              <w:t>Планирани</w:t>
            </w:r>
          </w:p>
        </w:tc>
      </w:tr>
      <w:tr>
        <w:trPr>
          <w:trHeight w:val="251"/>
        </w:trPr>
        <w:tc>
          <w:tcPr>
            <w:tcW w:w="1851" w:type="dxa"/>
            <w:tcBorders>
              <w:bottom w:val="single" w:sz="4" w:space="0" w:color="auto"/>
            </w:tcBorders>
            <w:shd w:val="clear" w:color="auto" w:fill="FFFFCC"/>
          </w:tcPr>
          <w:p>
            <w:pPr>
              <w:rPr>
                <w:rFonts w:ascii="Times New Roman" w:hAnsi="Times New Roman"/>
                <w:noProof/>
              </w:rPr>
            </w:pPr>
            <w:r>
              <w:rPr>
                <w:rFonts w:ascii="Times New Roman" w:hAnsi="Times New Roman"/>
                <w:noProof/>
              </w:rPr>
              <w:t>В процес на изпълнение</w:t>
            </w:r>
          </w:p>
        </w:tc>
      </w:tr>
      <w:tr>
        <w:trPr>
          <w:trHeight w:val="264"/>
        </w:trPr>
        <w:tc>
          <w:tcPr>
            <w:tcW w:w="1851" w:type="dxa"/>
            <w:shd w:val="clear" w:color="auto" w:fill="CCFFCC"/>
          </w:tcPr>
          <w:p>
            <w:pPr>
              <w:rPr>
                <w:rFonts w:ascii="Times New Roman" w:hAnsi="Times New Roman"/>
                <w:noProof/>
              </w:rPr>
            </w:pPr>
            <w:r>
              <w:rPr>
                <w:rFonts w:ascii="Times New Roman" w:hAnsi="Times New Roman"/>
                <w:noProof/>
              </w:rPr>
              <w:t>Готови</w:t>
            </w:r>
          </w:p>
        </w:tc>
      </w:tr>
    </w:tbl>
    <w:p>
      <w:pPr>
        <w:spacing w:after="0"/>
        <w:rPr>
          <w:rFonts w:ascii="Times New Roman" w:hAnsi="Times New Roman"/>
          <w:b/>
          <w:noProof/>
        </w:rPr>
      </w:pPr>
    </w:p>
    <w:p>
      <w:pPr>
        <w:rPr>
          <w:rFonts w:ascii="Times New Roman" w:hAnsi="Times New Roman"/>
          <w:b/>
          <w:noProof/>
        </w:rPr>
      </w:pPr>
    </w:p>
    <w:p>
      <w:pPr>
        <w:rPr>
          <w:rFonts w:ascii="Times New Roman" w:hAnsi="Times New Roman"/>
          <w:b/>
          <w:noProof/>
        </w:rPr>
      </w:pPr>
    </w:p>
    <w:p>
      <w:pPr>
        <w:rPr>
          <w:rFonts w:ascii="Times New Roman" w:hAnsi="Times New Roman"/>
          <w:b/>
          <w:noProof/>
        </w:rPr>
      </w:pPr>
    </w:p>
    <w:p>
      <w:pPr>
        <w:rPr>
          <w:rFonts w:ascii="Times New Roman" w:hAnsi="Times New Roman"/>
          <w:b/>
          <w:noProof/>
        </w:rPr>
      </w:pPr>
      <w:r>
        <w:rPr>
          <w:rFonts w:ascii="Times New Roman" w:hAnsi="Times New Roman"/>
          <w:b/>
          <w:noProof/>
        </w:rPr>
        <w:t>Допълнение 7</w:t>
      </w:r>
    </w:p>
    <w:p>
      <w:pPr>
        <w:keepNext/>
        <w:rPr>
          <w:rFonts w:ascii="Times New Roman" w:hAnsi="Times New Roman"/>
          <w:b/>
          <w:bCs/>
          <w:noProof/>
          <w:sz w:val="20"/>
          <w:szCs w:val="20"/>
        </w:rPr>
      </w:pPr>
      <w:r>
        <w:rPr>
          <w:rFonts w:ascii="Times New Roman" w:hAnsi="Times New Roman"/>
          <w:b/>
          <w:bCs/>
          <w:noProof/>
          <w:sz w:val="20"/>
          <w:szCs w:val="20"/>
        </w:rPr>
        <w:t>Таблица 7.1:</w:t>
      </w:r>
      <w:r>
        <w:rPr>
          <w:b/>
          <w:bCs/>
          <w:noProof/>
          <w:sz w:val="20"/>
          <w:szCs w:val="20"/>
        </w:rPr>
        <w:t xml:space="preserve"> </w:t>
      </w:r>
      <w:r>
        <w:rPr>
          <w:rFonts w:ascii="Times New Roman" w:hAnsi="Times New Roman"/>
          <w:b/>
          <w:bCs/>
          <w:noProof/>
          <w:sz w:val="20"/>
          <w:szCs w:val="20"/>
        </w:rPr>
        <w:t>Вноски на държавите членки/ държавите от ЕИП ЕАСТ към резерва за стабилност на пазара през 2019—2020 г. (брой квоти)</w:t>
      </w:r>
    </w:p>
    <w:tbl>
      <w:tblPr>
        <w:tblW w:w="6799" w:type="dxa"/>
        <w:tblInd w:w="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3102"/>
        <w:gridCol w:w="1855"/>
        <w:gridCol w:w="1842"/>
      </w:tblGrid>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Държава членка/ ЕИП</w:t>
            </w:r>
            <w:r>
              <w:rPr>
                <w:noProof/>
              </w:rPr>
              <w:t xml:space="preserve"> </w:t>
            </w:r>
            <w:r>
              <w:rPr>
                <w:noProof/>
              </w:rPr>
              <w:br/>
            </w:r>
            <w:r>
              <w:rPr>
                <w:rFonts w:ascii="Times New Roman" w:hAnsi="Times New Roman"/>
                <w:b/>
                <w:bCs/>
                <w:noProof/>
                <w:sz w:val="20"/>
                <w:szCs w:val="20"/>
              </w:rPr>
              <w:t>Държава от ЕАСТ</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Вноски към MSR през 2019 г.</w:t>
            </w:r>
            <w:r>
              <w:rPr>
                <w:rStyle w:val="FootnoteReference"/>
                <w:rFonts w:ascii="Times New Roman" w:eastAsia="Times New Roman" w:hAnsi="Times New Roman"/>
                <w:b/>
                <w:bCs/>
                <w:noProof/>
                <w:sz w:val="20"/>
                <w:szCs w:val="20"/>
                <w:lang w:eastAsia="fr-BE"/>
              </w:rPr>
              <w:footnoteReference w:id="106"/>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Вноски към MSR през 2020 г.</w:t>
            </w:r>
            <w:r>
              <w:rPr>
                <w:rStyle w:val="FootnoteReference"/>
                <w:rFonts w:ascii="Times New Roman" w:eastAsia="Times New Roman" w:hAnsi="Times New Roman"/>
                <w:b/>
                <w:bCs/>
                <w:noProof/>
                <w:sz w:val="20"/>
                <w:szCs w:val="20"/>
                <w:lang w:eastAsia="fr-BE"/>
              </w:rPr>
              <w:footnoteReference w:id="107"/>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Австрия</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5 935 748</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5 614 399</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Белгия</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9 846 994</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9 313 899</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България</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8 292 720</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7 843 771</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Хърватия</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1 614 984</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1 527 552</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Кипър</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932 844</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882 342</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Чехия</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15 406 858</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14 572 765</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Дания</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5 340 750</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5 051 614</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Естония</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2 904 319</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2 747 085</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Финландия</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7 130 025</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6 744 021</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Франция</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23 346 791</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22 082 847</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Германия</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85 389 770</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80 766 957</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Гърция</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12 684 492</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11 997 782</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Унгария</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5 115 708</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4 838 755</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Исландия</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166 450</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157 439</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Ирландия</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3 991 393</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3 775 308</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Италия</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40 304 729</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38 122 721</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Латвия</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865 501</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818 645</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Лихтенщайн</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3 725</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3 524</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Литва</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1 792 324</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1 695 292</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Люксембург</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467 394</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442 090</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Малта</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354 798</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335 590</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Нидерландия</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14 291 411</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13 517 705</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Норвегия</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3 314 570</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3 135 127</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Полша</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39 282 170</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37 155 520</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Португалия</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6 478 775</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6 128 029</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Румъния</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14 941 290</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14 132 401</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Словакия</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4 752 513</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4 495 223</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Словения</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1 577 714</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1 492 300</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Испания</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32 660 234</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30 892 081</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Швеция</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3 457 106</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3 269 946</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Обединено кралство</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44 480 623</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42 072 540</w:t>
            </w:r>
          </w:p>
        </w:tc>
      </w:tr>
      <w:tr>
        <w:trPr>
          <w:trHeight w:val="292"/>
        </w:trPr>
        <w:tc>
          <w:tcPr>
            <w:tcW w:w="310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rPr>
                <w:rFonts w:ascii="Times New Roman" w:eastAsia="Times New Roman" w:hAnsi="Times New Roman"/>
                <w:b/>
                <w:bCs/>
                <w:noProof/>
                <w:sz w:val="20"/>
                <w:szCs w:val="20"/>
              </w:rPr>
            </w:pPr>
            <w:r>
              <w:rPr>
                <w:rFonts w:ascii="Times New Roman" w:hAnsi="Times New Roman"/>
                <w:b/>
                <w:bCs/>
                <w:noProof/>
                <w:sz w:val="20"/>
                <w:szCs w:val="20"/>
              </w:rPr>
              <w:t>Общо</w:t>
            </w:r>
          </w:p>
        </w:tc>
        <w:tc>
          <w:tcPr>
            <w:tcW w:w="1855"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397 124 722</w:t>
            </w:r>
          </w:p>
        </w:tc>
        <w:tc>
          <w:tcPr>
            <w:tcW w:w="1842"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pPr>
              <w:spacing w:after="0" w:line="240" w:lineRule="auto"/>
              <w:jc w:val="right"/>
              <w:rPr>
                <w:rFonts w:ascii="Times New Roman" w:eastAsia="Times New Roman" w:hAnsi="Times New Roman"/>
                <w:b/>
                <w:bCs/>
                <w:noProof/>
                <w:sz w:val="20"/>
                <w:szCs w:val="20"/>
              </w:rPr>
            </w:pPr>
            <w:r>
              <w:rPr>
                <w:rFonts w:ascii="Times New Roman" w:hAnsi="Times New Roman"/>
                <w:b/>
                <w:bCs/>
                <w:noProof/>
                <w:sz w:val="20"/>
                <w:szCs w:val="20"/>
              </w:rPr>
              <w:t>375 625 270</w:t>
            </w:r>
          </w:p>
        </w:tc>
      </w:tr>
    </w:tbl>
    <w:p>
      <w:pPr>
        <w:tabs>
          <w:tab w:val="left" w:pos="3491"/>
        </w:tabs>
        <w:rPr>
          <w:rFonts w:ascii="Times New Roman" w:hAnsi="Times New Roman"/>
          <w:b/>
          <w:noProof/>
        </w:rPr>
      </w:pPr>
    </w:p>
    <w:p>
      <w:pPr>
        <w:tabs>
          <w:tab w:val="left" w:pos="3491"/>
        </w:tabs>
        <w:rPr>
          <w:rFonts w:ascii="Times New Roman" w:hAnsi="Times New Roman"/>
          <w:b/>
          <w:noProof/>
        </w:rPr>
      </w:pPr>
      <w:r>
        <w:rPr>
          <w:rFonts w:ascii="Times New Roman" w:hAnsi="Times New Roman"/>
          <w:b/>
          <w:noProof/>
        </w:rPr>
        <w:t>Допълнение 8</w:t>
      </w:r>
    </w:p>
    <w:p>
      <w:pPr>
        <w:rPr>
          <w:rFonts w:ascii="Times New Roman" w:hAnsi="Times New Roman"/>
          <w:b/>
          <w:noProof/>
          <w:sz w:val="20"/>
          <w:szCs w:val="20"/>
        </w:rPr>
      </w:pPr>
      <w:r>
        <w:rPr>
          <w:rFonts w:ascii="Times New Roman" w:hAnsi="Times New Roman"/>
          <w:b/>
          <w:noProof/>
          <w:sz w:val="20"/>
          <w:szCs w:val="20"/>
        </w:rPr>
        <w:t>Таблица 8.1: Неизразходвани средства по програма NER 300 в рамките на InnovFin EDP и ДИ на МСЕ: подкрепяни проекти в периода август 2019 г.—юни 2020 г.</w:t>
      </w:r>
    </w:p>
    <w:tbl>
      <w:tblPr>
        <w:tblStyle w:val="TableGrid"/>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8"/>
        <w:gridCol w:w="6626"/>
      </w:tblGrid>
      <w:tr>
        <w:trPr>
          <w:trHeight w:val="178"/>
        </w:trPr>
        <w:tc>
          <w:tcPr>
            <w:tcW w:w="2838" w:type="dxa"/>
            <w:shd w:val="clear" w:color="auto" w:fill="D9D9D9" w:themeFill="background1" w:themeFillShade="D9"/>
          </w:tcPr>
          <w:p>
            <w:pPr>
              <w:rPr>
                <w:rFonts w:ascii="Times New Roman" w:hAnsi="Times New Roman"/>
                <w:b/>
                <w:noProof/>
              </w:rPr>
            </w:pPr>
            <w:r>
              <w:rPr>
                <w:rFonts w:ascii="Times New Roman" w:hAnsi="Times New Roman"/>
                <w:b/>
                <w:noProof/>
              </w:rPr>
              <w:t>Наименование на проекта</w:t>
            </w:r>
          </w:p>
        </w:tc>
        <w:tc>
          <w:tcPr>
            <w:tcW w:w="6626" w:type="dxa"/>
            <w:shd w:val="clear" w:color="auto" w:fill="D9D9D9" w:themeFill="background1" w:themeFillShade="D9"/>
          </w:tcPr>
          <w:p>
            <w:pPr>
              <w:rPr>
                <w:rFonts w:ascii="Times New Roman" w:hAnsi="Times New Roman"/>
                <w:b/>
                <w:noProof/>
              </w:rPr>
            </w:pPr>
            <w:r>
              <w:rPr>
                <w:rFonts w:ascii="Times New Roman" w:hAnsi="Times New Roman"/>
                <w:b/>
                <w:noProof/>
              </w:rPr>
              <w:t>Описание</w:t>
            </w:r>
          </w:p>
        </w:tc>
      </w:tr>
      <w:tr>
        <w:trPr>
          <w:trHeight w:val="1674"/>
        </w:trPr>
        <w:tc>
          <w:tcPr>
            <w:tcW w:w="2838" w:type="dxa"/>
          </w:tcPr>
          <w:p>
            <w:pPr>
              <w:rPr>
                <w:rFonts w:ascii="Times New Roman" w:hAnsi="Times New Roman"/>
                <w:noProof/>
              </w:rPr>
            </w:pPr>
            <w:r>
              <w:rPr>
                <w:rFonts w:ascii="Times New Roman" w:hAnsi="Times New Roman"/>
                <w:noProof/>
              </w:rPr>
              <w:t>VOLTALIS (EDP)</w:t>
            </w:r>
          </w:p>
        </w:tc>
        <w:tc>
          <w:tcPr>
            <w:tcW w:w="6626" w:type="dxa"/>
          </w:tcPr>
          <w:p>
            <w:pPr>
              <w:jc w:val="both"/>
              <w:rPr>
                <w:rFonts w:ascii="Times New Roman" w:hAnsi="Times New Roman"/>
                <w:noProof/>
              </w:rPr>
            </w:pPr>
            <w:r>
              <w:rPr>
                <w:rFonts w:ascii="Times New Roman" w:hAnsi="Times New Roman"/>
                <w:noProof/>
              </w:rPr>
              <w:t>Voltalis е доставчик на агрегирани услуги по оптимизация на потреблението в електроенергийния сектор. То предоставя интелигентни технически решения, които позволяват на товари от домакинствата и от малки търговски и промишлени потребители да участват на енергийните пазари и да отключат своя потенциал за гъвкавост. Проектът ще подобри сигурността на доставките, като намали риска от спиране на електрозахранването и ще подобри енергийната ефективност чрез намаляване на общото потребление на електроенергия. Voltalis е получило заем от 20 млн. евро, финансиран от неизразходвани средства по NER 300.</w:t>
            </w:r>
          </w:p>
        </w:tc>
      </w:tr>
      <w:tr>
        <w:trPr>
          <w:trHeight w:val="1530"/>
        </w:trPr>
        <w:tc>
          <w:tcPr>
            <w:tcW w:w="2838" w:type="dxa"/>
          </w:tcPr>
          <w:p>
            <w:pPr>
              <w:rPr>
                <w:rFonts w:ascii="Times New Roman" w:hAnsi="Times New Roman"/>
                <w:noProof/>
              </w:rPr>
            </w:pPr>
            <w:r>
              <w:rPr>
                <w:rFonts w:ascii="Times New Roman" w:hAnsi="Times New Roman"/>
                <w:noProof/>
              </w:rPr>
              <w:t>STEELANOL (EDP): Усъвършенствано производство на биогорива от отпадъчни газове от производството на стомана</w:t>
            </w:r>
          </w:p>
        </w:tc>
        <w:tc>
          <w:tcPr>
            <w:tcW w:w="6626" w:type="dxa"/>
          </w:tcPr>
          <w:p>
            <w:pPr>
              <w:jc w:val="both"/>
              <w:rPr>
                <w:rFonts w:ascii="Times New Roman" w:hAnsi="Times New Roman"/>
                <w:noProof/>
              </w:rPr>
            </w:pPr>
            <w:r>
              <w:rPr>
                <w:rFonts w:ascii="Times New Roman" w:hAnsi="Times New Roman"/>
                <w:noProof/>
              </w:rPr>
              <w:t xml:space="preserve">Дейността на Steelanol получи заем от 75 млн. евро, изцяло подкрепена от неизразходвани средства по NER 300 в подкрепа на демонстрационни проекти за производството на нисковъглеродна стомана. Този първи по рода си проект има за цел да демонстрира ефективен път за производство на биоетанол от суровина дървесни отпадъци и напълно да го интегрира в голям стоманодобивен завод. Той представлява сериозен пробив в декарбонизацията на сектора. </w:t>
            </w:r>
          </w:p>
        </w:tc>
      </w:tr>
      <w:tr>
        <w:trPr>
          <w:trHeight w:val="1241"/>
        </w:trPr>
        <w:tc>
          <w:tcPr>
            <w:tcW w:w="2838" w:type="dxa"/>
          </w:tcPr>
          <w:p>
            <w:pPr>
              <w:rPr>
                <w:rFonts w:ascii="Times New Roman" w:hAnsi="Times New Roman"/>
                <w:noProof/>
              </w:rPr>
            </w:pPr>
            <w:r>
              <w:rPr>
                <w:rFonts w:ascii="Times New Roman" w:hAnsi="Times New Roman"/>
                <w:noProof/>
              </w:rPr>
              <w:t>EV Charging Italy (ДИ на МСЕ)</w:t>
            </w:r>
          </w:p>
        </w:tc>
        <w:tc>
          <w:tcPr>
            <w:tcW w:w="6626" w:type="dxa"/>
          </w:tcPr>
          <w:p>
            <w:pPr>
              <w:jc w:val="both"/>
              <w:rPr>
                <w:rFonts w:ascii="Times New Roman" w:hAnsi="Times New Roman"/>
                <w:noProof/>
              </w:rPr>
            </w:pPr>
            <w:r>
              <w:rPr>
                <w:rFonts w:ascii="Times New Roman" w:hAnsi="Times New Roman"/>
                <w:noProof/>
              </w:rPr>
              <w:t>Проектът има за цел да разработи инфраструктура за зареждане на електрически превозни средства в Италия. Той ще включва инсталиране на приблизително 6 850 точки за зареждане и съответните връзки с разпределителната мрежа за периода 2019—2023 г. Финансирането на проекта възлиза на 25 млн. евро, изцяло подкрепен от неизразходваните средства по NER 300.</w:t>
            </w:r>
          </w:p>
        </w:tc>
      </w:tr>
      <w:tr>
        <w:trPr>
          <w:trHeight w:val="1832"/>
        </w:trPr>
        <w:tc>
          <w:tcPr>
            <w:tcW w:w="2838" w:type="dxa"/>
          </w:tcPr>
          <w:p>
            <w:pPr>
              <w:rPr>
                <w:rFonts w:ascii="Times New Roman" w:hAnsi="Times New Roman"/>
                <w:noProof/>
              </w:rPr>
            </w:pPr>
            <w:r>
              <w:rPr>
                <w:rFonts w:ascii="Times New Roman" w:hAnsi="Times New Roman"/>
                <w:noProof/>
              </w:rPr>
              <w:t>Програма за електронна мобилност на Hamburger Hochbahn (ДИ на МСЕ)</w:t>
            </w:r>
          </w:p>
        </w:tc>
        <w:tc>
          <w:tcPr>
            <w:tcW w:w="6626" w:type="dxa"/>
          </w:tcPr>
          <w:p>
            <w:pPr>
              <w:jc w:val="both"/>
              <w:rPr>
                <w:rFonts w:ascii="Times New Roman" w:hAnsi="Times New Roman"/>
                <w:noProof/>
              </w:rPr>
            </w:pPr>
            <w:r>
              <w:rPr>
                <w:rFonts w:ascii="Times New Roman" w:hAnsi="Times New Roman"/>
                <w:noProof/>
              </w:rPr>
              <w:t>Този проект на Hamburger Hochbahn, оператор на обществен транспорт в Хамбург, има за цел да поднови и електрифицира градския обществен транспортен парк на Хамбург с подмяна на настоящите дизелови автобуси със 100 електрически автобуса и разполагането на свързаната с тях инфраструктура за зареждане. Организаторът на проекта използва 100 % сертифицирана възобновяема енергия за електрическите си автобуси. Стратегията на дружеството предвижда инфраструктурата за зареждане да бъде модулна и с възможност за промяна на мащаба, лесна за поддържане, високоенергийна и ефективна по отношение на разходите.</w:t>
            </w:r>
          </w:p>
        </w:tc>
      </w:tr>
      <w:tr>
        <w:trPr>
          <w:trHeight w:val="1530"/>
        </w:trPr>
        <w:tc>
          <w:tcPr>
            <w:tcW w:w="2838" w:type="dxa"/>
          </w:tcPr>
          <w:p>
            <w:pPr>
              <w:rPr>
                <w:rFonts w:ascii="Times New Roman" w:hAnsi="Times New Roman"/>
                <w:noProof/>
              </w:rPr>
            </w:pPr>
            <w:r>
              <w:rPr>
                <w:rFonts w:ascii="Times New Roman" w:hAnsi="Times New Roman"/>
                <w:noProof/>
              </w:rPr>
              <w:t>Програма за електронна мобилност VHH Hamburg (ДИ на МСЕ)</w:t>
            </w:r>
          </w:p>
        </w:tc>
        <w:tc>
          <w:tcPr>
            <w:tcW w:w="6626" w:type="dxa"/>
          </w:tcPr>
          <w:p>
            <w:pPr>
              <w:jc w:val="both"/>
              <w:rPr>
                <w:rFonts w:ascii="Times New Roman" w:hAnsi="Times New Roman"/>
                <w:noProof/>
              </w:rPr>
            </w:pPr>
            <w:r>
              <w:rPr>
                <w:rFonts w:ascii="Times New Roman" w:hAnsi="Times New Roman"/>
                <w:noProof/>
              </w:rPr>
              <w:t>Този проект подкрепя VHH, оператор на обществен транспорт в Хамбург, при закупуването на приблизително 155 електрически автобуса за подмяна на стари дизелови автобуси и изграждане на свързаната инфраструктура за зареждане. Той включва адаптирането на четири депа към електромобилност и изграждането на едно ново депо, адаптирано към електрически автобуси, както и внедряването на софтуерни и информационни системи. Организаторът на проекта използва 100 % сертифицирана възобновяема енергия.</w:t>
            </w:r>
          </w:p>
        </w:tc>
      </w:tr>
      <w:tr>
        <w:trPr>
          <w:trHeight w:val="1955"/>
        </w:trPr>
        <w:tc>
          <w:tcPr>
            <w:tcW w:w="2838" w:type="dxa"/>
          </w:tcPr>
          <w:p>
            <w:pPr>
              <w:rPr>
                <w:rFonts w:ascii="Times New Roman" w:hAnsi="Times New Roman"/>
                <w:noProof/>
              </w:rPr>
            </w:pPr>
            <w:r>
              <w:rPr>
                <w:rFonts w:ascii="Times New Roman" w:hAnsi="Times New Roman"/>
                <w:noProof/>
              </w:rPr>
              <w:t>LIGNOL (ПРП)</w:t>
            </w:r>
          </w:p>
        </w:tc>
        <w:tc>
          <w:tcPr>
            <w:tcW w:w="6626" w:type="dxa"/>
          </w:tcPr>
          <w:p>
            <w:pPr>
              <w:jc w:val="both"/>
              <w:rPr>
                <w:rFonts w:ascii="Times New Roman" w:hAnsi="Times New Roman"/>
                <w:noProof/>
              </w:rPr>
            </w:pPr>
            <w:r>
              <w:rPr>
                <w:rFonts w:ascii="Times New Roman" w:hAnsi="Times New Roman"/>
                <w:noProof/>
              </w:rPr>
              <w:t xml:space="preserve">Този проект подпомага изграждането на завод за производство на линьол в съществуваща мелница за целулоза в Mörrum, Швеция, която се очаква да произвежда приблизително 185 000 тона линьол (възобновяемo био масло на базата на лигнин, което може да бъде добавяно в двигатели с вътрешно горене в каквото и да е съотношение и е подходящо за смесване с авиационно гориво) годишно. Освен намаляването на емисиите на </w:t>
            </w:r>
            <w:r>
              <w:rPr>
                <w:rFonts w:ascii="Times New Roman" w:hAnsi="Times New Roman"/>
                <w:bCs/>
                <w:noProof/>
              </w:rPr>
              <w:t>CO</w:t>
            </w:r>
            <w:r>
              <w:rPr>
                <w:rFonts w:ascii="Times New Roman" w:hAnsi="Times New Roman"/>
                <w:bCs/>
                <w:noProof/>
                <w:vertAlign w:val="subscript"/>
              </w:rPr>
              <w:t>2</w:t>
            </w:r>
            <w:r>
              <w:rPr>
                <w:rFonts w:ascii="Times New Roman" w:hAnsi="Times New Roman"/>
                <w:noProof/>
              </w:rPr>
              <w:t xml:space="preserve"> от шведския транспортен сектор производственият процес за Lignol е високоенергиен и не произвежда токсични емисии или вредни отпадъчни продукти. Прогнозните разходи за демонстрационен проект възлизат на 105,5 млн. евро.</w:t>
            </w:r>
          </w:p>
        </w:tc>
      </w:tr>
      <w:tr>
        <w:trPr>
          <w:trHeight w:val="1670"/>
        </w:trPr>
        <w:tc>
          <w:tcPr>
            <w:tcW w:w="2838" w:type="dxa"/>
          </w:tcPr>
          <w:p>
            <w:pPr>
              <w:rPr>
                <w:rFonts w:ascii="Times New Roman" w:hAnsi="Times New Roman"/>
                <w:noProof/>
              </w:rPr>
            </w:pPr>
            <w:r>
              <w:rPr>
                <w:rFonts w:ascii="Times New Roman" w:hAnsi="Times New Roman"/>
                <w:noProof/>
              </w:rPr>
              <w:t>Solar Thermo Electric Magaldi (ПРП)</w:t>
            </w:r>
          </w:p>
        </w:tc>
        <w:tc>
          <w:tcPr>
            <w:tcW w:w="6626" w:type="dxa"/>
          </w:tcPr>
          <w:p>
            <w:pPr>
              <w:jc w:val="both"/>
              <w:rPr>
                <w:rFonts w:ascii="Times New Roman" w:hAnsi="Times New Roman"/>
                <w:noProof/>
              </w:rPr>
            </w:pPr>
            <w:r>
              <w:rPr>
                <w:rFonts w:ascii="Times New Roman" w:hAnsi="Times New Roman"/>
                <w:noProof/>
              </w:rPr>
              <w:t>Този проект, базиран в Италия, подкрепя първата по рода си централа, основана на нова концепция за производство и съхранение на слънчева енергия и генериране на зелена електроенергия, която може да се разпределя при поискване. Централата ще предлага непрекъснато електроснабдяване от възобновяеми източници, без да е необходимо да се изграждат дълги преносни линии, като премахва разходите за топлоцентрали, които работят с тежък мазут или дизелово гориво. Общата енергия, генерирана годишно от централата, се очаква да бъде около 14300 MWh/г. Понастоящем разходите се оценяват на около 36 млн. евро.</w:t>
            </w:r>
          </w:p>
        </w:tc>
      </w:tr>
      <w:tr>
        <w:trPr>
          <w:trHeight w:val="1281"/>
        </w:trPr>
        <w:tc>
          <w:tcPr>
            <w:tcW w:w="2838" w:type="dxa"/>
          </w:tcPr>
          <w:p>
            <w:pPr>
              <w:rPr>
                <w:rFonts w:ascii="Times New Roman" w:hAnsi="Times New Roman"/>
                <w:noProof/>
              </w:rPr>
            </w:pPr>
            <w:r>
              <w:rPr>
                <w:rFonts w:ascii="Times New Roman" w:hAnsi="Times New Roman"/>
                <w:noProof/>
              </w:rPr>
              <w:t>BIOFOREVER  (ПРП)</w:t>
            </w:r>
          </w:p>
        </w:tc>
        <w:tc>
          <w:tcPr>
            <w:tcW w:w="6626" w:type="dxa"/>
          </w:tcPr>
          <w:p>
            <w:pPr>
              <w:jc w:val="both"/>
              <w:rPr>
                <w:rFonts w:ascii="Times New Roman" w:hAnsi="Times New Roman"/>
                <w:noProof/>
              </w:rPr>
            </w:pPr>
            <w:r>
              <w:rPr>
                <w:rFonts w:ascii="Times New Roman" w:hAnsi="Times New Roman"/>
                <w:noProof/>
              </w:rPr>
              <w:t>Този проект подкрепя демонстрационна биорафинерия за преработка на дърво до етанол, базирана в Ротердам, която произвежда 8 000 тона етанол годишно. Суровините в производствения процес ще бъдат дървесни отпадъци от класове А или Б. Продуктът на производствения процес ще бъде етанол за биогорива. Разходите за демонстрационния проект се оценяват на 30 млн. евро.</w:t>
            </w:r>
          </w:p>
        </w:tc>
      </w:tr>
    </w:tbl>
    <w:p>
      <w:pPr>
        <w:rPr>
          <w:rFonts w:ascii="Times New Roman" w:hAnsi="Times New Roman"/>
          <w:noProof/>
          <w:sz w:val="20"/>
          <w:szCs w:val="20"/>
        </w:rPr>
      </w:pPr>
    </w:p>
    <w:sectPr>
      <w:headerReference w:type="even" r:id="rId42"/>
      <w:headerReference w:type="default" r:id="rId43"/>
      <w:footerReference w:type="even" r:id="rId44"/>
      <w:footerReference w:type="default" r:id="rId45"/>
      <w:headerReference w:type="first" r:id="rId46"/>
      <w:footerReference w:type="first" r:id="rId47"/>
      <w:pgSz w:w="11906" w:h="16838"/>
      <w:pgMar w:top="1440" w:right="1440" w:bottom="1440" w:left="1440" w:header="709" w:footer="70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E97C30" w16cid:durableId="1D584DA1"/>
  <w16cid:commentId w16cid:paraId="5F4E4608" w16cid:durableId="1D584DA2"/>
  <w16cid:commentId w16cid:paraId="58E17FD7" w16cid:durableId="1D584DA3"/>
  <w16cid:commentId w16cid:paraId="5DF23A43" w16cid:durableId="1D584DA4"/>
  <w16cid:commentId w16cid:paraId="30B21068" w16cid:durableId="1D584DA5"/>
  <w16cid:commentId w16cid:paraId="3A2C271F" w16cid:durableId="1D584DA6"/>
  <w16cid:commentId w16cid:paraId="4AE592B9" w16cid:durableId="1D584DA7"/>
  <w16cid:commentId w16cid:paraId="643AA177" w16cid:durableId="1D584DA8"/>
  <w16cid:commentId w16cid:paraId="38513F67" w16cid:durableId="1D584DA9"/>
  <w16cid:commentId w16cid:paraId="1FFA1ED9" w16cid:durableId="1D584DAA"/>
  <w16cid:commentId w16cid:paraId="597E28CC" w16cid:durableId="1D584DAB"/>
  <w16cid:commentId w16cid:paraId="57EFFC44" w16cid:durableId="1D584D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61</w:t>
    </w:r>
    <w:r>
      <w:fldChar w:fldCharType="end"/>
    </w:r>
  </w:p>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52</w:t>
    </w:r>
    <w: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Директива 2003/87/ЕО на Европейския Парламент и на Съвета от 13 октомври 2003 г. за установяване на схема за търговия с квоти за емисии на парникови газове в рамките на Общността и за изменение на Директива 96/61/ЕО на Съвета, (ОВ L 275, 25.10.2003 г., стр. 32).</w:t>
      </w:r>
    </w:p>
  </w:footnote>
  <w:footnote w:id="2">
    <w:p>
      <w:pPr>
        <w:pStyle w:val="FootnoteText"/>
      </w:pPr>
      <w:r>
        <w:rPr>
          <w:rStyle w:val="FootnoteReference"/>
        </w:rPr>
        <w:footnoteRef/>
      </w:r>
      <w:r>
        <w:t xml:space="preserve"> COM(2020) 562 final — Съобщение на Комисията до Европейския парламент, Съвета, Европейския икономически и социален комитет и Комитета на регионите — Засилване на европейската амбиция в областта на климата за 2030 г., Инвестиция в неутрално по отношение на климата бъдеще в полза на нашите граждани — План за постигане на целите в областта на климата до 2030 г.</w:t>
      </w:r>
    </w:p>
  </w:footnote>
  <w:footnote w:id="3">
    <w:p>
      <w:pPr>
        <w:pStyle w:val="FootnoteText"/>
      </w:pPr>
      <w:r>
        <w:rPr>
          <w:rStyle w:val="FootnoteReference"/>
        </w:rPr>
        <w:footnoteRef/>
      </w:r>
      <w:r>
        <w:t xml:space="preserve"> COM(2019) 640 final — Съобщение на Комисията до Европейския парламент, Европейския съвет, Съвета, Европейския икономически и социален комитет и Комитета на регионите — Европейският зелен пакт</w:t>
      </w:r>
    </w:p>
  </w:footnote>
  <w:footnote w:id="4">
    <w:p>
      <w:pPr>
        <w:pStyle w:val="FootnoteText"/>
      </w:pPr>
      <w:r>
        <w:rPr>
          <w:rStyle w:val="FootnoteReference"/>
        </w:rPr>
        <w:footnoteRef/>
      </w:r>
      <w:r>
        <w:t xml:space="preserve"> Директива (ЕС) 2018/410 на Европейския парламент и на Съвета от 14 март 2018 г. за изменение на Директива 2003/87/ЕО с цел засилване на разходоефективните намаления на емисии и на нисковъглеродните инвестиции, и на Решение (ЕС) 2015/1814, ОВ L 76, 19.3.2018 г., стр. 3.</w:t>
      </w:r>
    </w:p>
  </w:footnote>
  <w:footnote w:id="5">
    <w:p>
      <w:pPr>
        <w:pStyle w:val="FootnoteText"/>
      </w:pPr>
      <w:r>
        <w:rPr>
          <w:rStyle w:val="FootnoteReference"/>
        </w:rPr>
        <w:footnoteRef/>
      </w:r>
      <w:r>
        <w:t xml:space="preserve"> СТЕ на ЕС се регулира на фази. Фаза 3 обхваща периода 2013—2020 г., докато фаза 4 обхваща периода 2021—2030 г.</w:t>
      </w:r>
    </w:p>
  </w:footnote>
  <w:footnote w:id="6">
    <w:p>
      <w:pPr>
        <w:pStyle w:val="FootnoteText"/>
      </w:pPr>
      <w:r>
        <w:rPr>
          <w:rStyle w:val="FootnoteReference"/>
        </w:rPr>
        <w:footnoteRef/>
      </w:r>
      <w:r>
        <w:t xml:space="preserve"> Регламент за изпълнение (ЕС) 2019/1842 на Комисията от 31 октомври 2019 г. за определяне на правила за прилагането на Директива 2003/87/ЕО на Европейския парламент и на Съвета по отношение на допълнителните условия за коригиране на безплатното разпределение на квоти за емисии поради промени в равнището на дейност, ОВ L 282/, 4.11.2019 г., стр. 20</w:t>
      </w:r>
    </w:p>
  </w:footnote>
  <w:footnote w:id="7">
    <w:p>
      <w:pPr>
        <w:pStyle w:val="FootnoteText"/>
      </w:pPr>
      <w:r>
        <w:rPr>
          <w:rStyle w:val="FootnoteReference"/>
        </w:rPr>
        <w:footnoteRef/>
      </w:r>
      <w:r>
        <w:t xml:space="preserve"> Регламент за изпълнение (ЕС) 2020/1001 на Комисията от 9 юли 2020 г. за установяване на подробни правила за прилагането на Директива 2003/87/ЕО на Европейския парламент и на Съвета във връзка с работата на Модернизационния фонд, предназначен за подкрепа на инвестициите за модернизиране на енергийните системи и повишаване на енергийната ефективност на определени държави членки, ОВ L 221, 10.7.2020 г., стр. 107</w:t>
      </w:r>
    </w:p>
  </w:footnote>
  <w:footnote w:id="8">
    <w:p>
      <w:pPr>
        <w:pStyle w:val="FootnoteText"/>
      </w:pPr>
      <w:r>
        <w:rPr>
          <w:rStyle w:val="FootnoteReference"/>
        </w:rPr>
        <w:footnoteRef/>
      </w:r>
      <w:r>
        <w:t xml:space="preserve"> Делегиран регламент (ЕС) 2019/1868 на Комисията от 28 август 2019 г. за изменение на Регламент (ЕС) № 1031/2010 с цел търговете за квоти да се приведат в съответствие с правилата на СТЕ на ЕС за периода 2021—2030 г. и с класификацията на квотите като финансови инструменти съгласно Директива 2014/65/ЕС на Европейския парламент и на Съвета, ОВ L 289, 8.11.2019 г., стр. 9</w:t>
      </w:r>
    </w:p>
  </w:footnote>
  <w:footnote w:id="9">
    <w:p>
      <w:pPr>
        <w:pStyle w:val="FootnoteText"/>
      </w:pPr>
      <w:r>
        <w:rPr>
          <w:rStyle w:val="FootnoteReference"/>
        </w:rPr>
        <w:footnoteRef/>
      </w:r>
      <w:r>
        <w:t xml:space="preserve"> Докладът за пазара на въглеродни емисии за 2019 г. е на разположение на следния адрес: </w:t>
      </w:r>
      <w:hyperlink r:id="rId1" w:history="1">
        <w:r>
          <w:rPr>
            <w:rStyle w:val="Hyperlink"/>
          </w:rPr>
          <w:t>https://eur-lex.europa.eu/legal-content/BG/TXT/HTML/?uri=CELEX:52019DC0557R(01)&amp;from=EN</w:t>
        </w:r>
      </w:hyperlink>
      <w:r>
        <w:t xml:space="preserve"> </w:t>
      </w:r>
    </w:p>
  </w:footnote>
  <w:footnote w:id="10">
    <w:p>
      <w:pPr>
        <w:pStyle w:val="FootnoteText"/>
      </w:pPr>
      <w:r>
        <w:rPr>
          <w:rStyle w:val="FootnoteReference"/>
        </w:rPr>
        <w:footnoteRef/>
      </w:r>
      <w:r>
        <w:t xml:space="preserve"> C(2020) 2835 final, </w:t>
      </w:r>
      <w:hyperlink r:id="rId2" w:history="1">
        <w:r>
          <w:rPr>
            <w:rStyle w:val="Hyperlink"/>
          </w:rPr>
          <w:t>https://ec.europa.eu/clima/sites/clima/files/ets/reform/docs/c_2020_2835_en.pdf</w:t>
        </w:r>
      </w:hyperlink>
      <w:r>
        <w:t xml:space="preserve"> </w:t>
      </w:r>
    </w:p>
  </w:footnote>
  <w:footnote w:id="11">
    <w:p>
      <w:pPr>
        <w:pStyle w:val="FootnoteText"/>
      </w:pPr>
      <w:r>
        <w:rPr>
          <w:rStyle w:val="FootnoteReference"/>
        </w:rPr>
        <w:footnoteRef/>
      </w:r>
      <w:r>
        <w:t xml:space="preserve"> Източник: ICE</w:t>
      </w:r>
    </w:p>
  </w:footnote>
  <w:footnote w:id="12">
    <w:p>
      <w:pPr>
        <w:pStyle w:val="FootnoteText"/>
      </w:pPr>
      <w:r>
        <w:rPr>
          <w:rStyle w:val="FootnoteReference"/>
        </w:rPr>
        <w:footnoteRef/>
      </w:r>
      <w:r>
        <w:t xml:space="preserve"> Последното актуализиране е на 30 юни 2020 г.</w:t>
      </w:r>
    </w:p>
  </w:footnote>
  <w:footnote w:id="13">
    <w:p>
      <w:pPr>
        <w:pStyle w:val="FootnoteText"/>
      </w:pPr>
      <w:r>
        <w:rPr>
          <w:rStyle w:val="FootnoteReference"/>
        </w:rPr>
        <w:footnoteRef/>
      </w:r>
      <w:r>
        <w:t xml:space="preserve"> „Доклади по член 21“ означава доклади, представени от държавите членки въз основа на изискванията на член 21 от Директивата за СТЕ. В този контекст „участващи държави“ или просто „държави“ включва 27-те държави — членки на ЕС, Обединеното кралство и държавите от ЕИП (Исландия, Норвегия и Лихтенщайн).</w:t>
      </w:r>
    </w:p>
  </w:footnote>
  <w:footnote w:id="14">
    <w:p>
      <w:pPr>
        <w:pStyle w:val="FootnoteText"/>
      </w:pPr>
      <w:r>
        <w:rPr>
          <w:rStyle w:val="FootnoteReference"/>
        </w:rPr>
        <w:footnoteRef/>
      </w:r>
      <w:r>
        <w:t xml:space="preserve"> В рамките на СТЕ на ЕС емисионният фактор за биомаса е заложен като нула, ако е спазено определението за понятието „биомаса“ и при условие че са изпълнени — когато става дума за биогорива или течни биогорива от биомаса — критериите за устойчивост съгласно член 17, параграф 1 от Директива 2009/28/ЕО (Директивата за енергия от възобновяеми източници). Не се отпускат квоти за емисии с нулеви ставки. В докладите по член 21, подадени през 2020 г., две участващи държави (Дания и Латвия) са докладвали само енергийното съдържание на биомаса с нулеви ставки, а не действителните емисии. Поради това техните емисии не са взети предвид в посочения общ размер. </w:t>
      </w:r>
    </w:p>
  </w:footnote>
  <w:footnote w:id="15">
    <w:p>
      <w:pPr>
        <w:pStyle w:val="FootnoteText"/>
      </w:pPr>
      <w:r>
        <w:rPr>
          <w:rStyle w:val="FootnoteReference"/>
        </w:rPr>
        <w:footnoteRef/>
      </w:r>
      <w:r>
        <w:t xml:space="preserve"> Емисиите на инсталациите от категория В са над 500 000 тона CO</w:t>
      </w:r>
      <w:r>
        <w:rPr>
          <w:vertAlign w:val="subscript"/>
        </w:rPr>
        <w:t>2</w:t>
      </w:r>
      <w:r>
        <w:t>екв. годишно, емисиите на инсталациите от категория Б са между 500 000 и 50 000 тона CO</w:t>
      </w:r>
      <w:r>
        <w:rPr>
          <w:vertAlign w:val="subscript"/>
        </w:rPr>
        <w:t>2</w:t>
      </w:r>
      <w:r>
        <w:t>екв. годишно и емисиите на инсталациите от категория А са под 50 000 тона CO</w:t>
      </w:r>
      <w:r>
        <w:rPr>
          <w:vertAlign w:val="subscript"/>
        </w:rPr>
        <w:t>2</w:t>
      </w:r>
      <w:r>
        <w:t>екв. годишно. Вж. Регламент (ЕС) № 601/2012 на Комисията от 21 юни 2012 г. относно мониторинга и докладването на емисиите на парникови газове съгласно Директива 2003/87/ЕО на Европейския парламент и на Съвета, ОВ L 181, 12.7.2012 г., стр. 30.</w:t>
      </w:r>
    </w:p>
  </w:footnote>
  <w:footnote w:id="16">
    <w:p>
      <w:pPr>
        <w:pStyle w:val="FootnoteText"/>
      </w:pPr>
      <w:r>
        <w:rPr>
          <w:rStyle w:val="FootnoteReference"/>
        </w:rPr>
        <w:footnoteRef/>
      </w:r>
      <w:r>
        <w:t xml:space="preserve"> „Инсталациите с малки емисии“ са подкатегория на инсталациите от категория А и отделят по-малко от 25 000 тона CO</w:t>
      </w:r>
      <w:r>
        <w:rPr>
          <w:vertAlign w:val="subscript"/>
        </w:rPr>
        <w:t>2</w:t>
      </w:r>
      <w:r>
        <w:t xml:space="preserve">екв. годишно (вж. член 47, параграф 2 от Регламент (ЕС) № 601/2012). </w:t>
      </w:r>
    </w:p>
  </w:footnote>
  <w:footnote w:id="17">
    <w:p>
      <w:pPr>
        <w:pStyle w:val="FootnoteText"/>
      </w:pPr>
      <w:r>
        <w:rPr>
          <w:rStyle w:val="FootnoteReference"/>
        </w:rPr>
        <w:footnoteRef/>
      </w:r>
      <w:r>
        <w:t xml:space="preserve"> Регламент (ЕС) № 601/2012 на Комисията от 21 юни 2012 г. относно мониторинга и докладването на емисиите на парникови газове съгласно Директива 2003/87/ЕО на Европейския парламент и на Съвета (ОВ L 181, 12.7.2012 г., стр. 30).</w:t>
      </w:r>
    </w:p>
  </w:footnote>
  <w:footnote w:id="18">
    <w:p>
      <w:pPr>
        <w:pStyle w:val="FootnoteText"/>
      </w:pPr>
      <w:r>
        <w:rPr>
          <w:rStyle w:val="FootnoteReference"/>
        </w:rPr>
        <w:footnoteRef/>
      </w:r>
      <w:r>
        <w:t xml:space="preserve"> Пример за търговски оператор на въздухоплавателно средство е пътническа авиокомпания, предоставяща услуги на широката общественост. Пример за нетърговски оператор на въздухоплавателно средство е въздухоплавателно средство, което е частна собственост.</w:t>
      </w:r>
    </w:p>
  </w:footnote>
  <w:footnote w:id="19">
    <w:p>
      <w:pPr>
        <w:pStyle w:val="FootnoteText"/>
      </w:pPr>
      <w:r>
        <w:rPr>
          <w:rStyle w:val="FootnoteReference"/>
        </w:rPr>
        <w:footnoteRef/>
      </w:r>
      <w:r>
        <w:t xml:space="preserve"> Решение C(2018) 8707 на Комисията от 17 декември 2018 г. относно даване на указания на централния администратор за временно спиране на приемането от Дневника на ЕС за транзакциите на съответните обработвания за Обединеното кралство, свързани с безплатното разпределяне, тръжната продажба и обмена на международни кредити. </w:t>
      </w:r>
    </w:p>
  </w:footnote>
  <w:footnote w:id="20">
    <w:p>
      <w:pPr>
        <w:pStyle w:val="FootnoteText"/>
      </w:pPr>
      <w:r>
        <w:rPr>
          <w:rStyle w:val="FootnoteReference"/>
        </w:rPr>
        <w:footnoteRef/>
      </w:r>
      <w:r>
        <w:t xml:space="preserve"> Регламент (ЕС) 2018/208 на Комисията от 12 февруари 2018 г. за изменение на Регламент (ЕС) № 389/2013 за създаване на Регистър на ЕС, ОВ L 39, 13.2.2018 г., стр. 3.</w:t>
      </w:r>
    </w:p>
  </w:footnote>
  <w:footnote w:id="21">
    <w:p>
      <w:pPr>
        <w:pStyle w:val="FootnoteText"/>
      </w:pPr>
      <w:r>
        <w:rPr>
          <w:rStyle w:val="FootnoteReference"/>
        </w:rPr>
        <w:footnoteRef/>
      </w:r>
      <w:r>
        <w:t xml:space="preserve"> Споразумение за оттеглянето на Обединеното кралство Великобритания и Северна Ирландия от Европейския съюз и Европейската общност за атомна енергия (2019/C 384 I/01), ОВ C 384 I, 12.11.2019 г., стр. 1.</w:t>
      </w:r>
    </w:p>
  </w:footnote>
  <w:footnote w:id="22">
    <w:p>
      <w:pPr>
        <w:pStyle w:val="FootnoteText"/>
      </w:pPr>
      <w:r>
        <w:rPr>
          <w:rStyle w:val="FootnoteReference"/>
        </w:rPr>
        <w:footnoteRef/>
      </w:r>
      <w:r>
        <w:t xml:space="preserve"> Споразумение между Европейския съюз и Конфедерация Швейцария за свързване на техните системи за търговия с емисии на парникови газове, ОВ L 322, 7.12.2017 г., стр. 3</w:t>
      </w:r>
    </w:p>
  </w:footnote>
  <w:footnote w:id="23">
    <w:p>
      <w:pPr>
        <w:pStyle w:val="FootnoteText"/>
      </w:pPr>
      <w:r>
        <w:rPr>
          <w:rStyle w:val="FootnoteReference"/>
        </w:rPr>
        <w:footnoteRef/>
      </w:r>
      <w:r>
        <w:t xml:space="preserve"> </w:t>
      </w:r>
      <w:hyperlink r:id="rId3" w:history="1">
        <w:r>
          <w:rPr>
            <w:rStyle w:val="Hyperlink"/>
          </w:rPr>
          <w:t>https://ec.europa.eu/clima/sites/clima/files/ets/markets/docs/decision_201902_swiss_ets_linking.pdf</w:t>
        </w:r>
      </w:hyperlink>
      <w:r>
        <w:t xml:space="preserve"> </w:t>
      </w:r>
    </w:p>
  </w:footnote>
  <w:footnote w:id="24">
    <w:p>
      <w:pPr>
        <w:pStyle w:val="FootnoteText"/>
      </w:pPr>
      <w:r>
        <w:rPr>
          <w:rStyle w:val="FootnoteReference"/>
        </w:rPr>
        <w:footnoteRef/>
      </w:r>
      <w:r>
        <w:tab/>
        <w:t>Делегиран регламент (ЕС) 2019/1122 на Комисията от 12 март 2019 г. за допълване на Директива 2003/87/ЕО на Европейския парламент и на Съвета по отношение на функционирането на Регистъра на ЕС (ОВ L 177, 2.7.2019 г., стр. 3).</w:t>
      </w:r>
    </w:p>
  </w:footnote>
  <w:footnote w:id="25">
    <w:p>
      <w:pPr>
        <w:pStyle w:val="FootnoteText"/>
      </w:pPr>
      <w:r>
        <w:rPr>
          <w:rStyle w:val="FootnoteReference"/>
        </w:rPr>
        <w:footnoteRef/>
      </w:r>
      <w:r>
        <w:t xml:space="preserve"> Броят на квотите за авиационни емисии, пуснати в обръщение след 2013 г., е резултат от прилагане на подход от долу нагоре, като се започне от безплатно разпределение (определено въз основа на критерии за дейността на операторите в рамките на ЕИП). Броят на квотите, предназначени за тръжна продажба, се определя след това въз основа на факта, че безплатното разпределяне (включително специален резерв за по-късно разпределение на бързо развиващи се оператори на въздухоплавателни средства и нови участници) следва да бъде 85 %, а тръжната продажба — 15 % от общия брой.</w:t>
      </w:r>
    </w:p>
  </w:footnote>
  <w:footnote w:id="26">
    <w:p>
      <w:pPr>
        <w:pStyle w:val="FootnoteText"/>
      </w:pPr>
      <w:r>
        <w:rPr>
          <w:rStyle w:val="FootnoteReference"/>
        </w:rPr>
        <w:footnoteRef/>
      </w:r>
      <w:r>
        <w:t xml:space="preserve"> Актуализираните стойности включват обмен на международни кредити в допълнение към безплатното предоставяне на квоти и продаваните на търг количества. </w:t>
      </w:r>
    </w:p>
  </w:footnote>
  <w:footnote w:id="27">
    <w:p>
      <w:pPr>
        <w:pStyle w:val="FootnoteText"/>
      </w:pPr>
      <w:r>
        <w:rPr>
          <w:rStyle w:val="FootnoteReference"/>
        </w:rPr>
        <w:footnoteRef/>
      </w:r>
      <w:r>
        <w:t xml:space="preserve"> https://ec.europa.eu/info/european-union-and-united-kingdom-forging-new-partnership/eu-uk-withdrawal-agreement_bg</w:t>
      </w:r>
    </w:p>
  </w:footnote>
  <w:footnote w:id="28">
    <w:p>
      <w:pPr>
        <w:pStyle w:val="FootnoteText"/>
      </w:pPr>
      <w:r>
        <w:rPr>
          <w:rStyle w:val="FootnoteReference"/>
        </w:rPr>
        <w:footnoteRef/>
      </w:r>
      <w:r>
        <w:t xml:space="preserve"> https://ec.europa.eu/info/european-union-and-united-kingdom-forging-new-partnership/eu-uk-withdrawal-agreement/protocol-ireland-and-northern-ireland_bg</w:t>
      </w:r>
    </w:p>
  </w:footnote>
  <w:footnote w:id="29">
    <w:p>
      <w:pPr>
        <w:pStyle w:val="FootnoteText"/>
      </w:pPr>
      <w:r>
        <w:rPr>
          <w:rStyle w:val="FootnoteReference"/>
        </w:rPr>
        <w:footnoteRef/>
      </w:r>
      <w:r>
        <w:t xml:space="preserve"> Решение С/2020/7704 на Комисията</w:t>
      </w:r>
    </w:p>
  </w:footnote>
  <w:footnote w:id="30">
    <w:p>
      <w:pPr>
        <w:pStyle w:val="FootnoteText"/>
      </w:pPr>
      <w:r>
        <w:rPr>
          <w:rStyle w:val="FootnoteReference"/>
        </w:rPr>
        <w:footnoteRef/>
      </w:r>
      <w:r>
        <w:t xml:space="preserve"> Лимитът за 2021—2030 г. отразява публикуването след BREXIT на общото количество квоти в СТЕ на ЕС посредством решение С/2020/7704 на Комисията. Въздействието върху законодателството в областта на СТЕ на повишените цели за намаляване на емисиите до 2030 г., предложени от Комисията на 17 септември 2020 г. в плана във връзка с целта в областта на климата до 2030 г., ще бъде оценено при предстоящото преразглеждане на законодателството в областта на климата.</w:t>
      </w:r>
    </w:p>
  </w:footnote>
  <w:footnote w:id="31">
    <w:p>
      <w:pPr>
        <w:pStyle w:val="FootnoteText"/>
      </w:pPr>
      <w:r>
        <w:rPr>
          <w:rStyle w:val="FootnoteReference"/>
        </w:rPr>
        <w:footnoteRef/>
      </w:r>
      <w:r>
        <w:t xml:space="preserve"> Докато през предходните години числата се основаваха на уведомления от държавите членки до края на юни на съответната година, в доклада от тази година те се основават на Регистъра на ЕС за краен срок 30 юни 2020 г. Този нов подход беше избран за по-точно отразяване на разпределенията, тъй като те се извършват и се записват в Регистъра на ЕС.  </w:t>
      </w:r>
    </w:p>
  </w:footnote>
  <w:footnote w:id="32">
    <w:p>
      <w:pPr>
        <w:pStyle w:val="FootnoteText"/>
      </w:pPr>
      <w:r>
        <w:rPr>
          <w:rStyle w:val="FootnoteReference"/>
        </w:rPr>
        <w:footnoteRef/>
      </w:r>
      <w:r>
        <w:t xml:space="preserve"> Първоначални количества, преди намаленията, посочени по-долу. </w:t>
      </w:r>
    </w:p>
  </w:footnote>
  <w:footnote w:id="33">
    <w:p>
      <w:pPr>
        <w:pStyle w:val="FootnoteText"/>
      </w:pPr>
      <w:r>
        <w:rPr>
          <w:rStyle w:val="FootnoteReference"/>
        </w:rPr>
        <w:footnoteRef/>
      </w:r>
      <w:r>
        <w:t xml:space="preserve"> Разпределението за Обединеното кралство (48,0 милиона квоти от общата сума за 2019 г.), което беше преустановено през 2019 г. поради защитните мерки за защита на екологичната цялост на СТЕ на ЕС, беше възобновено през 2020 г. </w:t>
      </w:r>
    </w:p>
  </w:footnote>
  <w:footnote w:id="34">
    <w:p>
      <w:pPr>
        <w:pStyle w:val="FootnoteText"/>
      </w:pPr>
      <w:r>
        <w:rPr>
          <w:rStyle w:val="FootnoteReference"/>
        </w:rPr>
        <w:footnoteRef/>
      </w:r>
      <w:r>
        <w:t xml:space="preserve">Делегирано решение на Комисията, </w:t>
      </w:r>
      <w:hyperlink r:id="rId4" w:history="1">
        <w:r>
          <w:rPr>
            <w:rStyle w:val="Hyperlink"/>
          </w:rPr>
          <w:t>https://eur-lex.europa.eu/legal-content/bg/TXT/PDF/?uri=OJ:L:2019:120:FULL&amp;from=bg</w:t>
        </w:r>
      </w:hyperlink>
      <w:r>
        <w:t xml:space="preserve"> </w:t>
      </w:r>
    </w:p>
  </w:footnote>
  <w:footnote w:id="35">
    <w:p>
      <w:pPr>
        <w:pStyle w:val="FootnoteText"/>
      </w:pPr>
      <w:r>
        <w:rPr>
          <w:rStyle w:val="FootnoteReference"/>
        </w:rPr>
        <w:footnoteRef/>
      </w:r>
      <w:r>
        <w:t xml:space="preserve"> Делегиран регламент (EC) 2019/331 на Комисията, </w:t>
      </w:r>
      <w:hyperlink r:id="rId5" w:history="1">
        <w:r>
          <w:rPr>
            <w:rStyle w:val="Hyperlink"/>
          </w:rPr>
          <w:t>https://eur-lex.europa.eu/legal-content/bg/TXT/PDF/?uri=OJ:L:2019:059:FULL&amp;from=bg</w:t>
        </w:r>
      </w:hyperlink>
      <w:r>
        <w:t xml:space="preserve"> </w:t>
      </w:r>
    </w:p>
  </w:footnote>
  <w:footnote w:id="36">
    <w:p>
      <w:pPr>
        <w:pStyle w:val="FootnoteText"/>
      </w:pPr>
      <w:r>
        <w:rPr>
          <w:rStyle w:val="FootnoteReference"/>
        </w:rPr>
        <w:footnoteRef/>
      </w:r>
      <w:r>
        <w:t xml:space="preserve"> Регламент за изпълнение (ЕС) 2019/1842 на Комисията, </w:t>
      </w:r>
      <w:hyperlink r:id="rId6" w:history="1">
        <w:r>
          <w:rPr>
            <w:rStyle w:val="Hyperlink"/>
          </w:rPr>
          <w:t>https://eur-lex.europa.eu/legal-content/BG/TXT/HTML/?uri=CELEX:32019R1842&amp;qid=1605150453415&amp;from=EN</w:t>
        </w:r>
      </w:hyperlink>
      <w:r>
        <w:t xml:space="preserve"> </w:t>
      </w:r>
    </w:p>
  </w:footnote>
  <w:footnote w:id="37">
    <w:p>
      <w:pPr>
        <w:pStyle w:val="FootnoteText"/>
      </w:pPr>
      <w:r>
        <w:rPr>
          <w:rStyle w:val="FootnoteReference"/>
        </w:rPr>
        <w:footnoteRef/>
      </w:r>
      <w:r>
        <w:t xml:space="preserve"> Решение C(2018) 8707 на Комисията от 17 декември 2018 г. относно даване на указания на централния администратор за временно спиране на приемането от Дневника на ЕС за транзакциите на съответните обработвания за Обединеното кралство, свързани с безплатното разпределяне, тръжната продажба и обмена на международни кредити. </w:t>
      </w:r>
    </w:p>
  </w:footnote>
  <w:footnote w:id="38">
    <w:p>
      <w:pPr>
        <w:pStyle w:val="FootnoteText"/>
      </w:pPr>
      <w:r>
        <w:rPr>
          <w:rStyle w:val="FootnoteReference"/>
        </w:rPr>
        <w:footnoteRef/>
      </w:r>
      <w:r>
        <w:t xml:space="preserve"> Обемите на общите квоти бяха определени, като се вземе под внимание Решение № 1359/2013/ЕС. Обемите на квотите за авиационни емисии са определени, като са взети под внимание Решение№ 377/2013/ЕС и Регламент ЕС) № 421/2014. </w:t>
      </w:r>
    </w:p>
  </w:footnote>
  <w:footnote w:id="39">
    <w:p>
      <w:pPr>
        <w:pStyle w:val="FootnoteText"/>
      </w:pPr>
      <w:r>
        <w:rPr>
          <w:rStyle w:val="FootnoteReference"/>
        </w:rPr>
        <w:footnoteRef/>
      </w:r>
      <w:r>
        <w:t xml:space="preserve"> През 2012 г. бяха проведени ранни търгове на квоти по фаза 3 с оглед на широко разпространената търговска практика в електроенергийния сектор за форуърдна продажба на електроенергия и съответно купуване на необходимите входящи стоки (включително квоти) при продажбата на продукта.</w:t>
      </w:r>
    </w:p>
  </w:footnote>
  <w:footnote w:id="40">
    <w:p>
      <w:pPr>
        <w:pStyle w:val="FootnoteText"/>
      </w:pPr>
      <w:r>
        <w:rPr>
          <w:rStyle w:val="FootnoteReference"/>
        </w:rPr>
        <w:footnoteRef/>
      </w:r>
      <w:r>
        <w:t xml:space="preserve"> Таблицата включва тръжни обеми за ЕС27+UK+ЕИП.</w:t>
      </w:r>
    </w:p>
  </w:footnote>
  <w:footnote w:id="41">
    <w:p>
      <w:pPr>
        <w:pStyle w:val="FootnoteText"/>
      </w:pPr>
      <w:r>
        <w:rPr>
          <w:rStyle w:val="FootnoteReference"/>
        </w:rPr>
        <w:footnoteRef/>
      </w:r>
      <w:r>
        <w:t xml:space="preserve"> </w:t>
      </w:r>
      <w:hyperlink r:id="rId7" w:history="1">
        <w:r>
          <w:rPr>
            <w:rStyle w:val="Hyperlink"/>
          </w:rPr>
          <w:t>http://ec.europa.eu/clima/policies/ets/auctioning/documentation_en.htm</w:t>
        </w:r>
      </w:hyperlink>
    </w:p>
  </w:footnote>
  <w:footnote w:id="42">
    <w:p>
      <w:pPr>
        <w:pStyle w:val="FootnoteText"/>
      </w:pPr>
      <w:r>
        <w:rPr>
          <w:rStyle w:val="FootnoteReference"/>
        </w:rPr>
        <w:footnoteRef/>
      </w:r>
      <w:r>
        <w:t xml:space="preserve"> Член 3г, параграф 4 от Директива 2003/87/ЕО.</w:t>
      </w:r>
    </w:p>
  </w:footnote>
  <w:footnote w:id="43">
    <w:p>
      <w:pPr>
        <w:pStyle w:val="FootnoteText"/>
      </w:pPr>
      <w:r>
        <w:rPr>
          <w:rStyle w:val="FootnoteReference"/>
        </w:rPr>
        <w:footnoteRef/>
      </w:r>
      <w:r>
        <w:t xml:space="preserve"> По-подробна информация за използването на приходите от тръжни продажби може да бъде намерена в Доклада за напредъка на действията в областта на климата в ЕС за 2020 г. </w:t>
      </w:r>
    </w:p>
  </w:footnote>
  <w:footnote w:id="44">
    <w:p>
      <w:pPr>
        <w:pStyle w:val="FootnoteText"/>
      </w:pPr>
      <w:r>
        <w:rPr>
          <w:rStyle w:val="FootnoteReference"/>
        </w:rPr>
        <w:footnoteRef/>
      </w:r>
      <w:r>
        <w:t xml:space="preserve"> Делегиран регламент (ЕС) на Комисията от 28 август 2019 г. за изменение на Регламент (ЕС) № 1031/2010 с цел търговете за квоти да се приведат в съответствие с правилата на СТЕ на ЕС за периода 2021—2030 г. и с класификацията на квотите като финансови инструменти съгласно Директива 2014/65/ЕС на Европейския парламент и на Съвета</w:t>
      </w:r>
    </w:p>
  </w:footnote>
  <w:footnote w:id="45">
    <w:p>
      <w:pPr>
        <w:pStyle w:val="FootnoteText"/>
      </w:pPr>
      <w:r>
        <w:rPr>
          <w:rStyle w:val="FootnoteReference"/>
        </w:rPr>
        <w:footnoteRef/>
      </w:r>
      <w:r>
        <w:t xml:space="preserve"> </w:t>
      </w:r>
      <w:hyperlink r:id="rId8" w:history="1">
        <w:r>
          <w:rPr>
            <w:rStyle w:val="Hyperlink"/>
          </w:rPr>
          <w:t>https://etendering.ted.europa.eu/cft/cft-display.html?cftId=6456&amp;locale=bg</w:t>
        </w:r>
      </w:hyperlink>
      <w:r>
        <w:t xml:space="preserve"> </w:t>
      </w:r>
    </w:p>
  </w:footnote>
  <w:footnote w:id="46">
    <w:p>
      <w:pPr>
        <w:pStyle w:val="FootnoteText"/>
      </w:pPr>
      <w:r>
        <w:rPr>
          <w:rStyle w:val="FootnoteReference"/>
        </w:rPr>
        <w:footnoteRef/>
      </w:r>
      <w:r>
        <w:t xml:space="preserve"> Броят на квотите по член 10в, включени в тази фигура, може да включва квоти, отпуснати със закъснение за предходни години. В този случай съответните количества за година са отразени в EUTL.</w:t>
      </w:r>
    </w:p>
  </w:footnote>
  <w:footnote w:id="47">
    <w:p>
      <w:pPr>
        <w:pStyle w:val="FootnoteText"/>
      </w:pPr>
      <w:r>
        <w:rPr>
          <w:rStyle w:val="FootnoteReference"/>
        </w:rPr>
        <w:footnoteRef/>
      </w:r>
      <w:r>
        <w:t xml:space="preserve"> Цифрите включват количества за тръжна продажба до и включително тръжния календар за 2020 г. </w:t>
      </w:r>
    </w:p>
  </w:footnote>
  <w:footnote w:id="48">
    <w:p>
      <w:pPr>
        <w:pStyle w:val="FootnoteText"/>
      </w:pPr>
      <w:r>
        <w:rPr>
          <w:rStyle w:val="FootnoteReference"/>
        </w:rPr>
        <w:footnoteRef/>
      </w:r>
      <w:r>
        <w:t xml:space="preserve"> Цифрите включват количества, предназначени за тръжна продажба, съгласно тръжния календар за 2020 г. включително (от годините на разпределяне 2013—2019 г.). </w:t>
      </w:r>
    </w:p>
  </w:footnote>
  <w:footnote w:id="49">
    <w:p>
      <w:pPr>
        <w:pStyle w:val="FootnoteText"/>
      </w:pPr>
      <w:r>
        <w:rPr>
          <w:rStyle w:val="FootnoteReference"/>
        </w:rPr>
        <w:footnoteRef/>
      </w:r>
      <w:r>
        <w:t xml:space="preserve"> Решение (ЕС) 2017/2172 на Комисията от 20 ноември 2017 г. за изменение на Решение № 2010/670/ЕС по отношение на използването на неизплатени приходи от първия кръг от покани за представяне на предложения.</w:t>
      </w:r>
    </w:p>
  </w:footnote>
  <w:footnote w:id="50">
    <w:p>
      <w:pPr>
        <w:pStyle w:val="FootnoteText"/>
      </w:pPr>
      <w:r>
        <w:rPr>
          <w:rStyle w:val="FootnoteReference"/>
        </w:rPr>
        <w:footnoteRef/>
      </w:r>
      <w:r>
        <w:t xml:space="preserve"> В съответствие с Решение 2010/670/ЕС на Комисията, за избраните по първата покана проекти, окончателни инвестиционни решения трябваше да бъдат взети до края на 2016 г., докато за проектите, избрани по втората покана, решенията трябваше да бъдат взети до края на юни 2018 г.</w:t>
      </w:r>
    </w:p>
  </w:footnote>
  <w:footnote w:id="51">
    <w:p>
      <w:pPr>
        <w:pStyle w:val="FootnoteText"/>
      </w:pPr>
      <w:r>
        <w:rPr>
          <w:rStyle w:val="FootnoteReference"/>
        </w:rPr>
        <w:footnoteRef/>
      </w:r>
      <w:r>
        <w:t xml:space="preserve"> Поканата за представяне на предложения е достъпна тук: </w:t>
      </w:r>
      <w:hyperlink r:id="rId9" w:history="1">
        <w:r>
          <w:rPr>
            <w:rStyle w:val="Hyperlink"/>
          </w:rPr>
          <w:t>https://ec.europa.eu/info/funding-tenders/opportunities/portal/screen/opportunities/topic-details/innovfund-lsc-2020-two-stage</w:t>
        </w:r>
      </w:hyperlink>
      <w:r>
        <w:t xml:space="preserve"> </w:t>
      </w:r>
    </w:p>
  </w:footnote>
  <w:footnote w:id="52">
    <w:p>
      <w:pPr>
        <w:pStyle w:val="FootnoteText"/>
      </w:pPr>
      <w:r>
        <w:rPr>
          <w:rStyle w:val="FootnoteReference"/>
        </w:rPr>
        <w:footnoteRef/>
      </w:r>
      <w:r>
        <w:t xml:space="preserve"> </w:t>
      </w:r>
      <w:hyperlink r:id="rId10" w:history="1">
        <w:r>
          <w:rPr>
            <w:rStyle w:val="Hyperlink"/>
          </w:rPr>
          <w:t>https://ec.europa.eu/info/funding-tenders/opportunities/portal/screen/home</w:t>
        </w:r>
      </w:hyperlink>
      <w:r>
        <w:t xml:space="preserve"> </w:t>
      </w:r>
    </w:p>
  </w:footnote>
  <w:footnote w:id="53">
    <w:p>
      <w:pPr>
        <w:pStyle w:val="FootnoteText"/>
      </w:pPr>
      <w:r>
        <w:rPr>
          <w:rStyle w:val="FootnoteReference"/>
        </w:rPr>
        <w:footnoteRef/>
      </w:r>
      <w:r>
        <w:t xml:space="preserve"> България, Хърватия, Чехия, Естония, Унгария, Латвия, Литва, Полша, Румъния и Словакия</w:t>
      </w:r>
    </w:p>
  </w:footnote>
  <w:footnote w:id="54">
    <w:p>
      <w:pPr>
        <w:pStyle w:val="FootnoteText"/>
      </w:pPr>
      <w:r>
        <w:rPr>
          <w:rStyle w:val="FootnoteReference"/>
        </w:rPr>
        <w:footnoteRef/>
      </w:r>
      <w:r>
        <w:t xml:space="preserve"> Регламент за изпълнение (ЕС) 2020/1001 на Комисията, </w:t>
      </w:r>
      <w:hyperlink r:id="rId11" w:history="1">
        <w:r>
          <w:rPr>
            <w:rStyle w:val="Hyperlink"/>
          </w:rPr>
          <w:t>https://eur-lex.europa.eu/legal-content/BG/TXT/HTML/?uri=CELEX:32020R1001&amp;qid=1605150847611&amp;from=EN</w:t>
        </w:r>
      </w:hyperlink>
      <w:r>
        <w:t xml:space="preserve"> </w:t>
      </w:r>
    </w:p>
  </w:footnote>
  <w:footnote w:id="55">
    <w:p>
      <w:pPr>
        <w:pStyle w:val="FootnoteText"/>
      </w:pPr>
      <w:r>
        <w:rPr>
          <w:rStyle w:val="FootnoteReference"/>
        </w:rPr>
        <w:footnoteRef/>
      </w:r>
      <w:r>
        <w:t xml:space="preserve"> Освен това бяха приети модификации по френската и испанската схема.</w:t>
      </w:r>
    </w:p>
  </w:footnote>
  <w:footnote w:id="56">
    <w:p>
      <w:pPr>
        <w:pStyle w:val="FootnoteText"/>
      </w:pPr>
      <w:r>
        <w:rPr>
          <w:rStyle w:val="FootnoteReference"/>
        </w:rPr>
        <w:footnoteRef/>
      </w:r>
      <w:r>
        <w:t xml:space="preserve"> </w:t>
      </w:r>
      <w:hyperlink r:id="rId12" w:history="1">
        <w:r>
          <w:rPr>
            <w:rStyle w:val="Hyperlink"/>
          </w:rPr>
          <w:t>https://ec.europa.eu/competition/elojade/isef/case_details.cfm?proc_code=3_SA_53850</w:t>
        </w:r>
      </w:hyperlink>
      <w:r>
        <w:t xml:space="preserve"> </w:t>
      </w:r>
    </w:p>
  </w:footnote>
  <w:footnote w:id="57">
    <w:p>
      <w:pPr>
        <w:pStyle w:val="FootnoteText"/>
      </w:pPr>
      <w:r>
        <w:rPr>
          <w:rStyle w:val="FootnoteReference"/>
        </w:rPr>
        <w:footnoteRef/>
      </w:r>
      <w:r>
        <w:t xml:space="preserve"> </w:t>
      </w:r>
      <w:hyperlink r:id="rId13" w:history="1">
        <w:r>
          <w:rPr>
            <w:rStyle w:val="Hyperlink"/>
          </w:rPr>
          <w:t>https://ec.europa.eu/competition/elojade/isef/case_details.cfm?proc_code=3_SA_56403</w:t>
        </w:r>
      </w:hyperlink>
    </w:p>
  </w:footnote>
  <w:footnote w:id="58">
    <w:p>
      <w:pPr>
        <w:pStyle w:val="FootnoteText"/>
      </w:pPr>
      <w:r>
        <w:rPr>
          <w:rStyle w:val="FootnoteReference"/>
        </w:rPr>
        <w:footnoteRef/>
      </w:r>
      <w:r>
        <w:t xml:space="preserve"> Изключват се приходите от тръжна продажба на квоти за авиационни емисии.</w:t>
      </w:r>
    </w:p>
  </w:footnote>
  <w:footnote w:id="59">
    <w:p>
      <w:pPr>
        <w:pStyle w:val="FootnoteText"/>
      </w:pPr>
      <w:r>
        <w:rPr>
          <w:rStyle w:val="FootnoteReference"/>
        </w:rPr>
        <w:footnoteRef/>
      </w:r>
      <w:r>
        <w:t xml:space="preserve"> Цифрите за Обединеното кралство, отразени в таблицата, са същите като в миналогодишния доклад. Причината е съпоставимост с други държави, които прилагат схеми за компенсиране на непреките разходи за ограничаване на въглеродните емисии. Обединеното кралство публикува данните си по-бързо от други държави и следователно данните за 2020 г. вече са на разположение на следния адрес:  </w:t>
      </w:r>
      <w:hyperlink r:id="rId14" w:history="1">
        <w:r>
          <w:rPr>
            <w:rStyle w:val="Hyperlink"/>
          </w:rPr>
          <w:t>https://assets.publishing.service.gov.uk/government/uploads/system/uploads/attachment_data/file/903187/indirect-cost-compensation-uk-2019.pdf</w:t>
        </w:r>
      </w:hyperlink>
      <w:r>
        <w:t xml:space="preserve"> </w:t>
      </w:r>
    </w:p>
  </w:footnote>
  <w:footnote w:id="60">
    <w:p>
      <w:pPr>
        <w:pStyle w:val="FootnoteText"/>
      </w:pPr>
      <w:r>
        <w:rPr>
          <w:rStyle w:val="FootnoteReference"/>
        </w:rPr>
        <w:footnoteRef/>
      </w:r>
      <w:r>
        <w:t xml:space="preserve"> Данни за ЕС27 + UK + ЕИП. Категоризацията в производство на електроенергия и топлинна енергия и промишленост в таблица 7 се основава на класификацията по NACE от доклада за 2020 г. на държавите членки за техните национални мерки за изпълнение съгласно член 11 от Директива 2003/87/ЕО.  </w:t>
      </w:r>
    </w:p>
  </w:footnote>
  <w:footnote w:id="61">
    <w:p>
      <w:pPr>
        <w:pStyle w:val="FootnoteText"/>
      </w:pPr>
      <w:r>
        <w:rPr>
          <w:rStyle w:val="FootnoteReference"/>
        </w:rPr>
        <w:footnoteRef/>
      </w:r>
      <w:r>
        <w:t xml:space="preserve"> Директива  ЕС) 2018/410 на Европейския парламент и на Съвета от 14 март 2018 г. за изменение на Директива 2003/87/ЕО с цел засилване на разходоефективните намаления на емисии и на нисковъглеродните инвестиции, и на Решение (ЕС) 2015/1814, (ОВ L 76, 19.3.2018 г., стр. 3); на разположение на адрес: </w:t>
      </w:r>
      <w:hyperlink r:id="rId15" w:history="1">
        <w:r>
          <w:rPr>
            <w:rStyle w:val="Hyperlink"/>
          </w:rPr>
          <w:t>http://eur-lex.europa.eu/legal-content/EN/TXT/?uri=uriserv:OJ.L_.2018.076.01.0003.01.ENG&amp;toc=OJ:L:2018:076:TOC</w:t>
        </w:r>
      </w:hyperlink>
      <w:r>
        <w:t xml:space="preserve"> </w:t>
      </w:r>
    </w:p>
  </w:footnote>
  <w:footnote w:id="62">
    <w:p>
      <w:pPr>
        <w:pStyle w:val="Default"/>
        <w:rPr>
          <w:color w:val="auto"/>
          <w:sz w:val="18"/>
          <w:szCs w:val="18"/>
        </w:rPr>
      </w:pPr>
      <w:r>
        <w:rPr>
          <w:rStyle w:val="FootnoteReference"/>
          <w:color w:val="auto"/>
          <w:sz w:val="20"/>
          <w:szCs w:val="20"/>
        </w:rPr>
        <w:footnoteRef/>
      </w:r>
      <w:r>
        <w:rPr>
          <w:color w:val="auto"/>
          <w:sz w:val="20"/>
          <w:szCs w:val="20"/>
        </w:rPr>
        <w:t xml:space="preserve">  C(2020) 2835 final, </w:t>
      </w:r>
      <w:hyperlink r:id="rId16" w:history="1">
        <w:r>
          <w:rPr>
            <w:rStyle w:val="Hyperlink"/>
            <w:sz w:val="20"/>
            <w:szCs w:val="20"/>
          </w:rPr>
          <w:t>https://ec.europa.eu/clima/sites/clima/files/ets/reform/docs/c_2020_2835_en.pdf</w:t>
        </w:r>
      </w:hyperlink>
    </w:p>
  </w:footnote>
  <w:footnote w:id="63">
    <w:p>
      <w:pPr>
        <w:pStyle w:val="FootnoteText"/>
      </w:pPr>
      <w:r>
        <w:rPr>
          <w:rStyle w:val="FootnoteReference"/>
        </w:rPr>
        <w:footnoteRef/>
      </w:r>
      <w:r>
        <w:t xml:space="preserve"> C(2017) 3228 final, https://ec.europa.eu/clima/sites/clima/files/ets/reform/docs/c_2017_3228_en.pdf</w:t>
      </w:r>
    </w:p>
  </w:footnote>
  <w:footnote w:id="64">
    <w:p>
      <w:pPr>
        <w:pStyle w:val="FootnoteText"/>
      </w:pPr>
      <w:r>
        <w:rPr>
          <w:rStyle w:val="FootnoteReference"/>
        </w:rPr>
        <w:footnoteRef/>
      </w:r>
      <w:r>
        <w:t xml:space="preserve"> C(2020) 2835 final, https://ec.europa.eu/clima/sites/clima/files/ets/reform/docs/c_2020_2835_en.pdf</w:t>
      </w:r>
    </w:p>
  </w:footnote>
  <w:footnote w:id="65">
    <w:p>
      <w:pPr>
        <w:pStyle w:val="FootnoteText"/>
      </w:pPr>
      <w:r>
        <w:rPr>
          <w:rStyle w:val="FootnoteReference"/>
        </w:rPr>
        <w:footnoteRef/>
      </w:r>
      <w:r>
        <w:t xml:space="preserve"> Тези цифри не отчитат всички прекратили дейност оператори на въздухоплавателни средства и безплатни квоти от специалния резерв.</w:t>
      </w:r>
    </w:p>
  </w:footnote>
  <w:footnote w:id="66">
    <w:p>
      <w:pPr>
        <w:pStyle w:val="FootnoteText"/>
      </w:pPr>
      <w:r>
        <w:rPr>
          <w:rStyle w:val="FootnoteReference"/>
        </w:rPr>
        <w:footnoteRef/>
      </w:r>
      <w:r>
        <w:t xml:space="preserve"> Като се вземат предвид количествата, неразпределени поради прекратяване на дейността, реалното разпределение за 2019 г. ще бъде с 1,4 милиона по-малко от представеното число. Разпределението за Обединеното кралство (4,31 милиона квоти от общата сума за 2019 г.), което беше преустановено през 2019 г. поради защитните мерки, приети от Комисията за защита на екологичната цялост на СТЕ на ЕС, беше възобновено през 2020 г.</w:t>
      </w:r>
    </w:p>
  </w:footnote>
  <w:footnote w:id="67">
    <w:p>
      <w:pPr>
        <w:pStyle w:val="FootnoteText"/>
      </w:pPr>
      <w:r>
        <w:rPr>
          <w:rStyle w:val="FootnoteReference"/>
        </w:rPr>
        <w:footnoteRef/>
      </w:r>
      <w:r>
        <w:t xml:space="preserve"> До края на юни 2020 г.</w:t>
      </w:r>
    </w:p>
  </w:footnote>
  <w:footnote w:id="68">
    <w:p>
      <w:pPr>
        <w:jc w:val="both"/>
      </w:pPr>
      <w:r>
        <w:rPr>
          <w:rStyle w:val="FootnoteReference"/>
          <w:rFonts w:ascii="Times New Roman" w:hAnsi="Times New Roman"/>
          <w:sz w:val="18"/>
          <w:szCs w:val="18"/>
        </w:rPr>
        <w:footnoteRef/>
      </w:r>
      <w:r>
        <w:rPr>
          <w:rFonts w:ascii="Times New Roman" w:hAnsi="Times New Roman"/>
          <w:sz w:val="18"/>
          <w:szCs w:val="18"/>
        </w:rPr>
        <w:t xml:space="preserve"> Решение № 377/2013/ЕС на Европейския парламент и на Съвета от 24 април 2013 г. за временна дерогация от Директива 2003/87/ЕО за установяване на схема за търговия с квоти за емисии на парникови газове в рамките на Общността, текст от значение за ЕИП, OВ L 113, 25.4.2013 г., стр. 1.</w:t>
      </w:r>
    </w:p>
  </w:footnote>
  <w:footnote w:id="69">
    <w:p>
      <w:pPr>
        <w:pStyle w:val="FootnoteText"/>
      </w:pPr>
      <w:r>
        <w:rPr>
          <w:rStyle w:val="FootnoteReference"/>
        </w:rPr>
        <w:footnoteRef/>
      </w:r>
      <w:r>
        <w:t xml:space="preserve"> </w:t>
      </w:r>
      <w:hyperlink r:id="rId17" w:history="1">
        <w:r>
          <w:rPr>
            <w:rStyle w:val="Hyperlink"/>
          </w:rPr>
          <w:t>https://www.icao.int/environmental-protection/CORSIA/Pages/SARPs-Annex-16-Volume-IV.aspx</w:t>
        </w:r>
      </w:hyperlink>
      <w:r>
        <w:t xml:space="preserve"> </w:t>
      </w:r>
    </w:p>
  </w:footnote>
  <w:footnote w:id="70">
    <w:p>
      <w:pPr>
        <w:pStyle w:val="FootnoteText"/>
      </w:pPr>
      <w:r>
        <w:rPr>
          <w:rStyle w:val="FootnoteReference"/>
        </w:rPr>
        <w:footnoteRef/>
      </w:r>
      <w:r>
        <w:t xml:space="preserve"> </w:t>
      </w:r>
      <w:hyperlink r:id="rId18" w:history="1">
        <w:r>
          <w:rPr>
            <w:rStyle w:val="Hyperlink"/>
          </w:rPr>
          <w:t>https://eur-lex.europa.eu/legal-content/BG/TXT/?uri=CELEX%3A32018D2027</w:t>
        </w:r>
      </w:hyperlink>
      <w:r>
        <w:t xml:space="preserve"> </w:t>
      </w:r>
    </w:p>
  </w:footnote>
  <w:footnote w:id="71">
    <w:p>
      <w:pPr>
        <w:pStyle w:val="FootnoteText"/>
      </w:pPr>
      <w:r>
        <w:rPr>
          <w:rStyle w:val="FootnoteReference"/>
        </w:rPr>
        <w:footnoteRef/>
      </w:r>
      <w:r>
        <w:t xml:space="preserve"> </w:t>
      </w:r>
      <w:hyperlink r:id="rId19" w:history="1">
        <w:r>
          <w:rPr>
            <w:rStyle w:val="Hyperlink"/>
          </w:rPr>
          <w:t>https://eur-lex.europa.eu/legal-content/BG/TXT/?uri=CELEX:32017R2392</w:t>
        </w:r>
      </w:hyperlink>
      <w:r>
        <w:t xml:space="preserve"> </w:t>
      </w:r>
    </w:p>
  </w:footnote>
  <w:footnote w:id="72">
    <w:p>
      <w:pPr>
        <w:pStyle w:val="FootnoteText"/>
      </w:pPr>
      <w:r>
        <w:rPr>
          <w:rStyle w:val="FootnoteReference"/>
        </w:rPr>
        <w:footnoteRef/>
      </w:r>
      <w:r>
        <w:t xml:space="preserve"> </w:t>
      </w:r>
      <w:hyperlink r:id="rId20" w:history="1">
        <w:r>
          <w:rPr>
            <w:rStyle w:val="Hyperlink"/>
          </w:rPr>
          <w:t>https://ec.europa.eu/info/law/better-regulation/have-your-say/initiatives/12494-Revision-of-the-EU-Emission-Trading-System-Directive-concerning-aviation-</w:t>
        </w:r>
      </w:hyperlink>
    </w:p>
  </w:footnote>
  <w:footnote w:id="73">
    <w:p>
      <w:pPr>
        <w:pStyle w:val="FootnoteText"/>
      </w:pPr>
      <w:r>
        <w:rPr>
          <w:rStyle w:val="FootnoteReference"/>
        </w:rPr>
        <w:footnoteRef/>
      </w:r>
      <w:r>
        <w:t xml:space="preserve"> Всички данни са взети от месечните доклади на Общата тръжна платформа (CAP2) до Комисията.</w:t>
      </w:r>
    </w:p>
  </w:footnote>
  <w:footnote w:id="74">
    <w:p>
      <w:pPr>
        <w:pStyle w:val="FootnoteText"/>
      </w:pPr>
      <w:r>
        <w:rPr>
          <w:rStyle w:val="FootnoteReference"/>
        </w:rPr>
        <w:footnoteRef/>
      </w:r>
      <w:r>
        <w:t xml:space="preserve"> По-подробна информация за дейността на националните компетентни органи при мониторинга на пазара е представена в доклада за пазара на въглеродни емисии за 2019 г. (COM(2019) 557 final/2) на следния адрес: </w:t>
      </w:r>
      <w:hyperlink r:id="rId21" w:history="1">
        <w:r>
          <w:rPr>
            <w:rStyle w:val="Hyperlink"/>
          </w:rPr>
          <w:t>https://eur-lex.europa.eu/legal-content/BG/TXT/HTML/?uri=CELEX:52019DC0557R(01)&amp;from=EN</w:t>
        </w:r>
      </w:hyperlink>
      <w:r>
        <w:t xml:space="preserve"> </w:t>
      </w:r>
    </w:p>
  </w:footnote>
  <w:footnote w:id="75">
    <w:p>
      <w:pPr>
        <w:pStyle w:val="FootnoteText"/>
      </w:pPr>
      <w:r>
        <w:rPr>
          <w:rStyle w:val="FootnoteReference"/>
        </w:rPr>
        <w:footnoteRef/>
      </w:r>
      <w:r>
        <w:t xml:space="preserve"> Списъкът на националните компетентни органи, отговорни съгласно Регламента относно пазарната злоупотреба, може да бъде намерен на интернет страниците на ЕОЦКП. Списъкът на европейските звена за финансово разузнаване, които се занимават с въпроси, свързани с прането на пари и финансирането на тероризъм, може да бъде намерен на интернет страниците на Европол.</w:t>
      </w:r>
    </w:p>
  </w:footnote>
  <w:footnote w:id="76">
    <w:p>
      <w:pPr>
        <w:pStyle w:val="FootnoteText"/>
      </w:pPr>
      <w:r>
        <w:rPr>
          <w:rStyle w:val="FootnoteReference"/>
        </w:rPr>
        <w:footnoteRef/>
      </w:r>
      <w:r>
        <w:t xml:space="preserve"> Регламент за изпълнение (ЕС) 2018/2066 на Комисията от 19 декември 2018 г. относно мониторинга и докладването на емисиите на парникови газове съгласно Директива 2003/87/ЕО на Европейския парламент и на Съвета и за изменение на Регламент (ЕС) № 601/2012 на Комисията, ОВ L 334, 31.12.2018 г., стр. 1—93.</w:t>
      </w:r>
    </w:p>
  </w:footnote>
  <w:footnote w:id="77">
    <w:p>
      <w:pPr>
        <w:pStyle w:val="FootnoteText"/>
      </w:pPr>
      <w:r>
        <w:rPr>
          <w:rStyle w:val="FootnoteReference"/>
        </w:rPr>
        <w:footnoteRef/>
      </w:r>
      <w:r>
        <w:t xml:space="preserve"> Регламент за изпълнение (ЕС) 2018/2067 на Комисията от 19 декември 2018 г. за проверка на данните и за акредитация на проверяващите органи съгласно Директива 2003/87/ЕО на Европейския парламент и на Съвета, ОВ L 334, 31.12.2018 г., стр. 94—134</w:t>
      </w:r>
    </w:p>
  </w:footnote>
  <w:footnote w:id="78">
    <w:p>
      <w:pPr>
        <w:pStyle w:val="FootnoteText"/>
      </w:pPr>
      <w:r>
        <w:rPr>
          <w:rStyle w:val="FootnoteReference"/>
        </w:rPr>
        <w:footnoteRef/>
      </w:r>
      <w:r>
        <w:t xml:space="preserve"> Директива (ЕС) 2018/2001 на Европейския парламент и на Съвета от 11 декември 2018 г. за насърчаване използването на енергия от възобновяеми източници, OВ L 328, 21.12.2018 г., стр. 82—209.</w:t>
      </w:r>
    </w:p>
  </w:footnote>
  <w:footnote w:id="79">
    <w:p>
      <w:pPr>
        <w:pStyle w:val="FootnoteText"/>
      </w:pPr>
      <w:r>
        <w:rPr>
          <w:rStyle w:val="FootnoteReference"/>
        </w:rPr>
        <w:footnoteRef/>
      </w:r>
      <w:r>
        <w:t xml:space="preserve"> Основната причина за това е, че методиката, базираща се на измервания, включва използването на значителни ресурси и ноу-хау за непрекъснатото измерване на концентрацията на съответните ПГ, с каквито много от по-малките оператори не разполагат.</w:t>
      </w:r>
    </w:p>
  </w:footnote>
  <w:footnote w:id="80">
    <w:p>
      <w:pPr>
        <w:pStyle w:val="FootnoteText"/>
      </w:pPr>
      <w:r>
        <w:rPr>
          <w:rStyle w:val="FootnoteReference"/>
        </w:rPr>
        <w:footnoteRef/>
      </w:r>
      <w:r>
        <w:t xml:space="preserve"> В Регламент (EС) № 601/2012 се въвежда задължение за всички оператори да спазват известни минимално допустими нива на изисквания, като предприятията с по-големи емисии трябва да спазват по-високи нива на изисквания (предполагащи по-надеждно качество на данните), а за по-малките източници на емисии, от съображения за разходоефективност, са валидни не толкова строги изисквания.</w:t>
      </w:r>
    </w:p>
  </w:footnote>
  <w:footnote w:id="81">
    <w:p>
      <w:pPr>
        <w:pStyle w:val="FootnoteText"/>
      </w:pPr>
      <w:r>
        <w:rPr>
          <w:rStyle w:val="FootnoteReference"/>
        </w:rPr>
        <w:footnoteRef/>
      </w:r>
      <w:r>
        <w:t xml:space="preserve"> Списък на Европейската организация за акредитация, съдържащ точки за достъп до националните органи по акредитация, които акредитират проверяващи органи за СТЕ на ЕС: https://european-accreditation.org/national-accreditation-bodies-having-successfully-undergone-peer-evaluation-by-ea/</w:t>
      </w:r>
    </w:p>
  </w:footnote>
  <w:footnote w:id="82">
    <w:p>
      <w:pPr>
        <w:pStyle w:val="FootnoteText"/>
      </w:pPr>
      <w:r>
        <w:rPr>
          <w:rStyle w:val="FootnoteReference"/>
        </w:rPr>
        <w:footnoteRef/>
      </w:r>
      <w:r>
        <w:t xml:space="preserve"> В някои случаи държавите може да докладват за голям брой регионални/местни органи, образуващи един компетентен орган.</w:t>
      </w:r>
    </w:p>
  </w:footnote>
  <w:footnote w:id="83">
    <w:p>
      <w:pPr>
        <w:pStyle w:val="FootnoteText"/>
      </w:pPr>
      <w:r>
        <w:rPr>
          <w:rStyle w:val="FootnoteReference"/>
        </w:rPr>
        <w:footnoteRef/>
      </w:r>
      <w:r>
        <w:t xml:space="preserve"> Италия не даде отговор на съответния въпрос в доклада си за 2020 г., поради което за тази държава като приблизителни стойности бяха използвани данните от предходната година. </w:t>
      </w:r>
    </w:p>
  </w:footnote>
  <w:footnote w:id="84">
    <w:p>
      <w:pPr>
        <w:pStyle w:val="FootnoteText"/>
      </w:pPr>
      <w:r>
        <w:rPr>
          <w:rStyle w:val="FootnoteReference"/>
        </w:rPr>
        <w:footnoteRef/>
      </w:r>
      <w:r>
        <w:t xml:space="preserve"> https://ec.europa.eu/clima/sites/clima/files/ets/monitoring/docs/report_5th_compliance_en.pdf</w:t>
      </w:r>
    </w:p>
  </w:footnote>
  <w:footnote w:id="85">
    <w:p>
      <w:pPr>
        <w:pStyle w:val="FootnoteText"/>
      </w:pPr>
      <w:r>
        <w:rPr>
          <w:rStyle w:val="FootnoteReference"/>
        </w:rPr>
        <w:footnoteRef/>
      </w:r>
      <w:r>
        <w:t xml:space="preserve"> Броят на квотите по член 10в, дадени в тази таблица, може да включва квоти, отпуснати със закъснение за предходните години. В този случай съответните количества за година са отразени в EUTL. </w:t>
      </w:r>
    </w:p>
  </w:footnote>
  <w:footnote w:id="86">
    <w:p>
      <w:pPr>
        <w:pStyle w:val="FootnoteText"/>
      </w:pPr>
      <w:r>
        <w:rPr>
          <w:rStyle w:val="FootnoteReference"/>
        </w:rPr>
        <w:footnoteRef/>
      </w:r>
      <w:r>
        <w:t xml:space="preserve"> Унгария е използвала дерогацията по член 10в само през 2013 г.</w:t>
      </w:r>
    </w:p>
  </w:footnote>
  <w:footnote w:id="87">
    <w:p>
      <w:pPr>
        <w:pStyle w:val="FootnoteText"/>
      </w:pPr>
      <w:r>
        <w:rPr>
          <w:rStyle w:val="FootnoteReference"/>
        </w:rPr>
        <w:footnoteRef/>
      </w:r>
      <w:r>
        <w:t xml:space="preserve"> Окончателните количества за разпределяне на Полша ще бъдат представени в доклада за следващата година, до приключване на процедурите по всички заявки за квоти. </w:t>
      </w:r>
    </w:p>
  </w:footnote>
  <w:footnote w:id="88">
    <w:p>
      <w:pPr>
        <w:pStyle w:val="FootnoteText"/>
      </w:pPr>
      <w:r>
        <w:rPr>
          <w:rStyle w:val="FootnoteReference"/>
        </w:rPr>
        <w:footnoteRef/>
      </w:r>
      <w:r>
        <w:t xml:space="preserve"> През 2013 г. и 2014 г. не са продадени на търг неизползвани квоти по член 10в.</w:t>
      </w:r>
    </w:p>
  </w:footnote>
  <w:footnote w:id="89">
    <w:p>
      <w:pPr>
        <w:pStyle w:val="FootnoteText"/>
      </w:pPr>
      <w:r>
        <w:rPr>
          <w:rStyle w:val="FootnoteReference"/>
        </w:rPr>
        <w:footnoteRef/>
      </w:r>
      <w:r>
        <w:t xml:space="preserve"> Окончателните количества за разпределяне на Полша ще бъдат представени в доклада за следващата година, до приключване на процедурите по всички заявки за квоти.</w:t>
      </w:r>
    </w:p>
  </w:footnote>
  <w:footnote w:id="90">
    <w:p>
      <w:pPr>
        <w:pStyle w:val="FootnoteText"/>
      </w:pPr>
      <w:r>
        <w:rPr>
          <w:rStyle w:val="FootnoteReference"/>
        </w:rPr>
        <w:footnoteRef/>
      </w:r>
      <w:r>
        <w:t xml:space="preserve"> Източник: ЕЕХ</w:t>
      </w:r>
    </w:p>
  </w:footnote>
  <w:footnote w:id="91">
    <w:p>
      <w:pPr>
        <w:pStyle w:val="FootnoteText"/>
      </w:pPr>
      <w:r>
        <w:rPr>
          <w:rStyle w:val="FootnoteReference"/>
        </w:rPr>
        <w:footnoteRef/>
      </w:r>
      <w:r>
        <w:t xml:space="preserve"> Източник: ЕЕХ</w:t>
      </w:r>
    </w:p>
  </w:footnote>
  <w:footnote w:id="92">
    <w:p>
      <w:pPr>
        <w:pStyle w:val="FootnoteText"/>
      </w:pPr>
      <w:r>
        <w:rPr>
          <w:rStyle w:val="FootnoteReference"/>
        </w:rPr>
        <w:footnoteRef/>
      </w:r>
      <w:r>
        <w:t xml:space="preserve"> Обмените на Обединеното кралство, които бяха преустановени през 2019 г. поради предпазните мерки, приети за защита на екологичната цялост на СТЕ на ЕС, бяха възобновени през 2020 г.</w:t>
      </w:r>
    </w:p>
  </w:footnote>
  <w:footnote w:id="93">
    <w:p>
      <w:pPr>
        <w:pStyle w:val="FootnoteText"/>
      </w:pPr>
      <w:r>
        <w:rPr>
          <w:rStyle w:val="FootnoteReference"/>
        </w:rPr>
        <w:footnoteRef/>
      </w:r>
      <w:r>
        <w:t xml:space="preserve"> За някои инсталации в Регистъра на ЕС емисиите на </w:t>
      </w:r>
      <w:r>
        <w:rPr>
          <w:bCs/>
          <w:color w:val="262626"/>
        </w:rPr>
        <w:t>N</w:t>
      </w:r>
      <w:r>
        <w:rPr>
          <w:bCs/>
          <w:color w:val="262626"/>
          <w:bdr w:val="none" w:sz="0" w:space="0" w:color="auto" w:frame="1"/>
          <w:vertAlign w:val="subscript"/>
        </w:rPr>
        <w:t>2</w:t>
      </w:r>
      <w:r>
        <w:rPr>
          <w:bCs/>
          <w:color w:val="262626"/>
        </w:rPr>
        <w:t>O</w:t>
      </w:r>
      <w:r>
        <w:t xml:space="preserve"> или на перфлуоровъглероди (PFC) може да не са докладвани отделно, а вместо това да са докладвани общите емисии в тонове еквивалент на </w:t>
      </w:r>
      <w:r>
        <w:rPr>
          <w:bCs/>
          <w:color w:val="262626"/>
        </w:rPr>
        <w:t>CO</w:t>
      </w:r>
      <w:r>
        <w:rPr>
          <w:bCs/>
          <w:color w:val="262626"/>
          <w:bdr w:val="none" w:sz="0" w:space="0" w:color="auto" w:frame="1"/>
          <w:vertAlign w:val="subscript"/>
        </w:rPr>
        <w:t xml:space="preserve">2 </w:t>
      </w:r>
      <w:r>
        <w:t xml:space="preserve">. Данните в таблицата отразяват разбивката на емисиите по ПГ, както е налична в Регистъра на ЕС. Считано от фаза 2 (от 2008 г.), емисиите на </w:t>
      </w:r>
      <w:r>
        <w:rPr>
          <w:bCs/>
          <w:color w:val="262626"/>
        </w:rPr>
        <w:t>N</w:t>
      </w:r>
      <w:r>
        <w:rPr>
          <w:bCs/>
          <w:color w:val="262626"/>
          <w:bdr w:val="none" w:sz="0" w:space="0" w:color="auto" w:frame="1"/>
          <w:vertAlign w:val="subscript"/>
        </w:rPr>
        <w:t>2</w:t>
      </w:r>
      <w:r>
        <w:rPr>
          <w:bCs/>
          <w:color w:val="262626"/>
        </w:rPr>
        <w:t>O бяха включени доброволно в СТЕ на ЕС от някои държави членки, а считано от фаза 3 (от 2013 г.), заедно с емисиите на перфлуоровъглероди (PFC), включването им в схемата стана задължително.</w:t>
      </w:r>
    </w:p>
  </w:footnote>
  <w:footnote w:id="94">
    <w:p>
      <w:pPr>
        <w:pStyle w:val="FootnoteText"/>
      </w:pPr>
      <w:r>
        <w:rPr>
          <w:rStyle w:val="FootnoteReference"/>
        </w:rPr>
        <w:footnoteRef/>
      </w:r>
      <w:r>
        <w:t>https://eur-lex.europa.eu/legal-content/BG/TXT/PDF/?uri=OJ:L:2019:120:FULL&amp;from=BG</w:t>
      </w:r>
    </w:p>
  </w:footnote>
  <w:footnote w:id="95">
    <w:p>
      <w:pPr>
        <w:pStyle w:val="FootnoteText"/>
      </w:pPr>
      <w:r>
        <w:rPr>
          <w:rStyle w:val="FootnoteReference"/>
        </w:rPr>
        <w:footnoteRef/>
      </w:r>
      <w:r>
        <w:t>https://eur-lex.europa.eu/legal-content/BG/TXT/PDF/?uri=CELEX:32019R0331&amp;qid=1605160755896&amp;from=EN</w:t>
      </w:r>
    </w:p>
  </w:footnote>
  <w:footnote w:id="96">
    <w:p>
      <w:pPr>
        <w:pStyle w:val="FootnoteText"/>
      </w:pPr>
      <w:r>
        <w:rPr>
          <w:rStyle w:val="FootnoteReference"/>
        </w:rPr>
        <w:footnoteRef/>
      </w:r>
      <w:r>
        <w:t xml:space="preserve"> https://eur-lex.europa.eu/legal-content/bg/TXT/PDF/?uri=CELEX:32019R1842&amp;from=bg</w:t>
      </w:r>
    </w:p>
  </w:footnote>
  <w:footnote w:id="97">
    <w:p>
      <w:pPr>
        <w:pStyle w:val="FootnoteText"/>
      </w:pPr>
      <w:r>
        <w:rPr>
          <w:rStyle w:val="FootnoteReference"/>
        </w:rPr>
        <w:footnoteRef/>
      </w:r>
      <w:r>
        <w:t>https://eur-lex.europa.eu/legal-content/bg/TXT/PDF/?uri=CELEX:32019R0856&amp;from=bg</w:t>
      </w:r>
    </w:p>
  </w:footnote>
  <w:footnote w:id="98">
    <w:p>
      <w:pPr>
        <w:pStyle w:val="FootnoteText"/>
      </w:pPr>
      <w:r>
        <w:rPr>
          <w:rStyle w:val="FootnoteReference"/>
        </w:rPr>
        <w:footnoteRef/>
      </w:r>
      <w:r>
        <w:t xml:space="preserve"> https://eur-lex.europa.eu/legal-content/BG/TXT/PDF/?uri=CELEX:32020R1001&amp;from=BG</w:t>
      </w:r>
    </w:p>
  </w:footnote>
  <w:footnote w:id="99">
    <w:p>
      <w:pPr>
        <w:pStyle w:val="FootnoteText"/>
      </w:pPr>
      <w:r>
        <w:rPr>
          <w:rStyle w:val="FootnoteReference"/>
        </w:rPr>
        <w:footnoteRef/>
      </w:r>
      <w:r>
        <w:t xml:space="preserve"> https://eur-lex.europa.eu/legal-content/BG/TXT/PDF/?uri=CELEX:32019R1122&amp;from=BG</w:t>
      </w:r>
    </w:p>
  </w:footnote>
  <w:footnote w:id="100">
    <w:p>
      <w:pPr>
        <w:pStyle w:val="FootnoteText"/>
      </w:pPr>
      <w:r>
        <w:rPr>
          <w:rStyle w:val="FootnoteReference"/>
        </w:rPr>
        <w:footnoteRef/>
      </w:r>
      <w:r>
        <w:t xml:space="preserve"> https://eur-lex.europa.eu/legal-content/BG/TXT/PDF/?uri=CELEX:32019R0007</w:t>
      </w:r>
    </w:p>
  </w:footnote>
  <w:footnote w:id="101">
    <w:p>
      <w:pPr>
        <w:pStyle w:val="FootnoteText"/>
      </w:pPr>
      <w:r>
        <w:rPr>
          <w:rStyle w:val="FootnoteReference"/>
        </w:rPr>
        <w:footnoteRef/>
      </w:r>
      <w:r>
        <w:t xml:space="preserve"> https://eur-lex.europa.eu/legal-content/BG/TXT/PDF/?uri=CELEX:32019R1868&amp;from=BG</w:t>
      </w:r>
    </w:p>
  </w:footnote>
  <w:footnote w:id="102">
    <w:p>
      <w:pPr>
        <w:pStyle w:val="FootnoteText"/>
      </w:pPr>
      <w:r>
        <w:rPr>
          <w:rStyle w:val="FootnoteReference"/>
        </w:rPr>
        <w:footnoteRef/>
      </w:r>
      <w:r>
        <w:t xml:space="preserve"> https://eur-lex.europa.eu/legal-content/bg/TXT/PDF/?uri=CELEX:32018R2066</w:t>
      </w:r>
    </w:p>
  </w:footnote>
  <w:footnote w:id="103">
    <w:p>
      <w:pPr>
        <w:pStyle w:val="FootnoteText"/>
      </w:pPr>
      <w:r>
        <w:rPr>
          <w:rStyle w:val="FootnoteReference"/>
        </w:rPr>
        <w:footnoteRef/>
      </w:r>
      <w:r>
        <w:t xml:space="preserve"> https://eur-lex.europa.eu/legal-content/BG/TXT/PDF/?uri=CELEX:32018R2067&amp;from=BG</w:t>
      </w:r>
    </w:p>
  </w:footnote>
  <w:footnote w:id="104">
    <w:p>
      <w:pPr>
        <w:pStyle w:val="FootnoteText"/>
      </w:pPr>
      <w:r>
        <w:rPr>
          <w:rStyle w:val="FootnoteReference"/>
        </w:rPr>
        <w:footnoteRef/>
      </w:r>
      <w:r>
        <w:t xml:space="preserve"> https://eur-lex.europa.eu/legal-content/BG/TXT/PDF/?uri=CELEX:32019R1603&amp;from=BG</w:t>
      </w:r>
    </w:p>
  </w:footnote>
  <w:footnote w:id="105">
    <w:p>
      <w:pPr>
        <w:pStyle w:val="FootnoteText"/>
      </w:pPr>
      <w:r>
        <w:rPr>
          <w:rStyle w:val="FootnoteReference"/>
        </w:rPr>
        <w:footnoteRef/>
      </w:r>
      <w:r>
        <w:t xml:space="preserve"> https://eur-lex.europa.eu/legal-content/BG/TXT/PDF/?uri=CELEX:32020D1071</w:t>
      </w:r>
    </w:p>
  </w:footnote>
  <w:footnote w:id="106">
    <w:p>
      <w:pPr>
        <w:pStyle w:val="FootnoteText"/>
      </w:pPr>
      <w:r>
        <w:rPr>
          <w:rStyle w:val="FootnoteReference"/>
        </w:rPr>
        <w:footnoteRef/>
      </w:r>
      <w:r>
        <w:t xml:space="preserve"> За периода януари — август 2019 г. данните се основават на Съобщение на Комисията C(2018) 2801 final от 15 май 2018 г., на разположение на адрес </w:t>
      </w:r>
      <w:hyperlink r:id="rId22" w:history="1">
        <w:r>
          <w:rPr>
            <w:rStyle w:val="Hyperlink"/>
          </w:rPr>
          <w:t>https://ec.europa.eu/clima/sites/clima/files/ets/reform/docs/c_2018_2801_en.pdf</w:t>
        </w:r>
      </w:hyperlink>
      <w:r>
        <w:t xml:space="preserve"> </w:t>
      </w:r>
    </w:p>
  </w:footnote>
  <w:footnote w:id="107">
    <w:p>
      <w:pPr>
        <w:pStyle w:val="FootnoteText"/>
      </w:pPr>
      <w:r>
        <w:rPr>
          <w:rStyle w:val="FootnoteReference"/>
        </w:rPr>
        <w:footnoteRef/>
      </w:r>
      <w:r>
        <w:t xml:space="preserve"> За периода септември — декември 2019 г. и януари — август 2020 г. данните се основават на Съобщение на Комисията C(2019) 3288 final, на разположение на адрес </w:t>
      </w:r>
      <w:hyperlink r:id="rId23" w:history="1">
        <w:r>
          <w:rPr>
            <w:rStyle w:val="Hyperlink"/>
          </w:rPr>
          <w:t>https://ec.europa.eu/clima/sites/clima/files/ets/reform/docs/c_2019_3288_en.pdf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360" w:hanging="360"/>
      </w:pPr>
      <w:rPr>
        <w:rFonts w:ascii="Symbol" w:hAnsi="Symbol" w:cs="Symbol"/>
      </w:rPr>
    </w:lvl>
  </w:abstractNum>
  <w:abstractNum w:abstractNumId="1">
    <w:nsid w:val="00000003"/>
    <w:multiLevelType w:val="singleLevel"/>
    <w:tmpl w:val="00000003"/>
    <w:name w:val="WW8Num2"/>
    <w:lvl w:ilvl="0">
      <w:start w:val="1"/>
      <w:numFmt w:val="bullet"/>
      <w:lvlText w:val="o"/>
      <w:lvlJc w:val="left"/>
      <w:pPr>
        <w:tabs>
          <w:tab w:val="num" w:pos="0"/>
        </w:tabs>
        <w:ind w:left="720" w:hanging="360"/>
      </w:pPr>
      <w:rPr>
        <w:rFonts w:ascii="Courier New" w:hAnsi="Courier New" w:cs="Courier New"/>
      </w:rPr>
    </w:lvl>
  </w:abstractNum>
  <w:abstractNum w:abstractNumId="2">
    <w:nsid w:val="00586663"/>
    <w:multiLevelType w:val="hybridMultilevel"/>
    <w:tmpl w:val="636E0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0F4A9C"/>
    <w:multiLevelType w:val="multilevel"/>
    <w:tmpl w:val="F4760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9E1EF7"/>
    <w:multiLevelType w:val="hybridMultilevel"/>
    <w:tmpl w:val="3E6C0D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1535361B"/>
    <w:multiLevelType w:val="hybridMultilevel"/>
    <w:tmpl w:val="F0243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F46418"/>
    <w:multiLevelType w:val="hybridMultilevel"/>
    <w:tmpl w:val="82B4D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AB37AA"/>
    <w:multiLevelType w:val="multilevel"/>
    <w:tmpl w:val="AB602AF8"/>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E54362E"/>
    <w:multiLevelType w:val="hybridMultilevel"/>
    <w:tmpl w:val="6018E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7173E9"/>
    <w:multiLevelType w:val="hybridMultilevel"/>
    <w:tmpl w:val="39EA262A"/>
    <w:lvl w:ilvl="0" w:tplc="924A8FE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7651550"/>
    <w:multiLevelType w:val="hybridMultilevel"/>
    <w:tmpl w:val="90964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2F3C02"/>
    <w:multiLevelType w:val="hybridMultilevel"/>
    <w:tmpl w:val="B83E91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42987CC0"/>
    <w:multiLevelType w:val="hybridMultilevel"/>
    <w:tmpl w:val="48FA1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CF1B1C"/>
    <w:multiLevelType w:val="hybridMultilevel"/>
    <w:tmpl w:val="61D0F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B1B1D46"/>
    <w:multiLevelType w:val="multilevel"/>
    <w:tmpl w:val="9F0E4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D97B9D"/>
    <w:multiLevelType w:val="hybridMultilevel"/>
    <w:tmpl w:val="14823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50C4B58"/>
    <w:multiLevelType w:val="hybridMultilevel"/>
    <w:tmpl w:val="78524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5FD65E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8277188"/>
    <w:multiLevelType w:val="multilevel"/>
    <w:tmpl w:val="6F66F5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7251656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359678A"/>
    <w:multiLevelType w:val="hybridMultilevel"/>
    <w:tmpl w:val="B730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9E75877"/>
    <w:multiLevelType w:val="hybridMultilevel"/>
    <w:tmpl w:val="F57C4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D351DAB"/>
    <w:multiLevelType w:val="hybridMultilevel"/>
    <w:tmpl w:val="CD70F2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20"/>
  </w:num>
  <w:num w:numId="5">
    <w:abstractNumId w:val="10"/>
  </w:num>
  <w:num w:numId="6">
    <w:abstractNumId w:val="19"/>
  </w:num>
  <w:num w:numId="7">
    <w:abstractNumId w:val="22"/>
  </w:num>
  <w:num w:numId="8">
    <w:abstractNumId w:val="13"/>
  </w:num>
  <w:num w:numId="9">
    <w:abstractNumId w:val="9"/>
  </w:num>
  <w:num w:numId="10">
    <w:abstractNumId w:val="16"/>
  </w:num>
  <w:num w:numId="11">
    <w:abstractNumId w:val="17"/>
  </w:num>
  <w:num w:numId="12">
    <w:abstractNumId w:val="6"/>
  </w:num>
  <w:num w:numId="13">
    <w:abstractNumId w:val="12"/>
  </w:num>
  <w:num w:numId="14">
    <w:abstractNumId w:val="21"/>
  </w:num>
  <w:num w:numId="15">
    <w:abstractNumId w:val="2"/>
  </w:num>
  <w:num w:numId="16">
    <w:abstractNumId w:val="3"/>
  </w:num>
  <w:num w:numId="17">
    <w:abstractNumId w:val="14"/>
  </w:num>
  <w:num w:numId="18">
    <w:abstractNumId w:val="18"/>
  </w:num>
  <w:num w:numId="19">
    <w:abstractNumId w:val="12"/>
  </w:num>
  <w:num w:numId="20">
    <w:abstractNumId w:val="21"/>
  </w:num>
  <w:num w:numId="21">
    <w:abstractNumId w:val="1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283"/>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C18AA7D-9F0F-4773-B4AA-65E251FFBBDA"/>
    <w:docVar w:name="LW_COVERPAGE_TYPE" w:val="1"/>
    <w:docVar w:name="LW_CROSSREFERENCE" w:val="&lt;UNUSED&gt;"/>
    <w:docVar w:name="LW_DocType" w:val="NORMAL"/>
    <w:docVar w:name="LW_EMISSION" w:val="18.11.2020"/>
    <w:docVar w:name="LW_EMISSION_ISODATE" w:val="2020-11-18"/>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7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1044?\u1086?\u1082?\u1083?\u1072?\u1076? \u1079?\u1072? \u1092?\u1091?\u1085?\u1082?\u1094?\u1080?\u1086?\u1085?\u1080?\u1088?\u1072?\u1085?\u1077?\u1090?\u1086? \u1085?\u1072? \u1077?\u1074?\u1088?\u1086?\u1087?\u1077?\u1081?\u1089?\u1082?\u1080?\u1103? \u1087?\u1072?\u1079?\u1072?\u1088? \u1085?\u1072? \u1074?\u1098?\u1075?\u1083?\u1077?\u1088?\u1086?\u1076?\u1085?\u1080? \u1077?\u1084?\u1080?\u1089?\u1080?\u1080?"/>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unhideWhenUsed/>
    <w:qFormat/>
    <w:pPr>
      <w:keepNext/>
      <w:spacing w:before="240" w:after="60"/>
      <w:outlineLvl w:val="1"/>
    </w:pPr>
    <w:rPr>
      <w:rFonts w:ascii="Times New Roman" w:eastAsia="Times New Roman" w:hAnsi="Times New Roman"/>
      <w:b/>
      <w:bCs/>
      <w:i/>
      <w:iCs/>
      <w:sz w:val="24"/>
      <w:szCs w:val="28"/>
    </w:rPr>
  </w:style>
  <w:style w:type="paragraph" w:styleId="Heading3">
    <w:name w:val="heading 3"/>
    <w:basedOn w:val="Normal"/>
    <w:next w:val="Normal"/>
    <w:link w:val="Heading3Char"/>
    <w:uiPriority w:val="9"/>
    <w:unhideWhenUsed/>
    <w:qFormat/>
    <w:pPr>
      <w:keepNext/>
      <w:spacing w:before="240" w:after="60"/>
      <w:outlineLvl w:val="2"/>
    </w:pPr>
    <w:rPr>
      <w:rFonts w:ascii="Times New Roman" w:eastAsia="Times New Roman" w:hAnsi="Times New Roman"/>
      <w:b/>
      <w:bCs/>
      <w:sz w:val="24"/>
      <w:szCs w:val="26"/>
    </w:rPr>
  </w:style>
  <w:style w:type="paragraph" w:styleId="Heading4">
    <w:name w:val="heading 4"/>
    <w:basedOn w:val="Normal"/>
    <w:next w:val="Normal"/>
    <w:link w:val="Heading4Char"/>
    <w:uiPriority w:val="9"/>
    <w:unhideWhenUsed/>
    <w:qFormat/>
    <w:pPr>
      <w:keepNext/>
      <w:spacing w:before="240" w:after="60"/>
      <w:outlineLvl w:val="3"/>
    </w:pPr>
    <w:rPr>
      <w:rFonts w:ascii="Times New Roman" w:eastAsia="Times New Roman" w:hAnsi="Times New Roman"/>
      <w:bCs/>
      <w:i/>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
      <w:iCs/>
      <w:sz w:val="24"/>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uiPriority w:val="9"/>
    <w:rPr>
      <w:rFonts w:ascii="Times New Roman" w:eastAsia="Times New Roman" w:hAnsi="Times New Roman" w:cs="Times New Roman"/>
      <w:bCs/>
      <w:i/>
      <w:sz w:val="24"/>
      <w:szCs w:val="28"/>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lang w:val="bg-BG"/>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bg-BG"/>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Pr>
      <w:color w:val="0000FF"/>
      <w:u w:val="single"/>
    </w:rPr>
  </w:style>
  <w:style w:type="paragraph" w:styleId="FootnoteText">
    <w:name w:val="footnote text"/>
    <w:aliases w:val="Fußnotentextf,RSK-FT,RSK-FT1,RSK-FT2"/>
    <w:basedOn w:val="Normal"/>
    <w:link w:val="FootnoteTextChar"/>
    <w:autoRedefine/>
    <w:uiPriority w:val="99"/>
    <w:unhideWhenUsed/>
    <w:qFormat/>
    <w:pPr>
      <w:spacing w:after="0" w:line="240" w:lineRule="auto"/>
    </w:pPr>
    <w:rPr>
      <w:rFonts w:ascii="Times New Roman" w:hAnsi="Times New Roman"/>
      <w:sz w:val="18"/>
      <w:szCs w:val="18"/>
    </w:rPr>
  </w:style>
  <w:style w:type="character" w:customStyle="1" w:styleId="FootnoteTextChar">
    <w:name w:val="Footnote Text Char"/>
    <w:aliases w:val="Fußnotentextf Char,RSK-FT Char,RSK-FT1 Char,RSK-FT2 Char"/>
    <w:basedOn w:val="DefaultParagraphFont"/>
    <w:link w:val="FootnoteText"/>
    <w:uiPriority w:val="99"/>
    <w:rPr>
      <w:rFonts w:ascii="Times New Roman" w:eastAsia="Calibri" w:hAnsi="Times New Roman" w:cs="Times New Roman"/>
      <w:sz w:val="18"/>
      <w:szCs w:val="18"/>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 BVI fnr"/>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a3520normalp11">
    <w:name w:val="a__35__20_normal_p11"/>
    <w:basedOn w:val="Normal"/>
    <w:pPr>
      <w:spacing w:after="120" w:line="240" w:lineRule="auto"/>
      <w:ind w:right="57"/>
      <w:jc w:val="both"/>
    </w:pPr>
    <w:rPr>
      <w:rFonts w:ascii="Times New Roman" w:eastAsia="Times New Roman" w:hAnsi="Times New Roman"/>
      <w:sz w:val="24"/>
      <w:szCs w:val="24"/>
      <w:lang w:eastAsia="en-GB"/>
    </w:rPr>
  </w:style>
  <w:style w:type="paragraph" w:customStyle="1" w:styleId="5normal">
    <w:name w:val="5normal"/>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ps">
    <w:name w:val="hps"/>
  </w:style>
  <w:style w:type="paragraph" w:styleId="ListParagraph">
    <w:name w:val="List Paragraph"/>
    <w:basedOn w:val="Normal"/>
    <w:uiPriority w:val="34"/>
    <w:qFormat/>
    <w:pPr>
      <w:spacing w:after="160" w:line="259" w:lineRule="auto"/>
      <w:ind w:left="720"/>
      <w:contextualSpacing/>
    </w:pPr>
  </w:style>
  <w:style w:type="character" w:styleId="Strong">
    <w:name w:val="Strong"/>
    <w:uiPriority w:val="22"/>
    <w:qFormat/>
    <w:rPr>
      <w:b/>
      <w:bCs/>
    </w:rPr>
  </w:style>
  <w:style w:type="paragraph" w:customStyle="1" w:styleId="ECStandard">
    <w:name w:val="EC Standard"/>
    <w:basedOn w:val="Normal"/>
    <w:link w:val="ECStandardZchn"/>
    <w:qFormat/>
    <w:pPr>
      <w:spacing w:after="120" w:line="240" w:lineRule="auto"/>
      <w:jc w:val="both"/>
    </w:pPr>
    <w:rPr>
      <w:rFonts w:ascii="Times New Roman" w:eastAsia="Times New Roman" w:hAnsi="Times New Roman"/>
      <w:sz w:val="24"/>
      <w:szCs w:val="24"/>
      <w:lang w:eastAsia="de-DE"/>
    </w:rPr>
  </w:style>
  <w:style w:type="character" w:customStyle="1" w:styleId="ECStandardZchn">
    <w:name w:val="EC Standard Zchn"/>
    <w:link w:val="ECStandard"/>
    <w:rPr>
      <w:rFonts w:ascii="Times New Roman" w:eastAsia="Times New Roman" w:hAnsi="Times New Roman" w:cs="Times New Roman"/>
      <w:sz w:val="24"/>
      <w:szCs w:val="24"/>
      <w:lang w:eastAsia="de-DE"/>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5Normal0">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spacing w:val="-2"/>
      <w:sz w:val="20"/>
      <w:szCs w:val="24"/>
      <w:lang w:eastAsia="en-GB"/>
    </w:rPr>
  </w:style>
  <w:style w:type="character" w:customStyle="1" w:styleId="5NormalChar">
    <w:name w:val="5 Normal Char"/>
    <w:link w:val="5Normal0"/>
    <w:locked/>
    <w:rPr>
      <w:rFonts w:ascii="Verdana" w:eastAsia="Times New Roman" w:hAnsi="Verdana" w:cs="Times New Roman"/>
      <w:spacing w:val="-2"/>
      <w:sz w:val="20"/>
      <w:szCs w:val="24"/>
      <w:lang w:eastAsia="en-GB"/>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link w:val="TOCHeadingChar"/>
    <w:uiPriority w:val="39"/>
    <w:unhideWhenUsed/>
    <w:qFormat/>
    <w:pPr>
      <w:keepLines/>
      <w:spacing w:before="480" w:after="0"/>
      <w:outlineLvl w:val="9"/>
    </w:pPr>
    <w:rPr>
      <w:rFonts w:ascii="Cambria" w:hAnsi="Cambria"/>
      <w:color w:val="365F91"/>
      <w:kern w:val="0"/>
      <w:sz w:val="28"/>
      <w:szCs w:val="28"/>
      <w:lang w:eastAsia="ja-JP"/>
    </w:rPr>
  </w:style>
  <w:style w:type="paragraph" w:styleId="TOC1">
    <w:name w:val="toc 1"/>
    <w:basedOn w:val="Normal"/>
    <w:next w:val="Normal"/>
    <w:autoRedefine/>
    <w:uiPriority w:val="39"/>
    <w:unhideWhenUsed/>
    <w:qFormat/>
    <w:pPr>
      <w:tabs>
        <w:tab w:val="right" w:leader="dot" w:pos="9016"/>
      </w:tabs>
    </w:pPr>
  </w:style>
  <w:style w:type="paragraph" w:styleId="TOC2">
    <w:name w:val="toc 2"/>
    <w:basedOn w:val="Normal"/>
    <w:next w:val="Normal"/>
    <w:autoRedefine/>
    <w:uiPriority w:val="39"/>
    <w:unhideWhenUsed/>
    <w:qFormat/>
    <w:pPr>
      <w:ind w:left="220"/>
    </w:pPr>
  </w:style>
  <w:style w:type="paragraph" w:styleId="TOC3">
    <w:name w:val="toc 3"/>
    <w:basedOn w:val="Normal"/>
    <w:next w:val="Normal"/>
    <w:autoRedefine/>
    <w:uiPriority w:val="39"/>
    <w:unhideWhenUsed/>
    <w:qFormat/>
    <w:pPr>
      <w:ind w:left="440"/>
    </w:pPr>
  </w:style>
  <w:style w:type="paragraph" w:styleId="Caption">
    <w:name w:val="caption"/>
    <w:basedOn w:val="Normal"/>
    <w:next w:val="Normal"/>
    <w:uiPriority w:val="35"/>
    <w:unhideWhenUsed/>
    <w:qFormat/>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styleId="TOC4">
    <w:name w:val="toc 4"/>
    <w:basedOn w:val="Normal"/>
    <w:next w:val="Normal"/>
    <w:autoRedefine/>
    <w:uiPriority w:val="39"/>
    <w:unhideWhenUsed/>
    <w:pPr>
      <w:spacing w:after="100"/>
      <w:ind w:left="660"/>
    </w:pPr>
  </w:style>
  <w:style w:type="paragraph" w:styleId="NoSpacing">
    <w:name w:val="No Spacing"/>
    <w:uiPriority w:val="1"/>
    <w:qFormat/>
    <w:pPr>
      <w:spacing w:after="0" w:line="240" w:lineRule="auto"/>
    </w:pPr>
    <w:rPr>
      <w:rFonts w:ascii="Calibri" w:eastAsia="Calibri" w:hAnsi="Calibri" w:cs="Times New Roman"/>
    </w:rPr>
  </w:style>
  <w:style w:type="character" w:styleId="CommentReference">
    <w:name w:val="annotation reference"/>
    <w:uiPriority w:val="99"/>
    <w:semiHidden/>
    <w:unhideWhenUsed/>
    <w:rPr>
      <w:sz w:val="16"/>
      <w:szCs w:val="16"/>
    </w:rPr>
  </w:style>
  <w:style w:type="character" w:customStyle="1" w:styleId="clear">
    <w:name w:val="clear"/>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TOCHeadingChar">
    <w:name w:val="TOC Heading Char"/>
    <w:basedOn w:val="Heading1Char"/>
    <w:link w:val="TOCHeading"/>
    <w:uiPriority w:val="39"/>
    <w:rPr>
      <w:rFonts w:ascii="Cambria" w:eastAsia="Times New Roman" w:hAnsi="Cambria" w:cs="Times New Roman"/>
      <w:b/>
      <w:bCs/>
      <w:color w:val="365F91"/>
      <w:kern w:val="32"/>
      <w:sz w:val="28"/>
      <w:szCs w:val="28"/>
      <w:lang w:val="bg-BG" w:eastAsia="ja-JP"/>
    </w:rPr>
  </w:style>
  <w:style w:type="character" w:customStyle="1" w:styleId="FooterSensitivityChar">
    <w:name w:val="Footer Sensitivity Char"/>
    <w:basedOn w:val="TOCHeadingChar"/>
    <w:link w:val="FooterSensitivity"/>
    <w:rPr>
      <w:rFonts w:ascii="Times New Roman" w:eastAsia="Calibri" w:hAnsi="Times New Roman" w:cs="Times New Roman"/>
      <w:b/>
      <w:bCs w:val="0"/>
      <w:color w:val="365F91"/>
      <w:kern w:val="32"/>
      <w:sz w:val="32"/>
      <w:szCs w:val="28"/>
      <w:lang w:val="bg-BG" w:eastAsia="ja-JP"/>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TOCHeadingChar"/>
    <w:link w:val="HeaderSensitivity"/>
    <w:rPr>
      <w:rFonts w:ascii="Times New Roman" w:eastAsia="Calibri" w:hAnsi="Times New Roman" w:cs="Times New Roman"/>
      <w:b/>
      <w:bCs w:val="0"/>
      <w:color w:val="365F91"/>
      <w:kern w:val="32"/>
      <w:sz w:val="32"/>
      <w:szCs w:val="28"/>
      <w:lang w:val="bg-BG" w:eastAsia="ja-JP"/>
    </w:rPr>
  </w:style>
  <w:style w:type="table" w:customStyle="1" w:styleId="TableGrid5">
    <w:name w:val="Table Grid5"/>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unhideWhenUsed/>
    <w:qFormat/>
    <w:pPr>
      <w:keepNext/>
      <w:spacing w:before="240" w:after="60"/>
      <w:outlineLvl w:val="1"/>
    </w:pPr>
    <w:rPr>
      <w:rFonts w:ascii="Times New Roman" w:eastAsia="Times New Roman" w:hAnsi="Times New Roman"/>
      <w:b/>
      <w:bCs/>
      <w:i/>
      <w:iCs/>
      <w:sz w:val="24"/>
      <w:szCs w:val="28"/>
    </w:rPr>
  </w:style>
  <w:style w:type="paragraph" w:styleId="Heading3">
    <w:name w:val="heading 3"/>
    <w:basedOn w:val="Normal"/>
    <w:next w:val="Normal"/>
    <w:link w:val="Heading3Char"/>
    <w:uiPriority w:val="9"/>
    <w:unhideWhenUsed/>
    <w:qFormat/>
    <w:pPr>
      <w:keepNext/>
      <w:spacing w:before="240" w:after="60"/>
      <w:outlineLvl w:val="2"/>
    </w:pPr>
    <w:rPr>
      <w:rFonts w:ascii="Times New Roman" w:eastAsia="Times New Roman" w:hAnsi="Times New Roman"/>
      <w:b/>
      <w:bCs/>
      <w:sz w:val="24"/>
      <w:szCs w:val="26"/>
    </w:rPr>
  </w:style>
  <w:style w:type="paragraph" w:styleId="Heading4">
    <w:name w:val="heading 4"/>
    <w:basedOn w:val="Normal"/>
    <w:next w:val="Normal"/>
    <w:link w:val="Heading4Char"/>
    <w:uiPriority w:val="9"/>
    <w:unhideWhenUsed/>
    <w:qFormat/>
    <w:pPr>
      <w:keepNext/>
      <w:spacing w:before="240" w:after="60"/>
      <w:outlineLvl w:val="3"/>
    </w:pPr>
    <w:rPr>
      <w:rFonts w:ascii="Times New Roman" w:eastAsia="Times New Roman" w:hAnsi="Times New Roman"/>
      <w:bCs/>
      <w:i/>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bCs/>
      <w:i/>
      <w:iCs/>
      <w:sz w:val="24"/>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uiPriority w:val="9"/>
    <w:rPr>
      <w:rFonts w:ascii="Times New Roman" w:eastAsia="Times New Roman" w:hAnsi="Times New Roman" w:cs="Times New Roman"/>
      <w:bCs/>
      <w:i/>
      <w:sz w:val="24"/>
      <w:szCs w:val="28"/>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lang w:val="bg-BG"/>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bg-BG"/>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Pr>
      <w:color w:val="0000FF"/>
      <w:u w:val="single"/>
    </w:rPr>
  </w:style>
  <w:style w:type="paragraph" w:styleId="FootnoteText">
    <w:name w:val="footnote text"/>
    <w:aliases w:val="Fußnotentextf,RSK-FT,RSK-FT1,RSK-FT2"/>
    <w:basedOn w:val="Normal"/>
    <w:link w:val="FootnoteTextChar"/>
    <w:autoRedefine/>
    <w:uiPriority w:val="99"/>
    <w:unhideWhenUsed/>
    <w:qFormat/>
    <w:pPr>
      <w:spacing w:after="0" w:line="240" w:lineRule="auto"/>
    </w:pPr>
    <w:rPr>
      <w:rFonts w:ascii="Times New Roman" w:hAnsi="Times New Roman"/>
      <w:sz w:val="18"/>
      <w:szCs w:val="18"/>
    </w:rPr>
  </w:style>
  <w:style w:type="character" w:customStyle="1" w:styleId="FootnoteTextChar">
    <w:name w:val="Footnote Text Char"/>
    <w:aliases w:val="Fußnotentextf Char,RSK-FT Char,RSK-FT1 Char,RSK-FT2 Char"/>
    <w:basedOn w:val="DefaultParagraphFont"/>
    <w:link w:val="FootnoteText"/>
    <w:uiPriority w:val="99"/>
    <w:rPr>
      <w:rFonts w:ascii="Times New Roman" w:eastAsia="Calibri" w:hAnsi="Times New Roman" w:cs="Times New Roman"/>
      <w:sz w:val="18"/>
      <w:szCs w:val="18"/>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 BVI fnr"/>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a3520normalp11">
    <w:name w:val="a__35__20_normal_p11"/>
    <w:basedOn w:val="Normal"/>
    <w:pPr>
      <w:spacing w:after="120" w:line="240" w:lineRule="auto"/>
      <w:ind w:right="57"/>
      <w:jc w:val="both"/>
    </w:pPr>
    <w:rPr>
      <w:rFonts w:ascii="Times New Roman" w:eastAsia="Times New Roman" w:hAnsi="Times New Roman"/>
      <w:sz w:val="24"/>
      <w:szCs w:val="24"/>
      <w:lang w:eastAsia="en-GB"/>
    </w:rPr>
  </w:style>
  <w:style w:type="paragraph" w:customStyle="1" w:styleId="5normal">
    <w:name w:val="5normal"/>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ps">
    <w:name w:val="hps"/>
  </w:style>
  <w:style w:type="paragraph" w:styleId="ListParagraph">
    <w:name w:val="List Paragraph"/>
    <w:basedOn w:val="Normal"/>
    <w:uiPriority w:val="34"/>
    <w:qFormat/>
    <w:pPr>
      <w:spacing w:after="160" w:line="259" w:lineRule="auto"/>
      <w:ind w:left="720"/>
      <w:contextualSpacing/>
    </w:pPr>
  </w:style>
  <w:style w:type="character" w:styleId="Strong">
    <w:name w:val="Strong"/>
    <w:uiPriority w:val="22"/>
    <w:qFormat/>
    <w:rPr>
      <w:b/>
      <w:bCs/>
    </w:rPr>
  </w:style>
  <w:style w:type="paragraph" w:customStyle="1" w:styleId="ECStandard">
    <w:name w:val="EC Standard"/>
    <w:basedOn w:val="Normal"/>
    <w:link w:val="ECStandardZchn"/>
    <w:qFormat/>
    <w:pPr>
      <w:spacing w:after="120" w:line="240" w:lineRule="auto"/>
      <w:jc w:val="both"/>
    </w:pPr>
    <w:rPr>
      <w:rFonts w:ascii="Times New Roman" w:eastAsia="Times New Roman" w:hAnsi="Times New Roman"/>
      <w:sz w:val="24"/>
      <w:szCs w:val="24"/>
      <w:lang w:eastAsia="de-DE"/>
    </w:rPr>
  </w:style>
  <w:style w:type="character" w:customStyle="1" w:styleId="ECStandardZchn">
    <w:name w:val="EC Standard Zchn"/>
    <w:link w:val="ECStandard"/>
    <w:rPr>
      <w:rFonts w:ascii="Times New Roman" w:eastAsia="Times New Roman" w:hAnsi="Times New Roman" w:cs="Times New Roman"/>
      <w:sz w:val="24"/>
      <w:szCs w:val="24"/>
      <w:lang w:eastAsia="de-DE"/>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5Normal0">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spacing w:val="-2"/>
      <w:sz w:val="20"/>
      <w:szCs w:val="24"/>
      <w:lang w:eastAsia="en-GB"/>
    </w:rPr>
  </w:style>
  <w:style w:type="character" w:customStyle="1" w:styleId="5NormalChar">
    <w:name w:val="5 Normal Char"/>
    <w:link w:val="5Normal0"/>
    <w:locked/>
    <w:rPr>
      <w:rFonts w:ascii="Verdana" w:eastAsia="Times New Roman" w:hAnsi="Verdana" w:cs="Times New Roman"/>
      <w:spacing w:val="-2"/>
      <w:sz w:val="20"/>
      <w:szCs w:val="24"/>
      <w:lang w:eastAsia="en-GB"/>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link w:val="TOCHeadingChar"/>
    <w:uiPriority w:val="39"/>
    <w:unhideWhenUsed/>
    <w:qFormat/>
    <w:pPr>
      <w:keepLines/>
      <w:spacing w:before="480" w:after="0"/>
      <w:outlineLvl w:val="9"/>
    </w:pPr>
    <w:rPr>
      <w:rFonts w:ascii="Cambria" w:hAnsi="Cambria"/>
      <w:color w:val="365F91"/>
      <w:kern w:val="0"/>
      <w:sz w:val="28"/>
      <w:szCs w:val="28"/>
      <w:lang w:eastAsia="ja-JP"/>
    </w:rPr>
  </w:style>
  <w:style w:type="paragraph" w:styleId="TOC1">
    <w:name w:val="toc 1"/>
    <w:basedOn w:val="Normal"/>
    <w:next w:val="Normal"/>
    <w:autoRedefine/>
    <w:uiPriority w:val="39"/>
    <w:unhideWhenUsed/>
    <w:qFormat/>
    <w:pPr>
      <w:tabs>
        <w:tab w:val="right" w:leader="dot" w:pos="9016"/>
      </w:tabs>
    </w:pPr>
  </w:style>
  <w:style w:type="paragraph" w:styleId="TOC2">
    <w:name w:val="toc 2"/>
    <w:basedOn w:val="Normal"/>
    <w:next w:val="Normal"/>
    <w:autoRedefine/>
    <w:uiPriority w:val="39"/>
    <w:unhideWhenUsed/>
    <w:qFormat/>
    <w:pPr>
      <w:ind w:left="220"/>
    </w:pPr>
  </w:style>
  <w:style w:type="paragraph" w:styleId="TOC3">
    <w:name w:val="toc 3"/>
    <w:basedOn w:val="Normal"/>
    <w:next w:val="Normal"/>
    <w:autoRedefine/>
    <w:uiPriority w:val="39"/>
    <w:unhideWhenUsed/>
    <w:qFormat/>
    <w:pPr>
      <w:ind w:left="440"/>
    </w:pPr>
  </w:style>
  <w:style w:type="paragraph" w:styleId="Caption">
    <w:name w:val="caption"/>
    <w:basedOn w:val="Normal"/>
    <w:next w:val="Normal"/>
    <w:uiPriority w:val="35"/>
    <w:unhideWhenUsed/>
    <w:qFormat/>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styleId="TOC4">
    <w:name w:val="toc 4"/>
    <w:basedOn w:val="Normal"/>
    <w:next w:val="Normal"/>
    <w:autoRedefine/>
    <w:uiPriority w:val="39"/>
    <w:unhideWhenUsed/>
    <w:pPr>
      <w:spacing w:after="100"/>
      <w:ind w:left="660"/>
    </w:pPr>
  </w:style>
  <w:style w:type="paragraph" w:styleId="NoSpacing">
    <w:name w:val="No Spacing"/>
    <w:uiPriority w:val="1"/>
    <w:qFormat/>
    <w:pPr>
      <w:spacing w:after="0" w:line="240" w:lineRule="auto"/>
    </w:pPr>
    <w:rPr>
      <w:rFonts w:ascii="Calibri" w:eastAsia="Calibri" w:hAnsi="Calibri" w:cs="Times New Roman"/>
    </w:rPr>
  </w:style>
  <w:style w:type="character" w:styleId="CommentReference">
    <w:name w:val="annotation reference"/>
    <w:uiPriority w:val="99"/>
    <w:semiHidden/>
    <w:unhideWhenUsed/>
    <w:rPr>
      <w:sz w:val="16"/>
      <w:szCs w:val="16"/>
    </w:rPr>
  </w:style>
  <w:style w:type="character" w:customStyle="1" w:styleId="clear">
    <w:name w:val="clear"/>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TOCHeadingChar">
    <w:name w:val="TOC Heading Char"/>
    <w:basedOn w:val="Heading1Char"/>
    <w:link w:val="TOCHeading"/>
    <w:uiPriority w:val="39"/>
    <w:rPr>
      <w:rFonts w:ascii="Cambria" w:eastAsia="Times New Roman" w:hAnsi="Cambria" w:cs="Times New Roman"/>
      <w:b/>
      <w:bCs/>
      <w:color w:val="365F91"/>
      <w:kern w:val="32"/>
      <w:sz w:val="28"/>
      <w:szCs w:val="28"/>
      <w:lang w:val="bg-BG" w:eastAsia="ja-JP"/>
    </w:rPr>
  </w:style>
  <w:style w:type="character" w:customStyle="1" w:styleId="FooterSensitivityChar">
    <w:name w:val="Footer Sensitivity Char"/>
    <w:basedOn w:val="TOCHeadingChar"/>
    <w:link w:val="FooterSensitivity"/>
    <w:rPr>
      <w:rFonts w:ascii="Times New Roman" w:eastAsia="Calibri" w:hAnsi="Times New Roman" w:cs="Times New Roman"/>
      <w:b/>
      <w:bCs w:val="0"/>
      <w:color w:val="365F91"/>
      <w:kern w:val="32"/>
      <w:sz w:val="32"/>
      <w:szCs w:val="28"/>
      <w:lang w:val="bg-BG" w:eastAsia="ja-JP"/>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TOCHeadingChar"/>
    <w:link w:val="HeaderSensitivity"/>
    <w:rPr>
      <w:rFonts w:ascii="Times New Roman" w:eastAsia="Calibri" w:hAnsi="Times New Roman" w:cs="Times New Roman"/>
      <w:b/>
      <w:bCs w:val="0"/>
      <w:color w:val="365F91"/>
      <w:kern w:val="32"/>
      <w:sz w:val="32"/>
      <w:szCs w:val="28"/>
      <w:lang w:val="bg-BG" w:eastAsia="ja-JP"/>
    </w:rPr>
  </w:style>
  <w:style w:type="table" w:customStyle="1" w:styleId="TableGrid5">
    <w:name w:val="Table Grid5"/>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1495">
      <w:bodyDiv w:val="1"/>
      <w:marLeft w:val="0"/>
      <w:marRight w:val="0"/>
      <w:marTop w:val="0"/>
      <w:marBottom w:val="0"/>
      <w:divBdr>
        <w:top w:val="none" w:sz="0" w:space="0" w:color="auto"/>
        <w:left w:val="none" w:sz="0" w:space="0" w:color="auto"/>
        <w:bottom w:val="none" w:sz="0" w:space="0" w:color="auto"/>
        <w:right w:val="none" w:sz="0" w:space="0" w:color="auto"/>
      </w:divBdr>
    </w:div>
    <w:div w:id="93596496">
      <w:bodyDiv w:val="1"/>
      <w:marLeft w:val="0"/>
      <w:marRight w:val="0"/>
      <w:marTop w:val="0"/>
      <w:marBottom w:val="0"/>
      <w:divBdr>
        <w:top w:val="none" w:sz="0" w:space="0" w:color="auto"/>
        <w:left w:val="none" w:sz="0" w:space="0" w:color="auto"/>
        <w:bottom w:val="none" w:sz="0" w:space="0" w:color="auto"/>
        <w:right w:val="none" w:sz="0" w:space="0" w:color="auto"/>
      </w:divBdr>
    </w:div>
    <w:div w:id="133959825">
      <w:bodyDiv w:val="1"/>
      <w:marLeft w:val="0"/>
      <w:marRight w:val="0"/>
      <w:marTop w:val="0"/>
      <w:marBottom w:val="0"/>
      <w:divBdr>
        <w:top w:val="none" w:sz="0" w:space="0" w:color="auto"/>
        <w:left w:val="none" w:sz="0" w:space="0" w:color="auto"/>
        <w:bottom w:val="none" w:sz="0" w:space="0" w:color="auto"/>
        <w:right w:val="none" w:sz="0" w:space="0" w:color="auto"/>
      </w:divBdr>
    </w:div>
    <w:div w:id="255866945">
      <w:bodyDiv w:val="1"/>
      <w:marLeft w:val="0"/>
      <w:marRight w:val="0"/>
      <w:marTop w:val="0"/>
      <w:marBottom w:val="0"/>
      <w:divBdr>
        <w:top w:val="none" w:sz="0" w:space="0" w:color="auto"/>
        <w:left w:val="none" w:sz="0" w:space="0" w:color="auto"/>
        <w:bottom w:val="none" w:sz="0" w:space="0" w:color="auto"/>
        <w:right w:val="none" w:sz="0" w:space="0" w:color="auto"/>
      </w:divBdr>
    </w:div>
    <w:div w:id="275797483">
      <w:bodyDiv w:val="1"/>
      <w:marLeft w:val="0"/>
      <w:marRight w:val="0"/>
      <w:marTop w:val="0"/>
      <w:marBottom w:val="0"/>
      <w:divBdr>
        <w:top w:val="none" w:sz="0" w:space="0" w:color="auto"/>
        <w:left w:val="none" w:sz="0" w:space="0" w:color="auto"/>
        <w:bottom w:val="none" w:sz="0" w:space="0" w:color="auto"/>
        <w:right w:val="none" w:sz="0" w:space="0" w:color="auto"/>
      </w:divBdr>
    </w:div>
    <w:div w:id="290207403">
      <w:bodyDiv w:val="1"/>
      <w:marLeft w:val="0"/>
      <w:marRight w:val="0"/>
      <w:marTop w:val="0"/>
      <w:marBottom w:val="0"/>
      <w:divBdr>
        <w:top w:val="none" w:sz="0" w:space="0" w:color="auto"/>
        <w:left w:val="none" w:sz="0" w:space="0" w:color="auto"/>
        <w:bottom w:val="none" w:sz="0" w:space="0" w:color="auto"/>
        <w:right w:val="none" w:sz="0" w:space="0" w:color="auto"/>
      </w:divBdr>
    </w:div>
    <w:div w:id="364062195">
      <w:bodyDiv w:val="1"/>
      <w:marLeft w:val="0"/>
      <w:marRight w:val="0"/>
      <w:marTop w:val="0"/>
      <w:marBottom w:val="0"/>
      <w:divBdr>
        <w:top w:val="none" w:sz="0" w:space="0" w:color="auto"/>
        <w:left w:val="none" w:sz="0" w:space="0" w:color="auto"/>
        <w:bottom w:val="none" w:sz="0" w:space="0" w:color="auto"/>
        <w:right w:val="none" w:sz="0" w:space="0" w:color="auto"/>
      </w:divBdr>
      <w:divsChild>
        <w:div w:id="1461415837">
          <w:marLeft w:val="0"/>
          <w:marRight w:val="0"/>
          <w:marTop w:val="0"/>
          <w:marBottom w:val="0"/>
          <w:divBdr>
            <w:top w:val="none" w:sz="0" w:space="0" w:color="auto"/>
            <w:left w:val="none" w:sz="0" w:space="0" w:color="auto"/>
            <w:bottom w:val="none" w:sz="0" w:space="0" w:color="auto"/>
            <w:right w:val="none" w:sz="0" w:space="0" w:color="auto"/>
          </w:divBdr>
        </w:div>
      </w:divsChild>
    </w:div>
    <w:div w:id="372270018">
      <w:bodyDiv w:val="1"/>
      <w:marLeft w:val="0"/>
      <w:marRight w:val="0"/>
      <w:marTop w:val="0"/>
      <w:marBottom w:val="0"/>
      <w:divBdr>
        <w:top w:val="none" w:sz="0" w:space="0" w:color="auto"/>
        <w:left w:val="none" w:sz="0" w:space="0" w:color="auto"/>
        <w:bottom w:val="none" w:sz="0" w:space="0" w:color="auto"/>
        <w:right w:val="none" w:sz="0" w:space="0" w:color="auto"/>
      </w:divBdr>
      <w:divsChild>
        <w:div w:id="2046782589">
          <w:marLeft w:val="0"/>
          <w:marRight w:val="0"/>
          <w:marTop w:val="0"/>
          <w:marBottom w:val="0"/>
          <w:divBdr>
            <w:top w:val="none" w:sz="0" w:space="0" w:color="auto"/>
            <w:left w:val="none" w:sz="0" w:space="0" w:color="auto"/>
            <w:bottom w:val="none" w:sz="0" w:space="0" w:color="auto"/>
            <w:right w:val="none" w:sz="0" w:space="0" w:color="auto"/>
          </w:divBdr>
        </w:div>
        <w:div w:id="302003568">
          <w:marLeft w:val="0"/>
          <w:marRight w:val="0"/>
          <w:marTop w:val="0"/>
          <w:marBottom w:val="0"/>
          <w:divBdr>
            <w:top w:val="none" w:sz="0" w:space="0" w:color="auto"/>
            <w:left w:val="none" w:sz="0" w:space="0" w:color="auto"/>
            <w:bottom w:val="none" w:sz="0" w:space="0" w:color="auto"/>
            <w:right w:val="none" w:sz="0" w:space="0" w:color="auto"/>
          </w:divBdr>
        </w:div>
        <w:div w:id="805123812">
          <w:marLeft w:val="0"/>
          <w:marRight w:val="0"/>
          <w:marTop w:val="0"/>
          <w:marBottom w:val="0"/>
          <w:divBdr>
            <w:top w:val="none" w:sz="0" w:space="0" w:color="auto"/>
            <w:left w:val="none" w:sz="0" w:space="0" w:color="auto"/>
            <w:bottom w:val="none" w:sz="0" w:space="0" w:color="auto"/>
            <w:right w:val="none" w:sz="0" w:space="0" w:color="auto"/>
          </w:divBdr>
        </w:div>
        <w:div w:id="1823505275">
          <w:marLeft w:val="0"/>
          <w:marRight w:val="0"/>
          <w:marTop w:val="0"/>
          <w:marBottom w:val="0"/>
          <w:divBdr>
            <w:top w:val="none" w:sz="0" w:space="0" w:color="auto"/>
            <w:left w:val="none" w:sz="0" w:space="0" w:color="auto"/>
            <w:bottom w:val="none" w:sz="0" w:space="0" w:color="auto"/>
            <w:right w:val="none" w:sz="0" w:space="0" w:color="auto"/>
          </w:divBdr>
        </w:div>
        <w:div w:id="975600029">
          <w:marLeft w:val="0"/>
          <w:marRight w:val="0"/>
          <w:marTop w:val="0"/>
          <w:marBottom w:val="0"/>
          <w:divBdr>
            <w:top w:val="none" w:sz="0" w:space="0" w:color="auto"/>
            <w:left w:val="none" w:sz="0" w:space="0" w:color="auto"/>
            <w:bottom w:val="none" w:sz="0" w:space="0" w:color="auto"/>
            <w:right w:val="none" w:sz="0" w:space="0" w:color="auto"/>
          </w:divBdr>
        </w:div>
      </w:divsChild>
    </w:div>
    <w:div w:id="382825163">
      <w:bodyDiv w:val="1"/>
      <w:marLeft w:val="0"/>
      <w:marRight w:val="0"/>
      <w:marTop w:val="0"/>
      <w:marBottom w:val="0"/>
      <w:divBdr>
        <w:top w:val="none" w:sz="0" w:space="0" w:color="auto"/>
        <w:left w:val="none" w:sz="0" w:space="0" w:color="auto"/>
        <w:bottom w:val="none" w:sz="0" w:space="0" w:color="auto"/>
        <w:right w:val="none" w:sz="0" w:space="0" w:color="auto"/>
      </w:divBdr>
      <w:divsChild>
        <w:div w:id="1072195181">
          <w:marLeft w:val="0"/>
          <w:marRight w:val="0"/>
          <w:marTop w:val="0"/>
          <w:marBottom w:val="0"/>
          <w:divBdr>
            <w:top w:val="none" w:sz="0" w:space="0" w:color="auto"/>
            <w:left w:val="none" w:sz="0" w:space="0" w:color="auto"/>
            <w:bottom w:val="none" w:sz="0" w:space="0" w:color="auto"/>
            <w:right w:val="none" w:sz="0" w:space="0" w:color="auto"/>
          </w:divBdr>
          <w:divsChild>
            <w:div w:id="1886259599">
              <w:marLeft w:val="0"/>
              <w:marRight w:val="0"/>
              <w:marTop w:val="0"/>
              <w:marBottom w:val="0"/>
              <w:divBdr>
                <w:top w:val="none" w:sz="0" w:space="0" w:color="auto"/>
                <w:left w:val="none" w:sz="0" w:space="0" w:color="auto"/>
                <w:bottom w:val="none" w:sz="0" w:space="0" w:color="auto"/>
                <w:right w:val="none" w:sz="0" w:space="0" w:color="auto"/>
              </w:divBdr>
              <w:divsChild>
                <w:div w:id="1709329333">
                  <w:marLeft w:val="0"/>
                  <w:marRight w:val="0"/>
                  <w:marTop w:val="0"/>
                  <w:marBottom w:val="0"/>
                  <w:divBdr>
                    <w:top w:val="none" w:sz="0" w:space="0" w:color="auto"/>
                    <w:left w:val="none" w:sz="0" w:space="0" w:color="auto"/>
                    <w:bottom w:val="none" w:sz="0" w:space="0" w:color="auto"/>
                    <w:right w:val="none" w:sz="0" w:space="0" w:color="auto"/>
                  </w:divBdr>
                  <w:divsChild>
                    <w:div w:id="1583679908">
                      <w:marLeft w:val="0"/>
                      <w:marRight w:val="0"/>
                      <w:marTop w:val="0"/>
                      <w:marBottom w:val="0"/>
                      <w:divBdr>
                        <w:top w:val="none" w:sz="0" w:space="0" w:color="auto"/>
                        <w:left w:val="none" w:sz="0" w:space="0" w:color="auto"/>
                        <w:bottom w:val="none" w:sz="0" w:space="0" w:color="auto"/>
                        <w:right w:val="none" w:sz="0" w:space="0" w:color="auto"/>
                      </w:divBdr>
                      <w:divsChild>
                        <w:div w:id="1452434118">
                          <w:marLeft w:val="0"/>
                          <w:marRight w:val="0"/>
                          <w:marTop w:val="0"/>
                          <w:marBottom w:val="0"/>
                          <w:divBdr>
                            <w:top w:val="none" w:sz="0" w:space="0" w:color="auto"/>
                            <w:left w:val="none" w:sz="0" w:space="0" w:color="auto"/>
                            <w:bottom w:val="none" w:sz="0" w:space="0" w:color="auto"/>
                            <w:right w:val="none" w:sz="0" w:space="0" w:color="auto"/>
                          </w:divBdr>
                          <w:divsChild>
                            <w:div w:id="1843818149">
                              <w:marLeft w:val="0"/>
                              <w:marRight w:val="0"/>
                              <w:marTop w:val="0"/>
                              <w:marBottom w:val="0"/>
                              <w:divBdr>
                                <w:top w:val="none" w:sz="0" w:space="0" w:color="auto"/>
                                <w:left w:val="none" w:sz="0" w:space="0" w:color="auto"/>
                                <w:bottom w:val="none" w:sz="0" w:space="0" w:color="auto"/>
                                <w:right w:val="none" w:sz="0" w:space="0" w:color="auto"/>
                              </w:divBdr>
                              <w:divsChild>
                                <w:div w:id="757288114">
                                  <w:marLeft w:val="0"/>
                                  <w:marRight w:val="0"/>
                                  <w:marTop w:val="0"/>
                                  <w:marBottom w:val="0"/>
                                  <w:divBdr>
                                    <w:top w:val="none" w:sz="0" w:space="0" w:color="auto"/>
                                    <w:left w:val="none" w:sz="0" w:space="0" w:color="auto"/>
                                    <w:bottom w:val="none" w:sz="0" w:space="0" w:color="auto"/>
                                    <w:right w:val="none" w:sz="0" w:space="0" w:color="auto"/>
                                  </w:divBdr>
                                  <w:divsChild>
                                    <w:div w:id="79837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711484">
      <w:bodyDiv w:val="1"/>
      <w:marLeft w:val="0"/>
      <w:marRight w:val="0"/>
      <w:marTop w:val="0"/>
      <w:marBottom w:val="0"/>
      <w:divBdr>
        <w:top w:val="none" w:sz="0" w:space="0" w:color="auto"/>
        <w:left w:val="none" w:sz="0" w:space="0" w:color="auto"/>
        <w:bottom w:val="none" w:sz="0" w:space="0" w:color="auto"/>
        <w:right w:val="none" w:sz="0" w:space="0" w:color="auto"/>
      </w:divBdr>
    </w:div>
    <w:div w:id="414322125">
      <w:bodyDiv w:val="1"/>
      <w:marLeft w:val="0"/>
      <w:marRight w:val="0"/>
      <w:marTop w:val="0"/>
      <w:marBottom w:val="0"/>
      <w:divBdr>
        <w:top w:val="none" w:sz="0" w:space="0" w:color="auto"/>
        <w:left w:val="none" w:sz="0" w:space="0" w:color="auto"/>
        <w:bottom w:val="none" w:sz="0" w:space="0" w:color="auto"/>
        <w:right w:val="none" w:sz="0" w:space="0" w:color="auto"/>
      </w:divBdr>
    </w:div>
    <w:div w:id="414471705">
      <w:bodyDiv w:val="1"/>
      <w:marLeft w:val="0"/>
      <w:marRight w:val="0"/>
      <w:marTop w:val="0"/>
      <w:marBottom w:val="0"/>
      <w:divBdr>
        <w:top w:val="none" w:sz="0" w:space="0" w:color="auto"/>
        <w:left w:val="none" w:sz="0" w:space="0" w:color="auto"/>
        <w:bottom w:val="none" w:sz="0" w:space="0" w:color="auto"/>
        <w:right w:val="none" w:sz="0" w:space="0" w:color="auto"/>
      </w:divBdr>
    </w:div>
    <w:div w:id="457072976">
      <w:bodyDiv w:val="1"/>
      <w:marLeft w:val="0"/>
      <w:marRight w:val="0"/>
      <w:marTop w:val="0"/>
      <w:marBottom w:val="0"/>
      <w:divBdr>
        <w:top w:val="none" w:sz="0" w:space="0" w:color="auto"/>
        <w:left w:val="none" w:sz="0" w:space="0" w:color="auto"/>
        <w:bottom w:val="none" w:sz="0" w:space="0" w:color="auto"/>
        <w:right w:val="none" w:sz="0" w:space="0" w:color="auto"/>
      </w:divBdr>
    </w:div>
    <w:div w:id="484980193">
      <w:bodyDiv w:val="1"/>
      <w:marLeft w:val="0"/>
      <w:marRight w:val="0"/>
      <w:marTop w:val="0"/>
      <w:marBottom w:val="0"/>
      <w:divBdr>
        <w:top w:val="none" w:sz="0" w:space="0" w:color="auto"/>
        <w:left w:val="none" w:sz="0" w:space="0" w:color="auto"/>
        <w:bottom w:val="none" w:sz="0" w:space="0" w:color="auto"/>
        <w:right w:val="none" w:sz="0" w:space="0" w:color="auto"/>
      </w:divBdr>
    </w:div>
    <w:div w:id="503974906">
      <w:bodyDiv w:val="1"/>
      <w:marLeft w:val="0"/>
      <w:marRight w:val="0"/>
      <w:marTop w:val="0"/>
      <w:marBottom w:val="0"/>
      <w:divBdr>
        <w:top w:val="none" w:sz="0" w:space="0" w:color="auto"/>
        <w:left w:val="none" w:sz="0" w:space="0" w:color="auto"/>
        <w:bottom w:val="none" w:sz="0" w:space="0" w:color="auto"/>
        <w:right w:val="none" w:sz="0" w:space="0" w:color="auto"/>
      </w:divBdr>
    </w:div>
    <w:div w:id="653223400">
      <w:bodyDiv w:val="1"/>
      <w:marLeft w:val="0"/>
      <w:marRight w:val="0"/>
      <w:marTop w:val="0"/>
      <w:marBottom w:val="0"/>
      <w:divBdr>
        <w:top w:val="none" w:sz="0" w:space="0" w:color="auto"/>
        <w:left w:val="none" w:sz="0" w:space="0" w:color="auto"/>
        <w:bottom w:val="none" w:sz="0" w:space="0" w:color="auto"/>
        <w:right w:val="none" w:sz="0" w:space="0" w:color="auto"/>
      </w:divBdr>
    </w:div>
    <w:div w:id="690716501">
      <w:bodyDiv w:val="1"/>
      <w:marLeft w:val="0"/>
      <w:marRight w:val="0"/>
      <w:marTop w:val="0"/>
      <w:marBottom w:val="0"/>
      <w:divBdr>
        <w:top w:val="none" w:sz="0" w:space="0" w:color="auto"/>
        <w:left w:val="none" w:sz="0" w:space="0" w:color="auto"/>
        <w:bottom w:val="none" w:sz="0" w:space="0" w:color="auto"/>
        <w:right w:val="none" w:sz="0" w:space="0" w:color="auto"/>
      </w:divBdr>
    </w:div>
    <w:div w:id="752094506">
      <w:bodyDiv w:val="1"/>
      <w:marLeft w:val="0"/>
      <w:marRight w:val="0"/>
      <w:marTop w:val="0"/>
      <w:marBottom w:val="0"/>
      <w:divBdr>
        <w:top w:val="none" w:sz="0" w:space="0" w:color="auto"/>
        <w:left w:val="none" w:sz="0" w:space="0" w:color="auto"/>
        <w:bottom w:val="none" w:sz="0" w:space="0" w:color="auto"/>
        <w:right w:val="none" w:sz="0" w:space="0" w:color="auto"/>
      </w:divBdr>
    </w:div>
    <w:div w:id="786779991">
      <w:bodyDiv w:val="1"/>
      <w:marLeft w:val="0"/>
      <w:marRight w:val="0"/>
      <w:marTop w:val="0"/>
      <w:marBottom w:val="0"/>
      <w:divBdr>
        <w:top w:val="none" w:sz="0" w:space="0" w:color="auto"/>
        <w:left w:val="none" w:sz="0" w:space="0" w:color="auto"/>
        <w:bottom w:val="none" w:sz="0" w:space="0" w:color="auto"/>
        <w:right w:val="none" w:sz="0" w:space="0" w:color="auto"/>
      </w:divBdr>
    </w:div>
    <w:div w:id="797643879">
      <w:bodyDiv w:val="1"/>
      <w:marLeft w:val="0"/>
      <w:marRight w:val="0"/>
      <w:marTop w:val="0"/>
      <w:marBottom w:val="0"/>
      <w:divBdr>
        <w:top w:val="none" w:sz="0" w:space="0" w:color="auto"/>
        <w:left w:val="none" w:sz="0" w:space="0" w:color="auto"/>
        <w:bottom w:val="none" w:sz="0" w:space="0" w:color="auto"/>
        <w:right w:val="none" w:sz="0" w:space="0" w:color="auto"/>
      </w:divBdr>
    </w:div>
    <w:div w:id="942765932">
      <w:bodyDiv w:val="1"/>
      <w:marLeft w:val="0"/>
      <w:marRight w:val="0"/>
      <w:marTop w:val="0"/>
      <w:marBottom w:val="0"/>
      <w:divBdr>
        <w:top w:val="none" w:sz="0" w:space="0" w:color="auto"/>
        <w:left w:val="none" w:sz="0" w:space="0" w:color="auto"/>
        <w:bottom w:val="none" w:sz="0" w:space="0" w:color="auto"/>
        <w:right w:val="none" w:sz="0" w:space="0" w:color="auto"/>
      </w:divBdr>
    </w:div>
    <w:div w:id="946347997">
      <w:bodyDiv w:val="1"/>
      <w:marLeft w:val="0"/>
      <w:marRight w:val="0"/>
      <w:marTop w:val="0"/>
      <w:marBottom w:val="0"/>
      <w:divBdr>
        <w:top w:val="none" w:sz="0" w:space="0" w:color="auto"/>
        <w:left w:val="none" w:sz="0" w:space="0" w:color="auto"/>
        <w:bottom w:val="none" w:sz="0" w:space="0" w:color="auto"/>
        <w:right w:val="none" w:sz="0" w:space="0" w:color="auto"/>
      </w:divBdr>
    </w:div>
    <w:div w:id="1109006879">
      <w:bodyDiv w:val="1"/>
      <w:marLeft w:val="0"/>
      <w:marRight w:val="0"/>
      <w:marTop w:val="0"/>
      <w:marBottom w:val="0"/>
      <w:divBdr>
        <w:top w:val="none" w:sz="0" w:space="0" w:color="auto"/>
        <w:left w:val="none" w:sz="0" w:space="0" w:color="auto"/>
        <w:bottom w:val="none" w:sz="0" w:space="0" w:color="auto"/>
        <w:right w:val="none" w:sz="0" w:space="0" w:color="auto"/>
      </w:divBdr>
    </w:div>
    <w:div w:id="1168448656">
      <w:bodyDiv w:val="1"/>
      <w:marLeft w:val="0"/>
      <w:marRight w:val="0"/>
      <w:marTop w:val="0"/>
      <w:marBottom w:val="0"/>
      <w:divBdr>
        <w:top w:val="none" w:sz="0" w:space="0" w:color="auto"/>
        <w:left w:val="none" w:sz="0" w:space="0" w:color="auto"/>
        <w:bottom w:val="none" w:sz="0" w:space="0" w:color="auto"/>
        <w:right w:val="none" w:sz="0" w:space="0" w:color="auto"/>
      </w:divBdr>
    </w:div>
    <w:div w:id="1230732294">
      <w:bodyDiv w:val="1"/>
      <w:marLeft w:val="0"/>
      <w:marRight w:val="0"/>
      <w:marTop w:val="0"/>
      <w:marBottom w:val="0"/>
      <w:divBdr>
        <w:top w:val="none" w:sz="0" w:space="0" w:color="auto"/>
        <w:left w:val="none" w:sz="0" w:space="0" w:color="auto"/>
        <w:bottom w:val="none" w:sz="0" w:space="0" w:color="auto"/>
        <w:right w:val="none" w:sz="0" w:space="0" w:color="auto"/>
      </w:divBdr>
    </w:div>
    <w:div w:id="1268191800">
      <w:bodyDiv w:val="1"/>
      <w:marLeft w:val="0"/>
      <w:marRight w:val="0"/>
      <w:marTop w:val="0"/>
      <w:marBottom w:val="0"/>
      <w:divBdr>
        <w:top w:val="none" w:sz="0" w:space="0" w:color="auto"/>
        <w:left w:val="none" w:sz="0" w:space="0" w:color="auto"/>
        <w:bottom w:val="none" w:sz="0" w:space="0" w:color="auto"/>
        <w:right w:val="none" w:sz="0" w:space="0" w:color="auto"/>
      </w:divBdr>
    </w:div>
    <w:div w:id="1344358518">
      <w:bodyDiv w:val="1"/>
      <w:marLeft w:val="0"/>
      <w:marRight w:val="0"/>
      <w:marTop w:val="0"/>
      <w:marBottom w:val="0"/>
      <w:divBdr>
        <w:top w:val="none" w:sz="0" w:space="0" w:color="auto"/>
        <w:left w:val="none" w:sz="0" w:space="0" w:color="auto"/>
        <w:bottom w:val="none" w:sz="0" w:space="0" w:color="auto"/>
        <w:right w:val="none" w:sz="0" w:space="0" w:color="auto"/>
      </w:divBdr>
    </w:div>
    <w:div w:id="1436095905">
      <w:bodyDiv w:val="1"/>
      <w:marLeft w:val="0"/>
      <w:marRight w:val="0"/>
      <w:marTop w:val="0"/>
      <w:marBottom w:val="0"/>
      <w:divBdr>
        <w:top w:val="none" w:sz="0" w:space="0" w:color="auto"/>
        <w:left w:val="none" w:sz="0" w:space="0" w:color="auto"/>
        <w:bottom w:val="none" w:sz="0" w:space="0" w:color="auto"/>
        <w:right w:val="none" w:sz="0" w:space="0" w:color="auto"/>
      </w:divBdr>
    </w:div>
    <w:div w:id="1444837507">
      <w:bodyDiv w:val="1"/>
      <w:marLeft w:val="0"/>
      <w:marRight w:val="0"/>
      <w:marTop w:val="0"/>
      <w:marBottom w:val="0"/>
      <w:divBdr>
        <w:top w:val="none" w:sz="0" w:space="0" w:color="auto"/>
        <w:left w:val="none" w:sz="0" w:space="0" w:color="auto"/>
        <w:bottom w:val="none" w:sz="0" w:space="0" w:color="auto"/>
        <w:right w:val="none" w:sz="0" w:space="0" w:color="auto"/>
      </w:divBdr>
    </w:div>
    <w:div w:id="1589078938">
      <w:bodyDiv w:val="1"/>
      <w:marLeft w:val="0"/>
      <w:marRight w:val="0"/>
      <w:marTop w:val="0"/>
      <w:marBottom w:val="0"/>
      <w:divBdr>
        <w:top w:val="none" w:sz="0" w:space="0" w:color="auto"/>
        <w:left w:val="none" w:sz="0" w:space="0" w:color="auto"/>
        <w:bottom w:val="none" w:sz="0" w:space="0" w:color="auto"/>
        <w:right w:val="none" w:sz="0" w:space="0" w:color="auto"/>
      </w:divBdr>
    </w:div>
    <w:div w:id="1713337364">
      <w:bodyDiv w:val="1"/>
      <w:marLeft w:val="0"/>
      <w:marRight w:val="0"/>
      <w:marTop w:val="0"/>
      <w:marBottom w:val="0"/>
      <w:divBdr>
        <w:top w:val="none" w:sz="0" w:space="0" w:color="auto"/>
        <w:left w:val="none" w:sz="0" w:space="0" w:color="auto"/>
        <w:bottom w:val="none" w:sz="0" w:space="0" w:color="auto"/>
        <w:right w:val="none" w:sz="0" w:space="0" w:color="auto"/>
      </w:divBdr>
    </w:div>
    <w:div w:id="1733575401">
      <w:bodyDiv w:val="1"/>
      <w:marLeft w:val="0"/>
      <w:marRight w:val="0"/>
      <w:marTop w:val="0"/>
      <w:marBottom w:val="0"/>
      <w:divBdr>
        <w:top w:val="none" w:sz="0" w:space="0" w:color="auto"/>
        <w:left w:val="none" w:sz="0" w:space="0" w:color="auto"/>
        <w:bottom w:val="none" w:sz="0" w:space="0" w:color="auto"/>
        <w:right w:val="none" w:sz="0" w:space="0" w:color="auto"/>
      </w:divBdr>
    </w:div>
    <w:div w:id="1739478285">
      <w:bodyDiv w:val="1"/>
      <w:marLeft w:val="0"/>
      <w:marRight w:val="0"/>
      <w:marTop w:val="0"/>
      <w:marBottom w:val="0"/>
      <w:divBdr>
        <w:top w:val="none" w:sz="0" w:space="0" w:color="auto"/>
        <w:left w:val="none" w:sz="0" w:space="0" w:color="auto"/>
        <w:bottom w:val="none" w:sz="0" w:space="0" w:color="auto"/>
        <w:right w:val="none" w:sz="0" w:space="0" w:color="auto"/>
      </w:divBdr>
    </w:div>
    <w:div w:id="1745953170">
      <w:bodyDiv w:val="1"/>
      <w:marLeft w:val="0"/>
      <w:marRight w:val="0"/>
      <w:marTop w:val="0"/>
      <w:marBottom w:val="0"/>
      <w:divBdr>
        <w:top w:val="none" w:sz="0" w:space="0" w:color="auto"/>
        <w:left w:val="none" w:sz="0" w:space="0" w:color="auto"/>
        <w:bottom w:val="none" w:sz="0" w:space="0" w:color="auto"/>
        <w:right w:val="none" w:sz="0" w:space="0" w:color="auto"/>
      </w:divBdr>
    </w:div>
    <w:div w:id="1765101787">
      <w:bodyDiv w:val="1"/>
      <w:marLeft w:val="0"/>
      <w:marRight w:val="0"/>
      <w:marTop w:val="0"/>
      <w:marBottom w:val="0"/>
      <w:divBdr>
        <w:top w:val="none" w:sz="0" w:space="0" w:color="auto"/>
        <w:left w:val="none" w:sz="0" w:space="0" w:color="auto"/>
        <w:bottom w:val="none" w:sz="0" w:space="0" w:color="auto"/>
        <w:right w:val="none" w:sz="0" w:space="0" w:color="auto"/>
      </w:divBdr>
    </w:div>
    <w:div w:id="1765104420">
      <w:bodyDiv w:val="1"/>
      <w:marLeft w:val="0"/>
      <w:marRight w:val="0"/>
      <w:marTop w:val="0"/>
      <w:marBottom w:val="0"/>
      <w:divBdr>
        <w:top w:val="none" w:sz="0" w:space="0" w:color="auto"/>
        <w:left w:val="none" w:sz="0" w:space="0" w:color="auto"/>
        <w:bottom w:val="none" w:sz="0" w:space="0" w:color="auto"/>
        <w:right w:val="none" w:sz="0" w:space="0" w:color="auto"/>
      </w:divBdr>
    </w:div>
    <w:div w:id="1793939123">
      <w:bodyDiv w:val="1"/>
      <w:marLeft w:val="0"/>
      <w:marRight w:val="0"/>
      <w:marTop w:val="0"/>
      <w:marBottom w:val="0"/>
      <w:divBdr>
        <w:top w:val="none" w:sz="0" w:space="0" w:color="auto"/>
        <w:left w:val="none" w:sz="0" w:space="0" w:color="auto"/>
        <w:bottom w:val="none" w:sz="0" w:space="0" w:color="auto"/>
        <w:right w:val="none" w:sz="0" w:space="0" w:color="auto"/>
      </w:divBdr>
    </w:div>
    <w:div w:id="1841188378">
      <w:bodyDiv w:val="1"/>
      <w:marLeft w:val="0"/>
      <w:marRight w:val="0"/>
      <w:marTop w:val="0"/>
      <w:marBottom w:val="0"/>
      <w:divBdr>
        <w:top w:val="none" w:sz="0" w:space="0" w:color="auto"/>
        <w:left w:val="none" w:sz="0" w:space="0" w:color="auto"/>
        <w:bottom w:val="none" w:sz="0" w:space="0" w:color="auto"/>
        <w:right w:val="none" w:sz="0" w:space="0" w:color="auto"/>
      </w:divBdr>
    </w:div>
    <w:div w:id="1859201110">
      <w:bodyDiv w:val="1"/>
      <w:marLeft w:val="0"/>
      <w:marRight w:val="0"/>
      <w:marTop w:val="0"/>
      <w:marBottom w:val="0"/>
      <w:divBdr>
        <w:top w:val="none" w:sz="0" w:space="0" w:color="auto"/>
        <w:left w:val="none" w:sz="0" w:space="0" w:color="auto"/>
        <w:bottom w:val="none" w:sz="0" w:space="0" w:color="auto"/>
        <w:right w:val="none" w:sz="0" w:space="0" w:color="auto"/>
      </w:divBdr>
      <w:divsChild>
        <w:div w:id="1262105219">
          <w:marLeft w:val="0"/>
          <w:marRight w:val="0"/>
          <w:marTop w:val="0"/>
          <w:marBottom w:val="0"/>
          <w:divBdr>
            <w:top w:val="none" w:sz="0" w:space="0" w:color="auto"/>
            <w:left w:val="none" w:sz="0" w:space="0" w:color="auto"/>
            <w:bottom w:val="none" w:sz="0" w:space="0" w:color="auto"/>
            <w:right w:val="none" w:sz="0" w:space="0" w:color="auto"/>
          </w:divBdr>
          <w:divsChild>
            <w:div w:id="1047146044">
              <w:marLeft w:val="0"/>
              <w:marRight w:val="0"/>
              <w:marTop w:val="0"/>
              <w:marBottom w:val="0"/>
              <w:divBdr>
                <w:top w:val="none" w:sz="0" w:space="0" w:color="auto"/>
                <w:left w:val="none" w:sz="0" w:space="0" w:color="auto"/>
                <w:bottom w:val="none" w:sz="0" w:space="0" w:color="auto"/>
                <w:right w:val="none" w:sz="0" w:space="0" w:color="auto"/>
              </w:divBdr>
              <w:divsChild>
                <w:div w:id="809054003">
                  <w:marLeft w:val="0"/>
                  <w:marRight w:val="0"/>
                  <w:marTop w:val="0"/>
                  <w:marBottom w:val="0"/>
                  <w:divBdr>
                    <w:top w:val="none" w:sz="0" w:space="0" w:color="auto"/>
                    <w:left w:val="none" w:sz="0" w:space="0" w:color="auto"/>
                    <w:bottom w:val="none" w:sz="0" w:space="0" w:color="auto"/>
                    <w:right w:val="none" w:sz="0" w:space="0" w:color="auto"/>
                  </w:divBdr>
                  <w:divsChild>
                    <w:div w:id="1645574807">
                      <w:marLeft w:val="0"/>
                      <w:marRight w:val="0"/>
                      <w:marTop w:val="0"/>
                      <w:marBottom w:val="0"/>
                      <w:divBdr>
                        <w:top w:val="none" w:sz="0" w:space="0" w:color="auto"/>
                        <w:left w:val="none" w:sz="0" w:space="0" w:color="auto"/>
                        <w:bottom w:val="none" w:sz="0" w:space="0" w:color="auto"/>
                        <w:right w:val="none" w:sz="0" w:space="0" w:color="auto"/>
                      </w:divBdr>
                      <w:divsChild>
                        <w:div w:id="980187837">
                          <w:marLeft w:val="0"/>
                          <w:marRight w:val="0"/>
                          <w:marTop w:val="0"/>
                          <w:marBottom w:val="0"/>
                          <w:divBdr>
                            <w:top w:val="none" w:sz="0" w:space="0" w:color="auto"/>
                            <w:left w:val="none" w:sz="0" w:space="0" w:color="auto"/>
                            <w:bottom w:val="none" w:sz="0" w:space="0" w:color="auto"/>
                            <w:right w:val="none" w:sz="0" w:space="0" w:color="auto"/>
                          </w:divBdr>
                          <w:divsChild>
                            <w:div w:id="600185095">
                              <w:marLeft w:val="0"/>
                              <w:marRight w:val="0"/>
                              <w:marTop w:val="0"/>
                              <w:marBottom w:val="0"/>
                              <w:divBdr>
                                <w:top w:val="none" w:sz="0" w:space="0" w:color="auto"/>
                                <w:left w:val="none" w:sz="0" w:space="0" w:color="auto"/>
                                <w:bottom w:val="none" w:sz="0" w:space="0" w:color="auto"/>
                                <w:right w:val="none" w:sz="0" w:space="0" w:color="auto"/>
                              </w:divBdr>
                              <w:divsChild>
                                <w:div w:id="421731457">
                                  <w:marLeft w:val="0"/>
                                  <w:marRight w:val="0"/>
                                  <w:marTop w:val="0"/>
                                  <w:marBottom w:val="0"/>
                                  <w:divBdr>
                                    <w:top w:val="none" w:sz="0" w:space="0" w:color="auto"/>
                                    <w:left w:val="none" w:sz="0" w:space="0" w:color="auto"/>
                                    <w:bottom w:val="none" w:sz="0" w:space="0" w:color="auto"/>
                                    <w:right w:val="none" w:sz="0" w:space="0" w:color="auto"/>
                                  </w:divBdr>
                                  <w:divsChild>
                                    <w:div w:id="1216620166">
                                      <w:marLeft w:val="0"/>
                                      <w:marRight w:val="0"/>
                                      <w:marTop w:val="0"/>
                                      <w:marBottom w:val="0"/>
                                      <w:divBdr>
                                        <w:top w:val="none" w:sz="0" w:space="0" w:color="auto"/>
                                        <w:left w:val="none" w:sz="0" w:space="0" w:color="auto"/>
                                        <w:bottom w:val="none" w:sz="0" w:space="0" w:color="auto"/>
                                        <w:right w:val="none" w:sz="0" w:space="0" w:color="auto"/>
                                      </w:divBdr>
                                    </w:div>
                                    <w:div w:id="1953970728">
                                      <w:marLeft w:val="0"/>
                                      <w:marRight w:val="0"/>
                                      <w:marTop w:val="0"/>
                                      <w:marBottom w:val="0"/>
                                      <w:divBdr>
                                        <w:top w:val="none" w:sz="0" w:space="0" w:color="auto"/>
                                        <w:left w:val="none" w:sz="0" w:space="0" w:color="auto"/>
                                        <w:bottom w:val="none" w:sz="0" w:space="0" w:color="auto"/>
                                        <w:right w:val="none" w:sz="0" w:space="0" w:color="auto"/>
                                      </w:divBdr>
                                      <w:divsChild>
                                        <w:div w:id="1098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1644609">
      <w:bodyDiv w:val="1"/>
      <w:marLeft w:val="0"/>
      <w:marRight w:val="0"/>
      <w:marTop w:val="0"/>
      <w:marBottom w:val="0"/>
      <w:divBdr>
        <w:top w:val="none" w:sz="0" w:space="0" w:color="auto"/>
        <w:left w:val="none" w:sz="0" w:space="0" w:color="auto"/>
        <w:bottom w:val="none" w:sz="0" w:space="0" w:color="auto"/>
        <w:right w:val="none" w:sz="0" w:space="0" w:color="auto"/>
      </w:divBdr>
    </w:div>
    <w:div w:id="2001808309">
      <w:bodyDiv w:val="1"/>
      <w:marLeft w:val="0"/>
      <w:marRight w:val="0"/>
      <w:marTop w:val="0"/>
      <w:marBottom w:val="0"/>
      <w:divBdr>
        <w:top w:val="none" w:sz="0" w:space="0" w:color="auto"/>
        <w:left w:val="none" w:sz="0" w:space="0" w:color="auto"/>
        <w:bottom w:val="none" w:sz="0" w:space="0" w:color="auto"/>
        <w:right w:val="none" w:sz="0" w:space="0" w:color="auto"/>
      </w:divBdr>
    </w:div>
    <w:div w:id="2016879733">
      <w:bodyDiv w:val="1"/>
      <w:marLeft w:val="0"/>
      <w:marRight w:val="0"/>
      <w:marTop w:val="0"/>
      <w:marBottom w:val="0"/>
      <w:divBdr>
        <w:top w:val="none" w:sz="0" w:space="0" w:color="auto"/>
        <w:left w:val="none" w:sz="0" w:space="0" w:color="auto"/>
        <w:bottom w:val="none" w:sz="0" w:space="0" w:color="auto"/>
        <w:right w:val="none" w:sz="0" w:space="0" w:color="auto"/>
      </w:divBdr>
    </w:div>
    <w:div w:id="2020963727">
      <w:bodyDiv w:val="1"/>
      <w:marLeft w:val="0"/>
      <w:marRight w:val="0"/>
      <w:marTop w:val="0"/>
      <w:marBottom w:val="0"/>
      <w:divBdr>
        <w:top w:val="none" w:sz="0" w:space="0" w:color="auto"/>
        <w:left w:val="none" w:sz="0" w:space="0" w:color="auto"/>
        <w:bottom w:val="none" w:sz="0" w:space="0" w:color="auto"/>
        <w:right w:val="none" w:sz="0" w:space="0" w:color="auto"/>
      </w:divBdr>
    </w:div>
    <w:div w:id="2024278107">
      <w:bodyDiv w:val="1"/>
      <w:marLeft w:val="0"/>
      <w:marRight w:val="0"/>
      <w:marTop w:val="0"/>
      <w:marBottom w:val="0"/>
      <w:divBdr>
        <w:top w:val="none" w:sz="0" w:space="0" w:color="auto"/>
        <w:left w:val="none" w:sz="0" w:space="0" w:color="auto"/>
        <w:bottom w:val="none" w:sz="0" w:space="0" w:color="auto"/>
        <w:right w:val="none" w:sz="0" w:space="0" w:color="auto"/>
      </w:divBdr>
    </w:div>
    <w:div w:id="2098013947">
      <w:bodyDiv w:val="1"/>
      <w:marLeft w:val="0"/>
      <w:marRight w:val="0"/>
      <w:marTop w:val="0"/>
      <w:marBottom w:val="0"/>
      <w:divBdr>
        <w:top w:val="none" w:sz="0" w:space="0" w:color="auto"/>
        <w:left w:val="none" w:sz="0" w:space="0" w:color="auto"/>
        <w:bottom w:val="none" w:sz="0" w:space="0" w:color="auto"/>
        <w:right w:val="none" w:sz="0" w:space="0" w:color="auto"/>
      </w:divBdr>
    </w:div>
    <w:div w:id="212075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hyperlink" Target="https://ec.europa.eu/clima/sites/clima/files/ets/reform/docs/c_2020_2835_en.pdf" TargetMode="Externa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header" Target="header6.xml"/><Relationship Id="rId42" Type="http://schemas.openxmlformats.org/officeDocument/2006/relationships/header" Target="header10.xml"/><Relationship Id="rId47" Type="http://schemas.openxmlformats.org/officeDocument/2006/relationships/footer" Target="footer12.xml"/><Relationship Id="rId50"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c.europa.eu/clima/policies/ets/pre2013_bg" TargetMode="External"/><Relationship Id="rId25" Type="http://schemas.openxmlformats.org/officeDocument/2006/relationships/chart" Target="charts/chart2.xml"/><Relationship Id="rId33" Type="http://schemas.openxmlformats.org/officeDocument/2006/relationships/footer" Target="footer5.xml"/><Relationship Id="rId38" Type="http://schemas.openxmlformats.org/officeDocument/2006/relationships/footer" Target="footer7.xml"/><Relationship Id="rId46"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s://ec.europa.eu/clima/policies/ets/pre2013_bg" TargetMode="External"/><Relationship Id="rId20" Type="http://schemas.openxmlformats.org/officeDocument/2006/relationships/hyperlink" Target="https://eur-lex.europa.eu/legal-content/BG/ALL/?uri=CELEX%3A32014D0746" TargetMode="External"/><Relationship Id="rId29" Type="http://schemas.openxmlformats.org/officeDocument/2006/relationships/image" Target="media/image6.emf"/><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ec.europa.eu/info/funding-tenders/opportunities/portal/screen/programmes/if" TargetMode="External"/><Relationship Id="rId32" Type="http://schemas.openxmlformats.org/officeDocument/2006/relationships/footer" Target="footer4.xml"/><Relationship Id="rId37" Type="http://schemas.openxmlformats.org/officeDocument/2006/relationships/header" Target="header8.xml"/><Relationship Id="rId40" Type="http://schemas.openxmlformats.org/officeDocument/2006/relationships/header" Target="header9.xml"/><Relationship Id="rId45"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5.png"/><Relationship Id="rId36" Type="http://schemas.openxmlformats.org/officeDocument/2006/relationships/header" Target="header7.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eur-lex.europa.eu/legal-content/BG/ALL/?uri=CELEX%3A32014D0746" TargetMode="External"/><Relationship Id="rId31" Type="http://schemas.openxmlformats.org/officeDocument/2006/relationships/header" Target="header5.xml"/><Relationship Id="rId44"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1.xml"/><Relationship Id="rId27" Type="http://schemas.openxmlformats.org/officeDocument/2006/relationships/hyperlink" Target="https://ec.europa.eu/clima/sites/clima/files/ets/reform/docs/c_2020_2835_en.pdf" TargetMode="External"/><Relationship Id="rId30" Type="http://schemas.openxmlformats.org/officeDocument/2006/relationships/header" Target="header4.xml"/><Relationship Id="rId35" Type="http://schemas.openxmlformats.org/officeDocument/2006/relationships/footer" Target="footer6.xml"/><Relationship Id="rId43" Type="http://schemas.openxmlformats.org/officeDocument/2006/relationships/header" Target="header11.xml"/><Relationship Id="rId48"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etendering.ted.europa.eu/cft/cft-display.html?cftId=6456&amp;locale=bg" TargetMode="External"/><Relationship Id="rId13" Type="http://schemas.openxmlformats.org/officeDocument/2006/relationships/hyperlink" Target="https://ec.europa.eu/competition/elojade/isef/case_details.cfm?proc_code=3_SA_56403" TargetMode="External"/><Relationship Id="rId18" Type="http://schemas.openxmlformats.org/officeDocument/2006/relationships/hyperlink" Target="https://eur-lex.europa.eu/legal-content/BG/TXT/?uri=CELEX%3A32018D2027" TargetMode="External"/><Relationship Id="rId3" Type="http://schemas.openxmlformats.org/officeDocument/2006/relationships/hyperlink" Target="%20https://ec.europa.eu/clima/sites/clima/files/ets/markets/docs/decision_201902_swiss_ets_linking.pdf" TargetMode="External"/><Relationship Id="rId21" Type="http://schemas.openxmlformats.org/officeDocument/2006/relationships/hyperlink" Target="https://eur-lex.europa.eu/legal-content/BG/TXT/?uri=CELEX:52019DC0557R(01)" TargetMode="External"/><Relationship Id="rId7" Type="http://schemas.openxmlformats.org/officeDocument/2006/relationships/hyperlink" Target="http://ec.europa.eu/clima/policies/ets/auctioning/documentation_en.htm" TargetMode="External"/><Relationship Id="rId12" Type="http://schemas.openxmlformats.org/officeDocument/2006/relationships/hyperlink" Target="https://ec.europa.eu/competition/elojade/isef/case_details.cfm?proc_code=3_SA_53850" TargetMode="External"/><Relationship Id="rId17" Type="http://schemas.openxmlformats.org/officeDocument/2006/relationships/hyperlink" Target="https://www.icao.int/environmental-protection/CORSIA/Pages/SARPs-Annex-16-Volume-IV.aspx" TargetMode="External"/><Relationship Id="rId2" Type="http://schemas.openxmlformats.org/officeDocument/2006/relationships/hyperlink" Target="https://ec.europa.eu/clima/sites/clima/files/ets/reform/docs/c_2020_2835_en.pdf" TargetMode="External"/><Relationship Id="rId16" Type="http://schemas.openxmlformats.org/officeDocument/2006/relationships/hyperlink" Target="https://ec.europa.eu/clima/sites/clima/files/ets/reform/docs/c_2020_2835_en.pdf" TargetMode="External"/><Relationship Id="rId20" Type="http://schemas.openxmlformats.org/officeDocument/2006/relationships/hyperlink" Target="https://ec.europa.eu/info/law/better-regulation/have-your-say/initiatives/12494-Revision-of-the-EU-Emission-Trading-System-Directive-concerning-aviation" TargetMode="External"/><Relationship Id="rId1" Type="http://schemas.openxmlformats.org/officeDocument/2006/relationships/hyperlink" Target="https://eur-lex.europa.eu/legal-content/BG/TXT/?uri=CELEX:52019DC0557R(01)" TargetMode="External"/><Relationship Id="rId6" Type="http://schemas.openxmlformats.org/officeDocument/2006/relationships/hyperlink" Target="https://eur-lex.europa.eu/legal-content/BG/TXT/HTML/?uri=CELEX:32019R1842&amp;qid=1605150453415&amp;from=EN" TargetMode="External"/><Relationship Id="rId11" Type="http://schemas.openxmlformats.org/officeDocument/2006/relationships/hyperlink" Target="https://eur-lex.europa.eu/legal-content/BG/TXT/HTML/?uri=CELEX:32020R1001&amp;qid=1605150847611&amp;from=EN" TargetMode="External"/><Relationship Id="rId5" Type="http://schemas.openxmlformats.org/officeDocument/2006/relationships/hyperlink" Target="https://eur-lex.europa.eu/legal-content/bg/TXT/PDF/?uri=OJ:L:2019:059:FULL&amp;from=bg" TargetMode="External"/><Relationship Id="rId15" Type="http://schemas.openxmlformats.org/officeDocument/2006/relationships/hyperlink" Target="http://eur-lex.europa.eu/legal-content/EN/TXT/?uri=uriserv:OJ.L_.2018.076.01.0003.01.ENG&amp;toc=OJ:L:2018:076:TOC" TargetMode="External"/><Relationship Id="rId23" Type="http://schemas.openxmlformats.org/officeDocument/2006/relationships/hyperlink" Target="https://ec.europa.eu/clima/sites/clima/files/ets/reform/docs/c_2019_3288_en.pdf" TargetMode="External"/><Relationship Id="rId10" Type="http://schemas.openxmlformats.org/officeDocument/2006/relationships/hyperlink" Target="https://ec.europa.eu/info/funding-tenders/opportunities/portal/screen/home" TargetMode="External"/><Relationship Id="rId19" Type="http://schemas.openxmlformats.org/officeDocument/2006/relationships/hyperlink" Target="https://eur-lex.europa.eu/legal-content/BG/TXT/?uri=CELEX:32017R2392" TargetMode="External"/><Relationship Id="rId4" Type="http://schemas.openxmlformats.org/officeDocument/2006/relationships/hyperlink" Target="https://eur-lex.europa.eu/legal-content/BG/TXT/PDF/?uri=OJ:L:2019:120:FULL&amp;from=BG" TargetMode="External"/><Relationship Id="rId9" Type="http://schemas.openxmlformats.org/officeDocument/2006/relationships/hyperlink" Target="https://ec.europa.eu/info/funding-tenders/opportunities/portal/screen/opportunities/topic-details/innovfund-lsc-2020-two-stage" TargetMode="External"/><Relationship Id="rId14" Type="http://schemas.openxmlformats.org/officeDocument/2006/relationships/hyperlink" Target="https://assets.publishing.service.gov.uk/government/uploads/system/uploads/attachment_data/file/903187/indirect-cost-compensation-uk-2019.pdf" TargetMode="External"/><Relationship Id="rId22" Type="http://schemas.openxmlformats.org/officeDocument/2006/relationships/hyperlink" Target="https://ec.europa.eu/clima/sites/clima/files/ets/reform/docs/c_2018_2801_en.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rusevmi\AppData\Local\Temp\1\Temp1_CLIMA-2020-80102-00-00-BG-FLA-00%20(1).ZIP\Figure%203_10c%20totals%20and%20SoP%202019.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rusevmi\AppData\Local\Temp\1\Temp1_CLIMA-2020-80102-00-00-BG-FLA-00%20(1).ZIP\CLIMA-2020-80102-00-00-EN-SRC-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5776944472217814E-2"/>
          <c:y val="3.6695428360999822E-2"/>
          <c:w val="0.76758068468524721"/>
          <c:h val="0.8805052446392253"/>
        </c:manualLayout>
      </c:layout>
      <c:barChart>
        <c:barDir val="col"/>
        <c:grouping val="stacked"/>
        <c:varyColors val="0"/>
        <c:ser>
          <c:idx val="0"/>
          <c:order val="0"/>
          <c:tx>
            <c:strRef>
              <c:f>'Fig.3 10c totals and 2019 SoP'!$C$3</c:f>
              <c:strCache>
                <c:ptCount val="1"/>
                <c:pt idx="0">
                  <c:v>BG</c:v>
                </c:pt>
              </c:strCache>
            </c:strRef>
          </c:tx>
          <c:invertIfNegative val="0"/>
          <c:cat>
            <c:numRef>
              <c:f>'Fig.3 10c totals and 2019 SoP'!$AQ$14:$AW$14</c:f>
              <c:numCache>
                <c:formatCode>General</c:formatCode>
                <c:ptCount val="7"/>
                <c:pt idx="0">
                  <c:v>2013</c:v>
                </c:pt>
                <c:pt idx="1">
                  <c:v>2014</c:v>
                </c:pt>
                <c:pt idx="2">
                  <c:v>2015</c:v>
                </c:pt>
                <c:pt idx="3">
                  <c:v>2016</c:v>
                </c:pt>
                <c:pt idx="4">
                  <c:v>2017</c:v>
                </c:pt>
                <c:pt idx="5">
                  <c:v>2018</c:v>
                </c:pt>
                <c:pt idx="6">
                  <c:v>2019</c:v>
                </c:pt>
              </c:numCache>
            </c:numRef>
          </c:cat>
          <c:val>
            <c:numRef>
              <c:f>'Fig.3 10c totals and 2019 SoP'!$AQ$22:$AW$22</c:f>
              <c:numCache>
                <c:formatCode>General</c:formatCode>
                <c:ptCount val="7"/>
                <c:pt idx="0">
                  <c:v>11009416</c:v>
                </c:pt>
                <c:pt idx="1">
                  <c:v>9779243</c:v>
                </c:pt>
                <c:pt idx="2">
                  <c:v>8259680</c:v>
                </c:pt>
                <c:pt idx="3">
                  <c:v>6593238</c:v>
                </c:pt>
                <c:pt idx="4">
                  <c:v>3812436</c:v>
                </c:pt>
                <c:pt idx="5" formatCode="@">
                  <c:v>2471297</c:v>
                </c:pt>
                <c:pt idx="6">
                  <c:v>1948441</c:v>
                </c:pt>
              </c:numCache>
            </c:numRef>
          </c:val>
          <c:extLst xmlns:c16r2="http://schemas.microsoft.com/office/drawing/2015/06/chart">
            <c:ext xmlns:c16="http://schemas.microsoft.com/office/drawing/2014/chart" uri="{C3380CC4-5D6E-409C-BE32-E72D297353CC}">
              <c16:uniqueId val="{00000000-2DD4-4A8C-BA2E-6EB844348EF9}"/>
            </c:ext>
          </c:extLst>
        </c:ser>
        <c:ser>
          <c:idx val="1"/>
          <c:order val="1"/>
          <c:tx>
            <c:strRef>
              <c:f>'Fig.3 10c totals and 2019 SoP'!$C$4</c:f>
              <c:strCache>
                <c:ptCount val="1"/>
                <c:pt idx="0">
                  <c:v>CY</c:v>
                </c:pt>
              </c:strCache>
            </c:strRef>
          </c:tx>
          <c:invertIfNegative val="0"/>
          <c:cat>
            <c:numRef>
              <c:f>'Fig.3 10c totals and 2019 SoP'!$AQ$14:$AW$14</c:f>
              <c:numCache>
                <c:formatCode>General</c:formatCode>
                <c:ptCount val="7"/>
                <c:pt idx="0">
                  <c:v>2013</c:v>
                </c:pt>
                <c:pt idx="1">
                  <c:v>2014</c:v>
                </c:pt>
                <c:pt idx="2">
                  <c:v>2015</c:v>
                </c:pt>
                <c:pt idx="3">
                  <c:v>2016</c:v>
                </c:pt>
                <c:pt idx="4">
                  <c:v>2017</c:v>
                </c:pt>
                <c:pt idx="5">
                  <c:v>2018</c:v>
                </c:pt>
                <c:pt idx="6">
                  <c:v>2019</c:v>
                </c:pt>
              </c:numCache>
            </c:numRef>
          </c:cat>
          <c:val>
            <c:numRef>
              <c:f>'Fig.3 10c totals and 2019 SoP'!$AQ$21:$AW$21</c:f>
              <c:numCache>
                <c:formatCode>General</c:formatCode>
                <c:ptCount val="7"/>
                <c:pt idx="0">
                  <c:v>2519077</c:v>
                </c:pt>
                <c:pt idx="1">
                  <c:v>2195195</c:v>
                </c:pt>
                <c:pt idx="2">
                  <c:v>1907302</c:v>
                </c:pt>
                <c:pt idx="3">
                  <c:v>1583420</c:v>
                </c:pt>
                <c:pt idx="4">
                  <c:v>1259538</c:v>
                </c:pt>
                <c:pt idx="5" formatCode="@">
                  <c:v>935657</c:v>
                </c:pt>
                <c:pt idx="6">
                  <c:v>575789</c:v>
                </c:pt>
              </c:numCache>
            </c:numRef>
          </c:val>
          <c:extLst xmlns:c16r2="http://schemas.microsoft.com/office/drawing/2015/06/chart">
            <c:ext xmlns:c16="http://schemas.microsoft.com/office/drawing/2014/chart" uri="{C3380CC4-5D6E-409C-BE32-E72D297353CC}">
              <c16:uniqueId val="{00000001-2DD4-4A8C-BA2E-6EB844348EF9}"/>
            </c:ext>
          </c:extLst>
        </c:ser>
        <c:ser>
          <c:idx val="2"/>
          <c:order val="2"/>
          <c:tx>
            <c:strRef>
              <c:f>'Fig.3 10c totals and 2019 SoP'!$C$5</c:f>
              <c:strCache>
                <c:ptCount val="1"/>
                <c:pt idx="0">
                  <c:v>CZ</c:v>
                </c:pt>
              </c:strCache>
            </c:strRef>
          </c:tx>
          <c:invertIfNegative val="0"/>
          <c:cat>
            <c:numRef>
              <c:f>'Fig.3 10c totals and 2019 SoP'!$AQ$14:$AW$14</c:f>
              <c:numCache>
                <c:formatCode>General</c:formatCode>
                <c:ptCount val="7"/>
                <c:pt idx="0">
                  <c:v>2013</c:v>
                </c:pt>
                <c:pt idx="1">
                  <c:v>2014</c:v>
                </c:pt>
                <c:pt idx="2">
                  <c:v>2015</c:v>
                </c:pt>
                <c:pt idx="3">
                  <c:v>2016</c:v>
                </c:pt>
                <c:pt idx="4">
                  <c:v>2017</c:v>
                </c:pt>
                <c:pt idx="5">
                  <c:v>2018</c:v>
                </c:pt>
                <c:pt idx="6">
                  <c:v>2019</c:v>
                </c:pt>
              </c:numCache>
            </c:numRef>
          </c:cat>
          <c:val>
            <c:numRef>
              <c:f>'Fig.3 10c totals and 2019 SoP'!$AQ$20:$AW$20</c:f>
              <c:numCache>
                <c:formatCode>General</c:formatCode>
                <c:ptCount val="7"/>
                <c:pt idx="0">
                  <c:v>25285353</c:v>
                </c:pt>
                <c:pt idx="1">
                  <c:v>22383398</c:v>
                </c:pt>
                <c:pt idx="2">
                  <c:v>20623005</c:v>
                </c:pt>
                <c:pt idx="3">
                  <c:v>15831329</c:v>
                </c:pt>
                <c:pt idx="4">
                  <c:v>11681994</c:v>
                </c:pt>
                <c:pt idx="5" formatCode="@">
                  <c:v>7661840</c:v>
                </c:pt>
                <c:pt idx="6">
                  <c:v>3830905</c:v>
                </c:pt>
              </c:numCache>
            </c:numRef>
          </c:val>
          <c:extLst xmlns:c16r2="http://schemas.microsoft.com/office/drawing/2015/06/chart">
            <c:ext xmlns:c16="http://schemas.microsoft.com/office/drawing/2014/chart" uri="{C3380CC4-5D6E-409C-BE32-E72D297353CC}">
              <c16:uniqueId val="{00000002-2DD4-4A8C-BA2E-6EB844348EF9}"/>
            </c:ext>
          </c:extLst>
        </c:ser>
        <c:ser>
          <c:idx val="3"/>
          <c:order val="3"/>
          <c:tx>
            <c:strRef>
              <c:f>'Fig.3 10c totals and 2019 SoP'!$C$6</c:f>
              <c:strCache>
                <c:ptCount val="1"/>
                <c:pt idx="0">
                  <c:v>EE</c:v>
                </c:pt>
              </c:strCache>
            </c:strRef>
          </c:tx>
          <c:invertIfNegative val="0"/>
          <c:cat>
            <c:numRef>
              <c:f>'Fig.3 10c totals and 2019 SoP'!$AQ$14:$AW$14</c:f>
              <c:numCache>
                <c:formatCode>General</c:formatCode>
                <c:ptCount val="7"/>
                <c:pt idx="0">
                  <c:v>2013</c:v>
                </c:pt>
                <c:pt idx="1">
                  <c:v>2014</c:v>
                </c:pt>
                <c:pt idx="2">
                  <c:v>2015</c:v>
                </c:pt>
                <c:pt idx="3">
                  <c:v>2016</c:v>
                </c:pt>
                <c:pt idx="4">
                  <c:v>2017</c:v>
                </c:pt>
                <c:pt idx="5">
                  <c:v>2018</c:v>
                </c:pt>
                <c:pt idx="6">
                  <c:v>2019</c:v>
                </c:pt>
              </c:numCache>
            </c:numRef>
          </c:cat>
          <c:val>
            <c:numRef>
              <c:f>'Fig.3 10c totals and 2019 SoP'!$AQ$19:$AW$19</c:f>
              <c:numCache>
                <c:formatCode>General</c:formatCode>
                <c:ptCount val="7"/>
                <c:pt idx="0">
                  <c:v>5135166</c:v>
                </c:pt>
                <c:pt idx="1">
                  <c:v>4401568</c:v>
                </c:pt>
                <c:pt idx="2">
                  <c:v>3667975</c:v>
                </c:pt>
                <c:pt idx="3">
                  <c:v>2934380</c:v>
                </c:pt>
                <c:pt idx="4">
                  <c:v>2055614</c:v>
                </c:pt>
                <c:pt idx="5" formatCode="@">
                  <c:v>38939</c:v>
                </c:pt>
                <c:pt idx="6">
                  <c:v>19471</c:v>
                </c:pt>
              </c:numCache>
            </c:numRef>
          </c:val>
          <c:extLst xmlns:c16r2="http://schemas.microsoft.com/office/drawing/2015/06/chart">
            <c:ext xmlns:c16="http://schemas.microsoft.com/office/drawing/2014/chart" uri="{C3380CC4-5D6E-409C-BE32-E72D297353CC}">
              <c16:uniqueId val="{00000003-2DD4-4A8C-BA2E-6EB844348EF9}"/>
            </c:ext>
          </c:extLst>
        </c:ser>
        <c:ser>
          <c:idx val="4"/>
          <c:order val="4"/>
          <c:tx>
            <c:strRef>
              <c:f>'Fig.3 10c totals and 2019 SoP'!$C$7</c:f>
              <c:strCache>
                <c:ptCount val="1"/>
                <c:pt idx="0">
                  <c:v>HU</c:v>
                </c:pt>
              </c:strCache>
            </c:strRef>
          </c:tx>
          <c:invertIfNegative val="0"/>
          <c:cat>
            <c:numRef>
              <c:f>'Fig.3 10c totals and 2019 SoP'!$AQ$14:$AW$14</c:f>
              <c:numCache>
                <c:formatCode>General</c:formatCode>
                <c:ptCount val="7"/>
                <c:pt idx="0">
                  <c:v>2013</c:v>
                </c:pt>
                <c:pt idx="1">
                  <c:v>2014</c:v>
                </c:pt>
                <c:pt idx="2">
                  <c:v>2015</c:v>
                </c:pt>
                <c:pt idx="3">
                  <c:v>2016</c:v>
                </c:pt>
                <c:pt idx="4">
                  <c:v>2017</c:v>
                </c:pt>
                <c:pt idx="5">
                  <c:v>2018</c:v>
                </c:pt>
                <c:pt idx="6">
                  <c:v>2019</c:v>
                </c:pt>
              </c:numCache>
            </c:numRef>
          </c:cat>
          <c:val>
            <c:numRef>
              <c:f>'Fig.3 10c totals and 2019 SoP'!$AQ$18:$AW$18</c:f>
              <c:numCache>
                <c:formatCode>General</c:formatCode>
                <c:ptCount val="7"/>
                <c:pt idx="0">
                  <c:v>7047255</c:v>
                </c:pt>
                <c:pt idx="1">
                  <c:v>0</c:v>
                </c:pt>
                <c:pt idx="2">
                  <c:v>0</c:v>
                </c:pt>
                <c:pt idx="3">
                  <c:v>0</c:v>
                </c:pt>
                <c:pt idx="4">
                  <c:v>0</c:v>
                </c:pt>
                <c:pt idx="5" formatCode="@">
                  <c:v>0</c:v>
                </c:pt>
                <c:pt idx="6">
                  <c:v>0</c:v>
                </c:pt>
              </c:numCache>
            </c:numRef>
          </c:val>
          <c:extLst xmlns:c16r2="http://schemas.microsoft.com/office/drawing/2015/06/chart">
            <c:ext xmlns:c16="http://schemas.microsoft.com/office/drawing/2014/chart" uri="{C3380CC4-5D6E-409C-BE32-E72D297353CC}">
              <c16:uniqueId val="{00000004-2DD4-4A8C-BA2E-6EB844348EF9}"/>
            </c:ext>
          </c:extLst>
        </c:ser>
        <c:ser>
          <c:idx val="5"/>
          <c:order val="5"/>
          <c:tx>
            <c:strRef>
              <c:f>'Fig.3 10c totals and 2019 SoP'!$C$8</c:f>
              <c:strCache>
                <c:ptCount val="1"/>
                <c:pt idx="0">
                  <c:v>LT</c:v>
                </c:pt>
              </c:strCache>
            </c:strRef>
          </c:tx>
          <c:invertIfNegative val="0"/>
          <c:cat>
            <c:numRef>
              <c:f>'Fig.3 10c totals and 2019 SoP'!$AQ$14:$AW$14</c:f>
              <c:numCache>
                <c:formatCode>General</c:formatCode>
                <c:ptCount val="7"/>
                <c:pt idx="0">
                  <c:v>2013</c:v>
                </c:pt>
                <c:pt idx="1">
                  <c:v>2014</c:v>
                </c:pt>
                <c:pt idx="2">
                  <c:v>2015</c:v>
                </c:pt>
                <c:pt idx="3">
                  <c:v>2016</c:v>
                </c:pt>
                <c:pt idx="4">
                  <c:v>2017</c:v>
                </c:pt>
                <c:pt idx="5">
                  <c:v>2018</c:v>
                </c:pt>
                <c:pt idx="6">
                  <c:v>2019</c:v>
                </c:pt>
              </c:numCache>
            </c:numRef>
          </c:cat>
          <c:val>
            <c:numRef>
              <c:f>'Fig.3 10c totals and 2019 SoP'!$AQ$17:$AW$17</c:f>
              <c:numCache>
                <c:formatCode>General</c:formatCode>
                <c:ptCount val="7"/>
                <c:pt idx="0">
                  <c:v>322449</c:v>
                </c:pt>
                <c:pt idx="1">
                  <c:v>297113</c:v>
                </c:pt>
                <c:pt idx="2">
                  <c:v>269475</c:v>
                </c:pt>
                <c:pt idx="3">
                  <c:v>237230</c:v>
                </c:pt>
                <c:pt idx="4">
                  <c:v>200379</c:v>
                </c:pt>
                <c:pt idx="5" formatCode="@">
                  <c:v>158922</c:v>
                </c:pt>
                <c:pt idx="6">
                  <c:v>94432</c:v>
                </c:pt>
              </c:numCache>
            </c:numRef>
          </c:val>
          <c:extLst xmlns:c16r2="http://schemas.microsoft.com/office/drawing/2015/06/chart">
            <c:ext xmlns:c16="http://schemas.microsoft.com/office/drawing/2014/chart" uri="{C3380CC4-5D6E-409C-BE32-E72D297353CC}">
              <c16:uniqueId val="{00000005-2DD4-4A8C-BA2E-6EB844348EF9}"/>
            </c:ext>
          </c:extLst>
        </c:ser>
        <c:ser>
          <c:idx val="6"/>
          <c:order val="6"/>
          <c:tx>
            <c:strRef>
              <c:f>'Fig.3 10c totals and 2019 SoP'!$C$9</c:f>
              <c:strCache>
                <c:ptCount val="1"/>
                <c:pt idx="0">
                  <c:v>PL</c:v>
                </c:pt>
              </c:strCache>
            </c:strRef>
          </c:tx>
          <c:invertIfNegative val="0"/>
          <c:cat>
            <c:numRef>
              <c:f>'Fig.3 10c totals and 2019 SoP'!$AQ$14:$AW$14</c:f>
              <c:numCache>
                <c:formatCode>General</c:formatCode>
                <c:ptCount val="7"/>
                <c:pt idx="0">
                  <c:v>2013</c:v>
                </c:pt>
                <c:pt idx="1">
                  <c:v>2014</c:v>
                </c:pt>
                <c:pt idx="2">
                  <c:v>2015</c:v>
                </c:pt>
                <c:pt idx="3">
                  <c:v>2016</c:v>
                </c:pt>
                <c:pt idx="4">
                  <c:v>2017</c:v>
                </c:pt>
                <c:pt idx="5">
                  <c:v>2018</c:v>
                </c:pt>
                <c:pt idx="6">
                  <c:v>2019</c:v>
                </c:pt>
              </c:numCache>
            </c:numRef>
          </c:cat>
          <c:val>
            <c:numRef>
              <c:f>'Fig.3 10c totals and 2019 SoP'!$AQ$16:$AW$16</c:f>
              <c:numCache>
                <c:formatCode>General</c:formatCode>
                <c:ptCount val="7"/>
                <c:pt idx="0">
                  <c:v>65992703</c:v>
                </c:pt>
                <c:pt idx="1">
                  <c:v>52826465</c:v>
                </c:pt>
                <c:pt idx="2">
                  <c:v>43594320</c:v>
                </c:pt>
                <c:pt idx="3">
                  <c:v>31621148</c:v>
                </c:pt>
                <c:pt idx="4">
                  <c:v>21752908</c:v>
                </c:pt>
                <c:pt idx="5" formatCode="@">
                  <c:v>31942281</c:v>
                </c:pt>
                <c:pt idx="6">
                  <c:v>16912108</c:v>
                </c:pt>
              </c:numCache>
            </c:numRef>
          </c:val>
          <c:extLst xmlns:c16r2="http://schemas.microsoft.com/office/drawing/2015/06/chart">
            <c:ext xmlns:c16="http://schemas.microsoft.com/office/drawing/2014/chart" uri="{C3380CC4-5D6E-409C-BE32-E72D297353CC}">
              <c16:uniqueId val="{00000006-2DD4-4A8C-BA2E-6EB844348EF9}"/>
            </c:ext>
          </c:extLst>
        </c:ser>
        <c:ser>
          <c:idx val="7"/>
          <c:order val="7"/>
          <c:tx>
            <c:strRef>
              <c:f>'Fig.3 10c totals and 2019 SoP'!$C$10</c:f>
              <c:strCache>
                <c:ptCount val="1"/>
                <c:pt idx="0">
                  <c:v>RO</c:v>
                </c:pt>
              </c:strCache>
            </c:strRef>
          </c:tx>
          <c:invertIfNegative val="0"/>
          <c:cat>
            <c:numRef>
              <c:f>'Fig.3 10c totals and 2019 SoP'!$AQ$14:$AW$14</c:f>
              <c:numCache>
                <c:formatCode>General</c:formatCode>
                <c:ptCount val="7"/>
                <c:pt idx="0">
                  <c:v>2013</c:v>
                </c:pt>
                <c:pt idx="1">
                  <c:v>2014</c:v>
                </c:pt>
                <c:pt idx="2">
                  <c:v>2015</c:v>
                </c:pt>
                <c:pt idx="3">
                  <c:v>2016</c:v>
                </c:pt>
                <c:pt idx="4">
                  <c:v>2017</c:v>
                </c:pt>
                <c:pt idx="5">
                  <c:v>2018</c:v>
                </c:pt>
                <c:pt idx="6">
                  <c:v>2019</c:v>
                </c:pt>
              </c:numCache>
            </c:numRef>
          </c:cat>
          <c:val>
            <c:numRef>
              <c:f>'Fig.3 10c totals and 2019 SoP'!$AQ$15:$AW$15</c:f>
              <c:numCache>
                <c:formatCode>General</c:formatCode>
                <c:ptCount val="7"/>
                <c:pt idx="0">
                  <c:v>15748011</c:v>
                </c:pt>
                <c:pt idx="1">
                  <c:v>8591461</c:v>
                </c:pt>
                <c:pt idx="2">
                  <c:v>9210797</c:v>
                </c:pt>
                <c:pt idx="3">
                  <c:v>7189961</c:v>
                </c:pt>
                <c:pt idx="4">
                  <c:v>6222255</c:v>
                </c:pt>
                <c:pt idx="5" formatCode="@">
                  <c:v>3778439</c:v>
                </c:pt>
                <c:pt idx="6">
                  <c:v>1723016</c:v>
                </c:pt>
              </c:numCache>
            </c:numRef>
          </c:val>
          <c:extLst xmlns:c16r2="http://schemas.microsoft.com/office/drawing/2015/06/chart">
            <c:ext xmlns:c16="http://schemas.microsoft.com/office/drawing/2014/chart" uri="{C3380CC4-5D6E-409C-BE32-E72D297353CC}">
              <c16:uniqueId val="{00000007-2DD4-4A8C-BA2E-6EB844348EF9}"/>
            </c:ext>
          </c:extLst>
        </c:ser>
        <c:dLbls>
          <c:showLegendKey val="0"/>
          <c:showVal val="0"/>
          <c:showCatName val="0"/>
          <c:showSerName val="0"/>
          <c:showPercent val="0"/>
          <c:showBubbleSize val="0"/>
        </c:dLbls>
        <c:gapWidth val="150"/>
        <c:overlap val="100"/>
        <c:axId val="97854592"/>
        <c:axId val="97856128"/>
      </c:barChart>
      <c:lineChart>
        <c:grouping val="standard"/>
        <c:varyColors val="0"/>
        <c:ser>
          <c:idx val="8"/>
          <c:order val="8"/>
          <c:tx>
            <c:v>Max</c:v>
          </c:tx>
          <c:spPr>
            <a:ln cap="sq">
              <a:solidFill>
                <a:schemeClr val="tx1">
                  <a:lumMod val="50000"/>
                  <a:lumOff val="50000"/>
                </a:schemeClr>
              </a:solidFill>
              <a:prstDash val="dash"/>
            </a:ln>
          </c:spPr>
          <c:marker>
            <c:symbol val="none"/>
          </c:marker>
          <c:cat>
            <c:numRef>
              <c:f>'Fig.3 10c totals and 2019 SoP'!$AQ$14:$AW$14</c:f>
              <c:numCache>
                <c:formatCode>General</c:formatCode>
                <c:ptCount val="7"/>
                <c:pt idx="0">
                  <c:v>2013</c:v>
                </c:pt>
                <c:pt idx="1">
                  <c:v>2014</c:v>
                </c:pt>
                <c:pt idx="2">
                  <c:v>2015</c:v>
                </c:pt>
                <c:pt idx="3">
                  <c:v>2016</c:v>
                </c:pt>
                <c:pt idx="4">
                  <c:v>2017</c:v>
                </c:pt>
                <c:pt idx="5">
                  <c:v>2018</c:v>
                </c:pt>
                <c:pt idx="6">
                  <c:v>2019</c:v>
                </c:pt>
              </c:numCache>
            </c:numRef>
          </c:cat>
          <c:val>
            <c:numRef>
              <c:f>'Fig.3 10c totals and 2019 SoP'!$AQ$23:$AW$23</c:f>
              <c:numCache>
                <c:formatCode>#,##0</c:formatCode>
                <c:ptCount val="7"/>
                <c:pt idx="0">
                  <c:v>151565434</c:v>
                </c:pt>
                <c:pt idx="1">
                  <c:v>129504488</c:v>
                </c:pt>
                <c:pt idx="2">
                  <c:v>114522628</c:v>
                </c:pt>
                <c:pt idx="3">
                  <c:v>98384792</c:v>
                </c:pt>
                <c:pt idx="4">
                  <c:v>81126965</c:v>
                </c:pt>
                <c:pt idx="5" formatCode="_-* #,##0_-;\-* #,##0_-;_-* &quot;-&quot;??_-;_-@_-">
                  <c:v>62749153.461532399</c:v>
                </c:pt>
                <c:pt idx="6" formatCode="General">
                  <c:v>42070421</c:v>
                </c:pt>
              </c:numCache>
            </c:numRef>
          </c:val>
          <c:smooth val="0"/>
          <c:extLst xmlns:c16r2="http://schemas.microsoft.com/office/drawing/2015/06/chart">
            <c:ext xmlns:c16="http://schemas.microsoft.com/office/drawing/2014/chart" uri="{C3380CC4-5D6E-409C-BE32-E72D297353CC}">
              <c16:uniqueId val="{00000008-2DD4-4A8C-BA2E-6EB844348EF9}"/>
            </c:ext>
          </c:extLst>
        </c:ser>
        <c:dLbls>
          <c:showLegendKey val="0"/>
          <c:showVal val="0"/>
          <c:showCatName val="0"/>
          <c:showSerName val="0"/>
          <c:showPercent val="0"/>
          <c:showBubbleSize val="0"/>
        </c:dLbls>
        <c:marker val="1"/>
        <c:smooth val="0"/>
        <c:axId val="97872128"/>
        <c:axId val="97870592"/>
      </c:lineChart>
      <c:catAx>
        <c:axId val="97854592"/>
        <c:scaling>
          <c:orientation val="minMax"/>
        </c:scaling>
        <c:delete val="0"/>
        <c:axPos val="b"/>
        <c:numFmt formatCode="General" sourceLinked="1"/>
        <c:majorTickMark val="out"/>
        <c:minorTickMark val="none"/>
        <c:tickLblPos val="nextTo"/>
        <c:crossAx val="97856128"/>
        <c:crosses val="autoZero"/>
        <c:auto val="1"/>
        <c:lblAlgn val="ctr"/>
        <c:lblOffset val="100"/>
        <c:noMultiLvlLbl val="0"/>
      </c:catAx>
      <c:valAx>
        <c:axId val="97856128"/>
        <c:scaling>
          <c:orientation val="minMax"/>
          <c:max val="160000000"/>
        </c:scaling>
        <c:delete val="0"/>
        <c:axPos val="l"/>
        <c:majorGridlines/>
        <c:numFmt formatCode="General" sourceLinked="1"/>
        <c:majorTickMark val="out"/>
        <c:minorTickMark val="none"/>
        <c:tickLblPos val="nextTo"/>
        <c:crossAx val="97854592"/>
        <c:crosses val="autoZero"/>
        <c:crossBetween val="between"/>
        <c:dispUnits>
          <c:builtInUnit val="millions"/>
          <c:dispUnitsLbl>
            <c:tx>
              <c:rich>
                <a:bodyPr/>
                <a:lstStyle/>
                <a:p>
                  <a:pPr>
                    <a:defRPr/>
                  </a:pPr>
                  <a:r>
                    <a:rPr lang="bg-BG"/>
                    <a:t>млн.</a:t>
                  </a:r>
                  <a:endParaRPr lang="el-GR"/>
                </a:p>
              </c:rich>
            </c:tx>
          </c:dispUnitsLbl>
        </c:dispUnits>
      </c:valAx>
      <c:valAx>
        <c:axId val="97870592"/>
        <c:scaling>
          <c:orientation val="minMax"/>
        </c:scaling>
        <c:delete val="1"/>
        <c:axPos val="r"/>
        <c:numFmt formatCode="#,##0" sourceLinked="1"/>
        <c:majorTickMark val="out"/>
        <c:minorTickMark val="none"/>
        <c:tickLblPos val="nextTo"/>
        <c:crossAx val="97872128"/>
        <c:crosses val="max"/>
        <c:crossBetween val="between"/>
      </c:valAx>
      <c:catAx>
        <c:axId val="97872128"/>
        <c:scaling>
          <c:orientation val="minMax"/>
        </c:scaling>
        <c:delete val="1"/>
        <c:axPos val="b"/>
        <c:numFmt formatCode="General" sourceLinked="1"/>
        <c:majorTickMark val="out"/>
        <c:minorTickMark val="none"/>
        <c:tickLblPos val="nextTo"/>
        <c:crossAx val="97870592"/>
        <c:crosses val="autoZero"/>
        <c:auto val="1"/>
        <c:lblAlgn val="ctr"/>
        <c:lblOffset val="100"/>
        <c:noMultiLvlLbl val="0"/>
      </c:cat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 surplus chart'!$A$2</c:f>
              <c:strCache>
                <c:ptCount val="1"/>
                <c:pt idx="0">
                  <c:v>Излишък</c:v>
                </c:pt>
              </c:strCache>
            </c:strRef>
          </c:tx>
          <c:spPr>
            <a:solidFill>
              <a:schemeClr val="accent1"/>
            </a:solidFill>
            <a:ln>
              <a:noFill/>
            </a:ln>
            <a:effectLst/>
          </c:spPr>
          <c:invertIfNegative val="0"/>
          <c:cat>
            <c:numRef>
              <c:f>'1- surplus chart'!$B$1:$H$1</c:f>
              <c:numCache>
                <c:formatCode>General</c:formatCode>
                <c:ptCount val="7"/>
                <c:pt idx="0">
                  <c:v>2013</c:v>
                </c:pt>
                <c:pt idx="1">
                  <c:v>2014</c:v>
                </c:pt>
                <c:pt idx="2">
                  <c:v>2015</c:v>
                </c:pt>
                <c:pt idx="3">
                  <c:v>2016</c:v>
                </c:pt>
                <c:pt idx="4">
                  <c:v>2017</c:v>
                </c:pt>
                <c:pt idx="5">
                  <c:v>2018</c:v>
                </c:pt>
                <c:pt idx="6">
                  <c:v>2019</c:v>
                </c:pt>
              </c:numCache>
            </c:numRef>
          </c:cat>
          <c:val>
            <c:numRef>
              <c:f>'1- surplus chart'!$B$2:$H$2</c:f>
              <c:numCache>
                <c:formatCode>#,##0</c:formatCode>
                <c:ptCount val="7"/>
                <c:pt idx="0">
                  <c:v>2084787900</c:v>
                </c:pt>
                <c:pt idx="1">
                  <c:v>2093383593</c:v>
                </c:pt>
                <c:pt idx="2">
                  <c:v>1818041895</c:v>
                </c:pt>
                <c:pt idx="3">
                  <c:v>1684569981</c:v>
                </c:pt>
                <c:pt idx="4">
                  <c:v>1654574598</c:v>
                </c:pt>
                <c:pt idx="5">
                  <c:v>1654909824</c:v>
                </c:pt>
                <c:pt idx="6" formatCode="General">
                  <c:v>1385496166</c:v>
                </c:pt>
              </c:numCache>
            </c:numRef>
          </c:val>
          <c:extLst xmlns:c16r2="http://schemas.microsoft.com/office/drawing/2015/06/chart">
            <c:ext xmlns:c16="http://schemas.microsoft.com/office/drawing/2014/chart" uri="{C3380CC4-5D6E-409C-BE32-E72D297353CC}">
              <c16:uniqueId val="{00000000-F9BE-49C2-B11E-923C4FBE8F56}"/>
            </c:ext>
          </c:extLst>
        </c:ser>
        <c:dLbls>
          <c:showLegendKey val="0"/>
          <c:showVal val="0"/>
          <c:showCatName val="0"/>
          <c:showSerName val="0"/>
          <c:showPercent val="0"/>
          <c:showBubbleSize val="0"/>
        </c:dLbls>
        <c:gapWidth val="219"/>
        <c:overlap val="-27"/>
        <c:axId val="98079488"/>
        <c:axId val="98081024"/>
      </c:barChart>
      <c:catAx>
        <c:axId val="98079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081024"/>
        <c:crosses val="autoZero"/>
        <c:auto val="1"/>
        <c:lblAlgn val="ctr"/>
        <c:lblOffset val="100"/>
        <c:noMultiLvlLbl val="0"/>
      </c:catAx>
      <c:valAx>
        <c:axId val="9808102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079488"/>
        <c:crosses val="autoZero"/>
        <c:crossBetween val="between"/>
        <c:dispUnits>
          <c:builtInUnit val="b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bg-BG"/>
                    <a:t>милиарда</a:t>
                  </a:r>
                  <a:endParaRPr lang="el-GR"/>
                </a:p>
              </c:rich>
            </c:tx>
            <c:spPr>
              <a:noFill/>
              <a:ln>
                <a:noFill/>
              </a:ln>
              <a:effectLst/>
            </c:spPr>
          </c:dispUnitsLbl>
        </c:dispUnits>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chemeClr val="bg1">
            <a:lumMod val="85000"/>
          </a:schemeClr>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CE4CA-DAB9-4D38-88A2-692CE0AF8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14675</Words>
  <Characters>76165</Characters>
  <Application>Microsoft Office Word</Application>
  <DocSecurity>0</DocSecurity>
  <Lines>3311</Lines>
  <Paragraphs>2112</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Manager/>
  <Company/>
  <LinksUpToDate>false</LinksUpToDate>
  <CharactersWithSpaces>88728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25</cp:revision>
  <cp:lastPrinted>2018-11-08T09:30:00Z</cp:lastPrinted>
  <dcterms:created xsi:type="dcterms:W3CDTF">2020-11-12T09:40:00Z</dcterms:created>
  <dcterms:modified xsi:type="dcterms:W3CDTF">2020-11-13T12:16:00Z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_DocHome">
    <vt:i4>-1319363200</vt:i4>
  </property>
  <property fmtid="{D5CDD505-2E9C-101B-9397-08002B2CF9AE}" pid="8" name="Created using">
    <vt:lpwstr>LW 6.0.1, Build 20180503</vt:lpwstr>
  </property>
  <property fmtid="{D5CDD505-2E9C-101B-9397-08002B2CF9AE}" pid="9" name="CPTemplateID">
    <vt:lpwstr>CP-006</vt:lpwstr>
  </property>
  <property fmtid="{D5CDD505-2E9C-101B-9397-08002B2CF9AE}" pid="10" name="TitusGUID">
    <vt:lpwstr>5cf759e1-5ddc-4581-ad6d-8fdc99e4c60a</vt:lpwstr>
  </property>
</Properties>
</file>