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0F379C-338C-48F6-B7FB-38592A60621C" style="width:450.35pt;height:352.5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sufficient and uninterrupted supplies of certain agricultural and industrial products which are insufficiently produced or not produced at all in the Union and to avoid any disturbances on the market for these products, some autonomous Common Customs Tariff duties have been partially or totally suspended by Council Regulation (EU) No 1387/2013 (hereinafter "the Regulation").</w:t>
      </w:r>
    </w:p>
    <w:p>
      <w:pPr>
        <w:rPr>
          <w:noProof/>
        </w:rPr>
      </w:pPr>
      <w:r>
        <w:rPr>
          <w:noProof/>
        </w:rPr>
        <w:t>The Regulation is updated every six months to accommodate the needs of Union industry. The Commission, assisted by the Economic Tariff Questions Group, has reviewed all requests from the Member States for autonomous tariff suspensions.</w:t>
      </w:r>
    </w:p>
    <w:p>
      <w:pPr>
        <w:rPr>
          <w:noProof/>
        </w:rPr>
      </w:pPr>
      <w:r>
        <w:rPr>
          <w:noProof/>
        </w:rPr>
        <w:t>Following this review, the Commission considers that the suspension of duties is justified for some new products, currently not listed in the Annex of the Regulation. In relation to some other products, it is necessary to modify the conditions in terms of product description, classification, duty rates, end-use requirement or date foreseen for mandatory review. Products for which a tariff suspension is no longer in the Union's economic interest are proposed to be withdrawn.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in line with Union policies in the area of agriculture, trade, enterprise, environment, development and external relations.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rFonts w:eastAsia="Calibri"/>
          <w:noProof/>
          <w:szCs w:val="24"/>
          <w:lang w:eastAsia="en-GB"/>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
          <w:noProof/>
        </w:rPr>
        <w:footnoteReference w:id="2"/>
      </w:r>
      <w:r>
        <w:rPr>
          <w:rFonts w:eastAsia="Calibri"/>
          <w:noProof/>
          <w:szCs w:val="24"/>
          <w:lang w:eastAsia="en-GB"/>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rPr>
          <w:noProof/>
        </w:rPr>
      </w:pPr>
      <w:r>
        <w:rPr>
          <w:noProof/>
        </w:rPr>
        <w:t>By virtue of Article 31 of the TFEU, "Common Customs Tariff duties shall be fixed by the Council on a proposal from the Commission". Therefore, a Council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autonomous suspensions scheme was subject to an evaluation study carried out in 2013. The evaluation concluded that the core rationale for the scheme remains valid. The cost savings for EU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lang w:eastAsia="en-GB"/>
        </w:rPr>
      </w:pPr>
      <w:r>
        <w:rPr>
          <w:rFonts w:eastAsia="Calibri"/>
          <w:noProof/>
          <w:lang w:eastAsia="en-GB"/>
        </w:rPr>
        <w:t>The Economic Tariff Questions Group, which consists of delegations from all Member States plus Turkey, assisted the Commission to assess this proposal. The group met three times before agreeing the changes in this proposal.</w:t>
      </w:r>
    </w:p>
    <w:p>
      <w:pPr>
        <w:rPr>
          <w:rFonts w:eastAsia="Calibri"/>
          <w:noProof/>
          <w:lang w:eastAsia="en-GB"/>
        </w:rPr>
      </w:pPr>
      <w:r>
        <w:rPr>
          <w:rFonts w:eastAsia="Calibri"/>
          <w:noProof/>
          <w:lang w:eastAsia="en-GB"/>
        </w:rPr>
        <w:t>It carefully assessed each request (new, an amendment or deletion).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rFonts w:eastAsia="Calibri"/>
          <w:noProof/>
          <w:lang w:eastAsia="en-GB"/>
        </w:rPr>
        <w:t>All listed tariff suspensions were the subject of agreements or compromises reached in the discussions held at the Economic Tariff Questions Group. No potentially serious risks with irreversible consequences were mentioned</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proposed amendment is of a purely technical nature and concerns only the coverage of suspensions listed in the Annex to Council Regulation (EU) No 1387/2013. Therefore, no impact assessment was carried out for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on fundamental rights.</w:t>
      </w:r>
    </w:p>
    <w:p>
      <w:pPr>
        <w:pStyle w:val="ManualHeading1"/>
        <w:rPr>
          <w:noProof/>
        </w:rPr>
      </w:pPr>
      <w:r>
        <w:rPr>
          <w:noProof/>
        </w:rPr>
        <w:t>4.</w:t>
      </w:r>
      <w:r>
        <w:rPr>
          <w:noProof/>
        </w:rPr>
        <w:tab/>
        <w:t>BUDGETARY IMPLICATIONS</w:t>
      </w:r>
    </w:p>
    <w:p>
      <w:pPr>
        <w:rPr>
          <w:noProof/>
        </w:rPr>
      </w:pPr>
      <w:r>
        <w:rPr>
          <w:noProof/>
        </w:rPr>
        <w:t xml:space="preserve">This proposal has no financial impact on expenditure, but has a financial impact on revenue. Uncollected customs duties corresponding to the suspension amount approximately EUR 47,6 </w:t>
      </w:r>
      <w:r>
        <w:rPr>
          <w:noProof/>
          <w:szCs w:val="24"/>
        </w:rPr>
        <w:t>million</w:t>
      </w:r>
      <w:r>
        <w:rPr>
          <w:noProof/>
        </w:rPr>
        <w:t xml:space="preserve"> per year. The negative effect on the budget’s traditional own resources is EUR 38,1 million per year (i.e. 80 % of the total). The legislative financial statement sets out the budgetary implications of the proposal in greater detail.</w:t>
      </w:r>
    </w:p>
    <w:p>
      <w:pPr>
        <w:rPr>
          <w:noProof/>
        </w:rPr>
      </w:pPr>
      <w:r>
        <w:rPr>
          <w:noProof/>
        </w:rPr>
        <w:t>The loss of revenue in traditional own resources shall be compensated by Member States Gross National Income (GNI) based on resource contributions.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measures proposed are managed within the framework of the Integrated Tariff of the European Union (TARIC) and applied by customs administrations of the Member States.</w:t>
      </w:r>
    </w:p>
    <w:p>
      <w:pPr>
        <w:rPr>
          <w:noProof/>
          <w:lang w:val="en-US" w:eastAsia="en-GB"/>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2020/0328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not produced in the Union and thereby avoid any disturbances in the market for those products, Common Customs Tariff (CCT) duties of the type referred to in Article 56(2)(c) of Regulation (EU) No 952/2013 of the European Parliament and of the Council</w:t>
      </w:r>
      <w:r>
        <w:rPr>
          <w:rStyle w:val="FootnoteReference"/>
          <w:noProof/>
        </w:rPr>
        <w:footnoteReference w:id="3"/>
      </w:r>
      <w:r>
        <w:rPr>
          <w:noProof/>
        </w:rPr>
        <w:t xml:space="preserve"> on those products have been suspended by Council Regulation (EU) No 1387/2013</w:t>
      </w:r>
      <w:r>
        <w:rPr>
          <w:rStyle w:val="FootnoteReference"/>
          <w:noProof/>
        </w:rPr>
        <w:footnoteReference w:id="4"/>
      </w:r>
      <w:r>
        <w:rPr>
          <w:noProof/>
        </w:rPr>
        <w:t>. Those products can be imported into the Union at reduced or zero duty rates.</w:t>
      </w:r>
    </w:p>
    <w:p>
      <w:pPr>
        <w:pStyle w:val="ManualConsidrant"/>
        <w:rPr>
          <w:noProof/>
        </w:rPr>
      </w:pPr>
      <w:r>
        <w:t>(2)</w:t>
      </w:r>
      <w:r>
        <w:tab/>
      </w:r>
      <w:r>
        <w:rPr>
          <w:noProof/>
        </w:rPr>
        <w:t>The Union production of certain products that are not listed in the Annex to Regulation (EU) No 1387/2013 is inadequate or non-existent. It is therefore in the interest of the Union to suspend totally the CCT duties on those products.</w:t>
      </w:r>
    </w:p>
    <w:p>
      <w:pPr>
        <w:pStyle w:val="ManualConsidrant"/>
        <w:rPr>
          <w:noProof/>
        </w:rPr>
      </w:pPr>
      <w:r>
        <w:t>(3)</w:t>
      </w:r>
      <w:r>
        <w:tab/>
      </w:r>
      <w:r>
        <w:rPr>
          <w:noProof/>
        </w:rPr>
        <w:t>With a view to promoting integrated battery production in the Union in accordance with the Communication from the Commission of 17 May 2018 entitled ‘Europe on the Move – Sustainable Mobility for Europe: safe, connected, and clean’</w:t>
      </w:r>
      <w:r>
        <w:rPr>
          <w:rStyle w:val="FootnoteReference"/>
          <w:noProof/>
        </w:rPr>
        <w:footnoteReference w:id="5"/>
      </w:r>
      <w:r>
        <w:rPr>
          <w:noProof/>
        </w:rPr>
        <w:t>, a partial suspension of the CCT duties should be granted in respect of certain products that are not listed in the Annex to Regulation (EU) No 1387/2013. In addition, only a partial suspension of the CCT duties should be granted in respect of certain products that are currently subject to complete suspensions. The date for the mandatory review of those suspensions</w:t>
      </w:r>
      <w:r>
        <w:rPr>
          <w:i/>
          <w:noProof/>
        </w:rPr>
        <w:t xml:space="preserve"> </w:t>
      </w:r>
      <w:r>
        <w:rPr>
          <w:noProof/>
        </w:rPr>
        <w:t>should be 31 December 2021, in order for that review to have regard to the evolution of the battery sector in the Union.</w:t>
      </w:r>
    </w:p>
    <w:p>
      <w:pPr>
        <w:pStyle w:val="ManualConsidrant"/>
        <w:rPr>
          <w:noProof/>
        </w:rPr>
      </w:pPr>
      <w:r>
        <w:t>(4)</w:t>
      </w:r>
      <w:r>
        <w:tab/>
      </w:r>
      <w:r>
        <w:rPr>
          <w:noProof/>
        </w:rPr>
        <w:t>It is necessary to amend the product description, classification and end-use requirement for certain CCT duty suspensions listed in the Annex to Regulation (EU) No 1387/2013 in order to take into account technical product developments and economic trends in the market.</w:t>
      </w:r>
    </w:p>
    <w:p>
      <w:pPr>
        <w:pStyle w:val="ManualConsidrant"/>
        <w:rPr>
          <w:noProof/>
        </w:rPr>
      </w:pPr>
      <w:r>
        <w:lastRenderedPageBreak/>
        <w:t>(5)</w:t>
      </w:r>
      <w:r>
        <w:tab/>
      </w:r>
      <w:r>
        <w:rPr>
          <w:noProof/>
        </w:rPr>
        <w:t>A review has been undertaken of certain CCT duty suspensions listed in the Annex to Regulation (EU) No 1387/2013. New dates should therefore be set for their next mandatory review.</w:t>
      </w:r>
    </w:p>
    <w:p>
      <w:pPr>
        <w:pStyle w:val="ManualConsidrant"/>
        <w:rPr>
          <w:noProof/>
        </w:rPr>
      </w:pPr>
      <w:r>
        <w:t>(6)</w:t>
      </w:r>
      <w:r>
        <w:tab/>
      </w:r>
      <w:r>
        <w:rPr>
          <w:noProof/>
        </w:rPr>
        <w:t>It is no longer in the interest of the Union to maintain the suspension of CCT duties for certain products listed in the Annex to Regulation (EU) No 1387/2013. The suspensions for those products should therefore be withdrawn. Moreover, according to the Communication from the Commission of 13 December 2011 concerning autonomous tariff suspensions and quotas</w:t>
      </w:r>
      <w:r>
        <w:rPr>
          <w:rStyle w:val="FootnoteReference"/>
          <w:noProof/>
        </w:rPr>
        <w:footnoteReference w:id="6"/>
      </w:r>
      <w:r>
        <w:rPr>
          <w:noProof/>
        </w:rPr>
        <w:t>, for practical reasons, requests for tariff suspensions or quotas where the amount of uncollected customs duty is estimated to be less than EUR 15 000 per year cannot be taken into consideration. The suspensions for products which do not reach that threshold, as indicated by the mandatory review, should therefore be withdrawn from the Annex to Regulation (EU) No 1387/2013.</w:t>
      </w:r>
    </w:p>
    <w:p>
      <w:pPr>
        <w:pStyle w:val="ManualConsidrant"/>
        <w:rPr>
          <w:noProof/>
        </w:rPr>
      </w:pPr>
      <w:r>
        <w:t>(7)</w:t>
      </w:r>
      <w:r>
        <w:tab/>
      </w:r>
      <w:r>
        <w:rPr>
          <w:noProof/>
        </w:rPr>
        <w:t>Regulation (EU) No 1387/2013 should therefore be amended accordingly.</w:t>
      </w:r>
    </w:p>
    <w:p>
      <w:pPr>
        <w:pStyle w:val="ManualConsidrant"/>
        <w:rPr>
          <w:noProof/>
        </w:rPr>
      </w:pPr>
      <w:r>
        <w:t>(8)</w:t>
      </w:r>
      <w:r>
        <w:tab/>
      </w:r>
      <w:r>
        <w:rPr>
          <w:noProof/>
        </w:rPr>
        <w:t>In order to avoid any interruption in the application of the autonomous tariff suspension scheme and to comply with the guidelines set out in the Communication from the Commission of 13 December 2011 concerning autonomous tariff suspensions and quotas, the changes provided for in this Regulation regarding the tariff suspensions for the products concerned should apply from 1 January 2021. This Regulation should therefore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amended in accordance with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rPr>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bCs/>
          <w:noProof/>
        </w:rPr>
      </w:pPr>
      <w:r>
        <w:t>1.</w:t>
      </w:r>
      <w:r>
        <w:tab/>
      </w:r>
      <w:r>
        <w:rPr>
          <w:noProof/>
        </w:rPr>
        <w:t>1. NAME OF THE PROPOSAL:</w:t>
      </w:r>
    </w:p>
    <w:p>
      <w:pPr>
        <w:pStyle w:val="Text1"/>
        <w:rPr>
          <w:noProof/>
        </w:rPr>
      </w:pPr>
      <w:r>
        <w:rPr>
          <w:noProof/>
        </w:rPr>
        <w:t>Council Regulation amending Regulation (EU) No 1387/2013 suspending the autonomous Common Customs Tariff duties on certain agricultural and industrial products</w:t>
      </w:r>
    </w:p>
    <w:p>
      <w:pPr>
        <w:pStyle w:val="ManualHeading1"/>
        <w:rPr>
          <w:noProof/>
        </w:rPr>
      </w:pPr>
      <w:r>
        <w:t>2.</w:t>
      </w:r>
      <w:r>
        <w:tab/>
      </w:r>
      <w:r>
        <w:rPr>
          <w:noProof/>
        </w:rPr>
        <w:t>BUDGET LINES:</w:t>
      </w:r>
    </w:p>
    <w:p>
      <w:pPr>
        <w:pStyle w:val="Text1"/>
        <w:rPr>
          <w:noProof/>
          <w:lang w:val="fr-BE"/>
        </w:rPr>
      </w:pPr>
      <w:r>
        <w:rPr>
          <w:noProof/>
          <w:lang w:val="fr-BE"/>
        </w:rPr>
        <w:t>Chapter and Article: Chapter 12, Article 120</w:t>
      </w:r>
    </w:p>
    <w:p>
      <w:pPr>
        <w:pStyle w:val="Text1"/>
        <w:rPr>
          <w:noProof/>
        </w:rPr>
      </w:pPr>
      <w:r>
        <w:rPr>
          <w:noProof/>
        </w:rPr>
        <w:t>Amount budgeted for the year 2021: 17 605 700 000</w:t>
      </w:r>
    </w:p>
    <w:p>
      <w:pPr>
        <w:pStyle w:val="ManualHeading1"/>
        <w:rPr>
          <w:bCs/>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X Proposal has no financial impact on expenditure but has a financial impact on revenue -the effect is as follows:</w:t>
      </w:r>
    </w:p>
    <w:p>
      <w:pPr>
        <w:jc w:val="right"/>
        <w:rPr>
          <w:noProof/>
        </w:rPr>
      </w:pPr>
      <w:r>
        <w:rPr>
          <w:noProof/>
        </w:rPr>
        <w:t>(EUR million to one decimal place)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p>
        </w:tc>
        <w:tc>
          <w:tcPr>
            <w:tcW w:w="2070" w:type="dxa"/>
            <w:shd w:val="clear" w:color="auto" w:fill="auto"/>
          </w:tcPr>
          <w:p>
            <w:pPr>
              <w:spacing w:before="0" w:after="0"/>
              <w:jc w:val="center"/>
              <w:rPr>
                <w:noProof/>
                <w:snapToGrid w:val="0"/>
              </w:rPr>
            </w:pPr>
            <w:r>
              <w:rPr>
                <w:noProof/>
                <w:sz w:val="22"/>
              </w:rPr>
              <w:t>12 month period, starting dd/mm/yyyy</w:t>
            </w:r>
          </w:p>
        </w:tc>
        <w:tc>
          <w:tcPr>
            <w:tcW w:w="2070" w:type="dxa"/>
            <w:shd w:val="clear" w:color="auto" w:fill="auto"/>
          </w:tcPr>
          <w:p>
            <w:pPr>
              <w:spacing w:before="0" w:after="0"/>
              <w:jc w:val="center"/>
              <w:rPr>
                <w:noProof/>
                <w:snapToGrid w:val="0"/>
              </w:rPr>
            </w:pPr>
            <w:r>
              <w:rPr>
                <w:noProof/>
                <w:sz w:val="22"/>
                <w:szCs w:val="24"/>
              </w:rPr>
              <w:t>[Year 2021]</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01/01/2021</w:t>
            </w:r>
          </w:p>
        </w:tc>
        <w:tc>
          <w:tcPr>
            <w:tcW w:w="2070" w:type="dxa"/>
            <w:shd w:val="clear" w:color="auto" w:fill="auto"/>
          </w:tcPr>
          <w:p>
            <w:pPr>
              <w:spacing w:before="0" w:after="0"/>
              <w:jc w:val="center"/>
              <w:rPr>
                <w:noProof/>
                <w:snapToGrid w:val="0"/>
              </w:rPr>
            </w:pPr>
            <w:r>
              <w:rPr>
                <w:noProof/>
                <w:snapToGrid w:val="0"/>
                <w:sz w:val="22"/>
              </w:rPr>
              <w:t>-38,1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[2021 – 2025]</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- 38,1 EUR million/ year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The Annex contains 83 new products. The uncollected duties corresponding to these suspensions, calculated on the basis of requesting Member State projections for the period 2021 to 2025, amount to EUR 37,6 million per year.</w:t>
      </w:r>
    </w:p>
    <w:p>
      <w:pPr>
        <w:pStyle w:val="Text1"/>
        <w:rPr>
          <w:noProof/>
        </w:rPr>
      </w:pPr>
      <w:r>
        <w:rPr>
          <w:noProof/>
        </w:rPr>
        <w:t>On the basis of the existing statistics for preceding years, it would appear, however, necessary to increase this amount by an average factor, estimated at 1,8 to take account of imports into other Member States using the same suspensions. This means uncollected duties of some EUR 67,7 million per year.</w:t>
      </w:r>
    </w:p>
    <w:p>
      <w:pPr>
        <w:pStyle w:val="Text1"/>
        <w:rPr>
          <w:noProof/>
        </w:rPr>
      </w:pPr>
      <w:r>
        <w:rPr>
          <w:noProof/>
        </w:rPr>
        <w:t xml:space="preserve">The zero duty rate for four existing suspensions was increased. This represents an increase of EUR 0,3 million per year in the collection of duties, as estimated on the basis of 2019 statistics.  </w:t>
      </w:r>
    </w:p>
    <w:p>
      <w:pPr>
        <w:pStyle w:val="Text1"/>
        <w:rPr>
          <w:noProof/>
        </w:rPr>
      </w:pPr>
      <w:r>
        <w:rPr>
          <w:noProof/>
        </w:rPr>
        <w:t>116 products have been withdrawn from this Annex reflecting the reintroduction of customs duties. This represents an increase of EUR 19,8 million per year in the collection of duties, as estimated on the basis of 2019 statistics.</w:t>
      </w:r>
    </w:p>
    <w:p>
      <w:pPr>
        <w:pStyle w:val="Text1"/>
        <w:rPr>
          <w:noProof/>
        </w:rPr>
      </w:pPr>
      <w:r>
        <w:rPr>
          <w:noProof/>
        </w:rPr>
        <w:t xml:space="preserve">On the basis of the above, the impact on the loss of revenue for the EU budget resulting from this Regulation is estimated at 67,7 – 19,8 – 0,3 = EUR 47,6 </w:t>
      </w:r>
      <w:r>
        <w:rPr>
          <w:noProof/>
          <w:szCs w:val="24"/>
        </w:rPr>
        <w:t>million</w:t>
      </w:r>
      <w:r>
        <w:rPr>
          <w:noProof/>
        </w:rPr>
        <w:t xml:space="preserve"> (gross amount, including collection costs) x 0,8 = EUR  38,1 million per year for the period 01.01.2021 - 31.12.2025.</w:t>
      </w:r>
    </w:p>
    <w:p>
      <w:pPr>
        <w:pStyle w:val="ManualHeading1"/>
        <w:rPr>
          <w:bCs/>
          <w:noProof/>
        </w:rPr>
      </w:pPr>
      <w:r>
        <w:t>4.</w:t>
      </w:r>
      <w:r>
        <w:tab/>
      </w:r>
      <w:r>
        <w:rPr>
          <w:noProof/>
        </w:rPr>
        <w:t>ANTI-FRAUD MEASURES</w:t>
      </w:r>
    </w:p>
    <w:p>
      <w:pPr>
        <w:pStyle w:val="Text1"/>
        <w:rPr>
          <w:noProof/>
        </w:rPr>
      </w:pPr>
      <w:r>
        <w:rPr>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pStyle w:val="Text1"/>
        <w:rPr>
          <w:noProof/>
        </w:rPr>
      </w:pPr>
      <w:r>
        <w:rPr>
          <w:noProof/>
        </w:rPr>
        <w:t>In addition, Member States may carry out any customs controls they deem appropriate under the risk management they undertake, as provided for by Article 46 of Regulation (EU) n° 952/2013 of the European Parliament and of the Council of 9 October 2013 laying down the Union Customs Code.</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OJ C 363, 13.12.2011, p. 6.</w:t>
      </w:r>
    </w:p>
  </w:footnote>
  <w:footnote w:id="3">
    <w:p>
      <w:pPr>
        <w:pStyle w:val="FootnoteText"/>
        <w:rPr>
          <w:lang w:val="en-IE"/>
        </w:rPr>
      </w:pPr>
      <w:r>
        <w:rPr>
          <w:rStyle w:val="FootnoteReference"/>
        </w:rPr>
        <w:footnoteRef/>
      </w:r>
      <w:r>
        <w:tab/>
        <w:t>Regulation (EU) No 952/2013 of the European Parliament and of the Council of 9 October 2013 laying down the Union Customs Code (OJ L 269, 10.10.2013, p. 1).</w:t>
      </w:r>
    </w:p>
  </w:footnote>
  <w:footnote w:id="4">
    <w:p>
      <w:pPr>
        <w:pStyle w:val="FootnoteText"/>
        <w:rPr>
          <w:lang w:val="en-IE"/>
        </w:rPr>
      </w:pPr>
      <w:r>
        <w:rPr>
          <w:rStyle w:val="FootnoteReference"/>
        </w:rPr>
        <w:footnoteRef/>
      </w:r>
      <w:r>
        <w:tab/>
        <w:t>Council Regulation (EU) No 1387/2013 of 17 December 2013 suspending the autonomous Common Customs Tariff duties on certain agricultural and industrial products and repealing Regulation (EU) No 1344/2011 (OJ L 354, 28.12.2013, p. 201).</w:t>
      </w:r>
    </w:p>
  </w:footnote>
  <w:footnote w:id="5">
    <w:p>
      <w:pPr>
        <w:pStyle w:val="FootnoteText"/>
        <w:rPr>
          <w:lang w:val="en-IE"/>
        </w:rPr>
      </w:pPr>
      <w:r>
        <w:rPr>
          <w:rStyle w:val="FootnoteReference"/>
        </w:rPr>
        <w:footnoteRef/>
      </w:r>
      <w:r>
        <w:tab/>
      </w:r>
      <w:r>
        <w:rPr>
          <w:lang w:val="en-US"/>
        </w:rPr>
        <w:t>COM(2018) 293 final</w:t>
      </w:r>
    </w:p>
  </w:footnote>
  <w:footnote w:id="6">
    <w:p>
      <w:pPr>
        <w:pStyle w:val="FootnoteText"/>
        <w:rPr>
          <w:lang w:val="en-US"/>
        </w:rPr>
      </w:pPr>
      <w:r>
        <w:rPr>
          <w:rStyle w:val="FootnoteReference"/>
        </w:rPr>
        <w:footnoteRef/>
      </w:r>
      <w:r>
        <w:tab/>
      </w:r>
      <w:r>
        <w:rPr>
          <w:lang w:val="en-US"/>
        </w:rPr>
        <w:t>OJ C 363, 13.12.2011, p. 6.</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1576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7 09:49: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30F379C-338C-48F6-B7FB-38592A60621C"/>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8"/>
    <w:docVar w:name="LW_REF.II.NEW.CP_YEAR" w:val="2020"/>
    <w:docVar w:name="LW_REF.INST.NEW" w:val="COM"/>
    <w:docVar w:name="LW_REF.INST.NEW_ADOPTED" w:val="final"/>
    <w:docVar w:name="LW_REF.INST.NEW_TEXT" w:val="(2020)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Normal3">
    <w:name w:val="Normal3"/>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Normal3">
    <w:name w:val="Normal3"/>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803188">
      <w:bodyDiv w:val="1"/>
      <w:marLeft w:val="0"/>
      <w:marRight w:val="0"/>
      <w:marTop w:val="0"/>
      <w:marBottom w:val="0"/>
      <w:divBdr>
        <w:top w:val="none" w:sz="0" w:space="0" w:color="auto"/>
        <w:left w:val="none" w:sz="0" w:space="0" w:color="auto"/>
        <w:bottom w:val="none" w:sz="0" w:space="0" w:color="auto"/>
        <w:right w:val="none" w:sz="0" w:space="0" w:color="auto"/>
      </w:divBdr>
    </w:div>
    <w:div w:id="287132484">
      <w:bodyDiv w:val="1"/>
      <w:marLeft w:val="0"/>
      <w:marRight w:val="0"/>
      <w:marTop w:val="0"/>
      <w:marBottom w:val="0"/>
      <w:divBdr>
        <w:top w:val="none" w:sz="0" w:space="0" w:color="auto"/>
        <w:left w:val="none" w:sz="0" w:space="0" w:color="auto"/>
        <w:bottom w:val="none" w:sz="0" w:space="0" w:color="auto"/>
        <w:right w:val="none" w:sz="0" w:space="0" w:color="auto"/>
      </w:divBdr>
      <w:divsChild>
        <w:div w:id="412819300">
          <w:marLeft w:val="0"/>
          <w:marRight w:val="0"/>
          <w:marTop w:val="0"/>
          <w:marBottom w:val="0"/>
          <w:divBdr>
            <w:top w:val="none" w:sz="0" w:space="0" w:color="auto"/>
            <w:left w:val="none" w:sz="0" w:space="0" w:color="auto"/>
            <w:bottom w:val="none" w:sz="0" w:space="0" w:color="auto"/>
            <w:right w:val="none" w:sz="0" w:space="0" w:color="auto"/>
          </w:divBdr>
        </w:div>
        <w:div w:id="1402943058">
          <w:marLeft w:val="0"/>
          <w:marRight w:val="0"/>
          <w:marTop w:val="0"/>
          <w:marBottom w:val="0"/>
          <w:divBdr>
            <w:top w:val="none" w:sz="0" w:space="0" w:color="auto"/>
            <w:left w:val="none" w:sz="0" w:space="0" w:color="auto"/>
            <w:bottom w:val="none" w:sz="0" w:space="0" w:color="auto"/>
            <w:right w:val="none" w:sz="0" w:space="0" w:color="auto"/>
          </w:divBdr>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06938">
      <w:bodyDiv w:val="1"/>
      <w:marLeft w:val="0"/>
      <w:marRight w:val="0"/>
      <w:marTop w:val="0"/>
      <w:marBottom w:val="0"/>
      <w:divBdr>
        <w:top w:val="none" w:sz="0" w:space="0" w:color="auto"/>
        <w:left w:val="none" w:sz="0" w:space="0" w:color="auto"/>
        <w:bottom w:val="none" w:sz="0" w:space="0" w:color="auto"/>
        <w:right w:val="none" w:sz="0" w:space="0" w:color="auto"/>
      </w:divBdr>
    </w:div>
    <w:div w:id="727995713">
      <w:bodyDiv w:val="1"/>
      <w:marLeft w:val="0"/>
      <w:marRight w:val="0"/>
      <w:marTop w:val="0"/>
      <w:marBottom w:val="0"/>
      <w:divBdr>
        <w:top w:val="none" w:sz="0" w:space="0" w:color="auto"/>
        <w:left w:val="none" w:sz="0" w:space="0" w:color="auto"/>
        <w:bottom w:val="none" w:sz="0" w:space="0" w:color="auto"/>
        <w:right w:val="none" w:sz="0" w:space="0" w:color="auto"/>
      </w:divBdr>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243212">
      <w:bodyDiv w:val="1"/>
      <w:marLeft w:val="0"/>
      <w:marRight w:val="0"/>
      <w:marTop w:val="0"/>
      <w:marBottom w:val="0"/>
      <w:divBdr>
        <w:top w:val="none" w:sz="0" w:space="0" w:color="auto"/>
        <w:left w:val="none" w:sz="0" w:space="0" w:color="auto"/>
        <w:bottom w:val="none" w:sz="0" w:space="0" w:color="auto"/>
        <w:right w:val="none" w:sz="0" w:space="0" w:color="auto"/>
      </w:divBdr>
      <w:divsChild>
        <w:div w:id="219287487">
          <w:marLeft w:val="0"/>
          <w:marRight w:val="0"/>
          <w:marTop w:val="0"/>
          <w:marBottom w:val="0"/>
          <w:divBdr>
            <w:top w:val="none" w:sz="0" w:space="0" w:color="auto"/>
            <w:left w:val="none" w:sz="0" w:space="0" w:color="auto"/>
            <w:bottom w:val="none" w:sz="0" w:space="0" w:color="auto"/>
            <w:right w:val="none" w:sz="0" w:space="0" w:color="auto"/>
          </w:divBdr>
        </w:div>
        <w:div w:id="316109637">
          <w:marLeft w:val="0"/>
          <w:marRight w:val="0"/>
          <w:marTop w:val="0"/>
          <w:marBottom w:val="0"/>
          <w:divBdr>
            <w:top w:val="none" w:sz="0" w:space="0" w:color="auto"/>
            <w:left w:val="none" w:sz="0" w:space="0" w:color="auto"/>
            <w:bottom w:val="none" w:sz="0" w:space="0" w:color="auto"/>
            <w:right w:val="none" w:sz="0" w:space="0" w:color="auto"/>
          </w:divBdr>
        </w:div>
        <w:div w:id="987246343">
          <w:marLeft w:val="810"/>
          <w:marRight w:val="810"/>
          <w:marTop w:val="360"/>
          <w:marBottom w:val="0"/>
          <w:divBdr>
            <w:top w:val="none" w:sz="0" w:space="0" w:color="auto"/>
            <w:left w:val="none" w:sz="0" w:space="0" w:color="auto"/>
            <w:bottom w:val="none" w:sz="0" w:space="0" w:color="auto"/>
            <w:right w:val="none" w:sz="0" w:space="0" w:color="auto"/>
          </w:divBdr>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431047">
      <w:bodyDiv w:val="1"/>
      <w:marLeft w:val="0"/>
      <w:marRight w:val="0"/>
      <w:marTop w:val="0"/>
      <w:marBottom w:val="0"/>
      <w:divBdr>
        <w:top w:val="none" w:sz="0" w:space="0" w:color="auto"/>
        <w:left w:val="none" w:sz="0" w:space="0" w:color="auto"/>
        <w:bottom w:val="none" w:sz="0" w:space="0" w:color="auto"/>
        <w:right w:val="none" w:sz="0" w:space="0" w:color="auto"/>
      </w:divBdr>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497921427">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546297">
      <w:bodyDiv w:val="1"/>
      <w:marLeft w:val="0"/>
      <w:marRight w:val="0"/>
      <w:marTop w:val="0"/>
      <w:marBottom w:val="0"/>
      <w:divBdr>
        <w:top w:val="none" w:sz="0" w:space="0" w:color="auto"/>
        <w:left w:val="none" w:sz="0" w:space="0" w:color="auto"/>
        <w:bottom w:val="none" w:sz="0" w:space="0" w:color="auto"/>
        <w:right w:val="none" w:sz="0" w:space="0" w:color="auto"/>
      </w:divBdr>
    </w:div>
    <w:div w:id="1588151910">
      <w:bodyDiv w:val="1"/>
      <w:marLeft w:val="0"/>
      <w:marRight w:val="0"/>
      <w:marTop w:val="0"/>
      <w:marBottom w:val="0"/>
      <w:divBdr>
        <w:top w:val="none" w:sz="0" w:space="0" w:color="auto"/>
        <w:left w:val="none" w:sz="0" w:space="0" w:color="auto"/>
        <w:bottom w:val="none" w:sz="0" w:space="0" w:color="auto"/>
        <w:right w:val="none" w:sz="0" w:space="0" w:color="auto"/>
      </w:divBdr>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1776317314">
      <w:bodyDiv w:val="1"/>
      <w:marLeft w:val="0"/>
      <w:marRight w:val="0"/>
      <w:marTop w:val="0"/>
      <w:marBottom w:val="0"/>
      <w:divBdr>
        <w:top w:val="none" w:sz="0" w:space="0" w:color="auto"/>
        <w:left w:val="none" w:sz="0" w:space="0" w:color="auto"/>
        <w:bottom w:val="none" w:sz="0" w:space="0" w:color="auto"/>
        <w:right w:val="none" w:sz="0" w:space="0" w:color="auto"/>
      </w:divBdr>
    </w:div>
    <w:div w:id="1860388398">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7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E403-2550-4AE8-92C4-37868EDC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1906</Words>
  <Characters>10407</Characters>
  <Application>Microsoft Office Word</Application>
  <DocSecurity>0</DocSecurity>
  <Lines>212</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2019-09-17T08:50:00Z</cp:lastPrinted>
  <dcterms:created xsi:type="dcterms:W3CDTF">2020-10-27T08:25:00Z</dcterms:created>
  <dcterms:modified xsi:type="dcterms:W3CDTF">2020-11-17T08:49:00Z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