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drawings/drawing6.xml" ContentType="application/vnd.openxmlformats-officedocument.drawingml.chartshapes+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7.xml" ContentType="application/vnd.openxmlformats-officedocument.drawingml.chartshapes+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8.xml" ContentType="application/vnd.openxmlformats-officedocument.drawingml.chartshapes+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9.xml" ContentType="application/vnd.openxmlformats-officedocument.drawingml.chartshapes+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0.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A93" w:rsidRDefault="00EE6EAB">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CBBFC2C-D6D9-4B09-A104-307F42BD253D" style="width:450.35pt;height:390.1pt">
            <v:imagedata r:id="rId11" o:title=""/>
          </v:shape>
        </w:pict>
      </w:r>
    </w:p>
    <w:bookmarkEnd w:id="0"/>
    <w:p w:rsidR="00704A93" w:rsidRDefault="00704A93">
      <w:pPr>
        <w:rPr>
          <w:noProof/>
        </w:rPr>
        <w:sectPr w:rsidR="00704A93">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sdt>
      <w:sdtPr>
        <w:rPr>
          <w:rFonts w:ascii="Times New Roman" w:eastAsia="Times New Roman" w:hAnsi="Times New Roman" w:cs="Times New Roman"/>
          <w:noProof/>
          <w:color w:val="auto"/>
          <w:sz w:val="24"/>
          <w:szCs w:val="24"/>
          <w:u w:val="none"/>
          <w:lang w:val="en-GB"/>
        </w:rPr>
        <w:id w:val="-235243678"/>
        <w:docPartObj>
          <w:docPartGallery w:val="Table of Contents"/>
          <w:docPartUnique/>
        </w:docPartObj>
      </w:sdtPr>
      <w:sdtEndPr>
        <w:rPr>
          <w:b/>
          <w:bCs/>
          <w:szCs w:val="20"/>
        </w:rPr>
      </w:sdtEndPr>
      <w:sdtContent>
        <w:p w:rsidR="00704A93" w:rsidRDefault="005D0BB9">
          <w:pPr>
            <w:pStyle w:val="TOCHeading"/>
            <w:numPr>
              <w:ilvl w:val="0"/>
              <w:numId w:val="0"/>
            </w:numPr>
            <w:spacing w:after="240"/>
            <w:ind w:left="360" w:hanging="360"/>
            <w:jc w:val="center"/>
            <w:rPr>
              <w:rFonts w:ascii="Times New Roman" w:hAnsi="Times New Roman" w:cs="Times New Roman"/>
              <w:b/>
              <w:noProof/>
              <w:color w:val="auto"/>
              <w:sz w:val="28"/>
              <w:szCs w:val="28"/>
              <w:u w:val="none"/>
            </w:rPr>
          </w:pPr>
          <w:r>
            <w:rPr>
              <w:rFonts w:ascii="Times New Roman" w:hAnsi="Times New Roman" w:cs="Times New Roman"/>
              <w:b/>
              <w:noProof/>
              <w:color w:val="auto"/>
              <w:sz w:val="28"/>
              <w:szCs w:val="28"/>
              <w:u w:val="none"/>
            </w:rPr>
            <w:t>Contents</w:t>
          </w:r>
        </w:p>
        <w:p w:rsidR="00704A93" w:rsidRDefault="005D0BB9">
          <w:pPr>
            <w:pStyle w:val="TOC1"/>
            <w:rPr>
              <w:rFonts w:asciiTheme="minorHAnsi" w:eastAsiaTheme="minorEastAsia" w:hAnsiTheme="minorHAnsi" w:cstheme="minorBidi"/>
              <w:noProof/>
              <w:sz w:val="22"/>
              <w:szCs w:val="22"/>
              <w:lang w:val="it-IT" w:eastAsia="it-IT"/>
            </w:rPr>
          </w:pPr>
          <w:r>
            <w:rPr>
              <w:noProof/>
            </w:rPr>
            <w:fldChar w:fldCharType="begin"/>
          </w:r>
          <w:r>
            <w:rPr>
              <w:noProof/>
            </w:rPr>
            <w:instrText xml:space="preserve"> TOC \o "1-3" \h \z \u </w:instrText>
          </w:r>
          <w:r>
            <w:rPr>
              <w:noProof/>
            </w:rPr>
            <w:fldChar w:fldCharType="separate"/>
          </w:r>
          <w:hyperlink w:anchor="_Toc56173632" w:history="1">
            <w:r>
              <w:rPr>
                <w:rStyle w:val="Hyperlink"/>
                <w:noProof/>
              </w:rPr>
              <w:t>1.</w:t>
            </w:r>
            <w:r>
              <w:rPr>
                <w:rFonts w:asciiTheme="minorHAnsi" w:eastAsiaTheme="minorEastAsia" w:hAnsiTheme="minorHAnsi" w:cstheme="minorBidi"/>
                <w:noProof/>
                <w:sz w:val="22"/>
                <w:szCs w:val="22"/>
                <w:lang w:val="it-IT" w:eastAsia="it-IT"/>
              </w:rPr>
              <w:tab/>
            </w:r>
            <w:r>
              <w:rPr>
                <w:rStyle w:val="Hyperlink"/>
                <w:noProof/>
              </w:rPr>
              <w:t>Macro-economic outlook and the risk of divergences</w:t>
            </w:r>
            <w:r>
              <w:rPr>
                <w:noProof/>
                <w:webHidden/>
              </w:rPr>
              <w:tab/>
            </w:r>
            <w:r>
              <w:rPr>
                <w:noProof/>
                <w:webHidden/>
              </w:rPr>
              <w:fldChar w:fldCharType="begin"/>
            </w:r>
            <w:r>
              <w:rPr>
                <w:noProof/>
                <w:webHidden/>
              </w:rPr>
              <w:instrText xml:space="preserve"> PAGEREF _Toc56173632 \h </w:instrText>
            </w:r>
            <w:r>
              <w:rPr>
                <w:noProof/>
                <w:webHidden/>
              </w:rPr>
            </w:r>
            <w:r>
              <w:rPr>
                <w:noProof/>
                <w:webHidden/>
              </w:rPr>
              <w:fldChar w:fldCharType="separate"/>
            </w:r>
            <w:r w:rsidR="0018270F">
              <w:rPr>
                <w:noProof/>
                <w:webHidden/>
              </w:rPr>
              <w:t>6</w:t>
            </w:r>
            <w:r>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33" w:history="1">
            <w:r w:rsidR="005D0BB9">
              <w:rPr>
                <w:rStyle w:val="Hyperlink"/>
                <w:noProof/>
              </w:rPr>
              <w:t>1.1. Macroeconomic context and developments</w:t>
            </w:r>
            <w:r w:rsidR="005D0BB9">
              <w:rPr>
                <w:noProof/>
                <w:webHidden/>
              </w:rPr>
              <w:tab/>
            </w:r>
            <w:r w:rsidR="005D0BB9">
              <w:rPr>
                <w:noProof/>
                <w:webHidden/>
              </w:rPr>
              <w:fldChar w:fldCharType="begin"/>
            </w:r>
            <w:r w:rsidR="005D0BB9">
              <w:rPr>
                <w:noProof/>
                <w:webHidden/>
              </w:rPr>
              <w:instrText xml:space="preserve"> PAGEREF _Toc56173633 \h </w:instrText>
            </w:r>
            <w:r w:rsidR="005D0BB9">
              <w:rPr>
                <w:noProof/>
                <w:webHidden/>
              </w:rPr>
            </w:r>
            <w:r w:rsidR="005D0BB9">
              <w:rPr>
                <w:noProof/>
                <w:webHidden/>
              </w:rPr>
              <w:fldChar w:fldCharType="separate"/>
            </w:r>
            <w:r w:rsidR="0018270F">
              <w:rPr>
                <w:noProof/>
                <w:webHidden/>
              </w:rPr>
              <w:t>6</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34" w:history="1">
            <w:r w:rsidR="005D0BB9">
              <w:rPr>
                <w:rStyle w:val="Hyperlink"/>
                <w:noProof/>
              </w:rPr>
              <w:t>1.2. COVID-19 and the risk of divergence</w:t>
            </w:r>
            <w:r w:rsidR="005D0BB9">
              <w:rPr>
                <w:noProof/>
                <w:webHidden/>
              </w:rPr>
              <w:tab/>
            </w:r>
            <w:r w:rsidR="005D0BB9">
              <w:rPr>
                <w:noProof/>
                <w:webHidden/>
              </w:rPr>
              <w:fldChar w:fldCharType="begin"/>
            </w:r>
            <w:r w:rsidR="005D0BB9">
              <w:rPr>
                <w:noProof/>
                <w:webHidden/>
              </w:rPr>
              <w:instrText xml:space="preserve"> PAGEREF _Toc56173634 \h </w:instrText>
            </w:r>
            <w:r w:rsidR="005D0BB9">
              <w:rPr>
                <w:noProof/>
                <w:webHidden/>
              </w:rPr>
            </w:r>
            <w:r w:rsidR="005D0BB9">
              <w:rPr>
                <w:noProof/>
                <w:webHidden/>
              </w:rPr>
              <w:fldChar w:fldCharType="separate"/>
            </w:r>
            <w:r w:rsidR="0018270F">
              <w:rPr>
                <w:noProof/>
                <w:webHidden/>
              </w:rPr>
              <w:t>10</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35" w:history="1">
            <w:r w:rsidR="005D0BB9">
              <w:rPr>
                <w:rStyle w:val="Hyperlink"/>
                <w:noProof/>
              </w:rPr>
              <w:t>1.3. Long-term impact of the COVID-19 on productivity growth</w:t>
            </w:r>
            <w:r w:rsidR="005D0BB9">
              <w:rPr>
                <w:noProof/>
                <w:webHidden/>
              </w:rPr>
              <w:tab/>
            </w:r>
            <w:r w:rsidR="005D0BB9">
              <w:rPr>
                <w:noProof/>
                <w:webHidden/>
              </w:rPr>
              <w:fldChar w:fldCharType="begin"/>
            </w:r>
            <w:r w:rsidR="005D0BB9">
              <w:rPr>
                <w:noProof/>
                <w:webHidden/>
              </w:rPr>
              <w:instrText xml:space="preserve"> PAGEREF _Toc56173635 \h </w:instrText>
            </w:r>
            <w:r w:rsidR="005D0BB9">
              <w:rPr>
                <w:noProof/>
                <w:webHidden/>
              </w:rPr>
            </w:r>
            <w:r w:rsidR="005D0BB9">
              <w:rPr>
                <w:noProof/>
                <w:webHidden/>
              </w:rPr>
              <w:fldChar w:fldCharType="separate"/>
            </w:r>
            <w:r w:rsidR="0018270F">
              <w:rPr>
                <w:noProof/>
                <w:webHidden/>
              </w:rPr>
              <w:t>13</w:t>
            </w:r>
            <w:r w:rsidR="005D0BB9">
              <w:rPr>
                <w:noProof/>
                <w:webHidden/>
              </w:rPr>
              <w:fldChar w:fldCharType="end"/>
            </w:r>
          </w:hyperlink>
        </w:p>
        <w:p w:rsidR="00704A93" w:rsidRDefault="00EE6EAB">
          <w:pPr>
            <w:pStyle w:val="TOC1"/>
            <w:rPr>
              <w:rFonts w:asciiTheme="minorHAnsi" w:eastAsiaTheme="minorEastAsia" w:hAnsiTheme="minorHAnsi" w:cstheme="minorBidi"/>
              <w:noProof/>
              <w:sz w:val="22"/>
              <w:szCs w:val="22"/>
              <w:lang w:val="it-IT" w:eastAsia="it-IT"/>
            </w:rPr>
          </w:pPr>
          <w:hyperlink w:anchor="_Toc56173636" w:history="1">
            <w:r w:rsidR="005D0BB9">
              <w:rPr>
                <w:rStyle w:val="Hyperlink"/>
                <w:noProof/>
              </w:rPr>
              <w:t>2.</w:t>
            </w:r>
            <w:r w:rsidR="005D0BB9">
              <w:rPr>
                <w:rFonts w:asciiTheme="minorHAnsi" w:eastAsiaTheme="minorEastAsia" w:hAnsiTheme="minorHAnsi" w:cstheme="minorBidi"/>
                <w:noProof/>
                <w:sz w:val="22"/>
                <w:szCs w:val="22"/>
                <w:lang w:val="it-IT" w:eastAsia="it-IT"/>
              </w:rPr>
              <w:tab/>
            </w:r>
            <w:r w:rsidR="005D0BB9">
              <w:rPr>
                <w:rStyle w:val="Hyperlink"/>
                <w:noProof/>
              </w:rPr>
              <w:t>The macroeconomic policy stance</w:t>
            </w:r>
            <w:r w:rsidR="005D0BB9">
              <w:rPr>
                <w:noProof/>
                <w:webHidden/>
              </w:rPr>
              <w:tab/>
            </w:r>
            <w:r w:rsidR="005D0BB9">
              <w:rPr>
                <w:noProof/>
                <w:webHidden/>
              </w:rPr>
              <w:fldChar w:fldCharType="begin"/>
            </w:r>
            <w:r w:rsidR="005D0BB9">
              <w:rPr>
                <w:noProof/>
                <w:webHidden/>
              </w:rPr>
              <w:instrText xml:space="preserve"> PAGEREF _Toc56173636 \h </w:instrText>
            </w:r>
            <w:r w:rsidR="005D0BB9">
              <w:rPr>
                <w:noProof/>
                <w:webHidden/>
              </w:rPr>
            </w:r>
            <w:r w:rsidR="005D0BB9">
              <w:rPr>
                <w:noProof/>
                <w:webHidden/>
              </w:rPr>
              <w:fldChar w:fldCharType="separate"/>
            </w:r>
            <w:r w:rsidR="0018270F">
              <w:rPr>
                <w:noProof/>
                <w:webHidden/>
              </w:rPr>
              <w:t>16</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37" w:history="1">
            <w:r w:rsidR="005D0BB9">
              <w:rPr>
                <w:rStyle w:val="Hyperlink"/>
                <w:noProof/>
              </w:rPr>
              <w:t>2.1 The fiscal policy stance</w:t>
            </w:r>
            <w:r w:rsidR="005D0BB9">
              <w:rPr>
                <w:noProof/>
                <w:webHidden/>
              </w:rPr>
              <w:tab/>
            </w:r>
            <w:r w:rsidR="005D0BB9">
              <w:rPr>
                <w:noProof/>
                <w:webHidden/>
              </w:rPr>
              <w:fldChar w:fldCharType="begin"/>
            </w:r>
            <w:r w:rsidR="005D0BB9">
              <w:rPr>
                <w:noProof/>
                <w:webHidden/>
              </w:rPr>
              <w:instrText xml:space="preserve"> PAGEREF _Toc56173637 \h </w:instrText>
            </w:r>
            <w:r w:rsidR="005D0BB9">
              <w:rPr>
                <w:noProof/>
                <w:webHidden/>
              </w:rPr>
            </w:r>
            <w:r w:rsidR="005D0BB9">
              <w:rPr>
                <w:noProof/>
                <w:webHidden/>
              </w:rPr>
              <w:fldChar w:fldCharType="separate"/>
            </w:r>
            <w:r w:rsidR="0018270F">
              <w:rPr>
                <w:noProof/>
                <w:webHidden/>
              </w:rPr>
              <w:t>17</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38" w:history="1">
            <w:r w:rsidR="005D0BB9">
              <w:rPr>
                <w:rStyle w:val="Hyperlink"/>
                <w:noProof/>
              </w:rPr>
              <w:t>2.2 Expenditure Policy</w:t>
            </w:r>
            <w:r w:rsidR="005D0BB9">
              <w:rPr>
                <w:noProof/>
                <w:webHidden/>
              </w:rPr>
              <w:tab/>
            </w:r>
            <w:r w:rsidR="005D0BB9">
              <w:rPr>
                <w:noProof/>
                <w:webHidden/>
              </w:rPr>
              <w:fldChar w:fldCharType="begin"/>
            </w:r>
            <w:r w:rsidR="005D0BB9">
              <w:rPr>
                <w:noProof/>
                <w:webHidden/>
              </w:rPr>
              <w:instrText xml:space="preserve"> PAGEREF _Toc56173638 \h </w:instrText>
            </w:r>
            <w:r w:rsidR="005D0BB9">
              <w:rPr>
                <w:noProof/>
                <w:webHidden/>
              </w:rPr>
            </w:r>
            <w:r w:rsidR="005D0BB9">
              <w:rPr>
                <w:noProof/>
                <w:webHidden/>
              </w:rPr>
              <w:fldChar w:fldCharType="separate"/>
            </w:r>
            <w:r w:rsidR="0018270F">
              <w:rPr>
                <w:noProof/>
                <w:webHidden/>
              </w:rPr>
              <w:t>21</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39" w:history="1">
            <w:r w:rsidR="005D0BB9">
              <w:rPr>
                <w:rStyle w:val="Hyperlink"/>
                <w:noProof/>
              </w:rPr>
              <w:t>2.3 Revenue Policy</w:t>
            </w:r>
            <w:r w:rsidR="005D0BB9">
              <w:rPr>
                <w:noProof/>
                <w:webHidden/>
              </w:rPr>
              <w:tab/>
            </w:r>
            <w:r w:rsidR="005D0BB9">
              <w:rPr>
                <w:noProof/>
                <w:webHidden/>
              </w:rPr>
              <w:fldChar w:fldCharType="begin"/>
            </w:r>
            <w:r w:rsidR="005D0BB9">
              <w:rPr>
                <w:noProof/>
                <w:webHidden/>
              </w:rPr>
              <w:instrText xml:space="preserve"> PAGEREF _Toc56173639 \h </w:instrText>
            </w:r>
            <w:r w:rsidR="005D0BB9">
              <w:rPr>
                <w:noProof/>
                <w:webHidden/>
              </w:rPr>
            </w:r>
            <w:r w:rsidR="005D0BB9">
              <w:rPr>
                <w:noProof/>
                <w:webHidden/>
              </w:rPr>
              <w:fldChar w:fldCharType="separate"/>
            </w:r>
            <w:r w:rsidR="0018270F">
              <w:rPr>
                <w:noProof/>
                <w:webHidden/>
              </w:rPr>
              <w:t>23</w:t>
            </w:r>
            <w:r w:rsidR="005D0BB9">
              <w:rPr>
                <w:noProof/>
                <w:webHidden/>
              </w:rPr>
              <w:fldChar w:fldCharType="end"/>
            </w:r>
          </w:hyperlink>
        </w:p>
        <w:p w:rsidR="00704A93" w:rsidRDefault="00EE6EAB">
          <w:pPr>
            <w:pStyle w:val="TOC1"/>
            <w:rPr>
              <w:rFonts w:asciiTheme="minorHAnsi" w:eastAsiaTheme="minorEastAsia" w:hAnsiTheme="minorHAnsi" w:cstheme="minorBidi"/>
              <w:noProof/>
              <w:sz w:val="22"/>
              <w:szCs w:val="22"/>
              <w:lang w:val="it-IT" w:eastAsia="it-IT"/>
            </w:rPr>
          </w:pPr>
          <w:hyperlink w:anchor="_Toc56173640" w:history="1">
            <w:r w:rsidR="005D0BB9">
              <w:rPr>
                <w:rStyle w:val="Hyperlink"/>
                <w:noProof/>
                <w:lang w:val="en-IE"/>
              </w:rPr>
              <w:t>3.</w:t>
            </w:r>
            <w:r w:rsidR="005D0BB9">
              <w:rPr>
                <w:rFonts w:asciiTheme="minorHAnsi" w:eastAsiaTheme="minorEastAsia" w:hAnsiTheme="minorHAnsi" w:cstheme="minorBidi"/>
                <w:noProof/>
                <w:sz w:val="22"/>
                <w:szCs w:val="22"/>
                <w:lang w:val="it-IT" w:eastAsia="it-IT"/>
              </w:rPr>
              <w:tab/>
            </w:r>
            <w:r w:rsidR="005D0BB9">
              <w:rPr>
                <w:rStyle w:val="Hyperlink"/>
                <w:noProof/>
              </w:rPr>
              <w:t>Structural issues and reform developments</w:t>
            </w:r>
            <w:r w:rsidR="005D0BB9">
              <w:rPr>
                <w:noProof/>
                <w:webHidden/>
              </w:rPr>
              <w:tab/>
            </w:r>
            <w:r w:rsidR="005D0BB9">
              <w:rPr>
                <w:noProof/>
                <w:webHidden/>
              </w:rPr>
              <w:fldChar w:fldCharType="begin"/>
            </w:r>
            <w:r w:rsidR="005D0BB9">
              <w:rPr>
                <w:noProof/>
                <w:webHidden/>
              </w:rPr>
              <w:instrText xml:space="preserve"> PAGEREF _Toc56173640 \h </w:instrText>
            </w:r>
            <w:r w:rsidR="005D0BB9">
              <w:rPr>
                <w:noProof/>
                <w:webHidden/>
              </w:rPr>
            </w:r>
            <w:r w:rsidR="005D0BB9">
              <w:rPr>
                <w:noProof/>
                <w:webHidden/>
              </w:rPr>
              <w:fldChar w:fldCharType="separate"/>
            </w:r>
            <w:r w:rsidR="0018270F">
              <w:rPr>
                <w:noProof/>
                <w:webHidden/>
              </w:rPr>
              <w:t>25</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1" w:history="1">
            <w:r w:rsidR="005D0BB9">
              <w:rPr>
                <w:rStyle w:val="Hyperlink"/>
                <w:noProof/>
              </w:rPr>
              <w:t>3.1. Single market integration</w:t>
            </w:r>
            <w:r w:rsidR="005D0BB9">
              <w:rPr>
                <w:noProof/>
                <w:webHidden/>
              </w:rPr>
              <w:tab/>
            </w:r>
            <w:r w:rsidR="005D0BB9">
              <w:rPr>
                <w:noProof/>
                <w:webHidden/>
              </w:rPr>
              <w:fldChar w:fldCharType="begin"/>
            </w:r>
            <w:r w:rsidR="005D0BB9">
              <w:rPr>
                <w:noProof/>
                <w:webHidden/>
              </w:rPr>
              <w:instrText xml:space="preserve"> PAGEREF _Toc56173641 \h </w:instrText>
            </w:r>
            <w:r w:rsidR="005D0BB9">
              <w:rPr>
                <w:noProof/>
                <w:webHidden/>
              </w:rPr>
            </w:r>
            <w:r w:rsidR="005D0BB9">
              <w:rPr>
                <w:noProof/>
                <w:webHidden/>
              </w:rPr>
              <w:fldChar w:fldCharType="separate"/>
            </w:r>
            <w:r w:rsidR="0018270F">
              <w:rPr>
                <w:noProof/>
                <w:webHidden/>
              </w:rPr>
              <w:t>27</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2" w:history="1">
            <w:r w:rsidR="005D0BB9">
              <w:rPr>
                <w:rStyle w:val="Hyperlink"/>
                <w:noProof/>
              </w:rPr>
              <w:t xml:space="preserve">3.2. </w:t>
            </w:r>
            <w:r w:rsidR="005D0BB9">
              <w:rPr>
                <w:rStyle w:val="Hyperlink"/>
                <w:noProof/>
                <w:lang w:val="en-IE"/>
              </w:rPr>
              <w:t>Labour markets and social protection</w:t>
            </w:r>
            <w:r w:rsidR="005D0BB9">
              <w:rPr>
                <w:noProof/>
                <w:webHidden/>
              </w:rPr>
              <w:tab/>
            </w:r>
            <w:r w:rsidR="005D0BB9">
              <w:rPr>
                <w:noProof/>
                <w:webHidden/>
              </w:rPr>
              <w:fldChar w:fldCharType="begin"/>
            </w:r>
            <w:r w:rsidR="005D0BB9">
              <w:rPr>
                <w:noProof/>
                <w:webHidden/>
              </w:rPr>
              <w:instrText xml:space="preserve"> PAGEREF _Toc56173642 \h </w:instrText>
            </w:r>
            <w:r w:rsidR="005D0BB9">
              <w:rPr>
                <w:noProof/>
                <w:webHidden/>
              </w:rPr>
            </w:r>
            <w:r w:rsidR="005D0BB9">
              <w:rPr>
                <w:noProof/>
                <w:webHidden/>
              </w:rPr>
              <w:fldChar w:fldCharType="separate"/>
            </w:r>
            <w:r w:rsidR="0018270F">
              <w:rPr>
                <w:noProof/>
                <w:webHidden/>
              </w:rPr>
              <w:t>29</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3" w:history="1">
            <w:r w:rsidR="005D0BB9">
              <w:rPr>
                <w:rStyle w:val="Hyperlink"/>
                <w:noProof/>
              </w:rPr>
              <w:t xml:space="preserve">3.3. </w:t>
            </w:r>
            <w:r w:rsidR="005D0BB9">
              <w:rPr>
                <w:rStyle w:val="Hyperlink"/>
                <w:noProof/>
                <w:lang w:val="en-IE"/>
              </w:rPr>
              <w:t>Labour market skills for the digital and green transitions</w:t>
            </w:r>
            <w:r w:rsidR="005D0BB9">
              <w:rPr>
                <w:noProof/>
                <w:webHidden/>
              </w:rPr>
              <w:tab/>
            </w:r>
            <w:r w:rsidR="005D0BB9">
              <w:rPr>
                <w:noProof/>
                <w:webHidden/>
              </w:rPr>
              <w:fldChar w:fldCharType="begin"/>
            </w:r>
            <w:r w:rsidR="005D0BB9">
              <w:rPr>
                <w:noProof/>
                <w:webHidden/>
              </w:rPr>
              <w:instrText xml:space="preserve"> PAGEREF _Toc56173643 \h </w:instrText>
            </w:r>
            <w:r w:rsidR="005D0BB9">
              <w:rPr>
                <w:noProof/>
                <w:webHidden/>
              </w:rPr>
            </w:r>
            <w:r w:rsidR="005D0BB9">
              <w:rPr>
                <w:noProof/>
                <w:webHidden/>
              </w:rPr>
              <w:fldChar w:fldCharType="separate"/>
            </w:r>
            <w:r w:rsidR="0018270F">
              <w:rPr>
                <w:noProof/>
                <w:webHidden/>
              </w:rPr>
              <w:t>31</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4" w:history="1">
            <w:r w:rsidR="005D0BB9">
              <w:rPr>
                <w:rStyle w:val="Hyperlink"/>
                <w:noProof/>
              </w:rPr>
              <w:t xml:space="preserve">3.4. </w:t>
            </w:r>
            <w:r w:rsidR="005D0BB9">
              <w:rPr>
                <w:rStyle w:val="Hyperlink"/>
                <w:noProof/>
                <w:lang w:val="en-IE"/>
              </w:rPr>
              <w:t>Insolvency frameworks</w:t>
            </w:r>
            <w:r w:rsidR="005D0BB9">
              <w:rPr>
                <w:noProof/>
                <w:webHidden/>
              </w:rPr>
              <w:tab/>
            </w:r>
            <w:r w:rsidR="005D0BB9">
              <w:rPr>
                <w:noProof/>
                <w:webHidden/>
              </w:rPr>
              <w:fldChar w:fldCharType="begin"/>
            </w:r>
            <w:r w:rsidR="005D0BB9">
              <w:rPr>
                <w:noProof/>
                <w:webHidden/>
              </w:rPr>
              <w:instrText xml:space="preserve"> PAGEREF _Toc56173644 \h </w:instrText>
            </w:r>
            <w:r w:rsidR="005D0BB9">
              <w:rPr>
                <w:noProof/>
                <w:webHidden/>
              </w:rPr>
            </w:r>
            <w:r w:rsidR="005D0BB9">
              <w:rPr>
                <w:noProof/>
                <w:webHidden/>
              </w:rPr>
              <w:fldChar w:fldCharType="separate"/>
            </w:r>
            <w:r w:rsidR="0018270F">
              <w:rPr>
                <w:noProof/>
                <w:webHidden/>
              </w:rPr>
              <w:t>32</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5" w:history="1">
            <w:r w:rsidR="005D0BB9">
              <w:rPr>
                <w:rStyle w:val="Hyperlink"/>
                <w:noProof/>
              </w:rPr>
              <w:t xml:space="preserve">3.5. </w:t>
            </w:r>
            <w:r w:rsidR="005D0BB9">
              <w:rPr>
                <w:rStyle w:val="Hyperlink"/>
                <w:noProof/>
                <w:lang w:val="en-IE"/>
              </w:rPr>
              <w:t>Administrative and absorption capacity and other drivers of institutional quality</w:t>
            </w:r>
            <w:r w:rsidR="005D0BB9">
              <w:rPr>
                <w:noProof/>
                <w:webHidden/>
              </w:rPr>
              <w:tab/>
            </w:r>
            <w:r w:rsidR="005D0BB9">
              <w:rPr>
                <w:noProof/>
                <w:webHidden/>
              </w:rPr>
              <w:fldChar w:fldCharType="begin"/>
            </w:r>
            <w:r w:rsidR="005D0BB9">
              <w:rPr>
                <w:noProof/>
                <w:webHidden/>
              </w:rPr>
              <w:instrText xml:space="preserve"> PAGEREF _Toc56173645 \h </w:instrText>
            </w:r>
            <w:r w:rsidR="005D0BB9">
              <w:rPr>
                <w:noProof/>
                <w:webHidden/>
              </w:rPr>
            </w:r>
            <w:r w:rsidR="005D0BB9">
              <w:rPr>
                <w:noProof/>
                <w:webHidden/>
              </w:rPr>
              <w:fldChar w:fldCharType="separate"/>
            </w:r>
            <w:r w:rsidR="0018270F">
              <w:rPr>
                <w:noProof/>
                <w:webHidden/>
              </w:rPr>
              <w:t>34</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6" w:history="1">
            <w:r w:rsidR="005D0BB9">
              <w:rPr>
                <w:rStyle w:val="Hyperlink"/>
                <w:noProof/>
              </w:rPr>
              <w:t xml:space="preserve">3.6. </w:t>
            </w:r>
            <w:r w:rsidR="005D0BB9">
              <w:rPr>
                <w:rStyle w:val="Hyperlink"/>
                <w:noProof/>
                <w:lang w:val="en-IE"/>
              </w:rPr>
              <w:t>Risks of macroeconomic imbalances</w:t>
            </w:r>
            <w:r w:rsidR="005D0BB9">
              <w:rPr>
                <w:noProof/>
                <w:webHidden/>
              </w:rPr>
              <w:tab/>
            </w:r>
            <w:r w:rsidR="005D0BB9">
              <w:rPr>
                <w:noProof/>
                <w:webHidden/>
              </w:rPr>
              <w:fldChar w:fldCharType="begin"/>
            </w:r>
            <w:r w:rsidR="005D0BB9">
              <w:rPr>
                <w:noProof/>
                <w:webHidden/>
              </w:rPr>
              <w:instrText xml:space="preserve"> PAGEREF _Toc56173646 \h </w:instrText>
            </w:r>
            <w:r w:rsidR="005D0BB9">
              <w:rPr>
                <w:noProof/>
                <w:webHidden/>
              </w:rPr>
            </w:r>
            <w:r w:rsidR="005D0BB9">
              <w:rPr>
                <w:noProof/>
                <w:webHidden/>
              </w:rPr>
              <w:fldChar w:fldCharType="separate"/>
            </w:r>
            <w:r w:rsidR="0018270F">
              <w:rPr>
                <w:noProof/>
                <w:webHidden/>
              </w:rPr>
              <w:t>36</w:t>
            </w:r>
            <w:r w:rsidR="005D0BB9">
              <w:rPr>
                <w:noProof/>
                <w:webHidden/>
              </w:rPr>
              <w:fldChar w:fldCharType="end"/>
            </w:r>
          </w:hyperlink>
        </w:p>
        <w:p w:rsidR="00704A93" w:rsidRDefault="00EE6EAB">
          <w:pPr>
            <w:pStyle w:val="TOC1"/>
            <w:rPr>
              <w:rFonts w:asciiTheme="minorHAnsi" w:eastAsiaTheme="minorEastAsia" w:hAnsiTheme="minorHAnsi" w:cstheme="minorBidi"/>
              <w:noProof/>
              <w:sz w:val="22"/>
              <w:szCs w:val="22"/>
              <w:lang w:val="it-IT" w:eastAsia="it-IT"/>
            </w:rPr>
          </w:pPr>
          <w:hyperlink w:anchor="_Toc56173647" w:history="1">
            <w:r w:rsidR="005D0BB9">
              <w:rPr>
                <w:rStyle w:val="Hyperlink"/>
                <w:noProof/>
              </w:rPr>
              <w:t>4.</w:t>
            </w:r>
            <w:r w:rsidR="005D0BB9">
              <w:rPr>
                <w:rFonts w:asciiTheme="minorHAnsi" w:eastAsiaTheme="minorEastAsia" w:hAnsiTheme="minorHAnsi" w:cstheme="minorBidi"/>
                <w:noProof/>
                <w:sz w:val="22"/>
                <w:szCs w:val="22"/>
                <w:lang w:val="it-IT" w:eastAsia="it-IT"/>
              </w:rPr>
              <w:tab/>
            </w:r>
            <w:r w:rsidR="005D0BB9">
              <w:rPr>
                <w:rStyle w:val="Hyperlink"/>
                <w:noProof/>
              </w:rPr>
              <w:t>Macro-financial Stability</w:t>
            </w:r>
            <w:r w:rsidR="005D0BB9">
              <w:rPr>
                <w:noProof/>
                <w:webHidden/>
              </w:rPr>
              <w:tab/>
            </w:r>
            <w:r w:rsidR="005D0BB9">
              <w:rPr>
                <w:noProof/>
                <w:webHidden/>
              </w:rPr>
              <w:fldChar w:fldCharType="begin"/>
            </w:r>
            <w:r w:rsidR="005D0BB9">
              <w:rPr>
                <w:noProof/>
                <w:webHidden/>
              </w:rPr>
              <w:instrText xml:space="preserve"> PAGEREF _Toc56173647 \h </w:instrText>
            </w:r>
            <w:r w:rsidR="005D0BB9">
              <w:rPr>
                <w:noProof/>
                <w:webHidden/>
              </w:rPr>
            </w:r>
            <w:r w:rsidR="005D0BB9">
              <w:rPr>
                <w:noProof/>
                <w:webHidden/>
              </w:rPr>
              <w:fldChar w:fldCharType="separate"/>
            </w:r>
            <w:r w:rsidR="0018270F">
              <w:rPr>
                <w:noProof/>
                <w:webHidden/>
              </w:rPr>
              <w:t>38</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8" w:history="1">
            <w:r w:rsidR="005D0BB9">
              <w:rPr>
                <w:rStyle w:val="Hyperlink"/>
                <w:noProof/>
              </w:rPr>
              <w:t>4.1. Financial market developments</w:t>
            </w:r>
            <w:r w:rsidR="005D0BB9">
              <w:rPr>
                <w:noProof/>
                <w:webHidden/>
              </w:rPr>
              <w:tab/>
            </w:r>
            <w:r w:rsidR="005D0BB9">
              <w:rPr>
                <w:noProof/>
                <w:webHidden/>
              </w:rPr>
              <w:fldChar w:fldCharType="begin"/>
            </w:r>
            <w:r w:rsidR="005D0BB9">
              <w:rPr>
                <w:noProof/>
                <w:webHidden/>
              </w:rPr>
              <w:instrText xml:space="preserve"> PAGEREF _Toc56173648 \h </w:instrText>
            </w:r>
            <w:r w:rsidR="005D0BB9">
              <w:rPr>
                <w:noProof/>
                <w:webHidden/>
              </w:rPr>
            </w:r>
            <w:r w:rsidR="005D0BB9">
              <w:rPr>
                <w:noProof/>
                <w:webHidden/>
              </w:rPr>
              <w:fldChar w:fldCharType="separate"/>
            </w:r>
            <w:r w:rsidR="0018270F">
              <w:rPr>
                <w:noProof/>
                <w:webHidden/>
              </w:rPr>
              <w:t>38</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49" w:history="1">
            <w:r w:rsidR="005D0BB9">
              <w:rPr>
                <w:rStyle w:val="Hyperlink"/>
                <w:noProof/>
              </w:rPr>
              <w:t>4.2. Risks to macro-financial stability</w:t>
            </w:r>
            <w:r w:rsidR="005D0BB9">
              <w:rPr>
                <w:noProof/>
                <w:webHidden/>
              </w:rPr>
              <w:tab/>
            </w:r>
            <w:r w:rsidR="005D0BB9">
              <w:rPr>
                <w:noProof/>
                <w:webHidden/>
              </w:rPr>
              <w:fldChar w:fldCharType="begin"/>
            </w:r>
            <w:r w:rsidR="005D0BB9">
              <w:rPr>
                <w:noProof/>
                <w:webHidden/>
              </w:rPr>
              <w:instrText xml:space="preserve"> PAGEREF _Toc56173649 \h </w:instrText>
            </w:r>
            <w:r w:rsidR="005D0BB9">
              <w:rPr>
                <w:noProof/>
                <w:webHidden/>
              </w:rPr>
            </w:r>
            <w:r w:rsidR="005D0BB9">
              <w:rPr>
                <w:noProof/>
                <w:webHidden/>
              </w:rPr>
              <w:fldChar w:fldCharType="separate"/>
            </w:r>
            <w:r w:rsidR="0018270F">
              <w:rPr>
                <w:noProof/>
                <w:webHidden/>
              </w:rPr>
              <w:t>41</w:t>
            </w:r>
            <w:r w:rsidR="005D0BB9">
              <w:rPr>
                <w:noProof/>
                <w:webHidden/>
              </w:rPr>
              <w:fldChar w:fldCharType="end"/>
            </w:r>
          </w:hyperlink>
        </w:p>
        <w:p w:rsidR="00704A93" w:rsidRDefault="00EE6EAB">
          <w:pPr>
            <w:pStyle w:val="TOC1"/>
            <w:rPr>
              <w:rFonts w:asciiTheme="minorHAnsi" w:eastAsiaTheme="minorEastAsia" w:hAnsiTheme="minorHAnsi" w:cstheme="minorBidi"/>
              <w:noProof/>
              <w:sz w:val="22"/>
              <w:szCs w:val="22"/>
              <w:lang w:val="it-IT" w:eastAsia="it-IT"/>
            </w:rPr>
          </w:pPr>
          <w:hyperlink w:anchor="_Toc56173650" w:history="1">
            <w:r w:rsidR="005D0BB9">
              <w:rPr>
                <w:rStyle w:val="Hyperlink"/>
                <w:noProof/>
              </w:rPr>
              <w:t>5.</w:t>
            </w:r>
            <w:r w:rsidR="005D0BB9">
              <w:rPr>
                <w:rFonts w:asciiTheme="minorHAnsi" w:eastAsiaTheme="minorEastAsia" w:hAnsiTheme="minorHAnsi" w:cstheme="minorBidi"/>
                <w:noProof/>
                <w:sz w:val="22"/>
                <w:szCs w:val="22"/>
                <w:lang w:val="it-IT" w:eastAsia="it-IT"/>
              </w:rPr>
              <w:tab/>
            </w:r>
            <w:r w:rsidR="005D0BB9">
              <w:rPr>
                <w:rStyle w:val="Hyperlink"/>
                <w:noProof/>
              </w:rPr>
              <w:t>The EU recovery plan: its impact on EMU and the international role of the euro</w:t>
            </w:r>
            <w:r w:rsidR="005D0BB9">
              <w:rPr>
                <w:noProof/>
                <w:webHidden/>
              </w:rPr>
              <w:tab/>
            </w:r>
            <w:r w:rsidR="005D0BB9">
              <w:rPr>
                <w:noProof/>
                <w:webHidden/>
              </w:rPr>
              <w:fldChar w:fldCharType="begin"/>
            </w:r>
            <w:r w:rsidR="005D0BB9">
              <w:rPr>
                <w:noProof/>
                <w:webHidden/>
              </w:rPr>
              <w:instrText xml:space="preserve"> PAGEREF _Toc56173650 \h </w:instrText>
            </w:r>
            <w:r w:rsidR="005D0BB9">
              <w:rPr>
                <w:noProof/>
                <w:webHidden/>
              </w:rPr>
            </w:r>
            <w:r w:rsidR="005D0BB9">
              <w:rPr>
                <w:noProof/>
                <w:webHidden/>
              </w:rPr>
              <w:fldChar w:fldCharType="separate"/>
            </w:r>
            <w:r w:rsidR="0018270F">
              <w:rPr>
                <w:noProof/>
                <w:webHidden/>
              </w:rPr>
              <w:t>42</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51" w:history="1">
            <w:r w:rsidR="005D0BB9">
              <w:rPr>
                <w:rStyle w:val="Hyperlink"/>
                <w:noProof/>
              </w:rPr>
              <w:t>5.1. Impact of the European recovery plan on the international role of the euro</w:t>
            </w:r>
            <w:r w:rsidR="005D0BB9">
              <w:rPr>
                <w:noProof/>
                <w:webHidden/>
              </w:rPr>
              <w:tab/>
            </w:r>
            <w:r w:rsidR="005D0BB9">
              <w:rPr>
                <w:noProof/>
                <w:webHidden/>
              </w:rPr>
              <w:fldChar w:fldCharType="begin"/>
            </w:r>
            <w:r w:rsidR="005D0BB9">
              <w:rPr>
                <w:noProof/>
                <w:webHidden/>
              </w:rPr>
              <w:instrText xml:space="preserve"> PAGEREF _Toc56173651 \h </w:instrText>
            </w:r>
            <w:r w:rsidR="005D0BB9">
              <w:rPr>
                <w:noProof/>
                <w:webHidden/>
              </w:rPr>
            </w:r>
            <w:r w:rsidR="005D0BB9">
              <w:rPr>
                <w:noProof/>
                <w:webHidden/>
              </w:rPr>
              <w:fldChar w:fldCharType="separate"/>
            </w:r>
            <w:r w:rsidR="0018270F">
              <w:rPr>
                <w:noProof/>
                <w:webHidden/>
              </w:rPr>
              <w:t>42</w:t>
            </w:r>
            <w:r w:rsidR="005D0BB9">
              <w:rPr>
                <w:noProof/>
                <w:webHidden/>
              </w:rPr>
              <w:fldChar w:fldCharType="end"/>
            </w:r>
          </w:hyperlink>
        </w:p>
        <w:p w:rsidR="00704A93" w:rsidRDefault="00EE6EAB">
          <w:pPr>
            <w:pStyle w:val="TOC2"/>
            <w:rPr>
              <w:rFonts w:asciiTheme="minorHAnsi" w:eastAsiaTheme="minorEastAsia" w:hAnsiTheme="minorHAnsi" w:cstheme="minorBidi"/>
              <w:noProof/>
              <w:sz w:val="22"/>
              <w:szCs w:val="22"/>
              <w:lang w:val="it-IT" w:eastAsia="it-IT"/>
            </w:rPr>
          </w:pPr>
          <w:hyperlink w:anchor="_Toc56173652" w:history="1">
            <w:r w:rsidR="005D0BB9">
              <w:rPr>
                <w:rStyle w:val="Hyperlink"/>
                <w:noProof/>
              </w:rPr>
              <w:t>5.2. Remaining missing elements of the EMU architecture</w:t>
            </w:r>
            <w:r w:rsidR="005D0BB9">
              <w:rPr>
                <w:noProof/>
                <w:webHidden/>
              </w:rPr>
              <w:tab/>
            </w:r>
            <w:r w:rsidR="005D0BB9">
              <w:rPr>
                <w:noProof/>
                <w:webHidden/>
              </w:rPr>
              <w:fldChar w:fldCharType="begin"/>
            </w:r>
            <w:r w:rsidR="005D0BB9">
              <w:rPr>
                <w:noProof/>
                <w:webHidden/>
              </w:rPr>
              <w:instrText xml:space="preserve"> PAGEREF _Toc56173652 \h </w:instrText>
            </w:r>
            <w:r w:rsidR="005D0BB9">
              <w:rPr>
                <w:noProof/>
                <w:webHidden/>
              </w:rPr>
            </w:r>
            <w:r w:rsidR="005D0BB9">
              <w:rPr>
                <w:noProof/>
                <w:webHidden/>
              </w:rPr>
              <w:fldChar w:fldCharType="separate"/>
            </w:r>
            <w:r w:rsidR="0018270F">
              <w:rPr>
                <w:noProof/>
                <w:webHidden/>
              </w:rPr>
              <w:t>45</w:t>
            </w:r>
            <w:r w:rsidR="005D0BB9">
              <w:rPr>
                <w:noProof/>
                <w:webHidden/>
              </w:rPr>
              <w:fldChar w:fldCharType="end"/>
            </w:r>
          </w:hyperlink>
        </w:p>
        <w:p w:rsidR="00704A93" w:rsidRDefault="005D0BB9">
          <w:pPr>
            <w:rPr>
              <w:noProof/>
            </w:rPr>
          </w:pPr>
          <w:r>
            <w:rPr>
              <w:b/>
              <w:bCs/>
              <w:noProof/>
            </w:rPr>
            <w:fldChar w:fldCharType="end"/>
          </w:r>
        </w:p>
      </w:sdtContent>
    </w:sdt>
    <w:p w:rsidR="00704A93" w:rsidRDefault="00704A93">
      <w:pPr>
        <w:spacing w:after="200"/>
        <w:jc w:val="center"/>
        <w:rPr>
          <w:b/>
          <w:bCs/>
          <w:noProof/>
        </w:rPr>
      </w:pPr>
    </w:p>
    <w:p w:rsidR="00704A93" w:rsidRDefault="005D0BB9">
      <w:pPr>
        <w:spacing w:after="160" w:line="259" w:lineRule="auto"/>
        <w:jc w:val="left"/>
        <w:rPr>
          <w:b/>
          <w:bCs/>
          <w:noProof/>
        </w:rPr>
      </w:pPr>
      <w:r>
        <w:rPr>
          <w:b/>
          <w:bCs/>
          <w:noProof/>
        </w:rPr>
        <w:br w:type="page"/>
      </w:r>
    </w:p>
    <w:p w:rsidR="00704A93" w:rsidRDefault="005D0BB9">
      <w:pPr>
        <w:spacing w:after="200"/>
        <w:jc w:val="center"/>
        <w:rPr>
          <w:b/>
          <w:bCs/>
          <w:noProof/>
        </w:rPr>
      </w:pPr>
      <w:r>
        <w:rPr>
          <w:b/>
          <w:bCs/>
          <w:noProof/>
        </w:rPr>
        <w:lastRenderedPageBreak/>
        <w:t>Executive summary</w:t>
      </w:r>
    </w:p>
    <w:p w:rsidR="00704A93" w:rsidRDefault="005D0BB9">
      <w:pPr>
        <w:spacing w:after="200" w:line="276" w:lineRule="auto"/>
        <w:rPr>
          <w:noProof/>
        </w:rPr>
      </w:pPr>
      <w:r>
        <w:rPr>
          <w:b/>
          <w:noProof/>
        </w:rPr>
        <w:t>Following the COVID-19 shock, the euro area economy entered a sudden and deep recession in the first half of this year and remains vulnerable to the persisting health crisis.</w:t>
      </w:r>
      <w:r>
        <w:rPr>
          <w:noProof/>
        </w:rPr>
        <w:t xml:space="preserve"> Unprecedented policy measures are expected to mitigate significantly the immediate impact of the shock, but the uncertainty surrounding the outlook will remain particularly high as long as the pandemic hangs over the economy. Risks remain exceptionally large. </w:t>
      </w:r>
      <w:r>
        <w:rPr>
          <w:noProof/>
          <w:szCs w:val="24"/>
        </w:rPr>
        <w:t xml:space="preserve">Thanks to short-time work schemes, combined with a drop in total hours worked and in activity rates, the unemployment rate is estimated to increase only moderately in 2020. </w:t>
      </w:r>
      <w:r>
        <w:rPr>
          <w:noProof/>
        </w:rPr>
        <w:t xml:space="preserve">The crisis has had a bearing on private consumption as social distancing measures translated into forced savings, with household savings reaching unprecedented levels. Private sector investment is expected to take a severe hit from the crisis. Despite the symmetric nature of the shock, its impact on GDP appears to vary significantly across countries with a much stronger negative impact on regions more dependent from contact-intensive sectors (e.g., tourism, hospitality and transport). </w:t>
      </w:r>
    </w:p>
    <w:p w:rsidR="00704A93" w:rsidRDefault="005D0BB9">
      <w:pPr>
        <w:spacing w:after="200" w:line="276" w:lineRule="auto"/>
        <w:rPr>
          <w:noProof/>
        </w:rPr>
      </w:pPr>
      <w:r>
        <w:rPr>
          <w:b/>
          <w:noProof/>
        </w:rPr>
        <w:t>The risk of widening economic divergences across euro area countries is increasing and can affect negatively the effectiveness of monetary policy.</w:t>
      </w:r>
      <w:r>
        <w:rPr>
          <w:noProof/>
        </w:rPr>
        <w:t xml:space="preserve"> Several factors could drive divergences within the euro area, which warrant a close monitoring</w:t>
      </w:r>
      <w:r>
        <w:rPr>
          <w:noProof/>
          <w:color w:val="000000"/>
        </w:rPr>
        <w:t xml:space="preserve">, namely: i) the intensity and timing of the COVID-19 shock; ii) </w:t>
      </w:r>
      <w:r>
        <w:rPr>
          <w:noProof/>
        </w:rPr>
        <w:t xml:space="preserve">the relative size and economic importance of contact intensive sectors (e.g., tourism, hospitality and transport); iii) the differences in the resilience of the economies, including their adjustment capacity and fiscal space available, which may impact confidence, investments and growth prospects; iv) the investment gap  also in the green and digital sectors; </w:t>
      </w:r>
      <w:r>
        <w:rPr>
          <w:noProof/>
          <w:lang w:val="en-IE"/>
        </w:rPr>
        <w:t>v) p</w:t>
      </w:r>
      <w:r>
        <w:rPr>
          <w:noProof/>
        </w:rPr>
        <w:t xml:space="preserve">re-existing regional divergences that may be exacerbated; and  vi) institutional differences. In addition, the functioning of product, services, labour and capital markets are important for the adjustment process, including addressing barriers to labour mobility, both geographical and across sectors and firms. Over the longer-term, the current crisis risks having permanent effects on production factors and may translate into lower growth in labour productivity and incomes, in particular on the back of lower human and physical capital. </w:t>
      </w:r>
    </w:p>
    <w:p w:rsidR="00704A93" w:rsidRDefault="005D0BB9">
      <w:pPr>
        <w:spacing w:after="200" w:line="276" w:lineRule="auto"/>
        <w:rPr>
          <w:i/>
          <w:noProof/>
          <w:lang w:val="en-US"/>
        </w:rPr>
      </w:pPr>
      <w:r>
        <w:rPr>
          <w:b/>
          <w:noProof/>
        </w:rPr>
        <w:t>Measures taken by Member States and the European Union, together with European Central Bank (ECB) policy intervention, have taken aim at preventing bankruptcies and layoffs.</w:t>
      </w:r>
      <w:r>
        <w:rPr>
          <w:noProof/>
        </w:rPr>
        <w:t xml:space="preserve"> In order to safeguard medium-term price stability, the ECB has reacted forcefully and quickly by taking additional monetary policy easing measures ensuring an accommodative monetary stance. On 19 March 2020, the European Commission adopted a temporary </w:t>
      </w:r>
      <w:r>
        <w:rPr>
          <w:rStyle w:val="Emphasis"/>
          <w:i w:val="0"/>
          <w:noProof/>
          <w:color w:val="0E101A"/>
        </w:rPr>
        <w:t xml:space="preserve">framework to use the flexibility under EU state aid rules </w:t>
      </w:r>
      <w:r>
        <w:rPr>
          <w:noProof/>
        </w:rPr>
        <w:t xml:space="preserve">to support the economy in the context of the coronavirus crisis and </w:t>
      </w:r>
      <w:r>
        <w:rPr>
          <w:noProof/>
          <w:lang w:eastAsia="en-GB"/>
        </w:rPr>
        <w:t xml:space="preserve">on 20 March 2020 the Commission concluded that the EU economy was experiencing a severe economic downturn and the conditions to activate the general escape clause of the Stability and Growth Pact were thus met, </w:t>
      </w:r>
      <w:r>
        <w:rPr>
          <w:rStyle w:val="Emphasis"/>
          <w:i w:val="0"/>
          <w:noProof/>
          <w:color w:val="0E101A"/>
        </w:rPr>
        <w:t>a conclusion endorsed by the ECOFIN Council</w:t>
      </w:r>
      <w:r>
        <w:rPr>
          <w:noProof/>
          <w:lang w:eastAsia="en-GB"/>
        </w:rPr>
        <w:t xml:space="preserve">. In response to the COVID-19 pandemic, and as part of a coordinated Union approach, euro area Member States introduced sizeable budgetary measures to contain the pandemic and provide support to individuals and businesses particularly affected. </w:t>
      </w:r>
      <w:r>
        <w:rPr>
          <w:noProof/>
        </w:rPr>
        <w:t>The fiscal stance is forecast to be highly expansionary in 2020 and to remain supportive in 2021 at both euro area and national level.</w:t>
      </w:r>
      <w:r>
        <w:rPr>
          <w:b/>
          <w:noProof/>
        </w:rPr>
        <w:t xml:space="preserve"> </w:t>
      </w:r>
      <w:r>
        <w:rPr>
          <w:noProof/>
        </w:rPr>
        <w:t xml:space="preserve">Overall, the debt </w:t>
      </w:r>
      <w:r>
        <w:rPr>
          <w:noProof/>
        </w:rPr>
        <w:lastRenderedPageBreak/>
        <w:t xml:space="preserve">sustainability assessment of the euro area leads to the conclusion that the debt position remains sustainable over the medium-term, notwithstanding risks and significant uncertainty. </w:t>
      </w:r>
    </w:p>
    <w:p w:rsidR="00704A93" w:rsidRDefault="005D0BB9">
      <w:pPr>
        <w:spacing w:after="200" w:line="276" w:lineRule="auto"/>
        <w:rPr>
          <w:noProof/>
          <w:lang w:val="en-US"/>
        </w:rPr>
      </w:pPr>
      <w:r>
        <w:rPr>
          <w:b/>
          <w:noProof/>
        </w:rPr>
        <w:t xml:space="preserve">Implementation of well-designed structural policies will support the recovery, while bringing the euro area closer to the requirements of an optimum currency area by facilitating the transmission of monetary policy and strengthening the resilience and convergence of Member States. </w:t>
      </w:r>
      <w:r>
        <w:rPr>
          <w:noProof/>
        </w:rPr>
        <w:t>Structural policies can also contribute to make euro area economies future-proof, through embracing the green and digital transition.</w:t>
      </w:r>
      <w:r>
        <w:rPr>
          <w:b/>
          <w:noProof/>
        </w:rPr>
        <w:t xml:space="preserve"> </w:t>
      </w:r>
      <w:r>
        <w:rPr>
          <w:noProof/>
        </w:rPr>
        <w:t xml:space="preserve">New model simulations provide further evidence that </w:t>
      </w:r>
      <w:r>
        <w:rPr>
          <w:noProof/>
          <w:lang w:val="en-US"/>
        </w:rPr>
        <w:t>labour and product market reforms could have material growth benefits over the medium term.</w:t>
      </w:r>
      <w:r>
        <w:rPr>
          <w:noProof/>
        </w:rPr>
        <w:t xml:space="preserve"> In general, a</w:t>
      </w:r>
      <w:r>
        <w:rPr>
          <w:noProof/>
          <w:lang w:val="en-US"/>
        </w:rPr>
        <w:t xml:space="preserve"> number of reform areas appear of particular importance</w:t>
      </w:r>
      <w:r>
        <w:rPr>
          <w:noProof/>
          <w:lang w:val="en-IE"/>
        </w:rPr>
        <w:t xml:space="preserve">. </w:t>
      </w:r>
      <w:r>
        <w:rPr>
          <w:noProof/>
          <w:lang w:val="en-US"/>
        </w:rPr>
        <w:t xml:space="preserve">Insolvency frameworks differ substantially across the EU and this divergence is an obstacle for cross-border capital flows and differences in proceedings contributes to a home bias, as investors shy away from legal risks and costs linked to possible restructuring abroad. Further single market integration, especially in services, is another priority area for reforms. Actions aimed at improving the composition of national budgets, especially through spending reviews and effective public procurement frameworks, can create much-needed fiscal space now, while also help safeguarding fiscal sustainability in the long term. </w:t>
      </w:r>
      <w:r>
        <w:rPr>
          <w:noProof/>
          <w:lang w:val="en-IE"/>
        </w:rPr>
        <w:t xml:space="preserve">Labour markets and social challenges have been aggravated by the COVID-19 crisis, with the younger and some vulnerable groups most affected, </w:t>
      </w:r>
      <w:r>
        <w:rPr>
          <w:noProof/>
          <w:lang w:val="en-US"/>
        </w:rPr>
        <w:t xml:space="preserve">making access to inclusive education and training systems, effective active labour market policies, including hiring incentives, up-skilling and reskilling, and enhanced social protection even more relevant. Gaps in the digitalisation of public administration, including justice systems and public employment services are even more important now.  </w:t>
      </w:r>
    </w:p>
    <w:p w:rsidR="00704A93" w:rsidRDefault="005D0BB9">
      <w:pPr>
        <w:spacing w:after="200" w:line="276" w:lineRule="auto"/>
        <w:rPr>
          <w:noProof/>
          <w:lang w:val="en-US"/>
        </w:rPr>
      </w:pPr>
      <w:r>
        <w:rPr>
          <w:b/>
          <w:noProof/>
          <w:lang w:val="en-US"/>
        </w:rPr>
        <w:t xml:space="preserve">Euro area banks entered the current stress episode following a continuous risk reduction process that resulted in overall higher liquidity and stronger loss-absorption capacities than before the onset of the Global Financial Crisis, </w:t>
      </w:r>
      <w:r>
        <w:rPr>
          <w:noProof/>
          <w:lang w:val="en-US"/>
        </w:rPr>
        <w:t>which in combination with various monetary and fiscal policy measures ensured continued credit provision.</w:t>
      </w:r>
      <w:r>
        <w:rPr>
          <w:b/>
          <w:noProof/>
          <w:lang w:val="en-US"/>
        </w:rPr>
        <w:t xml:space="preserve"> </w:t>
      </w:r>
      <w:r>
        <w:rPr>
          <w:noProof/>
          <w:lang w:val="en-US"/>
        </w:rPr>
        <w:t>Nonetheless, the crisis could put further pressure on banks’ already low profitability levels. An increase in banks’ NPL ratios is likely once government guarantee schemes, debt moratoria, as well as temporary supervisory measures expire. The non-bank financial sector experienced large outflows and valuation losses that have been only partly recovered.</w:t>
      </w:r>
    </w:p>
    <w:p w:rsidR="00704A93" w:rsidRDefault="005D0BB9">
      <w:pPr>
        <w:spacing w:line="276" w:lineRule="auto"/>
        <w:rPr>
          <w:noProof/>
        </w:rPr>
      </w:pPr>
      <w:r>
        <w:rPr>
          <w:b/>
          <w:noProof/>
          <w:lang w:val="en-US"/>
        </w:rPr>
        <w:t>The support provided by swift and sizeable policy interventions has strengthened confidence and helped to preserve macro-financial stability, but entails a number of trade-offs.</w:t>
      </w:r>
      <w:r>
        <w:rPr>
          <w:noProof/>
          <w:lang w:val="en-US"/>
        </w:rPr>
        <w:t xml:space="preserve"> To mitigate risks it is crucial to avoid a strong feedback-loop between corporate sector vulnerabilities and financial sector risks. For example, prolonged government loan guarantee schemes help protect the banking sector, the non-bank financial sector and ensure credit provision to corporates in a context of a protracted health crisis, which dampens prospects of a quick recovery. At the same time, they could also constitute contingent liabilities for Member States’ budgets. Furthermore, in the absence of an effective system that distinguishes viable from non-viable businesses, prolongation of insolvency moratoria and forbearance of non-performing loans entails difficult decisions </w:t>
      </w:r>
      <w:r>
        <w:rPr>
          <w:noProof/>
          <w:lang w:eastAsia="en-GB"/>
        </w:rPr>
        <w:t xml:space="preserve">as it might </w:t>
      </w:r>
      <w:r>
        <w:rPr>
          <w:noProof/>
          <w:lang w:val="en-US"/>
        </w:rPr>
        <w:t xml:space="preserve">make the eventual losses under bankruptcy worse, lead to misallocation of funds to non-viable borrowers and in turn undermine business confidence ex-ante. </w:t>
      </w:r>
    </w:p>
    <w:p w:rsidR="00704A93" w:rsidRDefault="005D0BB9">
      <w:pPr>
        <w:spacing w:after="200" w:line="276" w:lineRule="auto"/>
        <w:rPr>
          <w:b/>
          <w:bCs/>
          <w:noProof/>
        </w:rPr>
      </w:pPr>
      <w:r>
        <w:rPr>
          <w:b/>
          <w:noProof/>
          <w:szCs w:val="24"/>
        </w:rPr>
        <w:lastRenderedPageBreak/>
        <w:t xml:space="preserve">Further work is needed to improve upon the architecture of the Economic and Monetary Union (EMU). </w:t>
      </w:r>
      <w:r>
        <w:rPr>
          <w:noProof/>
          <w:szCs w:val="24"/>
        </w:rPr>
        <w:t xml:space="preserve">The EU recovery package, with its objective also to strengthen the overall resilience, has the potential to impact the EMU beyond its short-term stabilisation function and its role in supporting the recovery post-crisis. The EMU architecture remains incomplete. Filling the remaining gaps could further increase the euro area’s stability and resilience. </w:t>
      </w:r>
      <w:r>
        <w:rPr>
          <w:noProof/>
        </w:rPr>
        <w:t>Important elements are still missing, such as a complete Banking Union and Capital Markets Union. While interrupted by the COVID-19 crisis, it will be important to continue the process of assessing</w:t>
      </w:r>
      <w:r>
        <w:rPr>
          <w:noProof/>
          <w:lang w:val="en-IE"/>
        </w:rPr>
        <w:t xml:space="preserve"> the effectiveness of the current economic governance framework. </w:t>
      </w:r>
      <w:r>
        <w:rPr>
          <w:noProof/>
        </w:rPr>
        <w:t xml:space="preserve">A strong and resilient EMU will also strengthen the international role of the euro and can ensure Europe’s financial and economic autonomy. </w:t>
      </w:r>
      <w:r>
        <w:rPr>
          <w:noProof/>
          <w:szCs w:val="24"/>
        </w:rPr>
        <w:t>By increasing the euro area’s economic performance and resilience to future shocks, and by increasing issuance of high-quality, euro-denominated debt, the recovery package can strengthen the euro’s role as an international reserve currency.</w:t>
      </w:r>
      <w:r>
        <w:rPr>
          <w:noProof/>
        </w:rPr>
        <w:t xml:space="preserve"> The issuance of euro-denominated debt could represent an important step towards further financial markets development and integration in Europe. The issuance of green bonds can quicken the pace of the green transition, in areas such as clean energy.  </w:t>
      </w:r>
    </w:p>
    <w:p w:rsidR="00704A93" w:rsidRDefault="005D0BB9">
      <w:pPr>
        <w:spacing w:after="160" w:line="259" w:lineRule="auto"/>
        <w:jc w:val="center"/>
        <w:rPr>
          <w:b/>
          <w:bCs/>
          <w:noProof/>
        </w:rPr>
      </w:pPr>
      <w:r>
        <w:rPr>
          <w:b/>
          <w:bCs/>
          <w:noProof/>
        </w:rPr>
        <w:br w:type="page"/>
      </w:r>
      <w:r>
        <w:rPr>
          <w:b/>
          <w:bCs/>
          <w:noProof/>
        </w:rPr>
        <w:lastRenderedPageBreak/>
        <w:t>Introduction</w:t>
      </w:r>
    </w:p>
    <w:p w:rsidR="00704A93" w:rsidRDefault="005D0BB9">
      <w:pPr>
        <w:spacing w:after="120" w:line="276" w:lineRule="auto"/>
        <w:rPr>
          <w:rStyle w:val="Emphasis"/>
          <w:noProof/>
          <w:color w:val="0E101A"/>
        </w:rPr>
      </w:pPr>
      <w:r>
        <w:rPr>
          <w:i/>
          <w:noProof/>
        </w:rPr>
        <w:t xml:space="preserve">Following the COVID-19 pandemic, the euro area entered a sudden and deep recession in the first half of 2020. The ECB monetary policy interventions, the fiscal policy and other measures Member States and the European Commission have taken aim at protecting jobs, preventing bankruptcies and layoffs and supporting the recovery, while at the same time </w:t>
      </w:r>
      <w:r>
        <w:rPr>
          <w:rStyle w:val="Emphasis"/>
          <w:noProof/>
          <w:color w:val="0E101A"/>
        </w:rPr>
        <w:t xml:space="preserve">strengthening </w:t>
      </w:r>
      <w:r>
        <w:rPr>
          <w:i/>
          <w:noProof/>
        </w:rPr>
        <w:t xml:space="preserve">the national health sectors to increase their capacity to deal with the pandemic. </w:t>
      </w:r>
      <w:r>
        <w:rPr>
          <w:rStyle w:val="Emphasis"/>
          <w:noProof/>
          <w:color w:val="0E101A"/>
        </w:rPr>
        <w:t>The European Commission and the Union took unprecedented actions by putting in place short-term emergency measures including the Coronavirus Response Investment Initiative (CRII) and CRII+ packages and proposing Next Generation EU, a major recovery plan which has at its core a new Recovery and Resilience Facility (RRF</w:t>
      </w:r>
      <w:r>
        <w:rPr>
          <w:rStyle w:val="Emphasis"/>
          <w:i w:val="0"/>
          <w:noProof/>
          <w:color w:val="0E101A"/>
        </w:rPr>
        <w:t>)</w:t>
      </w:r>
      <w:r>
        <w:rPr>
          <w:rStyle w:val="Emphasis"/>
          <w:noProof/>
          <w:color w:val="0E101A"/>
        </w:rPr>
        <w:t xml:space="preserve"> as well as adopting a temporary framework to use the flexibility under EU state aid rules and activating the general escape clause of the Stability and Growth Pact, a conclusion endorsed by the ECOFIN Council. In addition, the Union agreed on a number of new instruments to mitigate the impact of the crisis by providing a safety net for workers (by funding national schemes through the Support to mitigate Unemployment Risks in an Emergency - SURE), for businesses (through a scheme by the European Investment Bank) and for Member States including through the European Stability Mechanism’s Pandemic Crisis Support Instrument</w:t>
      </w:r>
      <w:r>
        <w:rPr>
          <w:noProof/>
          <w:lang w:eastAsia="en-GB"/>
        </w:rPr>
        <w:t>.</w:t>
      </w:r>
      <w:r>
        <w:rPr>
          <w:rStyle w:val="Emphasis"/>
          <w:noProof/>
          <w:color w:val="0E101A"/>
        </w:rPr>
        <w:t xml:space="preserve"> </w:t>
      </w:r>
    </w:p>
    <w:p w:rsidR="00704A93" w:rsidRDefault="005D0BB9">
      <w:pPr>
        <w:spacing w:after="120" w:line="276" w:lineRule="auto"/>
        <w:rPr>
          <w:i/>
          <w:noProof/>
        </w:rPr>
      </w:pPr>
      <w:r>
        <w:rPr>
          <w:i/>
          <w:noProof/>
        </w:rPr>
        <w:t>The Staff Working Document (SWD) underpins the 2021-22 euro area recommendation, which provides further policy guidance on the reforms and investments that euro area Member States should include in their Recovery and Resilience Plans (RRP) and highlights areas where Member States could work collectively to improve the economic and social resilience of EMU. The SWD offers an analytical assessment of the impact of the COVID-19 crisis on the euro area and investigates five areas of particular relevance where spill-overs and common goods are particularly important: i) risks of further divergence, including in the labour markets; ii) the overall policy stance underpinning the recovery; iii) the role of institutional frameworks and structural reforms; iv) risks to macro-financial stability and v) completing the EMU and strengthening the international role of the euro.</w:t>
      </w:r>
    </w:p>
    <w:p w:rsidR="00704A93" w:rsidRDefault="005D0BB9">
      <w:pPr>
        <w:spacing w:after="120" w:line="276" w:lineRule="auto"/>
        <w:rPr>
          <w:i/>
          <w:noProof/>
        </w:rPr>
      </w:pPr>
      <w:r>
        <w:rPr>
          <w:i/>
          <w:noProof/>
        </w:rPr>
        <w:t xml:space="preserve">Against the background of a well-coordinated and credible response to the crisis, both nationally and EU wide, the SWD highlights several risks emanating from the COVID-19 crisis that, if materialised, could hamper the functioning of the EMU. First, the continuously weak recovery and high level of uncertainty of the evolution of the pandemics suggest an increased risk of divergence that can undermine the process of economic and monetary integration. Second, the COVID-19 crisis risks further exacerbating the macroeconomic imbalances within the euro area and poses new </w:t>
      </w:r>
      <w:r>
        <w:rPr>
          <w:i/>
          <w:noProof/>
          <w:sz w:val="22"/>
        </w:rPr>
        <w:t>challenges as public</w:t>
      </w:r>
      <w:r>
        <w:rPr>
          <w:i/>
          <w:noProof/>
        </w:rPr>
        <w:t xml:space="preserve"> and public </w:t>
      </w:r>
      <w:r>
        <w:rPr>
          <w:rFonts w:cstheme="minorHAnsi"/>
          <w:i/>
          <w:noProof/>
        </w:rPr>
        <w:t>debt-to-GDP ratios are on the rise</w:t>
      </w:r>
      <w:r>
        <w:rPr>
          <w:rFonts w:cstheme="minorHAnsi"/>
          <w:noProof/>
        </w:rPr>
        <w:t xml:space="preserve">. </w:t>
      </w:r>
      <w:r>
        <w:rPr>
          <w:i/>
          <w:noProof/>
          <w:lang w:val="en-US"/>
        </w:rPr>
        <w:t xml:space="preserve">Third, </w:t>
      </w:r>
      <w:r>
        <w:rPr>
          <w:i/>
          <w:noProof/>
          <w:lang w:val="en-IE"/>
        </w:rPr>
        <w:t>despite some progress, structural factors hampering growth remain in place in many euro area Member States.</w:t>
      </w:r>
      <w:r>
        <w:rPr>
          <w:bCs/>
          <w:i/>
          <w:noProof/>
        </w:rPr>
        <w:t xml:space="preserve"> </w:t>
      </w:r>
    </w:p>
    <w:p w:rsidR="00704A93" w:rsidRDefault="005D0BB9">
      <w:pPr>
        <w:spacing w:after="120" w:line="276" w:lineRule="auto"/>
        <w:rPr>
          <w:i/>
          <w:noProof/>
          <w:color w:val="000000"/>
          <w:sz w:val="27"/>
          <w:szCs w:val="27"/>
        </w:rPr>
      </w:pPr>
      <w:r>
        <w:rPr>
          <w:i/>
          <w:noProof/>
        </w:rPr>
        <w:t>On the positive side, the recent policy response in the context of the Next Generation EU could bring the euro area closer to the requirements of an optimum currency area and improve the transmission of monetary policy, thereby strengthening the economic resilience and convergence of Member States. Further gains could also arise from completing the Banking Union and Capital Market Union and from strengthening the international role of the euro, which will be important to ensure Europe’s financial and economic autonomy.</w:t>
      </w:r>
    </w:p>
    <w:p w:rsidR="00704A93" w:rsidRDefault="005D0BB9">
      <w:pPr>
        <w:pStyle w:val="Heading1"/>
        <w:rPr>
          <w:noProof/>
        </w:rPr>
      </w:pPr>
      <w:bookmarkStart w:id="2" w:name="_Toc52533641"/>
      <w:bookmarkStart w:id="3" w:name="_Toc52539438"/>
      <w:bookmarkStart w:id="4" w:name="_Toc52541958"/>
      <w:bookmarkStart w:id="5" w:name="_Toc52543785"/>
      <w:bookmarkStart w:id="6" w:name="_Toc52548739"/>
      <w:bookmarkStart w:id="7" w:name="_Toc52550069"/>
      <w:bookmarkStart w:id="8" w:name="_Toc52552265"/>
      <w:bookmarkStart w:id="9" w:name="_Toc53133708"/>
      <w:bookmarkStart w:id="10" w:name="_Toc53143017"/>
      <w:bookmarkStart w:id="11" w:name="_Toc53151527"/>
      <w:bookmarkStart w:id="12" w:name="_Toc53160255"/>
      <w:bookmarkStart w:id="13" w:name="_Toc53163217"/>
      <w:bookmarkStart w:id="14" w:name="_Toc53390002"/>
      <w:bookmarkStart w:id="15" w:name="_Toc53391737"/>
      <w:bookmarkStart w:id="16" w:name="_Toc53432740"/>
      <w:bookmarkStart w:id="17" w:name="_Toc53490244"/>
      <w:bookmarkStart w:id="18" w:name="_Toc53490771"/>
      <w:bookmarkStart w:id="19" w:name="_Toc53494714"/>
      <w:bookmarkStart w:id="20" w:name="_Toc53504203"/>
      <w:bookmarkStart w:id="21" w:name="_Toc53505963"/>
      <w:bookmarkStart w:id="22" w:name="_Toc53652774"/>
      <w:bookmarkStart w:id="23" w:name="_Toc53670369"/>
      <w:bookmarkStart w:id="24" w:name="_Toc53670858"/>
      <w:bookmarkStart w:id="25" w:name="_Toc53678890"/>
      <w:bookmarkStart w:id="26" w:name="_Toc53752748"/>
      <w:bookmarkStart w:id="27" w:name="_Toc53756231"/>
      <w:bookmarkStart w:id="28" w:name="_Toc54002737"/>
      <w:bookmarkStart w:id="29" w:name="_Toc54004829"/>
      <w:bookmarkStart w:id="30" w:name="_Toc54187761"/>
      <w:bookmarkStart w:id="31" w:name="_Toc54195815"/>
      <w:bookmarkStart w:id="32" w:name="_Toc54198597"/>
      <w:bookmarkStart w:id="33" w:name="_Toc54363740"/>
      <w:bookmarkStart w:id="34" w:name="_Toc54374666"/>
      <w:bookmarkStart w:id="35" w:name="_Toc54376075"/>
      <w:bookmarkStart w:id="36" w:name="_Toc54429920"/>
      <w:bookmarkStart w:id="37" w:name="_Toc54430243"/>
      <w:bookmarkStart w:id="38" w:name="_Toc55398255"/>
      <w:bookmarkStart w:id="39" w:name="_Toc55402852"/>
      <w:bookmarkStart w:id="40" w:name="_Toc55410563"/>
      <w:bookmarkStart w:id="41" w:name="_Toc55466101"/>
      <w:bookmarkStart w:id="42" w:name="_Toc55480551"/>
      <w:bookmarkStart w:id="43" w:name="_Toc55482430"/>
      <w:bookmarkStart w:id="44" w:name="_Toc55486342"/>
      <w:bookmarkStart w:id="45" w:name="_Toc55488151"/>
      <w:bookmarkStart w:id="46" w:name="_Toc55488785"/>
      <w:bookmarkStart w:id="47" w:name="_Toc55490410"/>
      <w:bookmarkStart w:id="48" w:name="_Toc55490599"/>
      <w:bookmarkStart w:id="49" w:name="_Toc55498941"/>
      <w:bookmarkStart w:id="50" w:name="_Toc55499091"/>
      <w:bookmarkStart w:id="51" w:name="_Toc55499131"/>
      <w:bookmarkStart w:id="52" w:name="_Toc55651313"/>
      <w:bookmarkStart w:id="53" w:name="_Toc55662172"/>
      <w:bookmarkStart w:id="54" w:name="_Toc55663556"/>
      <w:bookmarkStart w:id="55" w:name="_Toc55750526"/>
      <w:bookmarkStart w:id="56" w:name="_Toc55761109"/>
      <w:bookmarkStart w:id="57" w:name="_Toc55808241"/>
      <w:bookmarkStart w:id="58" w:name="_Toc55899249"/>
      <w:bookmarkStart w:id="59" w:name="_Toc55899583"/>
      <w:bookmarkStart w:id="60" w:name="_Toc55899749"/>
      <w:bookmarkStart w:id="61" w:name="_Toc55977209"/>
      <w:bookmarkStart w:id="62" w:name="_Toc55986191"/>
      <w:bookmarkStart w:id="63" w:name="_Toc55991377"/>
      <w:bookmarkStart w:id="64" w:name="_Toc55993125"/>
      <w:bookmarkStart w:id="65" w:name="_Toc55999433"/>
      <w:bookmarkStart w:id="66" w:name="_Toc55999496"/>
      <w:bookmarkStart w:id="67" w:name="_Toc56012513"/>
      <w:bookmarkStart w:id="68" w:name="_Toc56013736"/>
      <w:bookmarkStart w:id="69" w:name="_Toc56172421"/>
      <w:bookmarkStart w:id="70" w:name="_Toc56173632"/>
      <w:r>
        <w:rPr>
          <w:noProof/>
        </w:rPr>
        <w:lastRenderedPageBreak/>
        <w:t>Macro-economic outlook and the risk of divergences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noProof/>
        </w:rPr>
        <w:t xml:space="preserve"> </w:t>
      </w:r>
    </w:p>
    <w:p w:rsidR="00704A93" w:rsidRDefault="005D0BB9">
      <w:pPr>
        <w:pStyle w:val="Heading2"/>
        <w:rPr>
          <w:noProof/>
        </w:rPr>
      </w:pPr>
      <w:bookmarkStart w:id="71" w:name="_Toc52533642"/>
      <w:bookmarkStart w:id="72" w:name="_Toc52539439"/>
      <w:bookmarkStart w:id="73" w:name="_Toc52541959"/>
      <w:bookmarkStart w:id="74" w:name="_Toc52543786"/>
      <w:bookmarkStart w:id="75" w:name="_Toc52548740"/>
      <w:bookmarkStart w:id="76" w:name="_Toc52550070"/>
      <w:bookmarkStart w:id="77" w:name="_Toc52552266"/>
      <w:bookmarkStart w:id="78" w:name="_Toc53133709"/>
      <w:bookmarkStart w:id="79" w:name="_Toc53143018"/>
      <w:bookmarkStart w:id="80" w:name="_Toc53151528"/>
      <w:bookmarkStart w:id="81" w:name="_Toc53160256"/>
      <w:bookmarkStart w:id="82" w:name="_Toc53163218"/>
      <w:bookmarkStart w:id="83" w:name="_Toc53390003"/>
      <w:bookmarkStart w:id="84" w:name="_Toc53391738"/>
      <w:bookmarkStart w:id="85" w:name="_Toc53432741"/>
      <w:bookmarkStart w:id="86" w:name="_Toc53490245"/>
      <w:bookmarkStart w:id="87" w:name="_Toc53490772"/>
      <w:bookmarkStart w:id="88" w:name="_Toc53494715"/>
      <w:bookmarkStart w:id="89" w:name="_Toc53504204"/>
      <w:bookmarkStart w:id="90" w:name="_Toc53505964"/>
      <w:bookmarkStart w:id="91" w:name="_Toc53652775"/>
      <w:bookmarkStart w:id="92" w:name="_Toc53670370"/>
      <w:bookmarkStart w:id="93" w:name="_Toc53670859"/>
      <w:bookmarkStart w:id="94" w:name="_Toc53678891"/>
      <w:bookmarkStart w:id="95" w:name="_Toc53752749"/>
      <w:bookmarkStart w:id="96" w:name="_Toc53756232"/>
      <w:bookmarkStart w:id="97" w:name="_Toc54002738"/>
      <w:bookmarkStart w:id="98" w:name="_Toc54004830"/>
      <w:bookmarkStart w:id="99" w:name="_Toc54187762"/>
      <w:bookmarkStart w:id="100" w:name="_Toc54195816"/>
      <w:bookmarkStart w:id="101" w:name="_Toc54198598"/>
      <w:bookmarkStart w:id="102" w:name="_Toc54363741"/>
      <w:bookmarkStart w:id="103" w:name="_Toc54374667"/>
      <w:bookmarkStart w:id="104" w:name="_Toc54376076"/>
      <w:bookmarkStart w:id="105" w:name="_Toc54429921"/>
      <w:bookmarkStart w:id="106" w:name="_Toc54430244"/>
      <w:bookmarkStart w:id="107" w:name="_Toc55398256"/>
      <w:bookmarkStart w:id="108" w:name="_Toc55402853"/>
      <w:bookmarkStart w:id="109" w:name="_Toc55410564"/>
      <w:bookmarkStart w:id="110" w:name="_Toc55466102"/>
      <w:bookmarkStart w:id="111" w:name="_Toc55480552"/>
      <w:bookmarkStart w:id="112" w:name="_Toc55482431"/>
      <w:bookmarkStart w:id="113" w:name="_Toc55486343"/>
      <w:bookmarkStart w:id="114" w:name="_Toc55488152"/>
      <w:bookmarkStart w:id="115" w:name="_Toc55488786"/>
      <w:bookmarkStart w:id="116" w:name="_Toc55490411"/>
      <w:bookmarkStart w:id="117" w:name="_Toc55490600"/>
      <w:bookmarkStart w:id="118" w:name="_Toc55498942"/>
      <w:bookmarkStart w:id="119" w:name="_Toc55499092"/>
      <w:bookmarkStart w:id="120" w:name="_Toc55499132"/>
      <w:bookmarkStart w:id="121" w:name="_Toc55651314"/>
      <w:bookmarkStart w:id="122" w:name="_Toc55662173"/>
      <w:bookmarkStart w:id="123" w:name="_Toc55663557"/>
      <w:bookmarkStart w:id="124" w:name="_Toc55750527"/>
      <w:bookmarkStart w:id="125" w:name="_Toc55761110"/>
      <w:bookmarkStart w:id="126" w:name="_Toc55808242"/>
      <w:bookmarkStart w:id="127" w:name="_Toc55899250"/>
      <w:bookmarkStart w:id="128" w:name="_Toc55899584"/>
      <w:bookmarkStart w:id="129" w:name="_Toc55899750"/>
      <w:bookmarkStart w:id="130" w:name="_Toc55977210"/>
      <w:bookmarkStart w:id="131" w:name="_Toc55986192"/>
      <w:bookmarkStart w:id="132" w:name="_Toc55991378"/>
      <w:bookmarkStart w:id="133" w:name="_Toc55993126"/>
      <w:bookmarkStart w:id="134" w:name="_Toc55999434"/>
      <w:bookmarkStart w:id="135" w:name="_Toc55999497"/>
      <w:bookmarkStart w:id="136" w:name="_Toc56012514"/>
      <w:bookmarkStart w:id="137" w:name="_Toc56013737"/>
      <w:bookmarkStart w:id="138" w:name="_Toc56172422"/>
      <w:bookmarkStart w:id="139" w:name="_Toc56173633"/>
      <w:r>
        <w:rPr>
          <w:noProof/>
        </w:rPr>
        <w:t>1.1. Macroeconomic context and developments</w:t>
      </w:r>
      <w:r>
        <w:rPr>
          <w:rStyle w:val="FootnoteReference"/>
          <w:b w:val="0"/>
          <w:i w:val="0"/>
          <w:noProof/>
        </w:rPr>
        <w:footnoteReference w:id="2"/>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704A93" w:rsidRDefault="005D0BB9">
      <w:pPr>
        <w:autoSpaceDE w:val="0"/>
        <w:autoSpaceDN w:val="0"/>
        <w:adjustRightInd w:val="0"/>
        <w:spacing w:after="0" w:line="276" w:lineRule="auto"/>
        <w:rPr>
          <w:noProof/>
        </w:rPr>
      </w:pPr>
      <w:r>
        <w:rPr>
          <w:b/>
          <w:noProof/>
        </w:rPr>
        <w:t>As a result of the COVID-19 pandemic, the euro area economy entered a sudden and deep recession in the first half of this year and it remains vulnerable to the persisting health crisis</w:t>
      </w:r>
      <w:r>
        <w:rPr>
          <w:noProof/>
        </w:rPr>
        <w:t xml:space="preserve">. GDP growth in the euro area is forecast to decline by 7.8% in 2020 and to rebound by 4.2% in 2021 and by 3.0% in 2022, albeit the recovery is projected to be slower than previously thought (Graph 1). This sudden and deep output contraction halted the expansion observed in recent years and it is expected to weigh on growth over the forecast horizon. Notwithstanding the recovery foreseen in 2021, the level of GDP is expected to be about 2.3% lower than before the COVID-19 crisis by 2021Q4 and to barely reach its pre-crisis levels by 2022Q4 (Graph 1). The coronavirus crisis translated into a series of large demand and supply-side shocks that are expected to ultimately generate a large output gap, of some -7.0% and -3.8% of potential GDP in 2020 and 2021 respectively. Potential output growth is also expected to be significantly lower in 2020 than in the previous five years (and well below its pre-crisis average) resulting from a reduced contribution of labour and capital accumulation (Graph 2). </w:t>
      </w:r>
    </w:p>
    <w:p w:rsidR="00704A93" w:rsidRDefault="00704A93">
      <w:pPr>
        <w:autoSpaceDE w:val="0"/>
        <w:autoSpaceDN w:val="0"/>
        <w:adjustRightInd w:val="0"/>
        <w:spacing w:after="0"/>
        <w:rPr>
          <w:noProof/>
        </w:rPr>
      </w:pPr>
    </w:p>
    <w:tbl>
      <w:tblPr>
        <w:tblStyle w:val="TableGrid"/>
        <w:tblW w:w="963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300"/>
        <w:gridCol w:w="4336"/>
      </w:tblGrid>
      <w:tr w:rsidR="00704A93">
        <w:tc>
          <w:tcPr>
            <w:tcW w:w="5163" w:type="dxa"/>
          </w:tcPr>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Graph 1: Euro area GDP forecast in Autumn 2019,</w:t>
            </w:r>
          </w:p>
          <w:p w:rsidR="00704A93" w:rsidRDefault="005D0BB9">
            <w:pPr>
              <w:pStyle w:val="Default"/>
              <w:jc w:val="center"/>
              <w:rPr>
                <w:bCs/>
                <w:noProof/>
                <w:color w:val="1F4E79" w:themeColor="accent1" w:themeShade="80"/>
                <w:szCs w:val="20"/>
              </w:rPr>
            </w:pPr>
            <w:r>
              <w:rPr>
                <w:i/>
                <w:noProof/>
                <w:color w:val="1F4E79" w:themeColor="accent1" w:themeShade="80"/>
                <w:sz w:val="22"/>
                <w:szCs w:val="22"/>
              </w:rPr>
              <w:t xml:space="preserve"> Spring,  Summer and Autumn 2020</w:t>
            </w:r>
          </w:p>
        </w:tc>
        <w:tc>
          <w:tcPr>
            <w:tcW w:w="4473" w:type="dxa"/>
          </w:tcPr>
          <w:p w:rsidR="00704A93" w:rsidRDefault="005D0BB9">
            <w:pPr>
              <w:pStyle w:val="Default"/>
              <w:jc w:val="center"/>
              <w:rPr>
                <w:bCs/>
                <w:noProof/>
                <w:sz w:val="22"/>
                <w:szCs w:val="22"/>
              </w:rPr>
            </w:pPr>
            <w:r>
              <w:rPr>
                <w:i/>
                <w:noProof/>
                <w:color w:val="1F4E79" w:themeColor="accent1" w:themeShade="80"/>
                <w:sz w:val="22"/>
                <w:szCs w:val="22"/>
              </w:rPr>
              <w:t>Graph 2: Contributions to potential growth</w:t>
            </w:r>
            <w:r>
              <w:rPr>
                <w:bCs/>
                <w:noProof/>
                <w:color w:val="1F4E79" w:themeColor="accent1" w:themeShade="80"/>
                <w:sz w:val="22"/>
                <w:szCs w:val="22"/>
              </w:rPr>
              <w:t xml:space="preserve">, </w:t>
            </w:r>
            <w:r>
              <w:rPr>
                <w:bCs/>
                <w:i/>
                <w:noProof/>
                <w:color w:val="1F4E79" w:themeColor="accent1" w:themeShade="80"/>
                <w:sz w:val="22"/>
                <w:szCs w:val="22"/>
              </w:rPr>
              <w:t xml:space="preserve">in the </w:t>
            </w:r>
            <w:r>
              <w:rPr>
                <w:i/>
                <w:noProof/>
                <w:color w:val="1F4E79" w:themeColor="accent1" w:themeShade="80"/>
                <w:sz w:val="22"/>
                <w:szCs w:val="22"/>
              </w:rPr>
              <w:t>euro area</w:t>
            </w:r>
            <w:r>
              <w:rPr>
                <w:i/>
                <w:noProof/>
                <w:lang w:val="en-IE" w:eastAsia="it-IT"/>
              </w:rPr>
              <w:t xml:space="preserve"> </w:t>
            </w:r>
          </w:p>
        </w:tc>
      </w:tr>
      <w:tr w:rsidR="00704A93">
        <w:tc>
          <w:tcPr>
            <w:tcW w:w="5163" w:type="dxa"/>
          </w:tcPr>
          <w:p w:rsidR="00704A93" w:rsidRDefault="005D0BB9">
            <w:pPr>
              <w:pStyle w:val="Default"/>
              <w:jc w:val="both"/>
              <w:rPr>
                <w:bCs/>
                <w:noProof/>
                <w:szCs w:val="20"/>
              </w:rPr>
            </w:pPr>
            <w:r>
              <w:rPr>
                <w:noProof/>
                <w:lang w:eastAsia="en-GB"/>
              </w:rPr>
              <w:drawing>
                <wp:inline distT="0" distB="0" distL="0" distR="0">
                  <wp:extent cx="3275937" cy="2040890"/>
                  <wp:effectExtent l="0" t="0" r="127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473" w:type="dxa"/>
          </w:tcPr>
          <w:p w:rsidR="00704A93" w:rsidRDefault="005D0BB9">
            <w:pPr>
              <w:pStyle w:val="Default"/>
              <w:jc w:val="both"/>
              <w:rPr>
                <w:bCs/>
                <w:noProof/>
                <w:szCs w:val="20"/>
              </w:rPr>
            </w:pPr>
            <w:r>
              <w:rPr>
                <w:noProof/>
                <w:lang w:eastAsia="en-GB"/>
              </w:rPr>
              <w:drawing>
                <wp:inline distT="0" distB="0" distL="0" distR="0">
                  <wp:extent cx="2592126" cy="1979875"/>
                  <wp:effectExtent l="0" t="0" r="0" b="1905"/>
                  <wp:docPr id="16" name="Chart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704A93">
        <w:tblPrEx>
          <w:tblCellMar>
            <w:left w:w="108" w:type="dxa"/>
            <w:right w:w="108" w:type="dxa"/>
          </w:tblCellMar>
        </w:tblPrEx>
        <w:trPr>
          <w:trHeight w:val="416"/>
        </w:trPr>
        <w:tc>
          <w:tcPr>
            <w:tcW w:w="5163" w:type="dxa"/>
          </w:tcPr>
          <w:p w:rsidR="00704A93" w:rsidRDefault="005D0BB9">
            <w:pPr>
              <w:keepNext/>
              <w:keepLines/>
              <w:spacing w:after="0"/>
              <w:rPr>
                <w:bCs/>
                <w:noProof/>
                <w:sz w:val="14"/>
                <w:szCs w:val="14"/>
              </w:rPr>
            </w:pPr>
            <w:r>
              <w:rPr>
                <w:noProof/>
                <w:sz w:val="14"/>
                <w:szCs w:val="14"/>
              </w:rPr>
              <w:t>Source: Eurostat and European Commission forecast (Autumn 2019, Spring 2020, Summer 2020 andAutumn 2020).</w:t>
            </w:r>
          </w:p>
        </w:tc>
        <w:tc>
          <w:tcPr>
            <w:tcW w:w="4473" w:type="dxa"/>
          </w:tcPr>
          <w:p w:rsidR="00704A93" w:rsidRDefault="005D0BB9">
            <w:pPr>
              <w:keepNext/>
              <w:keepLines/>
              <w:spacing w:after="0"/>
              <w:rPr>
                <w:noProof/>
                <w:sz w:val="14"/>
                <w:szCs w:val="14"/>
              </w:rPr>
            </w:pPr>
            <w:r>
              <w:rPr>
                <w:noProof/>
                <w:sz w:val="14"/>
                <w:szCs w:val="14"/>
              </w:rPr>
              <w:t>Note: The straight black line corresponds to the pre-crisis (2002-2007) yearly growth.</w:t>
            </w:r>
          </w:p>
          <w:p w:rsidR="00704A93" w:rsidRDefault="005D0BB9">
            <w:pPr>
              <w:keepNext/>
              <w:keepLines/>
              <w:spacing w:after="0"/>
              <w:rPr>
                <w:noProof/>
                <w:sz w:val="14"/>
                <w:szCs w:val="14"/>
              </w:rPr>
            </w:pPr>
            <w:r>
              <w:rPr>
                <w:noProof/>
                <w:sz w:val="14"/>
                <w:szCs w:val="14"/>
              </w:rPr>
              <w:t>Source: European Commission 2020 Autumn Forecast, Ameco.</w:t>
            </w:r>
          </w:p>
        </w:tc>
      </w:tr>
    </w:tbl>
    <w:p w:rsidR="00704A93" w:rsidRDefault="00704A93">
      <w:pPr>
        <w:autoSpaceDE w:val="0"/>
        <w:autoSpaceDN w:val="0"/>
        <w:adjustRightInd w:val="0"/>
        <w:spacing w:after="0"/>
        <w:rPr>
          <w:b/>
          <w:noProof/>
        </w:rPr>
      </w:pPr>
    </w:p>
    <w:p w:rsidR="00704A93" w:rsidRDefault="005D0BB9">
      <w:pPr>
        <w:autoSpaceDE w:val="0"/>
        <w:autoSpaceDN w:val="0"/>
        <w:adjustRightInd w:val="0"/>
        <w:spacing w:after="200" w:line="276" w:lineRule="auto"/>
        <w:rPr>
          <w:noProof/>
        </w:rPr>
      </w:pPr>
      <w:r>
        <w:rPr>
          <w:b/>
          <w:noProof/>
        </w:rPr>
        <w:t xml:space="preserve">Although policy measures are expected to mitigate significantly the immediate impact of the shock, downside risks are large. </w:t>
      </w:r>
      <w:r>
        <w:rPr>
          <w:noProof/>
        </w:rPr>
        <w:t>Considerable uncertainty over the length of the health crisis still prevails and the initial shock will likely have a longer effect than what had been anticipated earlier. On the positive side, the national support schemes that have been put in place (see section 3) and the prompt coordinated answer from the EU are expected to support the recovery in 2021 and 2022. Other risks predating the crisis, including protectionism risks, are still weighing on the outlook.</w:t>
      </w:r>
    </w:p>
    <w:tbl>
      <w:tblPr>
        <w:tblStyle w:val="TableGrid"/>
        <w:tblW w:w="9824"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73"/>
        <w:gridCol w:w="5014"/>
        <w:gridCol w:w="37"/>
      </w:tblGrid>
      <w:tr w:rsidR="00704A93">
        <w:trPr>
          <w:trHeight w:val="548"/>
        </w:trPr>
        <w:tc>
          <w:tcPr>
            <w:tcW w:w="4773" w:type="dxa"/>
          </w:tcPr>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lastRenderedPageBreak/>
              <w:t xml:space="preserve">Graph 3: Hours worked, total employment and activity rates(20-64) in the euro area </w:t>
            </w:r>
          </w:p>
        </w:tc>
        <w:tc>
          <w:tcPr>
            <w:tcW w:w="5051" w:type="dxa"/>
            <w:gridSpan w:val="2"/>
          </w:tcPr>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 xml:space="preserve">Graph 4: Unemployment rate in the euro area and </w:t>
            </w:r>
          </w:p>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the US (2006-2021)</w:t>
            </w:r>
          </w:p>
        </w:tc>
      </w:tr>
      <w:tr w:rsidR="00704A93">
        <w:tblPrEx>
          <w:tblCellMar>
            <w:left w:w="108" w:type="dxa"/>
            <w:right w:w="108" w:type="dxa"/>
          </w:tblCellMar>
        </w:tblPrEx>
        <w:trPr>
          <w:gridAfter w:val="1"/>
          <w:wAfter w:w="37" w:type="dxa"/>
          <w:trHeight w:val="2622"/>
        </w:trPr>
        <w:tc>
          <w:tcPr>
            <w:tcW w:w="4773" w:type="dxa"/>
          </w:tcPr>
          <w:p w:rsidR="00704A93" w:rsidRDefault="005D0BB9">
            <w:pPr>
              <w:pStyle w:val="Default"/>
              <w:jc w:val="both"/>
              <w:rPr>
                <w:noProof/>
              </w:rPr>
            </w:pPr>
            <w:r>
              <w:rPr>
                <w:noProof/>
                <w:lang w:eastAsia="en-GB"/>
              </w:rPr>
              <w:drawing>
                <wp:inline distT="0" distB="0" distL="0" distR="0">
                  <wp:extent cx="2647950" cy="1952625"/>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14" w:type="dxa"/>
          </w:tcPr>
          <w:p w:rsidR="00704A93" w:rsidRDefault="005D0BB9">
            <w:pPr>
              <w:pStyle w:val="Default"/>
              <w:jc w:val="both"/>
              <w:rPr>
                <w:noProof/>
                <w:lang w:val="en-US"/>
              </w:rPr>
            </w:pPr>
            <w:r>
              <w:rPr>
                <w:noProof/>
                <w:lang w:eastAsia="en-GB"/>
              </w:rPr>
              <w:drawing>
                <wp:inline distT="0" distB="0" distL="0" distR="0">
                  <wp:extent cx="2752725" cy="18669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04A93">
        <w:tblPrEx>
          <w:tblCellMar>
            <w:left w:w="108" w:type="dxa"/>
            <w:right w:w="108" w:type="dxa"/>
          </w:tblCellMar>
        </w:tblPrEx>
        <w:trPr>
          <w:gridAfter w:val="1"/>
          <w:wAfter w:w="37" w:type="dxa"/>
          <w:trHeight w:val="245"/>
        </w:trPr>
        <w:tc>
          <w:tcPr>
            <w:tcW w:w="4773" w:type="dxa"/>
          </w:tcPr>
          <w:p w:rsidR="00704A93" w:rsidRDefault="005D0BB9">
            <w:pPr>
              <w:autoSpaceDE w:val="0"/>
              <w:autoSpaceDN w:val="0"/>
              <w:adjustRightInd w:val="0"/>
              <w:spacing w:after="0"/>
              <w:jc w:val="left"/>
              <w:rPr>
                <w:rFonts w:eastAsiaTheme="minorHAnsi"/>
                <w:noProof/>
                <w:color w:val="222222"/>
                <w:sz w:val="14"/>
                <w:szCs w:val="14"/>
                <w:lang w:val="en-US"/>
              </w:rPr>
            </w:pPr>
            <w:r>
              <w:rPr>
                <w:noProof/>
                <w:color w:val="222222"/>
                <w:sz w:val="14"/>
                <w:szCs w:val="14"/>
                <w:lang w:val="en-US"/>
              </w:rPr>
              <w:t>Source: Eurostat.</w:t>
            </w:r>
          </w:p>
        </w:tc>
        <w:tc>
          <w:tcPr>
            <w:tcW w:w="5014" w:type="dxa"/>
          </w:tcPr>
          <w:p w:rsidR="00704A93" w:rsidRDefault="005D0BB9">
            <w:pPr>
              <w:autoSpaceDE w:val="0"/>
              <w:autoSpaceDN w:val="0"/>
              <w:adjustRightInd w:val="0"/>
              <w:spacing w:after="0"/>
              <w:jc w:val="left"/>
              <w:rPr>
                <w:rFonts w:eastAsiaTheme="minorHAnsi"/>
                <w:noProof/>
                <w:color w:val="222222"/>
                <w:sz w:val="14"/>
                <w:szCs w:val="14"/>
                <w:lang w:val="en-US"/>
              </w:rPr>
            </w:pPr>
            <w:r>
              <w:rPr>
                <w:noProof/>
                <w:sz w:val="14"/>
                <w:szCs w:val="14"/>
              </w:rPr>
              <w:t>Source: Eurostat and FRED.</w:t>
            </w:r>
          </w:p>
        </w:tc>
      </w:tr>
    </w:tbl>
    <w:p w:rsidR="00704A93" w:rsidRDefault="005D0BB9">
      <w:pPr>
        <w:autoSpaceDE w:val="0"/>
        <w:autoSpaceDN w:val="0"/>
        <w:adjustRightInd w:val="0"/>
        <w:spacing w:after="0" w:line="276" w:lineRule="auto"/>
        <w:rPr>
          <w:noProof/>
          <w:highlight w:val="yellow"/>
        </w:rPr>
      </w:pPr>
      <w:r>
        <w:rPr>
          <w:noProof/>
        </w:rPr>
        <w:t xml:space="preserve"> </w:t>
      </w:r>
    </w:p>
    <w:p w:rsidR="00704A93" w:rsidRDefault="005D0BB9">
      <w:pPr>
        <w:spacing w:after="200" w:line="276" w:lineRule="auto"/>
        <w:rPr>
          <w:noProof/>
        </w:rPr>
      </w:pPr>
      <w:r>
        <w:rPr>
          <w:b/>
          <w:noProof/>
        </w:rPr>
        <w:t>The COVID-19 crisis is reversing the positive labour market trends of the last seven years further exacerbating unemployment</w:t>
      </w:r>
      <w:r>
        <w:rPr>
          <w:rStyle w:val="FootnoteReference"/>
          <w:b/>
          <w:noProof/>
        </w:rPr>
        <w:footnoteReference w:id="3"/>
      </w:r>
      <w:r>
        <w:rPr>
          <w:b/>
          <w:noProof/>
        </w:rPr>
        <w:t xml:space="preserve"> and inequality trends, although policies have mitigated part of the negative effects</w:t>
      </w:r>
      <w:r>
        <w:rPr>
          <w:noProof/>
        </w:rPr>
        <w:t>.</w:t>
      </w:r>
      <w:r>
        <w:rPr>
          <w:rStyle w:val="FootnoteReference"/>
          <w:noProof/>
        </w:rPr>
        <w:footnoteReference w:id="4"/>
      </w:r>
      <w:r>
        <w:rPr>
          <w:noProof/>
        </w:rPr>
        <w:t xml:space="preserve"> As a consequence of the COVID-19 outbreak, the labour market outlook took a turn for the worse. While many jobs were protected through the widespread use of short-time work schemes (</w:t>
      </w:r>
      <w:r>
        <w:rPr>
          <w:rStyle w:val="normaltextrun"/>
          <w:noProof/>
          <w:color w:val="000000"/>
          <w:shd w:val="clear" w:color="auto" w:fill="FFFFFF"/>
        </w:rPr>
        <w:t>supported by the European instrument for temporary Support to mitigate Unemployment Risks in an Emergency - SURE</w:t>
      </w:r>
      <w:r>
        <w:rPr>
          <w:rStyle w:val="FootnoteReference"/>
          <w:noProof/>
          <w:color w:val="000000"/>
          <w:shd w:val="clear" w:color="auto" w:fill="FFFFFF"/>
        </w:rPr>
        <w:footnoteReference w:id="5"/>
      </w:r>
      <w:r>
        <w:rPr>
          <w:rStyle w:val="normaltextrun"/>
          <w:noProof/>
          <w:color w:val="000000"/>
          <w:shd w:val="clear" w:color="auto" w:fill="FFFFFF"/>
        </w:rPr>
        <w:t xml:space="preserve">), </w:t>
      </w:r>
      <w:r>
        <w:rPr>
          <w:noProof/>
        </w:rPr>
        <w:t xml:space="preserve">total hours worked have seen a sharp reduction of some 12.8% in Q2 2020 (Graph 3). The activity rate (age group 20-64) dropped to 76.4% in the euro area in Q2 2020, down by 1.6 percentage points from the previous quarter driven, mostly by a fall in the female activity rate (-1.9 percentage points against -1.5 percentage point of its male counterpart). The widespread use of short-time work schemes and the fall in activity rates contributed to a relatively moderate increase in unemployment rate, from 7.2% in March 2020 to 8.3% in September 2020, and it is expected to remain on the same level in 2020 (on average) and to increase up to 9.4% in 2021 as the short-time work schemes are expected to be gradually phased out. This is very different from the recent experience in the US where the unemployment rate fluctuated much more than in the euro area (Graph 4) reaching 14.7% in April (from 3.5% in February). </w:t>
      </w:r>
    </w:p>
    <w:p w:rsidR="00704A93" w:rsidRDefault="005D0BB9">
      <w:pPr>
        <w:autoSpaceDE w:val="0"/>
        <w:autoSpaceDN w:val="0"/>
        <w:adjustRightInd w:val="0"/>
        <w:spacing w:line="276" w:lineRule="auto"/>
        <w:rPr>
          <w:noProof/>
        </w:rPr>
      </w:pPr>
      <w:r>
        <w:rPr>
          <w:b/>
          <w:bCs/>
          <w:noProof/>
        </w:rPr>
        <w:lastRenderedPageBreak/>
        <w:t xml:space="preserve">The coronavirus shock is expected to exert downward pressure on inflation and wages in 2020-21. </w:t>
      </w:r>
      <w:r>
        <w:rPr>
          <w:noProof/>
        </w:rPr>
        <w:t xml:space="preserve">Headline inflation (as measured by the Harmonised Consumer Price Index) in the euro area is forecast to fall sharply </w:t>
      </w:r>
      <w:r>
        <w:rPr>
          <w:noProof/>
          <w:shd w:val="clear" w:color="auto" w:fill="FFFFFF" w:themeFill="background1"/>
        </w:rPr>
        <w:t xml:space="preserve">to 0.3% in 2020, but to recover to 1.1% in 2021. Compared to the winter forecast, this represents a downward revision of 1.1 percentage points in 2020 and 0.3 percentage points in 2021. </w:t>
      </w:r>
      <w:r>
        <w:rPr>
          <w:noProof/>
          <w:szCs w:val="24"/>
          <w:shd w:val="clear" w:color="auto" w:fill="FFFFFF" w:themeFill="background1"/>
        </w:rPr>
        <w:t>The combination of weakening economic activity and a deteriorating labour market outlook translates in the near term into lower domestic price pressures that also weigh on core inflation (excluding energy and unprocessed food prices), which is forecast at 0.9% in 2020 and 1.0% in 2021.</w:t>
      </w:r>
      <w:r>
        <w:rPr>
          <w:noProof/>
          <w:szCs w:val="24"/>
        </w:rPr>
        <w:t xml:space="preserve"> </w:t>
      </w:r>
      <w:r>
        <w:rPr>
          <w:noProof/>
        </w:rPr>
        <w:t>The worsening of the labour market situation is also projected to limit increases in wages and salaries in 2020-21. By the second quarter of 2020, a large majority of euro area countries recorded negative changes in nominal wages (on a year on year basis).</w:t>
      </w:r>
      <w:r>
        <w:rPr>
          <w:noProof/>
          <w:szCs w:val="24"/>
        </w:rPr>
        <w:t xml:space="preserve"> Depending on the design of national short-time work schemes, the share of employees involved and the intensity of the drop in hours worked, wage decreases varied considerably.</w:t>
      </w:r>
      <w:r>
        <w:rPr>
          <w:rStyle w:val="FootnoteReference"/>
          <w:noProof/>
          <w:szCs w:val="24"/>
        </w:rPr>
        <w:footnoteReference w:id="6"/>
      </w:r>
      <w:r>
        <w:rPr>
          <w:noProof/>
          <w:szCs w:val="24"/>
        </w:rPr>
        <w:t xml:space="preserve"> </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551"/>
      </w:tblGrid>
      <w:tr w:rsidR="00704A93">
        <w:trPr>
          <w:trHeight w:val="548"/>
        </w:trPr>
        <w:tc>
          <w:tcPr>
            <w:tcW w:w="4786" w:type="dxa"/>
          </w:tcPr>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 xml:space="preserve">Graph 5: Households’ propensity to save </w:t>
            </w:r>
          </w:p>
          <w:p w:rsidR="00704A93" w:rsidRDefault="005D0BB9">
            <w:pPr>
              <w:pStyle w:val="Default"/>
              <w:jc w:val="center"/>
              <w:rPr>
                <w:bCs/>
                <w:i/>
                <w:noProof/>
                <w:color w:val="1F4E79" w:themeColor="accent1" w:themeShade="80"/>
                <w:sz w:val="22"/>
                <w:szCs w:val="22"/>
              </w:rPr>
            </w:pPr>
            <w:r>
              <w:rPr>
                <w:i/>
                <w:noProof/>
                <w:color w:val="1F4E79" w:themeColor="accent1" w:themeShade="80"/>
                <w:sz w:val="22"/>
                <w:szCs w:val="22"/>
              </w:rPr>
              <w:t>in the euro area</w:t>
            </w:r>
          </w:p>
        </w:tc>
        <w:tc>
          <w:tcPr>
            <w:tcW w:w="4456" w:type="dxa"/>
          </w:tcPr>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 xml:space="preserve">Graph 6: Net private and public investment </w:t>
            </w:r>
          </w:p>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 xml:space="preserve">in the euro area </w:t>
            </w:r>
          </w:p>
        </w:tc>
      </w:tr>
      <w:tr w:rsidR="00704A93">
        <w:tblPrEx>
          <w:tblCellMar>
            <w:left w:w="70" w:type="dxa"/>
            <w:right w:w="70" w:type="dxa"/>
          </w:tblCellMar>
        </w:tblPrEx>
        <w:trPr>
          <w:trHeight w:val="2622"/>
        </w:trPr>
        <w:tc>
          <w:tcPr>
            <w:tcW w:w="4786" w:type="dxa"/>
          </w:tcPr>
          <w:p w:rsidR="00704A93" w:rsidRDefault="005D0BB9">
            <w:pPr>
              <w:pStyle w:val="Default"/>
              <w:jc w:val="both"/>
              <w:rPr>
                <w:bCs/>
                <w:noProof/>
                <w:szCs w:val="20"/>
              </w:rPr>
            </w:pPr>
            <w:r>
              <w:rPr>
                <w:noProof/>
                <w:lang w:eastAsia="en-GB"/>
              </w:rPr>
              <w:drawing>
                <wp:inline distT="0" distB="0" distL="0" distR="0">
                  <wp:extent cx="2949934" cy="1971675"/>
                  <wp:effectExtent l="0" t="0" r="317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456" w:type="dxa"/>
          </w:tcPr>
          <w:p w:rsidR="00704A93" w:rsidRDefault="005D0BB9">
            <w:pPr>
              <w:pStyle w:val="Default"/>
              <w:jc w:val="both"/>
              <w:rPr>
                <w:noProof/>
                <w:lang w:val="en-US"/>
              </w:rPr>
            </w:pPr>
            <w:r>
              <w:rPr>
                <w:noProof/>
                <w:lang w:eastAsia="en-GB"/>
              </w:rPr>
              <w:drawing>
                <wp:inline distT="0" distB="0" distL="0" distR="0">
                  <wp:extent cx="2862469" cy="1884045"/>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04A93">
        <w:trPr>
          <w:trHeight w:val="245"/>
        </w:trPr>
        <w:tc>
          <w:tcPr>
            <w:tcW w:w="4786" w:type="dxa"/>
          </w:tcPr>
          <w:p w:rsidR="00704A93" w:rsidRDefault="005D0BB9">
            <w:pPr>
              <w:pStyle w:val="Default"/>
              <w:jc w:val="both"/>
              <w:rPr>
                <w:noProof/>
                <w:sz w:val="14"/>
                <w:szCs w:val="14"/>
              </w:rPr>
            </w:pPr>
            <w:r>
              <w:rPr>
                <w:noProof/>
                <w:sz w:val="14"/>
                <w:szCs w:val="14"/>
              </w:rPr>
              <w:t>Note: Grey bars represent the recession periods as defined by the Centre for Economic Policy Research.</w:t>
            </w:r>
          </w:p>
          <w:p w:rsidR="00704A93" w:rsidRDefault="005D0BB9">
            <w:pPr>
              <w:pStyle w:val="Default"/>
              <w:jc w:val="both"/>
              <w:rPr>
                <w:noProof/>
                <w:sz w:val="14"/>
                <w:szCs w:val="14"/>
              </w:rPr>
            </w:pPr>
            <w:r>
              <w:rPr>
                <w:noProof/>
                <w:sz w:val="14"/>
                <w:szCs w:val="14"/>
              </w:rPr>
              <w:t>Source: ECB.</w:t>
            </w:r>
          </w:p>
        </w:tc>
        <w:tc>
          <w:tcPr>
            <w:tcW w:w="4456" w:type="dxa"/>
          </w:tcPr>
          <w:p w:rsidR="00704A93" w:rsidRDefault="005D0BB9">
            <w:pPr>
              <w:autoSpaceDE w:val="0"/>
              <w:autoSpaceDN w:val="0"/>
              <w:adjustRightInd w:val="0"/>
              <w:spacing w:after="0"/>
              <w:jc w:val="left"/>
              <w:rPr>
                <w:rFonts w:eastAsiaTheme="minorHAnsi"/>
                <w:noProof/>
                <w:color w:val="222222"/>
                <w:sz w:val="14"/>
                <w:szCs w:val="14"/>
                <w:highlight w:val="yellow"/>
                <w:lang w:val="en-US"/>
              </w:rPr>
            </w:pPr>
            <w:r>
              <w:rPr>
                <w:rFonts w:eastAsiaTheme="minorHAnsi"/>
                <w:noProof/>
                <w:color w:val="222222"/>
                <w:sz w:val="14"/>
                <w:szCs w:val="14"/>
                <w:lang w:val="en-US"/>
              </w:rPr>
              <w:t xml:space="preserve">Note: Net investment is the difference between gross investment and net of consumption of fixed capital (or depreciation). </w:t>
            </w:r>
          </w:p>
          <w:p w:rsidR="00704A93" w:rsidRDefault="005D0BB9">
            <w:pPr>
              <w:autoSpaceDE w:val="0"/>
              <w:autoSpaceDN w:val="0"/>
              <w:adjustRightInd w:val="0"/>
              <w:spacing w:after="0"/>
              <w:jc w:val="left"/>
              <w:rPr>
                <w:rFonts w:eastAsiaTheme="minorHAnsi"/>
                <w:noProof/>
                <w:color w:val="222222"/>
                <w:sz w:val="14"/>
                <w:szCs w:val="14"/>
                <w:lang w:val="en-US"/>
              </w:rPr>
            </w:pPr>
            <w:r>
              <w:rPr>
                <w:noProof/>
                <w:color w:val="222222"/>
                <w:sz w:val="14"/>
                <w:szCs w:val="14"/>
                <w:lang w:val="en-US"/>
              </w:rPr>
              <w:t>Source: Ameco.</w:t>
            </w:r>
          </w:p>
        </w:tc>
      </w:tr>
    </w:tbl>
    <w:p w:rsidR="00704A93" w:rsidRDefault="00704A93">
      <w:pPr>
        <w:spacing w:line="276" w:lineRule="auto"/>
        <w:rPr>
          <w:b/>
          <w:noProof/>
        </w:rPr>
      </w:pPr>
    </w:p>
    <w:p w:rsidR="00704A93" w:rsidRDefault="005D0BB9">
      <w:pPr>
        <w:spacing w:after="200" w:line="276" w:lineRule="auto"/>
        <w:rPr>
          <w:b/>
          <w:bCs/>
          <w:noProof/>
        </w:rPr>
      </w:pPr>
      <w:r>
        <w:rPr>
          <w:b/>
          <w:noProof/>
        </w:rPr>
        <w:t xml:space="preserve">The crisis had a bearing on private consumption as social distancing and other restrictive measures translated into loss of income and forced savings (Graph 5). </w:t>
      </w:r>
      <w:r>
        <w:rPr>
          <w:noProof/>
        </w:rPr>
        <w:t xml:space="preserve">Private consumption in the euro area fell sharply in March and April as consumers lacked the opportunity or confidence to spend. This is in stark contrast with the pre-COVID-19 era, whereby private consumption was a strong driver of euro area GDP growth. Notwithstanding differences across income levels, the overall unprecedented savings by households were a key feature of the consumption weakness in the first half of the year. Already in the first quarter of 2020, the household saving rate had increased to 16.7% of gross disposable </w:t>
      </w:r>
      <w:r>
        <w:rPr>
          <w:bCs/>
          <w:noProof/>
        </w:rPr>
        <w:t xml:space="preserve">income, </w:t>
      </w:r>
      <w:r>
        <w:rPr>
          <w:noProof/>
        </w:rPr>
        <w:t>reaching an all-time high of 24.9% in the second quarter</w:t>
      </w:r>
      <w:r>
        <w:rPr>
          <w:bCs/>
          <w:noProof/>
        </w:rPr>
        <w:t>, up from 12.6% in the fourth quarter of last year.</w:t>
      </w:r>
      <w:r>
        <w:rPr>
          <w:noProof/>
          <w:vertAlign w:val="superscript"/>
        </w:rPr>
        <w:footnoteReference w:id="7"/>
      </w:r>
      <w:r>
        <w:rPr>
          <w:bCs/>
          <w:noProof/>
        </w:rPr>
        <w:t xml:space="preserve"> </w:t>
      </w:r>
    </w:p>
    <w:p w:rsidR="00704A93" w:rsidRDefault="005D0BB9">
      <w:pPr>
        <w:spacing w:after="200" w:line="276" w:lineRule="auto"/>
        <w:rPr>
          <w:bCs/>
          <w:noProof/>
        </w:rPr>
      </w:pPr>
      <w:r>
        <w:rPr>
          <w:b/>
          <w:bCs/>
          <w:noProof/>
        </w:rPr>
        <w:lastRenderedPageBreak/>
        <w:t xml:space="preserve">Private sector investment is expected to take a severe hit from the crisis. </w:t>
      </w:r>
      <w:r>
        <w:rPr>
          <w:bCs/>
          <w:noProof/>
        </w:rPr>
        <w:t xml:space="preserve">Gross fixed investment is forecast to decline by around </w:t>
      </w:r>
      <w:r>
        <w:rPr>
          <w:noProof/>
        </w:rPr>
        <w:t>EUR 1 trillion</w:t>
      </w:r>
      <w:r>
        <w:rPr>
          <w:bCs/>
          <w:noProof/>
        </w:rPr>
        <w:t xml:space="preserve"> in 2020 and 2021 cumulatively (compared to the pre-crisis baseline given by the Autumn 2019 Forecast) on the back of falling aggregate demand, extreme uncertainty and a severe squeeze on corporate liquidity.</w:t>
      </w:r>
      <w:r>
        <w:rPr>
          <w:noProof/>
          <w:vertAlign w:val="superscript"/>
        </w:rPr>
        <w:footnoteReference w:id="8"/>
      </w:r>
      <w:r>
        <w:rPr>
          <w:bCs/>
          <w:noProof/>
        </w:rPr>
        <w:t xml:space="preserve"> In contrast to the aftermath of the Global Financial Crisis, the current crisis appear to have mainly affected private sector investment levels, with little or no impact on the expected public sector investment. As savings persist and low net private investments are expected (Graph 6), there is scope for public investments to play a larger role; indeed public sector investment has remained broadly unchanged in net terms since 2011. </w:t>
      </w:r>
    </w:p>
    <w:p w:rsidR="00704A93" w:rsidRDefault="005D0BB9">
      <w:pPr>
        <w:spacing w:after="200" w:line="276" w:lineRule="auto"/>
        <w:rPr>
          <w:noProof/>
          <w:szCs w:val="24"/>
        </w:rPr>
      </w:pPr>
      <w:r>
        <w:rPr>
          <w:b/>
          <w:noProof/>
        </w:rPr>
        <w:t xml:space="preserve">Exports of goods and services are likely to remain dampened for some time as demand from outside the EU remains subdued and existing global supply chains continue to adjust. </w:t>
      </w:r>
      <w:r>
        <w:rPr>
          <w:noProof/>
        </w:rPr>
        <w:t>World trade is forecast to</w:t>
      </w:r>
      <w:r>
        <w:rPr>
          <w:b/>
          <w:noProof/>
        </w:rPr>
        <w:t xml:space="preserve"> </w:t>
      </w:r>
      <w:r>
        <w:rPr>
          <w:noProof/>
        </w:rPr>
        <w:t>decline by some 10.8% in 2020 and euro area exports by 11.5%. As the euro area is very open</w:t>
      </w:r>
      <w:r>
        <w:rPr>
          <w:rStyle w:val="FootnoteReference"/>
          <w:noProof/>
        </w:rPr>
        <w:footnoteReference w:id="9"/>
      </w:r>
      <w:r>
        <w:rPr>
          <w:noProof/>
          <w:szCs w:val="24"/>
        </w:rPr>
        <w:t xml:space="preserve"> </w:t>
      </w:r>
      <w:r>
        <w:rPr>
          <w:noProof/>
        </w:rPr>
        <w:t>in comparison with other major trade partners,</w:t>
      </w:r>
      <w:r>
        <w:rPr>
          <w:rStyle w:val="FootnoteReference"/>
          <w:noProof/>
        </w:rPr>
        <w:footnoteReference w:id="10"/>
      </w:r>
      <w:r>
        <w:rPr>
          <w:noProof/>
        </w:rPr>
        <w:t xml:space="preserve"> the COVID-19 crisis is expected to have a major impact on output with the net trade contribution to GDP growth expected to fall by 1.1% in 2020, further worsening a -0.5% drag on growth in 2019 (in comparison with +0.4 and +0.1 percentage point of contribution to GDP growth in 2017 and 2018 respectively)</w:t>
      </w:r>
      <w:r>
        <w:rPr>
          <w:noProof/>
          <w:szCs w:val="24"/>
        </w:rPr>
        <w:t xml:space="preserve">. </w:t>
      </w:r>
      <w:r>
        <w:rPr>
          <w:noProof/>
        </w:rPr>
        <w:t>Besides the drop in trade volumes, the pandemic has also altered the geography of trade (particularly of services), whereby a regional re-centring towards European value chains has occurred</w:t>
      </w:r>
      <w:r>
        <w:rPr>
          <w:noProof/>
          <w:szCs w:val="24"/>
        </w:rPr>
        <w:t xml:space="preserve">. If this trend persists, </w:t>
      </w:r>
      <w:r>
        <w:rPr>
          <w:noProof/>
        </w:rPr>
        <w:t>while it could reduce supply risks and uncertainty, lower trade diversification could also affect negatively economic resilience and productivity. This in turn can have a bearing on convergence</w:t>
      </w:r>
      <w:r>
        <w:rPr>
          <w:noProof/>
          <w:szCs w:val="24"/>
        </w:rPr>
        <w:t xml:space="preserve"> given the differences in euro area countries’ integration in European and global value chains</w:t>
      </w:r>
      <w:r>
        <w:rPr>
          <w:noProof/>
        </w:rPr>
        <w:t>.</w:t>
      </w:r>
      <w:r>
        <w:rPr>
          <w:rStyle w:val="FootnoteReference"/>
          <w:noProof/>
        </w:rPr>
        <w:footnoteReference w:id="11"/>
      </w:r>
      <w:r>
        <w:rPr>
          <w:rStyle w:val="FootnoteReference"/>
          <w:noProof/>
          <w:szCs w:val="24"/>
        </w:rPr>
        <w:t xml:space="preserve"> </w:t>
      </w:r>
    </w:p>
    <w:p w:rsidR="00704A93" w:rsidRDefault="005D0BB9">
      <w:pPr>
        <w:spacing w:after="200" w:line="276" w:lineRule="auto"/>
        <w:rPr>
          <w:noProof/>
        </w:rPr>
      </w:pPr>
      <w:r>
        <w:rPr>
          <w:b/>
          <w:noProof/>
        </w:rPr>
        <w:t xml:space="preserve">The current account of the euro area as a share of GDP has been ebbing since 2017 and is projected to further decline in 2020. </w:t>
      </w:r>
      <w:r>
        <w:rPr>
          <w:noProof/>
        </w:rPr>
        <w:t>In</w:t>
      </w:r>
      <w:r>
        <w:rPr>
          <w:b/>
          <w:noProof/>
        </w:rPr>
        <w:t xml:space="preserve"> </w:t>
      </w:r>
      <w:r>
        <w:rPr>
          <w:noProof/>
        </w:rPr>
        <w:t>2019, the euro area current account balance is estimated at 2.3% of GDP, remaining the largest worldwide in nominal terms.</w:t>
      </w:r>
      <w:r>
        <w:rPr>
          <w:rStyle w:val="FootnoteReference"/>
          <w:noProof/>
        </w:rPr>
        <w:footnoteReference w:id="12"/>
      </w:r>
      <w:r>
        <w:rPr>
          <w:noProof/>
        </w:rPr>
        <w:t xml:space="preserve"> At unchanged policies, the euro area current account surplus is expected to further decrease to </w:t>
      </w:r>
      <w:r>
        <w:rPr>
          <w:noProof/>
        </w:rPr>
        <w:lastRenderedPageBreak/>
        <w:t>1.8% of GDP in 2020 and to edge up to 1.9% of GDP in 2021.</w:t>
      </w:r>
      <w:r>
        <w:rPr>
          <w:b/>
          <w:noProof/>
        </w:rPr>
        <w:t xml:space="preserve"> </w:t>
      </w:r>
      <w:r>
        <w:rPr>
          <w:noProof/>
        </w:rPr>
        <w:t>While the geographical breakdown of the current account surpluses are expected to remain fairly stable across countries in 2020 and 2021, considerable changes are taking place in the net lending position across sectors of the economy, as the large increase in the net lending position for the private sector is almost fully offset by a deterioration in that of the government sector.</w:t>
      </w:r>
      <w:r>
        <w:rPr>
          <w:rStyle w:val="FootnoteReference"/>
          <w:noProof/>
        </w:rPr>
        <w:footnoteReference w:id="13"/>
      </w:r>
    </w:p>
    <w:p w:rsidR="00704A93" w:rsidRDefault="005D0BB9">
      <w:pPr>
        <w:pStyle w:val="Heading2"/>
        <w:rPr>
          <w:noProof/>
        </w:rPr>
      </w:pPr>
      <w:bookmarkStart w:id="140" w:name="_Toc53652776"/>
      <w:bookmarkStart w:id="141" w:name="_Toc53670371"/>
      <w:bookmarkStart w:id="142" w:name="_Toc53670860"/>
      <w:bookmarkStart w:id="143" w:name="_Toc53678892"/>
      <w:bookmarkStart w:id="144" w:name="_Toc53752750"/>
      <w:bookmarkStart w:id="145" w:name="_Toc53756233"/>
      <w:bookmarkStart w:id="146" w:name="_Toc54002739"/>
      <w:bookmarkStart w:id="147" w:name="_Toc54004831"/>
      <w:bookmarkStart w:id="148" w:name="_Toc54187763"/>
      <w:bookmarkStart w:id="149" w:name="_Toc54195817"/>
      <w:bookmarkStart w:id="150" w:name="_Toc54198599"/>
      <w:bookmarkStart w:id="151" w:name="_Toc54363742"/>
      <w:bookmarkStart w:id="152" w:name="_Toc54374668"/>
      <w:bookmarkStart w:id="153" w:name="_Toc54376077"/>
      <w:bookmarkStart w:id="154" w:name="_Toc54429922"/>
      <w:bookmarkStart w:id="155" w:name="_Toc54430245"/>
      <w:bookmarkStart w:id="156" w:name="_Toc55398257"/>
      <w:bookmarkStart w:id="157" w:name="_Toc55402854"/>
      <w:bookmarkStart w:id="158" w:name="_Toc55410565"/>
      <w:bookmarkStart w:id="159" w:name="_Toc55466103"/>
      <w:bookmarkStart w:id="160" w:name="_Toc55480553"/>
      <w:bookmarkStart w:id="161" w:name="_Toc55482432"/>
      <w:bookmarkStart w:id="162" w:name="_Toc55486344"/>
      <w:bookmarkStart w:id="163" w:name="_Toc55488153"/>
      <w:bookmarkStart w:id="164" w:name="_Toc55488787"/>
      <w:bookmarkStart w:id="165" w:name="_Toc55490412"/>
      <w:bookmarkStart w:id="166" w:name="_Toc55490601"/>
      <w:bookmarkStart w:id="167" w:name="_Toc55498943"/>
      <w:bookmarkStart w:id="168" w:name="_Toc55499093"/>
      <w:bookmarkStart w:id="169" w:name="_Toc55499133"/>
      <w:bookmarkStart w:id="170" w:name="_Toc55651315"/>
      <w:bookmarkStart w:id="171" w:name="_Toc55662174"/>
      <w:bookmarkStart w:id="172" w:name="_Toc55663558"/>
      <w:bookmarkStart w:id="173" w:name="_Toc55750528"/>
      <w:bookmarkStart w:id="174" w:name="_Toc55761111"/>
      <w:bookmarkStart w:id="175" w:name="_Toc55808243"/>
      <w:bookmarkStart w:id="176" w:name="_Toc55899251"/>
      <w:bookmarkStart w:id="177" w:name="_Toc55899585"/>
      <w:bookmarkStart w:id="178" w:name="_Toc55899751"/>
      <w:bookmarkStart w:id="179" w:name="_Toc55991379"/>
      <w:bookmarkStart w:id="180" w:name="_Toc55993127"/>
      <w:bookmarkStart w:id="181" w:name="_Toc55999435"/>
      <w:bookmarkStart w:id="182" w:name="_Toc55999498"/>
      <w:bookmarkStart w:id="183" w:name="_Toc56012515"/>
      <w:bookmarkStart w:id="184" w:name="_Toc56013738"/>
      <w:bookmarkStart w:id="185" w:name="_Toc56172423"/>
      <w:bookmarkStart w:id="186" w:name="_Toc56173634"/>
      <w:bookmarkStart w:id="187" w:name="_Toc52533643"/>
      <w:bookmarkStart w:id="188" w:name="_Toc52539440"/>
      <w:bookmarkStart w:id="189" w:name="_Toc52541960"/>
      <w:bookmarkStart w:id="190" w:name="_Toc52543787"/>
      <w:bookmarkStart w:id="191" w:name="_Toc52548741"/>
      <w:bookmarkStart w:id="192" w:name="_Toc52550071"/>
      <w:bookmarkStart w:id="193" w:name="_Toc52552267"/>
      <w:bookmarkStart w:id="194" w:name="_Toc53133710"/>
      <w:bookmarkStart w:id="195" w:name="_Toc53143019"/>
      <w:bookmarkStart w:id="196" w:name="_Toc53151529"/>
      <w:bookmarkStart w:id="197" w:name="_Toc53160257"/>
      <w:bookmarkStart w:id="198" w:name="_Toc53163219"/>
      <w:bookmarkStart w:id="199" w:name="_Toc53390004"/>
      <w:bookmarkStart w:id="200" w:name="_Toc53391739"/>
      <w:bookmarkStart w:id="201" w:name="_Toc53432742"/>
      <w:bookmarkStart w:id="202" w:name="_Toc53490246"/>
      <w:bookmarkStart w:id="203" w:name="_Toc53490773"/>
      <w:bookmarkStart w:id="204" w:name="_Toc53494716"/>
      <w:bookmarkStart w:id="205" w:name="_Toc53504205"/>
      <w:bookmarkStart w:id="206" w:name="_Toc53505965"/>
      <w:bookmarkStart w:id="207" w:name="_Toc55977211"/>
      <w:bookmarkStart w:id="208" w:name="_Toc55986193"/>
      <w:r>
        <w:rPr>
          <w:noProof/>
        </w:rPr>
        <w:t xml:space="preserve">1.2. COVID-19 and the risk of </w:t>
      </w:r>
      <w:bookmarkEnd w:id="140"/>
      <w:bookmarkEnd w:id="141"/>
      <w:bookmarkEnd w:id="142"/>
      <w:bookmarkEnd w:id="143"/>
      <w:bookmarkEnd w:id="144"/>
      <w:bookmarkEnd w:id="145"/>
      <w:bookmarkEnd w:id="146"/>
      <w:bookmarkEnd w:id="147"/>
      <w:r>
        <w:rPr>
          <w:noProof/>
        </w:rPr>
        <w:t>divergence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noProof/>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704A93" w:rsidRDefault="005D0BB9">
      <w:pPr>
        <w:spacing w:line="276" w:lineRule="auto"/>
        <w:rPr>
          <w:bCs/>
          <w:noProof/>
        </w:rPr>
      </w:pPr>
      <w:r>
        <w:rPr>
          <w:b/>
          <w:bCs/>
          <w:noProof/>
        </w:rPr>
        <w:t xml:space="preserve">The impact of the COVID-19 crisis on GDP has depended on different factors, including the intensity and duration of the pandemic and has increased with the stringency of the containment measures implemented to impede the transmission of the COVID-19 virus. </w:t>
      </w:r>
      <w:r>
        <w:rPr>
          <w:bCs/>
          <w:noProof/>
        </w:rPr>
        <w:t xml:space="preserve">Governments have taken drastic measures to contain the spread of the virus (e.g., lockdown and school closures), while voluntary social distancing was also an important element across euro area countries. These measures have led to many businesses being shut down temporarily, widespread restrictions on travel and mobility, financial market stress at the onset of the crisis, an erosion of confidence and heightened uncertainty. </w:t>
      </w:r>
    </w:p>
    <w:tbl>
      <w:tblPr>
        <w:tblStyle w:val="TableGrid"/>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5262"/>
      </w:tblGrid>
      <w:tr w:rsidR="00704A93">
        <w:trPr>
          <w:trHeight w:val="585"/>
        </w:trPr>
        <w:tc>
          <w:tcPr>
            <w:tcW w:w="4550" w:type="dxa"/>
          </w:tcPr>
          <w:p w:rsidR="00704A93" w:rsidRDefault="005D0BB9">
            <w:pPr>
              <w:pStyle w:val="Default"/>
              <w:jc w:val="center"/>
              <w:rPr>
                <w:bCs/>
                <w:i/>
                <w:noProof/>
                <w:color w:val="1F4E79" w:themeColor="accent1" w:themeShade="80"/>
                <w:sz w:val="22"/>
                <w:szCs w:val="22"/>
              </w:rPr>
            </w:pPr>
            <w:r>
              <w:rPr>
                <w:bCs/>
                <w:i/>
                <w:noProof/>
                <w:color w:val="1F4E79" w:themeColor="accent1" w:themeShade="80"/>
                <w:sz w:val="22"/>
                <w:szCs w:val="22"/>
              </w:rPr>
              <w:t xml:space="preserve">Graph 7: </w:t>
            </w:r>
            <w:r>
              <w:rPr>
                <w:i/>
                <w:noProof/>
                <w:color w:val="1F4E79" w:themeColor="accent1" w:themeShade="80"/>
                <w:sz w:val="22"/>
                <w:szCs w:val="22"/>
              </w:rPr>
              <w:t>Services production in the euro area</w:t>
            </w:r>
          </w:p>
        </w:tc>
        <w:tc>
          <w:tcPr>
            <w:tcW w:w="5262" w:type="dxa"/>
          </w:tcPr>
          <w:p w:rsidR="00704A93" w:rsidRDefault="005D0BB9">
            <w:pPr>
              <w:pStyle w:val="Default"/>
              <w:jc w:val="center"/>
              <w:rPr>
                <w:i/>
                <w:noProof/>
                <w:color w:val="1F4E79" w:themeColor="accent1" w:themeShade="80"/>
                <w:sz w:val="22"/>
                <w:szCs w:val="22"/>
              </w:rPr>
            </w:pPr>
            <w:r>
              <w:rPr>
                <w:i/>
                <w:noProof/>
                <w:color w:val="1F4E79" w:themeColor="accent1" w:themeShade="80"/>
                <w:sz w:val="22"/>
                <w:szCs w:val="22"/>
              </w:rPr>
              <w:t xml:space="preserve">Graph 8: Share of accommodation and food </w:t>
            </w:r>
          </w:p>
          <w:p w:rsidR="00704A93" w:rsidRDefault="005D0BB9">
            <w:pPr>
              <w:pStyle w:val="Default"/>
              <w:jc w:val="center"/>
              <w:rPr>
                <w:bCs/>
                <w:i/>
                <w:noProof/>
                <w:color w:val="1F4E79" w:themeColor="accent1" w:themeShade="80"/>
                <w:sz w:val="22"/>
                <w:szCs w:val="22"/>
              </w:rPr>
            </w:pPr>
            <w:r>
              <w:rPr>
                <w:i/>
                <w:noProof/>
                <w:color w:val="1F4E79" w:themeColor="accent1" w:themeShade="80"/>
                <w:sz w:val="22"/>
                <w:szCs w:val="22"/>
              </w:rPr>
              <w:t>in GDP relative to the fall in 2020 H1</w:t>
            </w:r>
          </w:p>
        </w:tc>
      </w:tr>
      <w:tr w:rsidR="00704A93">
        <w:tblPrEx>
          <w:tblCellMar>
            <w:left w:w="70" w:type="dxa"/>
            <w:right w:w="70" w:type="dxa"/>
          </w:tblCellMar>
        </w:tblPrEx>
        <w:trPr>
          <w:trHeight w:val="3062"/>
        </w:trPr>
        <w:tc>
          <w:tcPr>
            <w:tcW w:w="4550" w:type="dxa"/>
          </w:tcPr>
          <w:p w:rsidR="00704A93" w:rsidRDefault="005D0BB9">
            <w:pPr>
              <w:pStyle w:val="Default"/>
              <w:jc w:val="both"/>
              <w:rPr>
                <w:bCs/>
                <w:noProof/>
                <w:szCs w:val="20"/>
              </w:rPr>
            </w:pPr>
            <w:r>
              <w:rPr>
                <w:noProof/>
                <w:lang w:eastAsia="en-GB"/>
              </w:rPr>
              <w:drawing>
                <wp:inline distT="0" distB="0" distL="0" distR="0">
                  <wp:extent cx="2799617" cy="1828800"/>
                  <wp:effectExtent l="0" t="0" r="127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262" w:type="dxa"/>
          </w:tcPr>
          <w:p w:rsidR="00704A93" w:rsidRDefault="00A75720">
            <w:pPr>
              <w:pStyle w:val="Default"/>
              <w:jc w:val="both"/>
              <w:rPr>
                <w:noProof/>
                <w:sz w:val="16"/>
                <w:szCs w:val="16"/>
                <w:lang w:val="en-US"/>
              </w:rPr>
            </w:pPr>
            <w:r>
              <w:rPr>
                <w:noProof/>
                <w:sz w:val="16"/>
                <w:szCs w:val="16"/>
                <w:lang w:eastAsia="en-GB"/>
              </w:rPr>
              <w:drawing>
                <wp:inline distT="0" distB="0" distL="0" distR="0" wp14:anchorId="70E2DC33">
                  <wp:extent cx="2889885" cy="20237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885" cy="2023745"/>
                          </a:xfrm>
                          <a:prstGeom prst="rect">
                            <a:avLst/>
                          </a:prstGeom>
                          <a:noFill/>
                        </pic:spPr>
                      </pic:pic>
                    </a:graphicData>
                  </a:graphic>
                </wp:inline>
              </w:drawing>
            </w:r>
          </w:p>
        </w:tc>
      </w:tr>
      <w:tr w:rsidR="00704A93">
        <w:trPr>
          <w:trHeight w:val="285"/>
        </w:trPr>
        <w:tc>
          <w:tcPr>
            <w:tcW w:w="4550" w:type="dxa"/>
          </w:tcPr>
          <w:p w:rsidR="00704A93" w:rsidRDefault="005D0BB9">
            <w:pPr>
              <w:pStyle w:val="Default"/>
              <w:spacing w:after="180"/>
              <w:jc w:val="both"/>
              <w:rPr>
                <w:bCs/>
                <w:noProof/>
                <w:sz w:val="14"/>
                <w:szCs w:val="14"/>
              </w:rPr>
            </w:pPr>
            <w:r>
              <w:rPr>
                <w:noProof/>
                <w:sz w:val="14"/>
                <w:szCs w:val="14"/>
              </w:rPr>
              <w:t>Source: Eurostat.</w:t>
            </w:r>
          </w:p>
        </w:tc>
        <w:tc>
          <w:tcPr>
            <w:tcW w:w="5262" w:type="dxa"/>
          </w:tcPr>
          <w:p w:rsidR="00704A93" w:rsidRDefault="005D0BB9">
            <w:pPr>
              <w:pStyle w:val="Default"/>
              <w:jc w:val="both"/>
              <w:rPr>
                <w:noProof/>
                <w:sz w:val="14"/>
                <w:szCs w:val="14"/>
              </w:rPr>
            </w:pPr>
            <w:r>
              <w:rPr>
                <w:noProof/>
                <w:sz w:val="14"/>
                <w:szCs w:val="14"/>
              </w:rPr>
              <w:t>Source: Eurostat.</w:t>
            </w:r>
          </w:p>
        </w:tc>
      </w:tr>
    </w:tbl>
    <w:p w:rsidR="00704A93" w:rsidRDefault="005D0BB9">
      <w:pPr>
        <w:spacing w:line="276" w:lineRule="auto"/>
        <w:rPr>
          <w:noProof/>
        </w:rPr>
      </w:pPr>
      <w:r>
        <w:rPr>
          <w:b/>
          <w:noProof/>
        </w:rPr>
        <w:t>By its nature, the COVID-19 shock has had a much stronger impact on services activities that require physical interaction and has thus been more detrimental to euro area countries where those activities predominate.</w:t>
      </w:r>
      <w:r>
        <w:rPr>
          <w:noProof/>
        </w:rPr>
        <w:t xml:space="preserve"> Most notably, monthly data through to July show production in the restaurant, hotel, and air transport sectors was hit much harder than in other sectors and they were lagging the overall recovery by large margins (Graph 7). Euro area countries with the largest shares of food services and accommodation in their economies have thus witnessed the steepest fall in GDP (Graph 8), and may experience slower economic recovery and may experience a slower economic recovery. The negative impact on employment has been cushioned by short-time work schemes and, in some countries, restrictions to lay-offs in the first half of 2020. However, these sectors tend to be labour-intensive and more prone to job losses, which is a threat for more than one in three </w:t>
      </w:r>
      <w:r>
        <w:rPr>
          <w:noProof/>
        </w:rPr>
        <w:lastRenderedPageBreak/>
        <w:t>jobs</w:t>
      </w:r>
      <w:r>
        <w:rPr>
          <w:rStyle w:val="FootnoteReference"/>
          <w:noProof/>
        </w:rPr>
        <w:footnoteReference w:id="14"/>
      </w:r>
      <w:r>
        <w:rPr>
          <w:noProof/>
        </w:rPr>
        <w:t xml:space="preserve"> in Cyprus, Greece, Spain, Italy and Malta, largely linked to tourism.</w:t>
      </w:r>
      <w:r>
        <w:rPr>
          <w:rStyle w:val="FootnoteReference"/>
          <w:noProof/>
        </w:rPr>
        <w:footnoteReference w:id="15"/>
      </w:r>
      <w:r>
        <w:rPr>
          <w:noProof/>
        </w:rPr>
        <w:t xml:space="preserve"> Moreover, some durable goods sectors have also been significantly hit by the crisis, most notably the automotive sector</w:t>
      </w:r>
      <w:r>
        <w:rPr>
          <w:rStyle w:val="FootnoteReference"/>
          <w:noProof/>
        </w:rPr>
        <w:footnoteReference w:id="16"/>
      </w:r>
      <w:r>
        <w:rPr>
          <w:noProof/>
        </w:rPr>
        <w:t xml:space="preserve"> that was already going through considerable structural changes. </w:t>
      </w:r>
    </w:p>
    <w:tbl>
      <w:tblPr>
        <w:tblStyle w:val="TableGrid"/>
        <w:tblW w:w="9198"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91"/>
        <w:gridCol w:w="4570"/>
        <w:gridCol w:w="37"/>
      </w:tblGrid>
      <w:tr w:rsidR="00704A93">
        <w:trPr>
          <w:trHeight w:val="290"/>
        </w:trPr>
        <w:tc>
          <w:tcPr>
            <w:tcW w:w="4599" w:type="dxa"/>
          </w:tcPr>
          <w:p w:rsidR="00704A93" w:rsidRDefault="005D0BB9">
            <w:pPr>
              <w:keepNext/>
              <w:keepLines/>
              <w:spacing w:after="0"/>
              <w:jc w:val="center"/>
              <w:rPr>
                <w:i/>
                <w:noProof/>
                <w:color w:val="1F4E79" w:themeColor="accent1" w:themeShade="80"/>
                <w:sz w:val="22"/>
                <w:szCs w:val="22"/>
              </w:rPr>
            </w:pPr>
            <w:r>
              <w:rPr>
                <w:i/>
                <w:noProof/>
                <w:color w:val="1F4E79" w:themeColor="accent1" w:themeShade="80"/>
                <w:sz w:val="22"/>
                <w:szCs w:val="22"/>
              </w:rPr>
              <w:t>Graph 9: GDP per capita (PPS) in EU 14 (expected 2019-21 change  versus actual 2019)</w:t>
            </w:r>
          </w:p>
          <w:p w:rsidR="00704A93" w:rsidRDefault="00704A93">
            <w:pPr>
              <w:keepNext/>
              <w:keepLines/>
              <w:spacing w:after="0"/>
              <w:jc w:val="center"/>
              <w:rPr>
                <w:i/>
                <w:noProof/>
                <w:color w:val="1F4E79" w:themeColor="accent1" w:themeShade="80"/>
                <w:sz w:val="22"/>
                <w:szCs w:val="22"/>
              </w:rPr>
            </w:pPr>
          </w:p>
        </w:tc>
        <w:tc>
          <w:tcPr>
            <w:tcW w:w="4599" w:type="dxa"/>
            <w:gridSpan w:val="2"/>
          </w:tcPr>
          <w:p w:rsidR="00704A93" w:rsidRDefault="005D0BB9">
            <w:pPr>
              <w:keepNext/>
              <w:keepLines/>
              <w:spacing w:after="0"/>
              <w:jc w:val="center"/>
              <w:rPr>
                <w:i/>
                <w:iCs/>
                <w:noProof/>
                <w:color w:val="1F4E79" w:themeColor="accent1" w:themeShade="80"/>
                <w:sz w:val="22"/>
                <w:szCs w:val="22"/>
              </w:rPr>
            </w:pPr>
            <w:r>
              <w:rPr>
                <w:i/>
                <w:noProof/>
                <w:color w:val="1F4E79" w:themeColor="accent1" w:themeShade="80"/>
                <w:sz w:val="22"/>
                <w:szCs w:val="22"/>
              </w:rPr>
              <w:t xml:space="preserve">Graph 10: </w:t>
            </w:r>
            <w:r>
              <w:rPr>
                <w:i/>
                <w:iCs/>
                <w:noProof/>
                <w:color w:val="1F4E79" w:themeColor="accent1" w:themeShade="80"/>
                <w:sz w:val="22"/>
                <w:szCs w:val="22"/>
              </w:rPr>
              <w:t xml:space="preserve">Net public investment </w:t>
            </w:r>
          </w:p>
          <w:p w:rsidR="00704A93" w:rsidRDefault="005D0BB9">
            <w:pPr>
              <w:keepNext/>
              <w:keepLines/>
              <w:spacing w:after="0"/>
              <w:jc w:val="center"/>
              <w:rPr>
                <w:i/>
                <w:noProof/>
                <w:color w:val="1F4E79" w:themeColor="accent1" w:themeShade="80"/>
                <w:sz w:val="22"/>
                <w:szCs w:val="22"/>
              </w:rPr>
            </w:pPr>
            <w:r>
              <w:rPr>
                <w:i/>
                <w:iCs/>
                <w:noProof/>
                <w:color w:val="1F4E79" w:themeColor="accent1" w:themeShade="80"/>
                <w:sz w:val="22"/>
                <w:szCs w:val="22"/>
              </w:rPr>
              <w:t>in the euro area (2019)</w:t>
            </w:r>
          </w:p>
        </w:tc>
      </w:tr>
      <w:tr w:rsidR="00704A93">
        <w:trPr>
          <w:gridAfter w:val="1"/>
          <w:wAfter w:w="38" w:type="dxa"/>
          <w:trHeight w:val="2253"/>
        </w:trPr>
        <w:tc>
          <w:tcPr>
            <w:tcW w:w="4599" w:type="dxa"/>
          </w:tcPr>
          <w:p w:rsidR="00704A93" w:rsidRDefault="00A75720">
            <w:pPr>
              <w:widowControl w:val="0"/>
              <w:spacing w:after="200"/>
              <w:jc w:val="center"/>
              <w:rPr>
                <w:noProof/>
              </w:rPr>
            </w:pPr>
            <w:r>
              <w:rPr>
                <w:noProof/>
                <w:lang w:eastAsia="en-GB"/>
              </w:rPr>
              <w:drawing>
                <wp:inline distT="0" distB="0" distL="0" distR="0" wp14:anchorId="126CAA58">
                  <wp:extent cx="2725420"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420" cy="2011680"/>
                          </a:xfrm>
                          <a:prstGeom prst="rect">
                            <a:avLst/>
                          </a:prstGeom>
                          <a:noFill/>
                        </pic:spPr>
                      </pic:pic>
                    </a:graphicData>
                  </a:graphic>
                </wp:inline>
              </w:drawing>
            </w:r>
          </w:p>
        </w:tc>
        <w:tc>
          <w:tcPr>
            <w:tcW w:w="4599" w:type="dxa"/>
          </w:tcPr>
          <w:p w:rsidR="00704A93" w:rsidRDefault="005D0BB9">
            <w:pPr>
              <w:widowControl w:val="0"/>
              <w:spacing w:after="200"/>
              <w:jc w:val="center"/>
              <w:rPr>
                <w:noProof/>
                <w:lang w:val="it-IT" w:eastAsia="it-IT"/>
              </w:rPr>
            </w:pPr>
            <w:r>
              <w:rPr>
                <w:noProof/>
                <w:lang w:eastAsia="en-GB"/>
              </w:rPr>
              <w:drawing>
                <wp:inline distT="0" distB="0" distL="0" distR="0">
                  <wp:extent cx="2405380" cy="1865014"/>
                  <wp:effectExtent l="0" t="0" r="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04A93">
        <w:tblPrEx>
          <w:tblCellMar>
            <w:left w:w="108" w:type="dxa"/>
            <w:right w:w="108" w:type="dxa"/>
          </w:tblCellMar>
        </w:tblPrEx>
        <w:trPr>
          <w:gridAfter w:val="1"/>
          <w:wAfter w:w="38" w:type="dxa"/>
          <w:trHeight w:val="492"/>
        </w:trPr>
        <w:tc>
          <w:tcPr>
            <w:tcW w:w="4599" w:type="dxa"/>
          </w:tcPr>
          <w:p w:rsidR="00704A93" w:rsidRDefault="005D0BB9">
            <w:pPr>
              <w:widowControl w:val="0"/>
              <w:spacing w:after="0"/>
              <w:rPr>
                <w:noProof/>
                <w:sz w:val="14"/>
                <w:szCs w:val="14"/>
              </w:rPr>
            </w:pPr>
            <w:r>
              <w:rPr>
                <w:noProof/>
                <w:sz w:val="14"/>
                <w:szCs w:val="14"/>
              </w:rPr>
              <w:t>Note: the straight lines correspond to the EU14 average. (Luxembourg is also included in the average, although it is not shown).</w:t>
            </w:r>
          </w:p>
          <w:p w:rsidR="00704A93" w:rsidRDefault="005D0BB9">
            <w:pPr>
              <w:widowControl w:val="0"/>
              <w:spacing w:after="0"/>
              <w:rPr>
                <w:noProof/>
                <w:sz w:val="14"/>
                <w:szCs w:val="14"/>
              </w:rPr>
            </w:pPr>
            <w:r>
              <w:rPr>
                <w:noProof/>
                <w:sz w:val="14"/>
                <w:szCs w:val="14"/>
              </w:rPr>
              <w:t xml:space="preserve">Source: European Commission 2020 Autumn Forecast.  </w:t>
            </w:r>
          </w:p>
        </w:tc>
        <w:tc>
          <w:tcPr>
            <w:tcW w:w="4599" w:type="dxa"/>
          </w:tcPr>
          <w:p w:rsidR="00704A93" w:rsidRDefault="005D0BB9">
            <w:pPr>
              <w:keepNext/>
              <w:keepLines/>
              <w:spacing w:after="0"/>
              <w:rPr>
                <w:noProof/>
                <w:sz w:val="14"/>
                <w:szCs w:val="14"/>
              </w:rPr>
            </w:pPr>
            <w:r>
              <w:rPr>
                <w:noProof/>
                <w:sz w:val="14"/>
                <w:szCs w:val="14"/>
              </w:rPr>
              <w:t>Note: Net investment is the difference between gross investment and net of consumption of fixed capital (or depreciation). Net public investment above 1% of GDP is in green as this level is consistent with a public capital stock remaining at 50% of GDP in the euro area in the short term and gradually increasing in the longer term, to take into account the additional investment needs related to the Green Deal and the digital transformation.</w:t>
            </w:r>
          </w:p>
          <w:p w:rsidR="00704A93" w:rsidRDefault="005D0BB9">
            <w:pPr>
              <w:keepNext/>
              <w:keepLines/>
              <w:spacing w:after="180"/>
              <w:rPr>
                <w:noProof/>
                <w:sz w:val="14"/>
                <w:szCs w:val="14"/>
              </w:rPr>
            </w:pPr>
            <w:r>
              <w:rPr>
                <w:noProof/>
                <w:sz w:val="14"/>
                <w:szCs w:val="14"/>
              </w:rPr>
              <w:t>Source: European Commission 2020 Autumn Forecast.</w:t>
            </w:r>
          </w:p>
        </w:tc>
      </w:tr>
    </w:tbl>
    <w:p w:rsidR="00704A93" w:rsidRDefault="005D0BB9">
      <w:pPr>
        <w:spacing w:line="276" w:lineRule="auto"/>
        <w:rPr>
          <w:noProof/>
        </w:rPr>
      </w:pPr>
      <w:r>
        <w:rPr>
          <w:b/>
          <w:noProof/>
        </w:rPr>
        <w:t>Persistent macro-economic divergences across euro area countries can also affect the effectiveness of euro area monetary policy</w:t>
      </w:r>
      <w:r>
        <w:rPr>
          <w:noProof/>
        </w:rPr>
        <w:t>.</w:t>
      </w:r>
      <w:r>
        <w:rPr>
          <w:rStyle w:val="FootnoteReference"/>
          <w:noProof/>
        </w:rPr>
        <w:footnoteReference w:id="17"/>
      </w:r>
      <w:r>
        <w:rPr>
          <w:noProof/>
        </w:rPr>
        <w:t xml:space="preserve"> National institutions and the functioning of labour, product and capital markets are still very idiosyncratic, despite the progress in building the internal market. Moreover, increased specialisations and agglomeration effects have been reinforced through economic integration. Business cycles have synchronised further while their amplitudes have again become more divergent within the euro area.</w:t>
      </w:r>
      <w:r>
        <w:rPr>
          <w:rStyle w:val="FootnoteReference"/>
          <w:noProof/>
        </w:rPr>
        <w:footnoteReference w:id="18"/>
      </w:r>
      <w:r>
        <w:rPr>
          <w:noProof/>
        </w:rPr>
        <w:t xml:space="preserve"> </w:t>
      </w:r>
    </w:p>
    <w:p w:rsidR="00704A93" w:rsidRDefault="005D0BB9">
      <w:pPr>
        <w:spacing w:after="200" w:line="276" w:lineRule="auto"/>
        <w:rPr>
          <w:noProof/>
        </w:rPr>
      </w:pPr>
      <w:r>
        <w:rPr>
          <w:b/>
          <w:noProof/>
        </w:rPr>
        <w:t>T</w:t>
      </w:r>
      <w:r>
        <w:rPr>
          <w:b/>
          <w:bCs/>
          <w:noProof/>
        </w:rPr>
        <w:t xml:space="preserve">he COVID-19 crisis is increasing the risk of economic divergences across the euro area. </w:t>
      </w:r>
      <w:r>
        <w:rPr>
          <w:bCs/>
          <w:noProof/>
        </w:rPr>
        <w:t xml:space="preserve">Most notably, GDP per capita level (PPS) in all Member States (excluding Greece) are </w:t>
      </w:r>
      <w:r>
        <w:rPr>
          <w:bCs/>
          <w:noProof/>
        </w:rPr>
        <w:lastRenderedPageBreak/>
        <w:t>expected to remain well below the 2019 GDP per capita level (PPS) over the next two years (</w:t>
      </w:r>
      <w:r>
        <w:rPr>
          <w:noProof/>
        </w:rPr>
        <w:t>Graph 9</w:t>
      </w:r>
      <w:r>
        <w:rPr>
          <w:bCs/>
          <w:noProof/>
        </w:rPr>
        <w:t>)</w:t>
      </w:r>
      <w:r>
        <w:rPr>
          <w:noProof/>
        </w:rPr>
        <w:t xml:space="preserve"> and</w:t>
      </w:r>
      <w:r>
        <w:rPr>
          <w:noProof/>
          <w:color w:val="000000"/>
        </w:rPr>
        <w:t xml:space="preserve"> </w:t>
      </w:r>
      <w:r>
        <w:rPr>
          <w:bCs/>
          <w:noProof/>
        </w:rPr>
        <w:t xml:space="preserve">Italy, Spain and Portugal are forecast to fall by more than the euro area average. </w:t>
      </w:r>
      <w:r>
        <w:rPr>
          <w:noProof/>
          <w:color w:val="000000"/>
        </w:rPr>
        <w:t>There are several factors that could undermine the process of convergence linked to the COVID-19 shock, while jeopardizing</w:t>
      </w:r>
      <w:r>
        <w:rPr>
          <w:noProof/>
        </w:rPr>
        <w:t xml:space="preserve"> the proper functioning and stability of EMU</w:t>
      </w:r>
      <w:r>
        <w:rPr>
          <w:rStyle w:val="FootnoteReference"/>
          <w:noProof/>
        </w:rPr>
        <w:footnoteReference w:id="19"/>
      </w:r>
      <w:r>
        <w:rPr>
          <w:noProof/>
        </w:rPr>
        <w:t xml:space="preserve"> and ultimately reduce long-term growth prospects.</w:t>
      </w:r>
      <w:r>
        <w:rPr>
          <w:rStyle w:val="FootnoteReference"/>
          <w:noProof/>
        </w:rPr>
        <w:t xml:space="preserve"> </w:t>
      </w:r>
      <w:r>
        <w:rPr>
          <w:noProof/>
          <w:color w:val="000000"/>
        </w:rPr>
        <w:t>They warrant a close monitoring:</w:t>
      </w:r>
      <w:r>
        <w:rPr>
          <w:b/>
          <w:noProof/>
          <w:color w:val="000000"/>
        </w:rPr>
        <w:t xml:space="preserve"> </w:t>
      </w:r>
    </w:p>
    <w:p w:rsidR="00704A93" w:rsidRDefault="005D0BB9">
      <w:pPr>
        <w:pStyle w:val="ListParagraph"/>
        <w:numPr>
          <w:ilvl w:val="0"/>
          <w:numId w:val="10"/>
        </w:numPr>
        <w:spacing w:line="276" w:lineRule="auto"/>
        <w:rPr>
          <w:noProof/>
        </w:rPr>
      </w:pPr>
      <w:r>
        <w:rPr>
          <w:b/>
          <w:noProof/>
          <w:lang w:val="en-IE"/>
        </w:rPr>
        <w:t>The intensity and timing of the initial shock and its impact on movements of workers</w:t>
      </w:r>
      <w:r>
        <w:rPr>
          <w:noProof/>
          <w:lang w:val="en-IE"/>
        </w:rPr>
        <w:t>. To respond to the health crisis, euro area countries have had to implement mobility restrictions. As a result, mobility dropped by 45%</w:t>
      </w:r>
      <w:r>
        <w:rPr>
          <w:rStyle w:val="FootnoteReference"/>
          <w:noProof/>
          <w:lang w:val="en-IE"/>
        </w:rPr>
        <w:footnoteReference w:id="20"/>
      </w:r>
      <w:r>
        <w:rPr>
          <w:noProof/>
          <w:lang w:val="en-IE"/>
        </w:rPr>
        <w:t xml:space="preserve"> between March and mid-May compared to pre-pandemic levels, contributing to the large fall in GDP in 2020H1 (see section 1.1). In addition, barriers to labour mobility, both geographical and across sectors and firms, limit the potential of labour reallocation.</w:t>
      </w:r>
      <w:r>
        <w:rPr>
          <w:noProof/>
        </w:rPr>
        <w:t xml:space="preserve"> Indeed, many mobile workers (especially cross-border and seasonal workers) were cut off from their place of work or their place of residence in spring. </w:t>
      </w:r>
      <w:r>
        <w:rPr>
          <w:noProof/>
          <w:lang w:val="en-IE"/>
        </w:rPr>
        <w:t xml:space="preserve">Currently, the situation has stabilised for cross-border and seasonal workers, but overall a strong decrease in a new flow for longer-term mobility can be expected in 2020-21. </w:t>
      </w:r>
      <w:r>
        <w:rPr>
          <w:noProof/>
        </w:rPr>
        <w:t>The closure of borders within the EU has highlighted the importance of i</w:t>
      </w:r>
      <w:r>
        <w:rPr>
          <w:noProof/>
          <w:lang w:val="en-IE"/>
        </w:rPr>
        <w:t xml:space="preserve">ntra-EU labour mobility in constantly supporting the balance of labour demand and supply and </w:t>
      </w:r>
      <w:r>
        <w:rPr>
          <w:noProof/>
        </w:rPr>
        <w:t>the smooth functioning of the Single Market.</w:t>
      </w:r>
    </w:p>
    <w:p w:rsidR="00704A93" w:rsidRDefault="005D0BB9">
      <w:pPr>
        <w:pStyle w:val="ListParagraph"/>
        <w:numPr>
          <w:ilvl w:val="0"/>
          <w:numId w:val="10"/>
        </w:numPr>
        <w:spacing w:line="276" w:lineRule="auto"/>
        <w:rPr>
          <w:noProof/>
        </w:rPr>
      </w:pPr>
      <w:r>
        <w:rPr>
          <w:b/>
          <w:noProof/>
        </w:rPr>
        <w:t>The relative size and economic importance of contact intensive sectors (e.g. tourism and hospitality).</w:t>
      </w:r>
      <w:r>
        <w:rPr>
          <w:noProof/>
        </w:rPr>
        <w:t xml:space="preserve"> Some more contact intensive sectors or ecosystems will take longer to recover even after lockdown measures are relaxed, exposing some euro area economies more than others. Physical distancing requirements and associated changes in consumer preferences, a lasting shift to remote working and the increasing digital delivery of services would impact sectors’ sizes, change the mix of jobs available and the location of some workplaces. The different sectoral composition of Member States’ economies and particularly the proportion of vulnerable occupations requiring close contact with other people, or servicing high contact-intensive sectors and ecosystems, will determine differences in the employment and social impact of the crisis. Most notably, the labour-intensive activities linked to the contact intensive sectors are inherently more prone to job losses. Unless the shock proves temporary in nature, adjusting to these changes is likely to require substantial labour and capital reallocation, and effective active labour market policies, including </w:t>
      </w:r>
      <w:r>
        <w:rPr>
          <w:noProof/>
          <w:color w:val="000000" w:themeColor="text1"/>
          <w:szCs w:val="24"/>
          <w:lang w:val="en-IE"/>
        </w:rPr>
        <w:t>incentives, to take up jobs notably in green and digital sectors,</w:t>
      </w:r>
      <w:r>
        <w:rPr>
          <w:b/>
          <w:noProof/>
          <w:szCs w:val="24"/>
        </w:rPr>
        <w:t xml:space="preserve"> </w:t>
      </w:r>
      <w:r>
        <w:rPr>
          <w:noProof/>
        </w:rPr>
        <w:t>re-skilling and up-skilling policies</w:t>
      </w:r>
      <w:r>
        <w:rPr>
          <w:noProof/>
          <w:szCs w:val="24"/>
        </w:rPr>
        <w:t xml:space="preserve"> to allow workers to move where there are opportunities</w:t>
      </w:r>
      <w:r>
        <w:rPr>
          <w:noProof/>
        </w:rPr>
        <w:t>.</w:t>
      </w:r>
    </w:p>
    <w:p w:rsidR="00704A93" w:rsidRDefault="005D0BB9">
      <w:pPr>
        <w:pStyle w:val="ListParagraph"/>
        <w:numPr>
          <w:ilvl w:val="0"/>
          <w:numId w:val="10"/>
        </w:numPr>
        <w:spacing w:line="276" w:lineRule="auto"/>
        <w:rPr>
          <w:noProof/>
        </w:rPr>
      </w:pPr>
      <w:r>
        <w:rPr>
          <w:b/>
          <w:noProof/>
        </w:rPr>
        <w:t>Differences in fiscal space available, which may impact confidence, investments and growth prospects</w:t>
      </w:r>
      <w:r>
        <w:rPr>
          <w:noProof/>
        </w:rPr>
        <w:t xml:space="preserve">. The depth of the COVID-19 shock required an unprecedented fiscal response (see Section 2) and a consequent large deterioration in fiscal positions. Countries with less fiscal space were more constrained to provide stronger support </w:t>
      </w:r>
      <w:r>
        <w:rPr>
          <w:noProof/>
        </w:rPr>
        <w:lastRenderedPageBreak/>
        <w:t xml:space="preserve">during the recovery phase because of the risks of adverse market reactions. The EU policy response to the crisis will likely alleviate this by offering large-scale financial support for investment and reforms and by better preparing Member States for a sustainable recovery, and providing much-needed technical assistance. </w:t>
      </w:r>
      <w:r>
        <w:rPr>
          <w:b/>
          <w:noProof/>
        </w:rPr>
        <w:t>Investment gap also in the green and digital sectors.</w:t>
      </w:r>
      <w:r>
        <w:rPr>
          <w:noProof/>
        </w:rPr>
        <w:t xml:space="preserve"> The shortfall of investment induced by the crisis is set to differ substantially across euro area countries, especially with regards to public investment (Graph 10).</w:t>
      </w:r>
      <w:r>
        <w:rPr>
          <w:rStyle w:val="FootnoteReference"/>
          <w:noProof/>
        </w:rPr>
        <w:footnoteReference w:id="21"/>
      </w:r>
      <w:r>
        <w:rPr>
          <w:noProof/>
        </w:rPr>
        <w:t xml:space="preserve"> Moreover, Member States enter the recovery from different starting points with respect to investment levels aimed at green and digital growth. </w:t>
      </w:r>
    </w:p>
    <w:p w:rsidR="00704A93" w:rsidRDefault="005D0BB9">
      <w:pPr>
        <w:pStyle w:val="ListParagraph"/>
        <w:numPr>
          <w:ilvl w:val="0"/>
          <w:numId w:val="10"/>
        </w:numPr>
        <w:spacing w:line="276" w:lineRule="auto"/>
        <w:rPr>
          <w:strike/>
          <w:noProof/>
        </w:rPr>
      </w:pPr>
      <w:r>
        <w:rPr>
          <w:b/>
          <w:noProof/>
        </w:rPr>
        <w:t xml:space="preserve">Pre-existent sub-national level differences. </w:t>
      </w:r>
      <w:r>
        <w:rPr>
          <w:noProof/>
        </w:rPr>
        <w:t>Existent differences at sub-national levels can further compound the divergence risks.</w:t>
      </w:r>
      <w:r>
        <w:rPr>
          <w:rStyle w:val="FootnoteReference"/>
          <w:noProof/>
        </w:rPr>
        <w:footnoteReference w:id="22"/>
      </w:r>
      <w:r>
        <w:rPr>
          <w:noProof/>
        </w:rPr>
        <w:t xml:space="preserve"> The regional impact of the COVID-19 shock is multidimensional. A region more open to trade may be more exposed both to the global shock of COVID-19 and to the disruptions to supply chains. Such regions comprise those with major ports and other trade infrastructure and those with relatively larger shares of employment in manufacturing and other tradable sectors.</w:t>
      </w:r>
      <w:r>
        <w:rPr>
          <w:rStyle w:val="FootnoteReference"/>
          <w:noProof/>
        </w:rPr>
        <w:footnoteReference w:id="23"/>
      </w:r>
      <w:r>
        <w:rPr>
          <w:noProof/>
        </w:rPr>
        <w:t xml:space="preserve"> </w:t>
      </w:r>
    </w:p>
    <w:p w:rsidR="00704A93" w:rsidRDefault="005D0BB9">
      <w:pPr>
        <w:pStyle w:val="ListParagraph"/>
        <w:numPr>
          <w:ilvl w:val="0"/>
          <w:numId w:val="10"/>
        </w:numPr>
        <w:spacing w:line="276" w:lineRule="auto"/>
        <w:rPr>
          <w:noProof/>
        </w:rPr>
      </w:pPr>
      <w:r>
        <w:rPr>
          <w:b/>
          <w:noProof/>
        </w:rPr>
        <w:t>Institutional differences, including the role of social partners.</w:t>
      </w:r>
      <w:r>
        <w:rPr>
          <w:noProof/>
        </w:rPr>
        <w:t xml:space="preserve"> Differences in the institutional set-up affect the capacity to respond to shocks. Member States where a strong social dialogue culture prevails have shown to overcome economic shocks more easily. During the COVID-19 pandemic, the involvement of the social partners has been most meaningful in Member States with well-established social dialogue structures, as this enabled social partners to make a meaningful difference.</w:t>
      </w:r>
      <w:r>
        <w:rPr>
          <w:rStyle w:val="FootnoteReference"/>
          <w:noProof/>
        </w:rPr>
        <w:t xml:space="preserve"> </w:t>
      </w:r>
      <w:r>
        <w:rPr>
          <w:rStyle w:val="FootnoteReference"/>
          <w:noProof/>
        </w:rPr>
        <w:footnoteReference w:id="24"/>
      </w:r>
    </w:p>
    <w:p w:rsidR="00704A93" w:rsidRDefault="005D0BB9">
      <w:pPr>
        <w:pStyle w:val="Heading2"/>
        <w:rPr>
          <w:noProof/>
        </w:rPr>
      </w:pPr>
      <w:bookmarkStart w:id="209" w:name="_Toc54187764"/>
      <w:bookmarkStart w:id="210" w:name="_Toc54195818"/>
      <w:bookmarkStart w:id="211" w:name="_Toc54198600"/>
      <w:bookmarkStart w:id="212" w:name="_Toc53652777"/>
      <w:bookmarkStart w:id="213" w:name="_Toc53670372"/>
      <w:bookmarkStart w:id="214" w:name="_Toc53670861"/>
      <w:bookmarkStart w:id="215" w:name="_Toc53678893"/>
      <w:bookmarkStart w:id="216" w:name="_Toc53752555"/>
      <w:bookmarkStart w:id="217" w:name="_Toc53752751"/>
      <w:bookmarkStart w:id="218" w:name="_Toc53756234"/>
      <w:bookmarkStart w:id="219" w:name="_Toc54002740"/>
      <w:bookmarkStart w:id="220" w:name="_Toc54004832"/>
      <w:bookmarkStart w:id="221" w:name="_Toc54363743"/>
      <w:bookmarkStart w:id="222" w:name="_Toc54374669"/>
      <w:bookmarkStart w:id="223" w:name="_Toc54376078"/>
      <w:bookmarkStart w:id="224" w:name="_Toc54429923"/>
      <w:bookmarkStart w:id="225" w:name="_Toc54430246"/>
      <w:bookmarkStart w:id="226" w:name="_Toc55466104"/>
      <w:bookmarkStart w:id="227" w:name="_Toc55480554"/>
      <w:bookmarkStart w:id="228" w:name="_Toc55482433"/>
      <w:bookmarkStart w:id="229" w:name="_Toc55486345"/>
      <w:bookmarkStart w:id="230" w:name="_Toc55488154"/>
      <w:bookmarkStart w:id="231" w:name="_Toc55488788"/>
      <w:bookmarkStart w:id="232" w:name="_Toc55490413"/>
      <w:bookmarkStart w:id="233" w:name="_Toc55490602"/>
      <w:bookmarkStart w:id="234" w:name="_Toc55498944"/>
      <w:bookmarkStart w:id="235" w:name="_Toc55499094"/>
      <w:bookmarkStart w:id="236" w:name="_Toc55499134"/>
      <w:bookmarkStart w:id="237" w:name="_Toc55651316"/>
      <w:bookmarkStart w:id="238" w:name="_Toc55662175"/>
      <w:bookmarkStart w:id="239" w:name="_Toc55663559"/>
      <w:bookmarkStart w:id="240" w:name="_Toc55750529"/>
      <w:bookmarkStart w:id="241" w:name="_Toc55761112"/>
      <w:bookmarkStart w:id="242" w:name="_Toc55808244"/>
      <w:bookmarkStart w:id="243" w:name="_Toc55899252"/>
      <w:bookmarkStart w:id="244" w:name="_Toc55899586"/>
      <w:bookmarkStart w:id="245" w:name="_Toc55899752"/>
      <w:bookmarkStart w:id="246" w:name="_Toc55977212"/>
      <w:bookmarkStart w:id="247" w:name="_Toc55986194"/>
      <w:bookmarkStart w:id="248" w:name="_Toc55991380"/>
      <w:bookmarkStart w:id="249" w:name="_Toc55993128"/>
      <w:bookmarkStart w:id="250" w:name="_Toc55999436"/>
      <w:bookmarkStart w:id="251" w:name="_Toc55999499"/>
      <w:bookmarkStart w:id="252" w:name="_Toc56012516"/>
      <w:bookmarkStart w:id="253" w:name="_Toc56013739"/>
      <w:bookmarkStart w:id="254" w:name="_Toc56172424"/>
      <w:bookmarkStart w:id="255" w:name="_Toc56173635"/>
      <w:bookmarkStart w:id="256" w:name="_Toc52533644"/>
      <w:bookmarkStart w:id="257" w:name="_Toc52539441"/>
      <w:bookmarkStart w:id="258" w:name="_Toc52541961"/>
      <w:bookmarkStart w:id="259" w:name="_Toc52543788"/>
      <w:bookmarkStart w:id="260" w:name="_Toc52548742"/>
      <w:bookmarkStart w:id="261" w:name="_Toc52550072"/>
      <w:bookmarkStart w:id="262" w:name="_Toc52552268"/>
      <w:bookmarkStart w:id="263" w:name="_Toc53133711"/>
      <w:bookmarkStart w:id="264" w:name="_Toc53143020"/>
      <w:bookmarkStart w:id="265" w:name="_Toc53151530"/>
      <w:bookmarkStart w:id="266" w:name="_Toc53160258"/>
      <w:bookmarkStart w:id="267" w:name="_Toc53163220"/>
      <w:bookmarkStart w:id="268" w:name="_Toc53390005"/>
      <w:bookmarkStart w:id="269" w:name="_Toc53391740"/>
      <w:bookmarkStart w:id="270" w:name="_Toc53432743"/>
      <w:bookmarkStart w:id="271" w:name="_Toc53490247"/>
      <w:bookmarkStart w:id="272" w:name="_Toc53490774"/>
      <w:bookmarkStart w:id="273" w:name="_Toc53494717"/>
      <w:bookmarkStart w:id="274" w:name="_Toc53504206"/>
      <w:bookmarkStart w:id="275" w:name="_Toc53505966"/>
      <w:bookmarkStart w:id="276" w:name="_Toc55398258"/>
      <w:bookmarkStart w:id="277" w:name="_Toc55402855"/>
      <w:bookmarkStart w:id="278" w:name="_Toc55410566"/>
      <w:r>
        <w:rPr>
          <w:noProof/>
        </w:rPr>
        <w:t>1.3. Long-term impact of the COVID-19 on productivity growth</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noProof/>
        </w:rPr>
        <w:t xml:space="preserve"> </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704A93" w:rsidRDefault="005D0BB9">
      <w:pPr>
        <w:spacing w:after="200" w:line="276" w:lineRule="auto"/>
        <w:rPr>
          <w:noProof/>
        </w:rPr>
      </w:pPr>
      <w:r>
        <w:rPr>
          <w:b/>
          <w:noProof/>
        </w:rPr>
        <w:t xml:space="preserve">The current crisis is having a negative impact on productivity growth, which was already low before the crisis. </w:t>
      </w:r>
      <w:r>
        <w:rPr>
          <w:noProof/>
        </w:rPr>
        <w:t>If not addressed, it could leave scars on potential output in the medium to longer term and further hold back the process of real convergence. In the long run, economic growth is largely driven by productivity improvements, or the ability of societies to innovate and adopt new technologies (so-called Total Factor Productivity). Labour and total factor productivity growth in euro area, which was already low before the Global Financial Crisis,</w:t>
      </w:r>
      <w:r>
        <w:rPr>
          <w:rStyle w:val="FootnoteReference"/>
          <w:noProof/>
        </w:rPr>
        <w:footnoteReference w:id="25"/>
      </w:r>
      <w:r>
        <w:rPr>
          <w:noProof/>
        </w:rPr>
        <w:t xml:space="preserve"> have worsened since then (Graph 11).</w:t>
      </w:r>
      <w:r>
        <w:rPr>
          <w:rStyle w:val="FootnoteReference"/>
          <w:noProof/>
        </w:rPr>
        <w:footnoteReference w:id="26"/>
      </w:r>
      <w:r>
        <w:rPr>
          <w:noProof/>
        </w:rPr>
        <w:t xml:space="preserve"> From the mid-1990s, both labour and total </w:t>
      </w:r>
      <w:r>
        <w:rPr>
          <w:noProof/>
        </w:rPr>
        <w:lastRenderedPageBreak/>
        <w:t>factor productivity growth in euro area have, on average, remained lower than in the US</w:t>
      </w:r>
      <w:r>
        <w:rPr>
          <w:rStyle w:val="FootnoteReference"/>
          <w:noProof/>
        </w:rPr>
        <w:footnoteReference w:id="27"/>
      </w:r>
      <w:r>
        <w:rPr>
          <w:noProof/>
        </w:rPr>
        <w:t xml:space="preserve"> (Graph 12), especially so since the Global Financial Crisis.</w:t>
      </w:r>
      <w:r>
        <w:rPr>
          <w:rStyle w:val="FootnoteReference"/>
          <w:noProof/>
        </w:rPr>
        <w:footnoteReference w:id="28"/>
      </w:r>
      <w:r>
        <w:rPr>
          <w:noProof/>
        </w:rPr>
        <w:t xml:space="preserve"> Differences across countries, and regions, are also stark in some cases and have implications for the functioning of EMU.</w:t>
      </w:r>
      <w:r>
        <w:rPr>
          <w:rStyle w:val="FootnoteReference"/>
          <w:noProof/>
        </w:rPr>
        <w:footnoteReference w:id="29"/>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9"/>
        <w:gridCol w:w="38"/>
      </w:tblGrid>
      <w:tr w:rsidR="00704A93">
        <w:trPr>
          <w:gridAfter w:val="1"/>
          <w:wAfter w:w="38" w:type="dxa"/>
          <w:trHeight w:val="653"/>
        </w:trPr>
        <w:tc>
          <w:tcPr>
            <w:tcW w:w="4503" w:type="dxa"/>
          </w:tcPr>
          <w:p w:rsidR="00704A93" w:rsidRDefault="005D0BB9">
            <w:pPr>
              <w:keepNext/>
              <w:keepLines/>
              <w:spacing w:after="0"/>
              <w:jc w:val="center"/>
              <w:rPr>
                <w:i/>
                <w:noProof/>
                <w:color w:val="1F4E79" w:themeColor="accent1" w:themeShade="80"/>
                <w:sz w:val="22"/>
                <w:szCs w:val="22"/>
              </w:rPr>
            </w:pPr>
            <w:r>
              <w:rPr>
                <w:i/>
                <w:noProof/>
                <w:color w:val="1F4E79" w:themeColor="accent1" w:themeShade="80"/>
                <w:sz w:val="22"/>
                <w:szCs w:val="22"/>
              </w:rPr>
              <w:t xml:space="preserve">Graph 11: Labour productivity and </w:t>
            </w:r>
          </w:p>
          <w:p w:rsidR="00704A93" w:rsidRDefault="005D0BB9">
            <w:pPr>
              <w:keepNext/>
              <w:keepLines/>
              <w:spacing w:after="0"/>
              <w:jc w:val="center"/>
              <w:rPr>
                <w:i/>
                <w:noProof/>
                <w:color w:val="1F4E79" w:themeColor="accent1" w:themeShade="80"/>
                <w:sz w:val="22"/>
                <w:szCs w:val="22"/>
              </w:rPr>
            </w:pPr>
            <w:r>
              <w:rPr>
                <w:i/>
                <w:noProof/>
                <w:color w:val="1F4E79" w:themeColor="accent1" w:themeShade="80"/>
                <w:sz w:val="22"/>
                <w:szCs w:val="22"/>
              </w:rPr>
              <w:t>TFP growth in the EA-19 in 1996-2019</w:t>
            </w:r>
          </w:p>
        </w:tc>
        <w:tc>
          <w:tcPr>
            <w:tcW w:w="4729" w:type="dxa"/>
          </w:tcPr>
          <w:p w:rsidR="00704A93" w:rsidRDefault="005D0BB9">
            <w:pPr>
              <w:spacing w:after="0"/>
              <w:jc w:val="center"/>
              <w:rPr>
                <w:i/>
                <w:noProof/>
                <w:color w:val="1F4E79" w:themeColor="accent1" w:themeShade="80"/>
                <w:sz w:val="22"/>
                <w:szCs w:val="22"/>
              </w:rPr>
            </w:pPr>
            <w:r>
              <w:rPr>
                <w:i/>
                <w:noProof/>
                <w:color w:val="1F4E79" w:themeColor="accent1" w:themeShade="80"/>
                <w:sz w:val="22"/>
                <w:szCs w:val="22"/>
              </w:rPr>
              <w:t xml:space="preserve">Graph 12: Labour productivity and </w:t>
            </w:r>
          </w:p>
          <w:p w:rsidR="00704A93" w:rsidRDefault="005D0BB9">
            <w:pPr>
              <w:spacing w:after="0"/>
              <w:jc w:val="center"/>
              <w:rPr>
                <w:i/>
                <w:noProof/>
                <w:color w:val="1F4E79" w:themeColor="accent1" w:themeShade="80"/>
                <w:sz w:val="22"/>
                <w:szCs w:val="22"/>
              </w:rPr>
            </w:pPr>
            <w:r>
              <w:rPr>
                <w:i/>
                <w:noProof/>
                <w:color w:val="1F4E79" w:themeColor="accent1" w:themeShade="80"/>
                <w:sz w:val="22"/>
                <w:szCs w:val="22"/>
              </w:rPr>
              <w:t>TFP growth in the US in 1996-2019</w:t>
            </w:r>
          </w:p>
        </w:tc>
      </w:tr>
      <w:tr w:rsidR="00704A93">
        <w:tblPrEx>
          <w:tblCellMar>
            <w:left w:w="70" w:type="dxa"/>
            <w:right w:w="70" w:type="dxa"/>
          </w:tblCellMar>
        </w:tblPrEx>
        <w:trPr>
          <w:trHeight w:val="3232"/>
        </w:trPr>
        <w:tc>
          <w:tcPr>
            <w:tcW w:w="4503" w:type="dxa"/>
          </w:tcPr>
          <w:p w:rsidR="00704A93" w:rsidRDefault="005D0BB9">
            <w:pPr>
              <w:spacing w:after="200"/>
              <w:rPr>
                <w:noProof/>
                <w:lang w:eastAsia="en-GB"/>
              </w:rPr>
            </w:pPr>
            <w:r>
              <w:rPr>
                <w:noProof/>
                <w:lang w:eastAsia="en-GB"/>
              </w:rPr>
              <w:drawing>
                <wp:inline distT="0" distB="0" distL="0" distR="0">
                  <wp:extent cx="2719070" cy="1940119"/>
                  <wp:effectExtent l="0" t="0" r="5080" b="31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67" w:type="dxa"/>
            <w:gridSpan w:val="2"/>
          </w:tcPr>
          <w:p w:rsidR="00704A93" w:rsidRDefault="005D0BB9">
            <w:pPr>
              <w:pStyle w:val="CommentText"/>
              <w:rPr>
                <w:noProof/>
                <w:sz w:val="24"/>
                <w:lang w:eastAsia="en-GB"/>
              </w:rPr>
            </w:pPr>
            <w:r>
              <w:rPr>
                <w:noProof/>
                <w:lang w:eastAsia="en-GB"/>
              </w:rPr>
              <w:drawing>
                <wp:inline distT="0" distB="0" distL="0" distR="0">
                  <wp:extent cx="2815590" cy="1883121"/>
                  <wp:effectExtent l="0" t="0" r="381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04A93">
        <w:trPr>
          <w:gridAfter w:val="1"/>
          <w:wAfter w:w="38" w:type="dxa"/>
          <w:trHeight w:val="69"/>
        </w:trPr>
        <w:tc>
          <w:tcPr>
            <w:tcW w:w="4503" w:type="dxa"/>
          </w:tcPr>
          <w:p w:rsidR="00704A93" w:rsidRDefault="005D0BB9">
            <w:pPr>
              <w:spacing w:after="0"/>
              <w:rPr>
                <w:noProof/>
                <w:sz w:val="16"/>
                <w:szCs w:val="16"/>
              </w:rPr>
            </w:pPr>
            <w:r>
              <w:rPr>
                <w:noProof/>
                <w:sz w:val="16"/>
                <w:szCs w:val="16"/>
              </w:rPr>
              <w:t>Source: Ameco.</w:t>
            </w:r>
          </w:p>
        </w:tc>
        <w:tc>
          <w:tcPr>
            <w:tcW w:w="4729" w:type="dxa"/>
          </w:tcPr>
          <w:p w:rsidR="00704A93" w:rsidRDefault="005D0BB9">
            <w:pPr>
              <w:spacing w:after="0"/>
              <w:rPr>
                <w:noProof/>
                <w:sz w:val="16"/>
                <w:szCs w:val="16"/>
              </w:rPr>
            </w:pPr>
            <w:r>
              <w:rPr>
                <w:noProof/>
                <w:sz w:val="16"/>
                <w:szCs w:val="16"/>
              </w:rPr>
              <w:t>Source: Ameco.</w:t>
            </w:r>
          </w:p>
        </w:tc>
      </w:tr>
    </w:tbl>
    <w:p w:rsidR="00704A93" w:rsidRDefault="00704A93">
      <w:pPr>
        <w:spacing w:after="200" w:line="276" w:lineRule="auto"/>
        <w:rPr>
          <w:b/>
          <w:noProof/>
        </w:rPr>
      </w:pPr>
    </w:p>
    <w:p w:rsidR="00704A93" w:rsidRDefault="005D0BB9">
      <w:pPr>
        <w:spacing w:after="200" w:line="276" w:lineRule="auto"/>
        <w:rPr>
          <w:noProof/>
        </w:rPr>
      </w:pPr>
      <w:r>
        <w:rPr>
          <w:b/>
          <w:noProof/>
        </w:rPr>
        <w:t>There is significant uncertainty on the likely impact of the COVID-19 pandemic but it risks having a permanent effect on production factors and translating into lower growth in labour productivity (and lower potential output) and incomes</w:t>
      </w:r>
      <w:r>
        <w:rPr>
          <w:noProof/>
        </w:rPr>
        <w:t xml:space="preserve">. There are several channels through which the COVID-19 shock could impact labour productivity in the euro area in the medium term: </w:t>
      </w:r>
    </w:p>
    <w:p w:rsidR="00704A93" w:rsidRDefault="005D0BB9">
      <w:pPr>
        <w:pStyle w:val="ListParagraph"/>
        <w:numPr>
          <w:ilvl w:val="0"/>
          <w:numId w:val="7"/>
        </w:numPr>
        <w:spacing w:after="200" w:line="276" w:lineRule="auto"/>
        <w:ind w:left="714" w:hanging="357"/>
        <w:rPr>
          <w:noProof/>
        </w:rPr>
      </w:pPr>
      <w:r>
        <w:rPr>
          <w:b/>
          <w:noProof/>
        </w:rPr>
        <w:t>First, the pandemic is expected to lead to a large contraction in business investment, which in turn will translate into a lower level of capital stock and reducing labour productivity.</w:t>
      </w:r>
      <w:r>
        <w:rPr>
          <w:noProof/>
        </w:rPr>
        <w:t xml:space="preserve"> In the recent past, so-called “biological shocks” have had a permanent impact on productivity, through heightened uncertainty and a negative impact on investment. For example, a recent World Bank study on four epidemics since 2000 - SARS (2002-03), MERS (2012), Ebola (2014-15), and Zika (2015-16) - found that the average lasting impact on labour productivity and output amounted to 4% cumulatively after three years.</w:t>
      </w:r>
      <w:r>
        <w:rPr>
          <w:rStyle w:val="FootnoteReference"/>
          <w:noProof/>
        </w:rPr>
        <w:footnoteReference w:id="30"/>
      </w:r>
      <w:r>
        <w:rPr>
          <w:noProof/>
        </w:rPr>
        <w:t xml:space="preserve"> In the face of high uncertainty about future sales prospects, cost of funding and potentially more difficult access to credit, </w:t>
      </w:r>
      <w:r>
        <w:rPr>
          <w:noProof/>
        </w:rPr>
        <w:lastRenderedPageBreak/>
        <w:t>firms are likely to postpone or cancel investment plans.</w:t>
      </w:r>
      <w:r>
        <w:rPr>
          <w:rStyle w:val="FootnoteReference"/>
          <w:noProof/>
        </w:rPr>
        <w:footnoteReference w:id="31"/>
      </w:r>
      <w:r>
        <w:rPr>
          <w:noProof/>
        </w:rPr>
        <w:t xml:space="preserve"> Moreover, revenue losses during the lockdown and the costs incurred to adapt to the pandemic may constrain firms</w:t>
      </w:r>
      <w:r>
        <w:rPr>
          <w:rFonts w:hint="eastAsia"/>
          <w:noProof/>
        </w:rPr>
        <w:t>’</w:t>
      </w:r>
      <w:r>
        <w:rPr>
          <w:noProof/>
        </w:rPr>
        <w:t xml:space="preserve"> ability to finance investment projects in the near term, and longer if the increase in debt leads to deleveraging needs. </w:t>
      </w:r>
    </w:p>
    <w:p w:rsidR="00704A93" w:rsidRDefault="005D0BB9">
      <w:pPr>
        <w:pStyle w:val="ListParagraph"/>
        <w:numPr>
          <w:ilvl w:val="0"/>
          <w:numId w:val="7"/>
        </w:numPr>
        <w:spacing w:after="200" w:line="276" w:lineRule="auto"/>
        <w:ind w:left="714" w:hanging="357"/>
        <w:rPr>
          <w:noProof/>
        </w:rPr>
      </w:pPr>
      <w:r>
        <w:rPr>
          <w:b/>
          <w:noProof/>
        </w:rPr>
        <w:t>Second, weaker business investment means lower accumulation of physical and human capital that could also translate into lower TFP growth.</w:t>
      </w:r>
      <w:r>
        <w:rPr>
          <w:noProof/>
        </w:rPr>
        <w:t xml:space="preserve"> The slower accumulation of capital and</w:t>
      </w:r>
      <w:r>
        <w:rPr>
          <w:b/>
          <w:noProof/>
        </w:rPr>
        <w:t xml:space="preserve"> </w:t>
      </w:r>
      <w:r>
        <w:rPr>
          <w:noProof/>
        </w:rPr>
        <w:t>slower adoption of capital-embodied new technologies could feed back into lower labour productivity</w:t>
      </w:r>
      <w:r>
        <w:rPr>
          <w:b/>
          <w:noProof/>
        </w:rPr>
        <w:t>.</w:t>
      </w:r>
      <w:r>
        <w:rPr>
          <w:rStyle w:val="FootnoteReference"/>
          <w:noProof/>
        </w:rPr>
        <w:footnoteReference w:id="32"/>
      </w:r>
      <w:r>
        <w:rPr>
          <w:noProof/>
        </w:rPr>
        <w:t xml:space="preserve"> Weak aggregate demand in the aftermath of the Global Financial Crisis drove the sharp fall in private fixed investment. This drop is likely to have contributed to subdued labour productivity growth not only by weakening the contribution of capital deepening, but also by affecting TFP growth itself through a slower adoption of new technologies.</w:t>
      </w:r>
      <w:r>
        <w:rPr>
          <w:rStyle w:val="FootnoteReference"/>
          <w:noProof/>
        </w:rPr>
        <w:footnoteReference w:id="33"/>
      </w:r>
      <w:r>
        <w:rPr>
          <w:noProof/>
        </w:rPr>
        <w:t xml:space="preserve"> In addition, TFP growth could be lower as the lack of face-to-face contact could hinder knowledge acquisition and transfer.</w:t>
      </w:r>
    </w:p>
    <w:p w:rsidR="00704A93" w:rsidRDefault="005D0BB9">
      <w:pPr>
        <w:pStyle w:val="ListParagraph"/>
        <w:numPr>
          <w:ilvl w:val="0"/>
          <w:numId w:val="7"/>
        </w:numPr>
        <w:spacing w:after="200" w:line="276" w:lineRule="auto"/>
        <w:rPr>
          <w:noProof/>
        </w:rPr>
      </w:pPr>
      <w:r>
        <w:rPr>
          <w:b/>
          <w:noProof/>
        </w:rPr>
        <w:t>Third, weaker trade and foreign direct investment flows, accompanying a potential re-centring of global value chains, could further dampen productivity growth in the euro area.</w:t>
      </w:r>
      <w:r>
        <w:rPr>
          <w:noProof/>
        </w:rPr>
        <w:t xml:space="preserve"> There is evidence of a positive relationship between trade and labour productivity.</w:t>
      </w:r>
      <w:r>
        <w:rPr>
          <w:rStyle w:val="FootnoteReference"/>
          <w:noProof/>
        </w:rPr>
        <w:footnoteReference w:id="34"/>
      </w:r>
      <w:r>
        <w:rPr>
          <w:noProof/>
        </w:rPr>
        <w:t xml:space="preserve"> Plummeting global trade in 2020, – global imports (excluding the euro area) are expected to plunge by 10.3% in 2020,  almost twice the level of the drop in world output – has been a distinguished feature of the COVID-19 crisis. Weaker trade growth could impact upon the pace of technology diffusion across countries and restrict competitiveness between firms, limiting the pressure on European firms to increase productivity. The supply chain risks</w:t>
      </w:r>
      <w:r>
        <w:rPr>
          <w:rStyle w:val="FootnoteReference"/>
          <w:noProof/>
        </w:rPr>
        <w:footnoteReference w:id="35"/>
      </w:r>
      <w:r>
        <w:rPr>
          <w:noProof/>
        </w:rPr>
        <w:t xml:space="preserve"> and the potential</w:t>
      </w:r>
      <w:r>
        <w:rPr>
          <w:rStyle w:val="FootnoteReference"/>
          <w:noProof/>
        </w:rPr>
        <w:footnoteReference w:id="36"/>
      </w:r>
      <w:r>
        <w:rPr>
          <w:noProof/>
        </w:rPr>
        <w:t xml:space="preserve"> re-centring of global value chains’ activities could have an ambiguous impact on productivity. On the one hand, re-shoring towards Europe could reduce efficiency and productivity gains, which have been important drivers behind the rise of global value chains. On the other hand, the re-shoring phenomenon may force higher capital intensity, which could positively impact capital deepening.</w:t>
      </w:r>
    </w:p>
    <w:p w:rsidR="00704A93" w:rsidRDefault="005D0BB9">
      <w:pPr>
        <w:pStyle w:val="Heading1"/>
        <w:rPr>
          <w:noProof/>
        </w:rPr>
      </w:pPr>
      <w:bookmarkStart w:id="279" w:name="_Toc52533645"/>
      <w:bookmarkStart w:id="280" w:name="_Toc52539442"/>
      <w:bookmarkStart w:id="281" w:name="_Toc52541962"/>
      <w:bookmarkStart w:id="282" w:name="_Toc52543789"/>
      <w:bookmarkStart w:id="283" w:name="_Toc52548743"/>
      <w:bookmarkStart w:id="284" w:name="_Toc52550073"/>
      <w:bookmarkStart w:id="285" w:name="_Toc52552269"/>
      <w:bookmarkStart w:id="286" w:name="_Toc53133712"/>
      <w:bookmarkStart w:id="287" w:name="_Toc53143021"/>
      <w:bookmarkStart w:id="288" w:name="_Toc53151531"/>
      <w:bookmarkStart w:id="289" w:name="_Toc53160259"/>
      <w:bookmarkStart w:id="290" w:name="_Toc53163221"/>
      <w:bookmarkStart w:id="291" w:name="_Toc53390006"/>
      <w:bookmarkStart w:id="292" w:name="_Toc53391741"/>
      <w:bookmarkStart w:id="293" w:name="_Toc53432744"/>
      <w:bookmarkStart w:id="294" w:name="_Toc53490248"/>
      <w:bookmarkStart w:id="295" w:name="_Toc53490775"/>
      <w:bookmarkStart w:id="296" w:name="_Toc53494718"/>
      <w:bookmarkStart w:id="297" w:name="_Toc53504207"/>
      <w:bookmarkStart w:id="298" w:name="_Toc53505967"/>
      <w:bookmarkStart w:id="299" w:name="_Toc53652778"/>
      <w:bookmarkStart w:id="300" w:name="_Toc53670373"/>
      <w:bookmarkStart w:id="301" w:name="_Toc53670862"/>
      <w:bookmarkStart w:id="302" w:name="_Toc53678894"/>
      <w:bookmarkStart w:id="303" w:name="_Toc53752556"/>
      <w:bookmarkStart w:id="304" w:name="_Toc53752752"/>
      <w:bookmarkStart w:id="305" w:name="_Toc53756235"/>
      <w:bookmarkStart w:id="306" w:name="_Toc54002741"/>
      <w:bookmarkStart w:id="307" w:name="_Toc54004833"/>
      <w:bookmarkStart w:id="308" w:name="_Toc54187765"/>
      <w:bookmarkStart w:id="309" w:name="_Toc54195819"/>
      <w:bookmarkStart w:id="310" w:name="_Toc54198601"/>
      <w:bookmarkStart w:id="311" w:name="_Toc54363744"/>
      <w:bookmarkStart w:id="312" w:name="_Toc54374670"/>
      <w:bookmarkStart w:id="313" w:name="_Toc54376079"/>
      <w:bookmarkStart w:id="314" w:name="_Toc54429924"/>
      <w:bookmarkStart w:id="315" w:name="_Toc54430247"/>
      <w:bookmarkStart w:id="316" w:name="_Toc55398259"/>
      <w:bookmarkStart w:id="317" w:name="_Toc55402856"/>
      <w:bookmarkStart w:id="318" w:name="_Toc55410567"/>
      <w:bookmarkStart w:id="319" w:name="_Toc55466105"/>
      <w:bookmarkStart w:id="320" w:name="_Toc55480555"/>
      <w:bookmarkStart w:id="321" w:name="_Toc55482434"/>
      <w:bookmarkStart w:id="322" w:name="_Toc55486346"/>
      <w:bookmarkStart w:id="323" w:name="_Toc55488155"/>
      <w:bookmarkStart w:id="324" w:name="_Toc55488789"/>
      <w:bookmarkStart w:id="325" w:name="_Toc55490414"/>
      <w:bookmarkStart w:id="326" w:name="_Toc55490603"/>
      <w:bookmarkStart w:id="327" w:name="_Toc55498945"/>
      <w:bookmarkStart w:id="328" w:name="_Toc55499095"/>
      <w:bookmarkStart w:id="329" w:name="_Toc55499135"/>
      <w:bookmarkStart w:id="330" w:name="_Toc55651317"/>
      <w:bookmarkStart w:id="331" w:name="_Toc55662176"/>
      <w:bookmarkStart w:id="332" w:name="_Toc55663560"/>
      <w:bookmarkStart w:id="333" w:name="_Toc55750530"/>
      <w:bookmarkStart w:id="334" w:name="_Toc55761113"/>
      <w:bookmarkStart w:id="335" w:name="_Toc55808245"/>
      <w:bookmarkStart w:id="336" w:name="_Toc55899253"/>
      <w:bookmarkStart w:id="337" w:name="_Toc55899587"/>
      <w:bookmarkStart w:id="338" w:name="_Toc55899753"/>
      <w:bookmarkStart w:id="339" w:name="_Toc55977213"/>
      <w:bookmarkStart w:id="340" w:name="_Toc55986195"/>
      <w:bookmarkStart w:id="341" w:name="_Toc55991381"/>
      <w:bookmarkStart w:id="342" w:name="_Toc55993129"/>
      <w:bookmarkStart w:id="343" w:name="_Toc55999437"/>
      <w:bookmarkStart w:id="344" w:name="_Toc55999500"/>
      <w:bookmarkStart w:id="345" w:name="_Toc56012517"/>
      <w:bookmarkStart w:id="346" w:name="_Toc56013740"/>
      <w:bookmarkStart w:id="347" w:name="_Toc56172425"/>
      <w:bookmarkStart w:id="348" w:name="_Toc56173636"/>
      <w:r>
        <w:rPr>
          <w:noProof/>
        </w:rPr>
        <w:lastRenderedPageBreak/>
        <w:t>The macroeconomic policy stance</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Pr>
          <w:noProof/>
        </w:rPr>
        <w:t xml:space="preserve"> </w:t>
      </w:r>
    </w:p>
    <w:p w:rsidR="00704A93" w:rsidRDefault="005D0BB9">
      <w:pPr>
        <w:spacing w:line="276" w:lineRule="auto"/>
        <w:rPr>
          <w:noProof/>
        </w:rPr>
      </w:pPr>
      <w:r>
        <w:rPr>
          <w:b/>
          <w:noProof/>
        </w:rPr>
        <w:t xml:space="preserve">In light of the ongoing COVID-19 crisis, a broader policy mix in which monetary, fiscal and structural policies interact can better support a sustainable recovery over the medium term. </w:t>
      </w:r>
      <w:r>
        <w:rPr>
          <w:noProof/>
        </w:rPr>
        <w:t xml:space="preserve">In a context of monetary policy at the zero lower bound and limited fiscal space, the current economic situation requires a </w:t>
      </w:r>
      <w:r>
        <w:rPr>
          <w:noProof/>
          <w:lang w:eastAsia="en-GB"/>
        </w:rPr>
        <w:t>supportive, coordinated comprehensive and consistent</w:t>
      </w:r>
      <w:r>
        <w:rPr>
          <w:noProof/>
        </w:rPr>
        <w:t xml:space="preserve"> broad policy mix, in particular to limit any long-term negative impact on the functioning of markets, reduce significant economic divergence and imbalances within the euro area and, more broadly, avoid negative consequences on potential economic growth. Stepping up structural reforms, while taking into account country-specific circumstances, complements and reinforces the other two pillars. New simulations presented in Box 2 (see section 3) using DG ECFIN’s QUEST model provide further evidence that labour and product market reforms can have material growth benefits over the medium term. </w:t>
      </w:r>
    </w:p>
    <w:tbl>
      <w:tblPr>
        <w:tblStyle w:val="TableGrid"/>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505"/>
      </w:tblGrid>
      <w:tr w:rsidR="00704A93">
        <w:trPr>
          <w:trHeight w:val="274"/>
        </w:trPr>
        <w:tc>
          <w:tcPr>
            <w:tcW w:w="4910" w:type="dxa"/>
          </w:tcPr>
          <w:p w:rsidR="00704A93" w:rsidRDefault="005D0BB9">
            <w:pPr>
              <w:jc w:val="center"/>
              <w:rPr>
                <w:noProof/>
                <w:sz w:val="22"/>
                <w:szCs w:val="22"/>
              </w:rPr>
            </w:pPr>
            <w:r>
              <w:rPr>
                <w:i/>
                <w:noProof/>
                <w:color w:val="1F497D"/>
                <w:sz w:val="22"/>
                <w:szCs w:val="22"/>
              </w:rPr>
              <w:t xml:space="preserve">Graph </w:t>
            </w:r>
            <w:r>
              <w:rPr>
                <w:i/>
                <w:noProof/>
                <w:color w:val="1F497D"/>
                <w:sz w:val="22"/>
                <w:szCs w:val="22"/>
              </w:rPr>
              <w:fldChar w:fldCharType="begin"/>
            </w:r>
            <w:r>
              <w:rPr>
                <w:i/>
                <w:noProof/>
                <w:color w:val="1F497D"/>
                <w:sz w:val="22"/>
                <w:szCs w:val="22"/>
              </w:rPr>
              <w:instrText xml:space="preserve"> SEQ Graph \* ARABIC </w:instrText>
            </w:r>
            <w:r>
              <w:rPr>
                <w:i/>
                <w:noProof/>
                <w:color w:val="1F497D"/>
                <w:sz w:val="22"/>
                <w:szCs w:val="22"/>
              </w:rPr>
              <w:fldChar w:fldCharType="separate"/>
            </w:r>
            <w:r w:rsidR="0018270F">
              <w:rPr>
                <w:i/>
                <w:noProof/>
                <w:color w:val="1F497D"/>
                <w:sz w:val="22"/>
                <w:szCs w:val="22"/>
              </w:rPr>
              <w:t>1</w:t>
            </w:r>
            <w:r>
              <w:rPr>
                <w:i/>
                <w:noProof/>
                <w:color w:val="1F497D"/>
                <w:sz w:val="22"/>
                <w:szCs w:val="22"/>
              </w:rPr>
              <w:fldChar w:fldCharType="end"/>
            </w:r>
            <w:r>
              <w:rPr>
                <w:i/>
                <w:noProof/>
                <w:color w:val="1F497D"/>
                <w:sz w:val="22"/>
                <w:szCs w:val="22"/>
              </w:rPr>
              <w:t>3: ECB deposit rates and balance sheet</w:t>
            </w:r>
          </w:p>
        </w:tc>
        <w:tc>
          <w:tcPr>
            <w:tcW w:w="4309" w:type="dxa"/>
          </w:tcPr>
          <w:p w:rsidR="00704A93" w:rsidRDefault="005D0BB9">
            <w:pPr>
              <w:spacing w:after="0"/>
              <w:jc w:val="center"/>
              <w:rPr>
                <w:i/>
                <w:noProof/>
                <w:color w:val="1F497D"/>
                <w:sz w:val="22"/>
                <w:szCs w:val="22"/>
              </w:rPr>
            </w:pPr>
            <w:r>
              <w:rPr>
                <w:i/>
                <w:noProof/>
                <w:color w:val="1F497D"/>
                <w:sz w:val="22"/>
                <w:szCs w:val="22"/>
              </w:rPr>
              <w:t xml:space="preserve">Graph 14: Government budget balance, </w:t>
            </w:r>
          </w:p>
          <w:p w:rsidR="00704A93" w:rsidRDefault="005D0BB9">
            <w:pPr>
              <w:spacing w:after="0"/>
              <w:jc w:val="center"/>
              <w:rPr>
                <w:i/>
                <w:noProof/>
                <w:color w:val="1F497D"/>
                <w:sz w:val="22"/>
                <w:szCs w:val="22"/>
              </w:rPr>
            </w:pPr>
            <w:r>
              <w:rPr>
                <w:i/>
                <w:noProof/>
                <w:color w:val="1F497D"/>
                <w:sz w:val="22"/>
                <w:szCs w:val="22"/>
              </w:rPr>
              <w:t>euro area</w:t>
            </w:r>
          </w:p>
        </w:tc>
      </w:tr>
      <w:tr w:rsidR="00704A93">
        <w:tblPrEx>
          <w:tblCellMar>
            <w:left w:w="70" w:type="dxa"/>
            <w:right w:w="70" w:type="dxa"/>
          </w:tblCellMar>
        </w:tblPrEx>
        <w:trPr>
          <w:trHeight w:val="3351"/>
        </w:trPr>
        <w:tc>
          <w:tcPr>
            <w:tcW w:w="4910" w:type="dxa"/>
          </w:tcPr>
          <w:p w:rsidR="00704A93" w:rsidRDefault="005D0BB9">
            <w:pPr>
              <w:spacing w:before="240" w:after="0"/>
              <w:rPr>
                <w:noProof/>
              </w:rPr>
            </w:pPr>
            <w:r>
              <w:rPr>
                <w:noProof/>
                <w:lang w:eastAsia="en-GB"/>
              </w:rPr>
              <w:drawing>
                <wp:inline distT="0" distB="0" distL="0" distR="0">
                  <wp:extent cx="3023565" cy="2081868"/>
                  <wp:effectExtent l="0" t="0" r="5715" b="0"/>
                  <wp:docPr id="13" name="Chart 13">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309" w:type="dxa"/>
          </w:tcPr>
          <w:p w:rsidR="00704A93" w:rsidRDefault="005D0BB9">
            <w:pPr>
              <w:spacing w:after="0"/>
              <w:jc w:val="left"/>
              <w:rPr>
                <w:noProof/>
              </w:rPr>
            </w:pPr>
            <w:r>
              <w:rPr>
                <w:noProof/>
                <w:lang w:eastAsia="en-GB"/>
              </w:rPr>
              <w:drawing>
                <wp:inline distT="0" distB="0" distL="0" distR="0">
                  <wp:extent cx="2870200" cy="2169041"/>
                  <wp:effectExtent l="0" t="0" r="6350" b="3175"/>
                  <wp:docPr id="1269668304" name="Chart 1269668304">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04A93">
        <w:trPr>
          <w:trHeight w:val="44"/>
        </w:trPr>
        <w:tc>
          <w:tcPr>
            <w:tcW w:w="4910" w:type="dxa"/>
          </w:tcPr>
          <w:p w:rsidR="00704A93" w:rsidRDefault="005D0BB9">
            <w:pPr>
              <w:spacing w:before="240" w:after="0"/>
              <w:rPr>
                <w:noProof/>
              </w:rPr>
            </w:pPr>
            <w:r>
              <w:rPr>
                <w:noProof/>
                <w:sz w:val="14"/>
              </w:rPr>
              <w:t>Source: ECB.</w:t>
            </w:r>
          </w:p>
        </w:tc>
        <w:tc>
          <w:tcPr>
            <w:tcW w:w="4309" w:type="dxa"/>
          </w:tcPr>
          <w:p w:rsidR="00704A93" w:rsidRDefault="005D0BB9">
            <w:pPr>
              <w:spacing w:before="240" w:after="0"/>
              <w:rPr>
                <w:noProof/>
                <w:sz w:val="14"/>
              </w:rPr>
            </w:pPr>
            <w:r>
              <w:rPr>
                <w:noProof/>
                <w:sz w:val="14"/>
              </w:rPr>
              <w:t>Source: European Commission.</w:t>
            </w:r>
          </w:p>
        </w:tc>
      </w:tr>
    </w:tbl>
    <w:p w:rsidR="00704A93" w:rsidRDefault="00704A93">
      <w:pPr>
        <w:spacing w:after="120" w:line="276" w:lineRule="auto"/>
        <w:rPr>
          <w:b/>
          <w:noProof/>
        </w:rPr>
      </w:pPr>
    </w:p>
    <w:p w:rsidR="00704A93" w:rsidRDefault="005D0BB9">
      <w:pPr>
        <w:spacing w:after="200" w:line="276" w:lineRule="auto"/>
        <w:rPr>
          <w:noProof/>
        </w:rPr>
      </w:pPr>
      <w:r>
        <w:rPr>
          <w:b/>
          <w:noProof/>
        </w:rPr>
        <w:t>In light of the unprecedented economic contraction in the euro area and to safeguard the medium-term price stability objective</w:t>
      </w:r>
      <w:r>
        <w:rPr>
          <w:rStyle w:val="FootnoteReference"/>
          <w:b/>
          <w:noProof/>
        </w:rPr>
        <w:footnoteReference w:id="37"/>
      </w:r>
      <w:r>
        <w:rPr>
          <w:b/>
          <w:noProof/>
        </w:rPr>
        <w:t xml:space="preserve">, the ECB has reacted forcefully and quickly by taking additional monetary policy easing measures, thus ensuring an accommodative stance </w:t>
      </w:r>
      <w:r>
        <w:rPr>
          <w:noProof/>
        </w:rPr>
        <w:t>(Graph 13)</w:t>
      </w:r>
      <w:r>
        <w:rPr>
          <w:b/>
          <w:noProof/>
        </w:rPr>
        <w:t xml:space="preserve">. </w:t>
      </w:r>
      <w:r>
        <w:rPr>
          <w:noProof/>
        </w:rPr>
        <w:t>The ECB’s measures can be grouped into three broad areas: i) provision of additional liquidity to banks</w:t>
      </w:r>
      <w:r>
        <w:rPr>
          <w:rStyle w:val="FootnoteReference"/>
          <w:noProof/>
        </w:rPr>
        <w:footnoteReference w:id="38"/>
      </w:r>
      <w:r>
        <w:rPr>
          <w:noProof/>
        </w:rPr>
        <w:t xml:space="preserve">; ii) easing of collateral requirements; and iii) substantial additional purchases of public and private sector assets. The ECB announced substantial additional purchases of public and private sector assets, which will amount to EUR 1470 </w:t>
      </w:r>
      <w:r>
        <w:rPr>
          <w:noProof/>
        </w:rPr>
        <w:lastRenderedPageBreak/>
        <w:t>billion under the Asset Purchase Programme (APP, EUR 120 billion until the end of 2020) and the Pandemic Emergency Purchase Programme (PEPP, EUR 1,350 billion until at least mid-2021). The intended aim of these measures was to maintain favourable financial conditions and contribute to the easing of the policy stance. Along with the ECB's monetary policy measures, macro-prudential authorities and supervisors implemented a wide range of targeted measures with the aim to limit financial stability risks and spillovers between market segments.</w:t>
      </w:r>
      <w:r>
        <w:rPr>
          <w:rStyle w:val="FootnoteReference"/>
          <w:noProof/>
        </w:rPr>
        <w:footnoteReference w:id="39"/>
      </w:r>
    </w:p>
    <w:p w:rsidR="00704A93" w:rsidRDefault="005D0BB9">
      <w:pPr>
        <w:pStyle w:val="Heading2"/>
        <w:rPr>
          <w:b w:val="0"/>
          <w:noProof/>
        </w:rPr>
      </w:pPr>
      <w:bookmarkStart w:id="349" w:name="_Toc52533647"/>
      <w:bookmarkStart w:id="350" w:name="_Toc52539444"/>
      <w:bookmarkStart w:id="351" w:name="_Toc52541964"/>
      <w:bookmarkStart w:id="352" w:name="_Toc52543791"/>
      <w:bookmarkStart w:id="353" w:name="_Toc52548745"/>
      <w:bookmarkStart w:id="354" w:name="_Toc52550075"/>
      <w:bookmarkStart w:id="355" w:name="_Toc52552271"/>
      <w:bookmarkStart w:id="356" w:name="_Toc53133714"/>
      <w:bookmarkStart w:id="357" w:name="_Toc53143023"/>
      <w:bookmarkStart w:id="358" w:name="_Toc53151533"/>
      <w:bookmarkStart w:id="359" w:name="_Toc53160260"/>
      <w:bookmarkStart w:id="360" w:name="_Toc53163222"/>
      <w:bookmarkStart w:id="361" w:name="_Toc53390007"/>
      <w:bookmarkStart w:id="362" w:name="_Toc53391742"/>
      <w:bookmarkStart w:id="363" w:name="_Toc53432745"/>
      <w:bookmarkStart w:id="364" w:name="_Toc53490249"/>
      <w:bookmarkStart w:id="365" w:name="_Toc53490776"/>
      <w:bookmarkStart w:id="366" w:name="_Toc53494719"/>
      <w:bookmarkStart w:id="367" w:name="_Toc53504208"/>
      <w:bookmarkStart w:id="368" w:name="_Toc53505968"/>
      <w:bookmarkStart w:id="369" w:name="_Toc53652779"/>
      <w:bookmarkStart w:id="370" w:name="_Toc53670374"/>
      <w:bookmarkStart w:id="371" w:name="_Toc53670863"/>
      <w:bookmarkStart w:id="372" w:name="_Toc53678895"/>
      <w:bookmarkStart w:id="373" w:name="_Toc53752557"/>
      <w:bookmarkStart w:id="374" w:name="_Toc53752753"/>
      <w:bookmarkStart w:id="375" w:name="_Toc53756236"/>
      <w:bookmarkStart w:id="376" w:name="_Toc54002742"/>
      <w:bookmarkStart w:id="377" w:name="_Toc54004834"/>
      <w:bookmarkStart w:id="378" w:name="_Toc54187766"/>
      <w:bookmarkStart w:id="379" w:name="_Toc54195820"/>
      <w:bookmarkStart w:id="380" w:name="_Toc54198602"/>
      <w:bookmarkStart w:id="381" w:name="_Toc55398260"/>
      <w:bookmarkStart w:id="382" w:name="_Toc55402857"/>
      <w:bookmarkStart w:id="383" w:name="_Toc55410568"/>
      <w:bookmarkStart w:id="384" w:name="_Toc55466106"/>
      <w:bookmarkStart w:id="385" w:name="_Toc55480556"/>
      <w:bookmarkStart w:id="386" w:name="_Toc55482435"/>
      <w:bookmarkStart w:id="387" w:name="_Toc55486347"/>
      <w:bookmarkStart w:id="388" w:name="_Toc55488156"/>
      <w:bookmarkStart w:id="389" w:name="_Toc55488790"/>
      <w:bookmarkStart w:id="390" w:name="_Toc55490415"/>
      <w:bookmarkStart w:id="391" w:name="_Toc55490604"/>
      <w:bookmarkStart w:id="392" w:name="_Toc55498946"/>
      <w:bookmarkStart w:id="393" w:name="_Toc55499136"/>
      <w:bookmarkStart w:id="394" w:name="_Toc55651318"/>
      <w:bookmarkStart w:id="395" w:name="_Toc55662177"/>
      <w:bookmarkStart w:id="396" w:name="_Toc55663561"/>
      <w:bookmarkStart w:id="397" w:name="_Toc55750531"/>
      <w:bookmarkStart w:id="398" w:name="_Toc55761114"/>
      <w:bookmarkStart w:id="399" w:name="_Toc55808246"/>
      <w:bookmarkStart w:id="400" w:name="_Toc55899254"/>
      <w:bookmarkStart w:id="401" w:name="_Toc55899588"/>
      <w:bookmarkStart w:id="402" w:name="_Toc55899754"/>
      <w:bookmarkStart w:id="403" w:name="_Toc55977214"/>
      <w:bookmarkStart w:id="404" w:name="_Toc55986196"/>
      <w:bookmarkStart w:id="405" w:name="_Toc55991382"/>
      <w:bookmarkStart w:id="406" w:name="_Toc55993130"/>
      <w:bookmarkStart w:id="407" w:name="_Toc55999438"/>
      <w:bookmarkStart w:id="408" w:name="_Toc55999501"/>
      <w:bookmarkStart w:id="409" w:name="_Toc56012518"/>
      <w:bookmarkStart w:id="410" w:name="_Toc56013741"/>
      <w:bookmarkStart w:id="411" w:name="_Toc56172426"/>
      <w:bookmarkStart w:id="412" w:name="_Toc56173637"/>
      <w:bookmarkStart w:id="413" w:name="_Toc54363745"/>
      <w:bookmarkStart w:id="414" w:name="_Toc54374671"/>
      <w:bookmarkStart w:id="415" w:name="_Toc54376080"/>
      <w:bookmarkStart w:id="416" w:name="_Toc54429925"/>
      <w:bookmarkStart w:id="417" w:name="_Toc54430248"/>
      <w:r>
        <w:rPr>
          <w:noProof/>
        </w:rPr>
        <w:t>2.1 The fiscal policy stance</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noProof/>
        </w:rPr>
        <w:t xml:space="preserve"> </w:t>
      </w:r>
      <w:bookmarkEnd w:id="413"/>
      <w:bookmarkEnd w:id="414"/>
      <w:bookmarkEnd w:id="415"/>
      <w:bookmarkEnd w:id="416"/>
      <w:bookmarkEnd w:id="417"/>
    </w:p>
    <w:p w:rsidR="00704A93" w:rsidRDefault="005D0BB9">
      <w:pPr>
        <w:shd w:val="clear" w:color="auto" w:fill="FFFFFF"/>
        <w:spacing w:line="276" w:lineRule="auto"/>
        <w:rPr>
          <w:noProof/>
        </w:rPr>
      </w:pPr>
      <w:r>
        <w:rPr>
          <w:b/>
          <w:noProof/>
        </w:rPr>
        <w:t>On the fiscal side, the EU and its Member States took unprecedented actions to counter the negative impact of the COVID-19 shock.</w:t>
      </w:r>
      <w:r>
        <w:rPr>
          <w:noProof/>
        </w:rPr>
        <w:t xml:space="preserve"> On 20 March 2020, the Commission concluded that the EU economy was experiencing a severe economic downturn and the conditions to activate the general escape clause of the Stability and Growth Pact were thus met.</w:t>
      </w:r>
      <w:r>
        <w:rPr>
          <w:rStyle w:val="FootnoteReference"/>
          <w:noProof/>
        </w:rPr>
        <w:footnoteReference w:id="40"/>
      </w:r>
      <w:r>
        <w:rPr>
          <w:noProof/>
        </w:rPr>
        <w:t xml:space="preserve"> This conclusion was endorsed by the ECOFIN Council. Consistent with the activation of the general escape clause, euro area Member States introduced sizeable emergency budgetary measures aimed at supporting businesses and households (see Box 1). In addition, the European Commission and the Union adopted a temporary framework to use the flexibility under EU state aid rules to support the economy in the context of the coronavirus crisis</w:t>
      </w:r>
      <w:r>
        <w:rPr>
          <w:rStyle w:val="FootnoteReference"/>
          <w:noProof/>
        </w:rPr>
        <w:t xml:space="preserve"> </w:t>
      </w:r>
      <w:r>
        <w:rPr>
          <w:rStyle w:val="FootnoteReference"/>
          <w:noProof/>
        </w:rPr>
        <w:footnoteReference w:id="41"/>
      </w:r>
      <w:r>
        <w:rPr>
          <w:noProof/>
        </w:rPr>
        <w:t xml:space="preserve"> and put forward measures to provide emergency liquidity, such as the CRII</w:t>
      </w:r>
      <w:r>
        <w:rPr>
          <w:rStyle w:val="FootnoteReference"/>
          <w:noProof/>
        </w:rPr>
        <w:footnoteReference w:id="42"/>
      </w:r>
      <w:r>
        <w:rPr>
          <w:noProof/>
        </w:rPr>
        <w:t xml:space="preserve"> and CRII+ packages, as well as a European Strategy for the Recovery, which includes the Next Generation EU</w:t>
      </w:r>
      <w:r>
        <w:rPr>
          <w:noProof/>
          <w:szCs w:val="24"/>
          <w:vertAlign w:val="superscript"/>
        </w:rPr>
        <w:footnoteReference w:id="43"/>
      </w:r>
      <w:r>
        <w:rPr>
          <w:noProof/>
        </w:rPr>
        <w:t xml:space="preserve">, with the Resilience Recovery Facility (RRF) as its central pillar. The Facility will provide large-scale financial support for investments and reforms in the Member States, with the aim of fostering economic and social convergence and resilience. In addition, national and EU authorities have put in place exceptional liquidity support, mainly via guarantees to ensure the flow of credit, including through the new SURE instrument and the Pandemic Crisis Support by the European Stability Mechanism (ESM). </w:t>
      </w:r>
    </w:p>
    <w:p w:rsidR="00704A93" w:rsidRDefault="00704A93">
      <w:pPr>
        <w:shd w:val="clear" w:color="auto" w:fill="FFFFFF"/>
        <w:spacing w:line="276" w:lineRule="auto"/>
        <w:rPr>
          <w:noProof/>
        </w:rPr>
      </w:pPr>
    </w:p>
    <w:p w:rsidR="00704A93" w:rsidRDefault="00704A93">
      <w:pPr>
        <w:shd w:val="clear" w:color="auto" w:fill="FFFFFF"/>
        <w:spacing w:line="276" w:lineRule="auto"/>
        <w:rPr>
          <w:noProof/>
        </w:rPr>
      </w:pPr>
    </w:p>
    <w:tbl>
      <w:tblPr>
        <w:tblStyle w:val="TableGrid"/>
        <w:tblW w:w="0" w:type="auto"/>
        <w:tblLook w:val="04A0" w:firstRow="1" w:lastRow="0" w:firstColumn="1" w:lastColumn="0" w:noHBand="0" w:noVBand="1"/>
      </w:tblPr>
      <w:tblGrid>
        <w:gridCol w:w="9242"/>
      </w:tblGrid>
      <w:tr w:rsidR="00704A93">
        <w:tc>
          <w:tcPr>
            <w:tcW w:w="9242" w:type="dxa"/>
          </w:tcPr>
          <w:p w:rsidR="00704A93" w:rsidRDefault="005D0BB9">
            <w:pPr>
              <w:spacing w:after="0"/>
              <w:jc w:val="center"/>
              <w:rPr>
                <w:b/>
                <w:noProof/>
              </w:rPr>
            </w:pPr>
            <w:r>
              <w:rPr>
                <w:b/>
                <w:noProof/>
              </w:rPr>
              <w:lastRenderedPageBreak/>
              <w:t>BOX 1: Overview of national fiscal measures put in place to respond to the crisis</w:t>
            </w:r>
          </w:p>
          <w:p w:rsidR="00704A93" w:rsidRDefault="00704A93">
            <w:pPr>
              <w:spacing w:after="0"/>
              <w:rPr>
                <w:noProof/>
              </w:rPr>
            </w:pPr>
          </w:p>
          <w:p w:rsidR="00704A93" w:rsidRDefault="005D0BB9">
            <w:pPr>
              <w:spacing w:line="276" w:lineRule="auto"/>
              <w:rPr>
                <w:noProof/>
              </w:rPr>
            </w:pPr>
            <w:r>
              <w:rPr>
                <w:b/>
                <w:noProof/>
              </w:rPr>
              <w:t>Member States have announced and taken sizeable emergency measures in response to the COVID-19 pandemic.</w:t>
            </w:r>
            <w:r>
              <w:rPr>
                <w:rStyle w:val="FootnoteReference"/>
                <w:noProof/>
              </w:rPr>
              <w:footnoteReference w:id="44"/>
            </w:r>
            <w:r>
              <w:rPr>
                <w:b/>
                <w:noProof/>
              </w:rPr>
              <w:t xml:space="preserve"> </w:t>
            </w:r>
            <w:r>
              <w:rPr>
                <w:noProof/>
              </w:rPr>
              <w:t xml:space="preserve">Discretionary budgetary measures with a direct budgetary impact that were announced by euro area Member States by 22 October 2020 are estimated at 4.0% of GDP in 2020 (Table 1). These discretionary measures come on top of automatic stabilisers – the non-discretionary part of fiscal policy. The discretionary components consist primarily of additional spending amounting to 3.6% of GDP including health care and other epidemic-related spending (0.6% of GDP) and other items including subsidies to specific sectors and top-ups to the regular unemployment benefit schemes (3.0% of GDP). Tax relief measures amount, on average, to some 0.4% of GDP. </w:t>
            </w:r>
          </w:p>
          <w:p w:rsidR="00704A93" w:rsidRDefault="005D0BB9">
            <w:pPr>
              <w:spacing w:line="276" w:lineRule="auto"/>
              <w:jc w:val="center"/>
              <w:rPr>
                <w:i/>
                <w:noProof/>
                <w:color w:val="1F4E79" w:themeColor="accent1" w:themeShade="80"/>
                <w:sz w:val="22"/>
                <w:szCs w:val="22"/>
              </w:rPr>
            </w:pPr>
            <w:r>
              <w:rPr>
                <w:i/>
                <w:noProof/>
                <w:color w:val="1F4E79" w:themeColor="accent1" w:themeShade="80"/>
                <w:sz w:val="22"/>
                <w:szCs w:val="22"/>
              </w:rPr>
              <w:t>Table 1: National fiscal measures in the euro area in response to the COVID-19 crisis, 2020 - 2022</w:t>
            </w:r>
          </w:p>
          <w:p w:rsidR="00704A93" w:rsidRDefault="005D0BB9">
            <w:pPr>
              <w:spacing w:after="0"/>
              <w:rPr>
                <w:noProof/>
              </w:rPr>
            </w:pPr>
            <w:r>
              <w:rPr>
                <w:noProof/>
                <w:lang w:eastAsia="en-GB"/>
              </w:rPr>
              <w:drawing>
                <wp:inline distT="0" distB="0" distL="0" distR="0">
                  <wp:extent cx="5759450" cy="3427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427345"/>
                          </a:xfrm>
                          <a:prstGeom prst="rect">
                            <a:avLst/>
                          </a:prstGeom>
                          <a:noFill/>
                          <a:ln>
                            <a:noFill/>
                          </a:ln>
                        </pic:spPr>
                      </pic:pic>
                    </a:graphicData>
                  </a:graphic>
                </wp:inline>
              </w:drawing>
            </w:r>
          </w:p>
          <w:p w:rsidR="00704A93" w:rsidRDefault="005D0BB9">
            <w:pPr>
              <w:spacing w:line="276" w:lineRule="auto"/>
              <w:rPr>
                <w:noProof/>
                <w:sz w:val="14"/>
              </w:rPr>
            </w:pPr>
            <w:r>
              <w:rPr>
                <w:noProof/>
                <w:sz w:val="14"/>
              </w:rPr>
              <w:t>Source: ECFIN staff calculations.</w:t>
            </w:r>
          </w:p>
          <w:p w:rsidR="00704A93" w:rsidRDefault="005D0BB9">
            <w:pPr>
              <w:spacing w:line="276" w:lineRule="auto"/>
              <w:rPr>
                <w:noProof/>
              </w:rPr>
            </w:pPr>
            <w:r>
              <w:rPr>
                <w:b/>
                <w:noProof/>
              </w:rPr>
              <w:t xml:space="preserve">Most of the measures have been announced as temporary, whilst some have been extended and new ones supporting the recovery will have effects beyond 2020. </w:t>
            </w:r>
            <w:r>
              <w:rPr>
                <w:noProof/>
              </w:rPr>
              <w:t>Currently,</w:t>
            </w:r>
            <w:r>
              <w:rPr>
                <w:b/>
                <w:noProof/>
              </w:rPr>
              <w:t xml:space="preserve"> </w:t>
            </w:r>
            <w:r>
              <w:rPr>
                <w:noProof/>
              </w:rPr>
              <w:t xml:space="preserve">more than half of the measures is expected to have an impact only in 2020. Going forward, the impact of the measures are expected to further decrease in 2022. ”Emergency” measures in direct response to the outbreak of the pandemic were clearly announced as temporary. At the same time, the resurgence of the spread of the COVID-19 may lead to a prolongation of existing and/or adoption of new measures leading to budgetary effects also in 2021, beyond </w:t>
            </w:r>
            <w:r>
              <w:rPr>
                <w:noProof/>
              </w:rPr>
              <w:lastRenderedPageBreak/>
              <w:t xml:space="preserve">what was projected until now. </w:t>
            </w:r>
          </w:p>
          <w:p w:rsidR="00704A93" w:rsidRDefault="005D0BB9">
            <w:pPr>
              <w:spacing w:line="276" w:lineRule="auto"/>
              <w:rPr>
                <w:noProof/>
              </w:rPr>
            </w:pPr>
            <w:r>
              <w:rPr>
                <w:b/>
                <w:noProof/>
              </w:rPr>
              <w:t>In addition to the direct budgetary support for businesses and households, euro area Member States have provided ample liquidity support with no direct budgetary impact to date, estimated at 20.3% of GDP, to counter the economic fallout of COVID-19.</w:t>
            </w:r>
            <w:r>
              <w:rPr>
                <w:noProof/>
              </w:rPr>
              <w:t xml:space="preserve"> This primarily includes public guarantees (16.9% of GDP</w:t>
            </w:r>
            <w:r>
              <w:rPr>
                <w:rStyle w:val="FootnoteReference"/>
                <w:noProof/>
              </w:rPr>
              <w:footnoteReference w:id="45"/>
            </w:r>
            <w:r>
              <w:rPr>
                <w:noProof/>
              </w:rPr>
              <w:t>) and tax deferrals within the year (1.1% of GDP) as well as other measures (2.3% of GDP) to provide liquidity support. Some of these measures could have a delayed impact, as some of the postponed tax obligations may never be settled, for example due to corporate bankruptcies and in particular in light of the second wave. The comparability of these figures across Member States is particularly challenging given the diversity and complexity of the guarantee frameworks.</w:t>
            </w:r>
          </w:p>
        </w:tc>
      </w:tr>
    </w:tbl>
    <w:p w:rsidR="00704A93" w:rsidRDefault="005D0BB9">
      <w:pPr>
        <w:shd w:val="clear" w:color="auto" w:fill="FFFFFF"/>
        <w:spacing w:before="240" w:line="276" w:lineRule="auto"/>
        <w:rPr>
          <w:noProof/>
        </w:rPr>
      </w:pPr>
      <w:r>
        <w:rPr>
          <w:b/>
          <w:noProof/>
        </w:rPr>
        <w:lastRenderedPageBreak/>
        <w:t>The euro area fiscal stance is expected to be strongly expansionary in 2020</w:t>
      </w:r>
      <w:r>
        <w:rPr>
          <w:noProof/>
        </w:rPr>
        <w:t xml:space="preserve"> </w:t>
      </w:r>
      <w:r>
        <w:rPr>
          <w:b/>
          <w:noProof/>
        </w:rPr>
        <w:t>due to the sizeable emergency fiscal measures taken by Member States.</w:t>
      </w:r>
      <w:r>
        <w:rPr>
          <w:rStyle w:val="FootnoteReference"/>
          <w:noProof/>
        </w:rPr>
        <w:footnoteReference w:id="46"/>
      </w:r>
      <w:r>
        <w:rPr>
          <w:noProof/>
        </w:rPr>
        <w:t xml:space="preserve"> After reaching historically low levels in 2018-19 (0.5% GDP), the euro area general government deficit is projected to increase to 8.8% of GDP in 2020 (Graph 14 and Table 2). The expenditure-to-GDP ratio is expected to increase by around 8% of GDP in 2020 (Table 2), reflecting the working of automatic stabilisers and unprecedented discretionary policy measures (including the increase in health expenditures) adopted to cushion the economic and social impact of the pandemic.</w:t>
      </w:r>
      <w:r>
        <w:rPr>
          <w:rStyle w:val="FootnoteReference"/>
          <w:noProof/>
        </w:rPr>
        <w:footnoteReference w:id="47"/>
      </w:r>
      <w:r>
        <w:rPr>
          <w:noProof/>
        </w:rPr>
        <w:t xml:space="preserve"> At the same time, revenue is expected to fall in line with nominal GDP in 2020, reflecting the decrease in tax receipts, capturing both lower income tax revenues, as well as weaker consumption tax collection and declining import duties. </w:t>
      </w:r>
    </w:p>
    <w:p w:rsidR="00704A93" w:rsidRDefault="005D0BB9">
      <w:pPr>
        <w:pStyle w:val="Caption"/>
        <w:keepNext/>
        <w:shd w:val="clear" w:color="auto" w:fill="FFFFFF"/>
        <w:jc w:val="center"/>
        <w:rPr>
          <w:iCs/>
          <w:noProof/>
          <w:color w:val="1F4E79" w:themeColor="accent1" w:themeShade="80"/>
          <w:szCs w:val="22"/>
        </w:rPr>
      </w:pPr>
      <w:r>
        <w:rPr>
          <w:noProof/>
          <w:color w:val="1F4E79" w:themeColor="accent1" w:themeShade="80"/>
          <w:szCs w:val="22"/>
        </w:rPr>
        <w:t>Table 2: General Government budgetary position (per cent of GDP) in the euro area, 2016 – 2022</w:t>
      </w:r>
    </w:p>
    <w:p w:rsidR="00704A93" w:rsidRDefault="005D0BB9">
      <w:pPr>
        <w:shd w:val="clear" w:color="auto" w:fill="FFFFFF"/>
        <w:spacing w:after="0"/>
        <w:rPr>
          <w:noProof/>
          <w:highlight w:val="yellow"/>
        </w:rPr>
      </w:pPr>
      <w:r>
        <w:rPr>
          <w:noProof/>
          <w:lang w:eastAsia="en-GB"/>
        </w:rPr>
        <w:drawing>
          <wp:inline distT="0" distB="0" distL="0" distR="0">
            <wp:extent cx="5600700" cy="241069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5231" cy="2416946"/>
                    </a:xfrm>
                    <a:prstGeom prst="rect">
                      <a:avLst/>
                    </a:prstGeom>
                    <a:noFill/>
                    <a:ln>
                      <a:noFill/>
                    </a:ln>
                  </pic:spPr>
                </pic:pic>
              </a:graphicData>
            </a:graphic>
          </wp:inline>
        </w:drawing>
      </w:r>
    </w:p>
    <w:p w:rsidR="00704A93" w:rsidRDefault="00704A93">
      <w:pPr>
        <w:shd w:val="clear" w:color="auto" w:fill="FFFFFF"/>
        <w:spacing w:after="0"/>
        <w:rPr>
          <w:noProof/>
          <w:highlight w:val="yellow"/>
        </w:rPr>
      </w:pPr>
    </w:p>
    <w:p w:rsidR="00704A93" w:rsidRDefault="005D0BB9">
      <w:pPr>
        <w:shd w:val="clear" w:color="auto" w:fill="FFFFFF"/>
        <w:spacing w:after="0"/>
        <w:rPr>
          <w:noProof/>
          <w:sz w:val="14"/>
        </w:rPr>
      </w:pPr>
      <w:r>
        <w:rPr>
          <w:noProof/>
          <w:sz w:val="14"/>
        </w:rPr>
        <w:t xml:space="preserve">Note: contributions to change in actual balance may not add up to total due to rounding. </w:t>
      </w:r>
    </w:p>
    <w:p w:rsidR="00704A93" w:rsidRDefault="005D0BB9">
      <w:pPr>
        <w:shd w:val="clear" w:color="auto" w:fill="FFFFFF"/>
        <w:rPr>
          <w:noProof/>
          <w:sz w:val="14"/>
        </w:rPr>
      </w:pPr>
      <w:r>
        <w:rPr>
          <w:noProof/>
          <w:sz w:val="14"/>
        </w:rPr>
        <w:t>Source: European Commission 2020 Autumn Forecast, Ameco.</w:t>
      </w:r>
    </w:p>
    <w:p w:rsidR="00704A93" w:rsidRDefault="005D0BB9">
      <w:pPr>
        <w:shd w:val="clear" w:color="auto" w:fill="FFFFFF"/>
        <w:spacing w:line="276" w:lineRule="auto"/>
        <w:rPr>
          <w:noProof/>
        </w:rPr>
      </w:pPr>
      <w:r>
        <w:rPr>
          <w:b/>
          <w:noProof/>
        </w:rPr>
        <w:lastRenderedPageBreak/>
        <w:t xml:space="preserve">The fiscal stance in 2021 is expected to remain supportive at both euro area and national level. </w:t>
      </w:r>
      <w:r>
        <w:rPr>
          <w:noProof/>
        </w:rPr>
        <w:t>Given the current high level of uncertainty, withdrawing fiscal support too early is a primary source of concern, as it could put the still-fragile recovery in jeopardy. The estimated decline in the structural primary deficit of around ½% of GDP in 2021 reflects the phasing out of temporary support measures introduced in 2020 (Table 2).</w:t>
      </w:r>
      <w:r>
        <w:rPr>
          <w:rStyle w:val="FootnoteReference"/>
          <w:noProof/>
        </w:rPr>
        <w:footnoteReference w:id="48"/>
      </w:r>
      <w:r>
        <w:rPr>
          <w:noProof/>
        </w:rPr>
        <w:t xml:space="preserve"> After excluding the emergency measures, the underlying fiscal stance would appear to remain supportive in 2021, also thanks to measures announced in the 2021 draft budgetary plans. In addition, the implementation of Recovery and Resilience Plans, which is only partially reflected in the Autumn 2020 Forecast, should contribute to a more supportive fiscal stance in the euro area in 2021.</w:t>
      </w:r>
    </w:p>
    <w:p w:rsidR="00704A93" w:rsidRDefault="005D0BB9">
      <w:pPr>
        <w:spacing w:line="276" w:lineRule="auto"/>
        <w:rPr>
          <w:noProof/>
        </w:rPr>
      </w:pPr>
      <w:r>
        <w:rPr>
          <w:b/>
          <w:noProof/>
        </w:rPr>
        <w:t xml:space="preserve">A significant deterioration of the debt-to-GDP positions is also projected in line with what is foreseen in other major advanced economies </w:t>
      </w:r>
      <w:r>
        <w:rPr>
          <w:noProof/>
        </w:rPr>
        <w:t>(Graph 15)</w:t>
      </w:r>
      <w:r>
        <w:rPr>
          <w:b/>
          <w:noProof/>
        </w:rPr>
        <w:t>.</w:t>
      </w:r>
      <w:r>
        <w:rPr>
          <w:noProof/>
        </w:rPr>
        <w:t xml:space="preserve"> The euro area debt-to-GDP ratio is forecast to increase by 16 % of GDP, compared to 2019, to just above 100% of GDP in 2020 (Graph 16) and to remain around this level by 2022. Overall, the primary deficit will continue to weigh on debt dynamics in 2021 and 2022, but a favourable interest rate-growth differential should help contain the projected increase. In line with the increase in the debt-to-GDP ratio, government gross financing needs (GFN) in the euro area are estimated to reach to around 25% of GDP in 2020 (against less than 15% of GDP in 2019). This rise stems mainly from large new financing requirements (i.e. widened budgetary deficits), which compound with the need to rollover accumulated debt. They are expected to decrease below 20% of GDP by 2022. </w:t>
      </w:r>
    </w:p>
    <w:tbl>
      <w:tblPr>
        <w:tblStyle w:val="TableGrid"/>
        <w:tblW w:w="92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7"/>
        <w:gridCol w:w="4531"/>
      </w:tblGrid>
      <w:tr w:rsidR="00704A93">
        <w:trPr>
          <w:trHeight w:val="565"/>
          <w:jc w:val="center"/>
        </w:trPr>
        <w:tc>
          <w:tcPr>
            <w:tcW w:w="4687" w:type="dxa"/>
          </w:tcPr>
          <w:p w:rsidR="00704A93" w:rsidRDefault="005D0BB9">
            <w:pPr>
              <w:pStyle w:val="Caption"/>
              <w:keepNext/>
              <w:shd w:val="clear" w:color="auto" w:fill="FFFFFF"/>
              <w:spacing w:after="120"/>
              <w:jc w:val="center"/>
              <w:rPr>
                <w:noProof/>
                <w:color w:val="1F4E79" w:themeColor="accent1" w:themeShade="80"/>
                <w:szCs w:val="22"/>
              </w:rPr>
            </w:pPr>
            <w:r>
              <w:rPr>
                <w:noProof/>
                <w:color w:val="1F4E79" w:themeColor="accent1" w:themeShade="80"/>
                <w:szCs w:val="22"/>
              </w:rPr>
              <w:t>Graph 15: Changes in the debt-to-GDP ratio, in the euro area and other advanced economies</w:t>
            </w:r>
          </w:p>
        </w:tc>
        <w:tc>
          <w:tcPr>
            <w:tcW w:w="4531" w:type="dxa"/>
          </w:tcPr>
          <w:p w:rsidR="00704A93" w:rsidRDefault="005D0BB9">
            <w:pPr>
              <w:pStyle w:val="Caption"/>
              <w:keepNext/>
              <w:shd w:val="clear" w:color="auto" w:fill="FFFFFF"/>
              <w:spacing w:after="120"/>
              <w:jc w:val="center"/>
              <w:rPr>
                <w:noProof/>
                <w:color w:val="1F4E79" w:themeColor="accent1" w:themeShade="80"/>
                <w:szCs w:val="22"/>
              </w:rPr>
            </w:pPr>
            <w:r>
              <w:rPr>
                <w:noProof/>
                <w:color w:val="1F4E79" w:themeColor="accent1" w:themeShade="80"/>
                <w:szCs w:val="22"/>
              </w:rPr>
              <w:t>Graph 16: Debt-to-GDP projections in the euro area</w:t>
            </w:r>
          </w:p>
        </w:tc>
      </w:tr>
      <w:tr w:rsidR="00704A93">
        <w:tblPrEx>
          <w:tblCellMar>
            <w:left w:w="70" w:type="dxa"/>
            <w:right w:w="70" w:type="dxa"/>
          </w:tblCellMar>
        </w:tblPrEx>
        <w:trPr>
          <w:trHeight w:val="2353"/>
          <w:jc w:val="center"/>
        </w:trPr>
        <w:tc>
          <w:tcPr>
            <w:tcW w:w="4687" w:type="dxa"/>
          </w:tcPr>
          <w:p w:rsidR="00704A93" w:rsidRDefault="005D0BB9">
            <w:pPr>
              <w:spacing w:after="0"/>
              <w:jc w:val="center"/>
              <w:rPr>
                <w:noProof/>
              </w:rPr>
            </w:pPr>
            <w:r>
              <w:rPr>
                <w:noProof/>
                <w:lang w:eastAsia="en-GB"/>
              </w:rPr>
              <w:drawing>
                <wp:inline distT="0" distB="0" distL="0" distR="0">
                  <wp:extent cx="2777924" cy="1621155"/>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31" w:type="dxa"/>
          </w:tcPr>
          <w:p w:rsidR="00704A93" w:rsidRDefault="005D0BB9">
            <w:pPr>
              <w:spacing w:after="0"/>
              <w:jc w:val="center"/>
              <w:rPr>
                <w:noProof/>
                <w:lang w:val="en-US"/>
              </w:rPr>
            </w:pPr>
            <w:r>
              <w:rPr>
                <w:noProof/>
                <w:lang w:eastAsia="en-GB"/>
              </w:rPr>
              <w:drawing>
                <wp:inline distT="0" distB="0" distL="0" distR="0">
                  <wp:extent cx="2603009" cy="1661272"/>
                  <wp:effectExtent l="0" t="0" r="6985" b="0"/>
                  <wp:docPr id="1269668290" name="Chart 1269668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704A93">
        <w:trPr>
          <w:trHeight w:val="142"/>
          <w:jc w:val="center"/>
        </w:trPr>
        <w:tc>
          <w:tcPr>
            <w:tcW w:w="4687" w:type="dxa"/>
          </w:tcPr>
          <w:p w:rsidR="00704A93" w:rsidRDefault="005D0BB9">
            <w:pPr>
              <w:rPr>
                <w:noProof/>
                <w:sz w:val="16"/>
                <w:szCs w:val="16"/>
              </w:rPr>
            </w:pPr>
            <w:r>
              <w:rPr>
                <w:noProof/>
                <w:sz w:val="14"/>
                <w:szCs w:val="16"/>
              </w:rPr>
              <w:t>Source: European Commission.</w:t>
            </w:r>
          </w:p>
        </w:tc>
        <w:tc>
          <w:tcPr>
            <w:tcW w:w="4531" w:type="dxa"/>
          </w:tcPr>
          <w:p w:rsidR="00704A93" w:rsidRDefault="005D0BB9">
            <w:pPr>
              <w:rPr>
                <w:noProof/>
                <w:sz w:val="16"/>
                <w:szCs w:val="16"/>
              </w:rPr>
            </w:pPr>
            <w:r>
              <w:rPr>
                <w:noProof/>
                <w:sz w:val="14"/>
                <w:szCs w:val="16"/>
              </w:rPr>
              <w:t>Source: European Commission.</w:t>
            </w:r>
          </w:p>
        </w:tc>
      </w:tr>
    </w:tbl>
    <w:p w:rsidR="00704A93" w:rsidRDefault="005D0BB9">
      <w:pPr>
        <w:spacing w:line="276" w:lineRule="auto"/>
        <w:rPr>
          <w:noProof/>
        </w:rPr>
      </w:pPr>
      <w:r>
        <w:rPr>
          <w:b/>
          <w:noProof/>
        </w:rPr>
        <w:t>Overall, the debt sustainability assessment suggests that the debt position remains sustainable over the medium-term, notwithstanding risks and significant uncertainty.</w:t>
      </w:r>
      <w:r>
        <w:rPr>
          <w:noProof/>
        </w:rPr>
        <w:t xml:space="preserve"> The debt-to-GDP ratio in the euro area is expected to stabilise (Graph 16) over the medium term as the impact of the COVID-19 crisis on public finances gradually unwinds.</w:t>
      </w:r>
      <w:r>
        <w:rPr>
          <w:rStyle w:val="FootnoteReference"/>
          <w:noProof/>
        </w:rPr>
        <w:footnoteReference w:id="49"/>
      </w:r>
      <w:r>
        <w:rPr>
          <w:noProof/>
        </w:rPr>
        <w:t xml:space="preserve"> However, </w:t>
      </w:r>
      <w:r>
        <w:rPr>
          <w:noProof/>
        </w:rPr>
        <w:lastRenderedPageBreak/>
        <w:t>there is significant uncertainty over this projection given the unprecedented nature of the crisis and uncertainty about its future evolution, notably the duration of social distancing measures and the strength of the recovery. According to stochastics simulations (Graph 16), the debt-to-GDP ratio is expected to stand between more than 95% and 110% of GDP by 2025 with an 80% probability. Relatedly, contingent liability risks may arise from the private sector, via the possible materialisation of government guarantees put in place to support firms and self-employed, representing about 20% of GDP in 2020 (according to Autumn 2020 estimates). On the other hand, several mitigating factors exist including the lengthening of debt maturities in recent years, relatively stable financing sources, historically low borrowing costs, and EU initiatives such as the temporary Support to mitigate Unemployment Risks in an Emergency (SURE) and, importantly, the Recovery and Resilience Facility (RRF).</w:t>
      </w:r>
    </w:p>
    <w:p w:rsidR="00704A93" w:rsidRDefault="005D0BB9">
      <w:pPr>
        <w:spacing w:line="276" w:lineRule="auto"/>
        <w:rPr>
          <w:noProof/>
        </w:rPr>
      </w:pPr>
      <w:bookmarkStart w:id="418" w:name="_Toc55986197"/>
      <w:r>
        <w:rPr>
          <w:b/>
          <w:noProof/>
        </w:rPr>
        <w:t>The European Recovery and Resilience Facility (RRF) is expected to support debt dynamics.</w:t>
      </w:r>
      <w:r>
        <w:rPr>
          <w:rStyle w:val="FootnoteReference"/>
          <w:b/>
          <w:noProof/>
        </w:rPr>
        <w:footnoteReference w:id="50"/>
      </w:r>
      <w:r>
        <w:rPr>
          <w:noProof/>
        </w:rPr>
        <w:t xml:space="preserve"> The provision of EU grants under the RRF should allow fiscal stimulus without raising national debt in the medium-term, with this effect being more pronounced for the highly-indebted countries and/or countries receiving a relatively larger amount of funds. The overall impact will depend on several factors such as the composition of public spending financed by these funds, the (strength/persistence of) fiscal multiplier effects on growth, and the degree of additionality of the funds received (versus other sources of financing). In addition, RRF loans are expected to present attractive funding conditions for most Member States and in particular those more affected by the crisis.</w:t>
      </w:r>
      <w:bookmarkEnd w:id="418"/>
    </w:p>
    <w:p w:rsidR="00704A93" w:rsidRDefault="005D0BB9">
      <w:pPr>
        <w:pStyle w:val="Heading2"/>
        <w:rPr>
          <w:b w:val="0"/>
          <w:i w:val="0"/>
          <w:noProof/>
        </w:rPr>
      </w:pPr>
      <w:bookmarkStart w:id="419" w:name="_Toc55977215"/>
      <w:bookmarkStart w:id="420" w:name="_Toc55991383"/>
      <w:bookmarkStart w:id="421" w:name="_Toc55993131"/>
      <w:bookmarkStart w:id="422" w:name="_Toc55999439"/>
      <w:bookmarkStart w:id="423" w:name="_Toc55999502"/>
      <w:bookmarkStart w:id="424" w:name="_Toc56012519"/>
      <w:bookmarkStart w:id="425" w:name="_Toc56013742"/>
      <w:bookmarkStart w:id="426" w:name="_Toc56172427"/>
      <w:bookmarkStart w:id="427" w:name="_Toc56173638"/>
      <w:bookmarkStart w:id="428" w:name="_Toc52533648"/>
      <w:bookmarkStart w:id="429" w:name="_Toc52539445"/>
      <w:bookmarkStart w:id="430" w:name="_Toc52541965"/>
      <w:bookmarkStart w:id="431" w:name="_Toc52543792"/>
      <w:bookmarkStart w:id="432" w:name="_Toc52548746"/>
      <w:bookmarkStart w:id="433" w:name="_Toc52550076"/>
      <w:bookmarkStart w:id="434" w:name="_Toc52552272"/>
      <w:bookmarkStart w:id="435" w:name="_Toc53133715"/>
      <w:bookmarkStart w:id="436" w:name="_Toc53143024"/>
      <w:bookmarkStart w:id="437" w:name="_Toc53151534"/>
      <w:bookmarkStart w:id="438" w:name="_Toc53160261"/>
      <w:bookmarkStart w:id="439" w:name="_Toc53163223"/>
      <w:bookmarkStart w:id="440" w:name="_Toc53390008"/>
      <w:bookmarkStart w:id="441" w:name="_Toc53391743"/>
      <w:bookmarkStart w:id="442" w:name="_Toc53432746"/>
      <w:bookmarkStart w:id="443" w:name="_Toc53490250"/>
      <w:bookmarkStart w:id="444" w:name="_Toc53490777"/>
      <w:bookmarkStart w:id="445" w:name="_Toc53494720"/>
      <w:bookmarkStart w:id="446" w:name="_Toc53504209"/>
      <w:bookmarkStart w:id="447" w:name="_Toc53505969"/>
      <w:bookmarkStart w:id="448" w:name="_Toc53652780"/>
      <w:bookmarkStart w:id="449" w:name="_Toc53670375"/>
      <w:bookmarkStart w:id="450" w:name="_Toc53670864"/>
      <w:bookmarkStart w:id="451" w:name="_Toc53678896"/>
      <w:bookmarkStart w:id="452" w:name="_Toc53752558"/>
      <w:bookmarkStart w:id="453" w:name="_Toc53752754"/>
      <w:bookmarkStart w:id="454" w:name="_Toc53756237"/>
      <w:bookmarkStart w:id="455" w:name="_Toc54002743"/>
      <w:bookmarkStart w:id="456" w:name="_Toc54004835"/>
      <w:bookmarkStart w:id="457" w:name="_Toc54187767"/>
      <w:bookmarkStart w:id="458" w:name="_Toc54195821"/>
      <w:bookmarkStart w:id="459" w:name="_Toc54198603"/>
      <w:bookmarkStart w:id="460" w:name="_Toc54363746"/>
      <w:bookmarkStart w:id="461" w:name="_Toc54374672"/>
      <w:bookmarkStart w:id="462" w:name="_Toc54376081"/>
      <w:bookmarkStart w:id="463" w:name="_Toc54429926"/>
      <w:bookmarkStart w:id="464" w:name="_Toc54430249"/>
      <w:bookmarkStart w:id="465" w:name="_Toc55398261"/>
      <w:bookmarkStart w:id="466" w:name="_Toc55402858"/>
      <w:bookmarkStart w:id="467" w:name="_Toc55410569"/>
      <w:bookmarkStart w:id="468" w:name="_Toc55466107"/>
      <w:bookmarkStart w:id="469" w:name="_Toc55480557"/>
      <w:bookmarkStart w:id="470" w:name="_Toc55482436"/>
      <w:bookmarkStart w:id="471" w:name="_Toc55486348"/>
      <w:bookmarkStart w:id="472" w:name="_Toc55488157"/>
      <w:bookmarkStart w:id="473" w:name="_Toc55488791"/>
      <w:bookmarkStart w:id="474" w:name="_Toc55490416"/>
      <w:bookmarkStart w:id="475" w:name="_Toc55490605"/>
      <w:bookmarkStart w:id="476" w:name="_Toc55498947"/>
      <w:bookmarkStart w:id="477" w:name="_Toc55499137"/>
      <w:bookmarkStart w:id="478" w:name="_Toc55651319"/>
      <w:bookmarkStart w:id="479" w:name="_Toc55662178"/>
      <w:bookmarkStart w:id="480" w:name="_Toc55663562"/>
      <w:bookmarkStart w:id="481" w:name="_Toc55750532"/>
      <w:bookmarkStart w:id="482" w:name="_Toc55761115"/>
      <w:bookmarkStart w:id="483" w:name="_Toc55808247"/>
      <w:r>
        <w:rPr>
          <w:i w:val="0"/>
          <w:noProof/>
        </w:rPr>
        <w:t>2.2 Expenditure Policy</w:t>
      </w:r>
      <w:bookmarkEnd w:id="419"/>
      <w:bookmarkEnd w:id="420"/>
      <w:bookmarkEnd w:id="421"/>
      <w:bookmarkEnd w:id="422"/>
      <w:bookmarkEnd w:id="423"/>
      <w:bookmarkEnd w:id="424"/>
      <w:bookmarkEnd w:id="425"/>
      <w:bookmarkEnd w:id="426"/>
      <w:bookmarkEnd w:id="427"/>
      <w:r>
        <w:rPr>
          <w:i w:val="0"/>
          <w:noProof/>
        </w:rPr>
        <w:t xml:space="preserve"> </w:t>
      </w:r>
    </w:p>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rsidR="00704A93" w:rsidRDefault="005D0BB9">
      <w:pPr>
        <w:spacing w:line="276" w:lineRule="auto"/>
        <w:rPr>
          <w:noProof/>
        </w:rPr>
      </w:pPr>
      <w:r>
        <w:rPr>
          <w:b/>
          <w:noProof/>
        </w:rPr>
        <w:t xml:space="preserve">The crisis has significantly impacted public expenditures across the euro area, placing considerable strains on Member States’ public finances. </w:t>
      </w:r>
      <w:r>
        <w:rPr>
          <w:noProof/>
        </w:rPr>
        <w:t xml:space="preserve">The large part of the increase in expenditures has been directed to support economies and citizens, as public support has been extended to keep businesses and households afloat (see Box 2). Going forward, Member States plan to phase out temporary support measures to firms and households, when the epidemiological and economic conditions allow and to plan this in a way that mitigates the social and labour-market impact of the crisis, while, at the same time, aiming at achieving prudent medium-term fiscal positions. </w:t>
      </w:r>
    </w:p>
    <w:p w:rsidR="00704A93" w:rsidRDefault="005D0BB9">
      <w:pPr>
        <w:spacing w:line="276" w:lineRule="auto"/>
        <w:rPr>
          <w:noProof/>
          <w:highlight w:val="yellow"/>
        </w:rPr>
      </w:pPr>
      <w:r>
        <w:rPr>
          <w:b/>
          <w:noProof/>
        </w:rPr>
        <w:t>In a moment of unprecedented fiscal expansion, improving the composition of national budgets appears particularly relevant. Moreover, the quality and efficiency of public finances also play an important role.</w:t>
      </w:r>
      <w:r>
        <w:rPr>
          <w:noProof/>
        </w:rPr>
        <w:t xml:space="preserve"> In order to create fiscal space, expenditure reviews are utilised across Member States to rationalise public spending and direct it to areas, and </w:t>
      </w:r>
      <w:r>
        <w:rPr>
          <w:noProof/>
        </w:rPr>
        <w:lastRenderedPageBreak/>
        <w:t>individuals, in greater need. Engaging in spending reviews in large areas of expenditure such as pensions or health can help improve the efficiency of spending while also ensuring the long-term sustainability of public finances. Public procurement of goods and services amounted to some 14% of GDP in 2019.</w:t>
      </w:r>
      <w:r>
        <w:rPr>
          <w:rStyle w:val="FootnoteReference"/>
          <w:noProof/>
        </w:rPr>
        <w:footnoteReference w:id="51"/>
      </w:r>
      <w:r>
        <w:rPr>
          <w:noProof/>
        </w:rPr>
        <w:t xml:space="preserve"> However, according to the Single Market Scoreboard, there are still large differences between Member States in terms of public authorities’ performance in getting the best value for money in their purchases.</w:t>
      </w:r>
      <w:r>
        <w:rPr>
          <w:rStyle w:val="FootnoteReference"/>
          <w:noProof/>
        </w:rPr>
        <w:footnoteReference w:id="52"/>
      </w:r>
      <w:r>
        <w:rPr>
          <w:noProof/>
        </w:rPr>
        <w:t xml:space="preserve"> The efficiency of public procurement systems is especially important in this recovery process and successful twin green and digital transitions. In addition, efficient investments can also strengthen health systems. The COVID-19 crisis provided evidence that health systems in Member States were not adequately prepared to face this challenge due to a number of structural weaknesses and a lack of resources (facilities, staff and supplies). Resilient, adequately resourced, efficient and accessible health systems can safeguard better the health of the population, which is fundamental to a well-performing economy.</w:t>
      </w:r>
    </w:p>
    <w:p w:rsidR="00704A93" w:rsidRDefault="005D0BB9">
      <w:pPr>
        <w:spacing w:after="200" w:line="276" w:lineRule="auto"/>
        <w:rPr>
          <w:noProof/>
        </w:rPr>
      </w:pPr>
      <w:r>
        <w:rPr>
          <w:b/>
          <w:noProof/>
        </w:rPr>
        <w:t xml:space="preserve">Public investment, which has remained stagnant in net terms for the good part of the last decade, is forecast to increase to some 3-3¼% of GDP in 2021 on the back of decisive policy responses by Member States. </w:t>
      </w:r>
      <w:r>
        <w:rPr>
          <w:noProof/>
        </w:rPr>
        <w:t xml:space="preserve">This would represent a marked break with the past when public investment was slashed in economic downturns  (Graph 17). </w:t>
      </w:r>
    </w:p>
    <w:tbl>
      <w:tblPr>
        <w:tblW w:w="9770" w:type="dxa"/>
        <w:jc w:val="center"/>
        <w:tblCellMar>
          <w:left w:w="70" w:type="dxa"/>
          <w:right w:w="70" w:type="dxa"/>
        </w:tblCellMar>
        <w:tblLook w:val="04A0" w:firstRow="1" w:lastRow="0" w:firstColumn="1" w:lastColumn="0" w:noHBand="0" w:noVBand="1"/>
      </w:tblPr>
      <w:tblGrid>
        <w:gridCol w:w="4640"/>
        <w:gridCol w:w="5130"/>
      </w:tblGrid>
      <w:tr w:rsidR="00704A93">
        <w:trPr>
          <w:trHeight w:val="3857"/>
          <w:jc w:val="center"/>
        </w:trPr>
        <w:tc>
          <w:tcPr>
            <w:tcW w:w="4625" w:type="dxa"/>
            <w:shd w:val="clear" w:color="auto" w:fill="auto"/>
          </w:tcPr>
          <w:p w:rsidR="00704A93" w:rsidRDefault="005D0BB9">
            <w:pPr>
              <w:pStyle w:val="Caption"/>
              <w:keepNext/>
              <w:jc w:val="center"/>
              <w:rPr>
                <w:noProof/>
                <w:color w:val="1F4E79" w:themeColor="accent1" w:themeShade="80"/>
                <w:szCs w:val="22"/>
              </w:rPr>
            </w:pPr>
            <w:r>
              <w:rPr>
                <w:noProof/>
                <w:color w:val="1F4E79" w:themeColor="accent1" w:themeShade="80"/>
                <w:szCs w:val="22"/>
              </w:rPr>
              <w:t>Graph 17: Government expenditure, euro area</w:t>
            </w:r>
          </w:p>
          <w:p w:rsidR="00704A93" w:rsidRDefault="005D0BB9">
            <w:pPr>
              <w:rPr>
                <w:noProof/>
                <w:lang w:eastAsia="en-IE"/>
              </w:rPr>
            </w:pPr>
            <w:r>
              <w:rPr>
                <w:noProof/>
                <w:lang w:eastAsia="en-GB"/>
              </w:rPr>
              <w:drawing>
                <wp:inline distT="0" distB="0" distL="0" distR="0">
                  <wp:extent cx="2855742" cy="2154555"/>
                  <wp:effectExtent l="0" t="0" r="1905" b="0"/>
                  <wp:docPr id="21" name="Chart 21">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4A93" w:rsidRDefault="005D0BB9">
            <w:pPr>
              <w:spacing w:before="240" w:after="480"/>
              <w:rPr>
                <w:noProof/>
                <w:lang w:eastAsia="en-IE"/>
              </w:rPr>
            </w:pPr>
            <w:r>
              <w:rPr>
                <w:noProof/>
                <w:sz w:val="14"/>
              </w:rPr>
              <w:t>Source: European Commission 2020 Autumn Forecast, Ameco, European Commission, Taxation trends in the European Union, 2020.</w:t>
            </w:r>
          </w:p>
        </w:tc>
        <w:tc>
          <w:tcPr>
            <w:tcW w:w="5145" w:type="dxa"/>
            <w:shd w:val="clear" w:color="auto" w:fill="auto"/>
          </w:tcPr>
          <w:p w:rsidR="00704A93" w:rsidRDefault="005D0BB9">
            <w:pPr>
              <w:pStyle w:val="Caption"/>
              <w:keepNext/>
              <w:jc w:val="center"/>
              <w:rPr>
                <w:noProof/>
                <w:color w:val="1F4E79" w:themeColor="accent1" w:themeShade="80"/>
                <w:szCs w:val="22"/>
              </w:rPr>
            </w:pPr>
            <w:r>
              <w:rPr>
                <w:noProof/>
                <w:color w:val="1F4E79" w:themeColor="accent1" w:themeShade="80"/>
                <w:szCs w:val="22"/>
              </w:rPr>
              <w:t>Graph 18: Structure of taxation by economic function of the tax base (2018)</w:t>
            </w:r>
          </w:p>
          <w:p w:rsidR="00704A93" w:rsidRDefault="005D0BB9">
            <w:pPr>
              <w:spacing w:after="0"/>
              <w:rPr>
                <w:noProof/>
                <w:lang w:eastAsia="en-IE"/>
              </w:rPr>
            </w:pPr>
            <w:r>
              <w:rPr>
                <w:noProof/>
                <w:lang w:eastAsia="en-GB"/>
              </w:rPr>
              <w:drawing>
                <wp:inline distT="0" distB="0" distL="0" distR="0">
                  <wp:extent cx="3101340" cy="2162755"/>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4A93" w:rsidRDefault="005D0BB9">
            <w:pPr>
              <w:spacing w:after="0"/>
              <w:jc w:val="left"/>
              <w:rPr>
                <w:noProof/>
                <w:sz w:val="14"/>
              </w:rPr>
            </w:pPr>
            <w:r>
              <w:rPr>
                <w:noProof/>
                <w:sz w:val="14"/>
              </w:rPr>
              <w:t>Note: “other taxes” includes all taxes that are not labour, consumption, environmental, or recurrent property taxes (e.g., capital taxes such as on corporate income, capital gains or inheritances). Labour taxes includes employers’ and employees’ social contributions</w:t>
            </w:r>
          </w:p>
          <w:p w:rsidR="00704A93" w:rsidRDefault="005D0BB9">
            <w:pPr>
              <w:spacing w:after="0"/>
              <w:jc w:val="left"/>
              <w:rPr>
                <w:noProof/>
                <w:sz w:val="14"/>
              </w:rPr>
            </w:pPr>
            <w:r>
              <w:rPr>
                <w:noProof/>
                <w:sz w:val="14"/>
              </w:rPr>
              <w:t>Source: European Commission 2020 Autumn Forecast, Ameco, European Commission, Taxation trends in the European Union, 2020.</w:t>
            </w:r>
          </w:p>
        </w:tc>
      </w:tr>
    </w:tbl>
    <w:p w:rsidR="00704A93" w:rsidRDefault="00704A93">
      <w:pPr>
        <w:spacing w:after="200" w:line="276" w:lineRule="auto"/>
        <w:rPr>
          <w:b/>
          <w:noProof/>
        </w:rPr>
      </w:pPr>
    </w:p>
    <w:p w:rsidR="00704A93" w:rsidRDefault="005D0BB9">
      <w:pPr>
        <w:spacing w:after="200" w:line="276" w:lineRule="auto"/>
        <w:rPr>
          <w:i/>
          <w:noProof/>
        </w:rPr>
      </w:pPr>
      <w:r>
        <w:rPr>
          <w:b/>
          <w:noProof/>
        </w:rPr>
        <w:t>The Recovery and Resilience Facility and the EU budget has the potential to boost Member States’ efforts towards a sustained recovery of investment in the medium term.</w:t>
      </w:r>
      <w:r>
        <w:rPr>
          <w:noProof/>
        </w:rPr>
        <w:t xml:space="preserve"> </w:t>
      </w:r>
      <w:r>
        <w:rPr>
          <w:noProof/>
        </w:rPr>
        <w:lastRenderedPageBreak/>
        <w:t>Public investment can support the recovery and can also help to address long-term challenges</w:t>
      </w:r>
      <w:r>
        <w:rPr>
          <w:b/>
          <w:noProof/>
        </w:rPr>
        <w:t>.</w:t>
      </w:r>
      <w:r>
        <w:rPr>
          <w:noProof/>
        </w:rPr>
        <w:t xml:space="preserve"> For example, substantial and coordinated public investments are needed to deliver on the Union’s climate objectives, in both adaptation and mitigation, as well as compensatory measures to support those most negatively affected by the transition. In this context, ‘green budgeting’ tools can help address the challenges of climate mitigation and environmental protection.</w:t>
      </w:r>
      <w:r>
        <w:rPr>
          <w:rStyle w:val="FootnoteReference"/>
          <w:noProof/>
        </w:rPr>
        <w:footnoteReference w:id="53"/>
      </w:r>
      <w:r>
        <w:rPr>
          <w:noProof/>
        </w:rPr>
        <w:t xml:space="preserve"> Similarly, investments in skills and in improving the digital environment will contribute to the digitalisation of euro area economies and public administration, as well as supporting citizens in adapting to a changing working environment, favouring the reallocation to new growth sectors. </w:t>
      </w:r>
    </w:p>
    <w:p w:rsidR="00704A93" w:rsidRDefault="005D0BB9">
      <w:pPr>
        <w:pStyle w:val="Heading2"/>
        <w:rPr>
          <w:noProof/>
        </w:rPr>
      </w:pPr>
      <w:bookmarkStart w:id="484" w:name="_Toc52533649"/>
      <w:bookmarkStart w:id="485" w:name="_Toc52539446"/>
      <w:bookmarkStart w:id="486" w:name="_Toc52541966"/>
      <w:bookmarkStart w:id="487" w:name="_Toc52543793"/>
      <w:bookmarkStart w:id="488" w:name="_Toc52548747"/>
      <w:bookmarkStart w:id="489" w:name="_Toc52550077"/>
      <w:bookmarkStart w:id="490" w:name="_Toc52552273"/>
      <w:bookmarkStart w:id="491" w:name="_Toc53133716"/>
      <w:bookmarkStart w:id="492" w:name="_Toc53143025"/>
      <w:bookmarkStart w:id="493" w:name="_Toc53151535"/>
      <w:bookmarkStart w:id="494" w:name="_Toc53160262"/>
      <w:bookmarkStart w:id="495" w:name="_Toc53163224"/>
      <w:bookmarkStart w:id="496" w:name="_Toc53390009"/>
      <w:bookmarkStart w:id="497" w:name="_Toc53391744"/>
      <w:bookmarkStart w:id="498" w:name="_Toc53432747"/>
      <w:bookmarkStart w:id="499" w:name="_Toc53490251"/>
      <w:bookmarkStart w:id="500" w:name="_Toc53490778"/>
      <w:bookmarkStart w:id="501" w:name="_Toc53494721"/>
      <w:bookmarkStart w:id="502" w:name="_Toc53504210"/>
      <w:bookmarkStart w:id="503" w:name="_Toc53505970"/>
      <w:bookmarkStart w:id="504" w:name="_Toc53652781"/>
      <w:bookmarkStart w:id="505" w:name="_Toc53670376"/>
      <w:bookmarkStart w:id="506" w:name="_Toc53670865"/>
      <w:bookmarkStart w:id="507" w:name="_Toc53678897"/>
      <w:bookmarkStart w:id="508" w:name="_Toc53752559"/>
      <w:bookmarkStart w:id="509" w:name="_Toc53752755"/>
      <w:bookmarkStart w:id="510" w:name="_Toc53756238"/>
      <w:bookmarkStart w:id="511" w:name="_Toc54002744"/>
      <w:bookmarkStart w:id="512" w:name="_Toc54004836"/>
      <w:bookmarkStart w:id="513" w:name="_Toc54376082"/>
      <w:bookmarkStart w:id="514" w:name="_Toc54429927"/>
      <w:bookmarkStart w:id="515" w:name="_Toc54430250"/>
      <w:bookmarkStart w:id="516" w:name="_Toc55398262"/>
      <w:bookmarkStart w:id="517" w:name="_Toc55402859"/>
      <w:bookmarkStart w:id="518" w:name="_Toc55410570"/>
      <w:bookmarkStart w:id="519" w:name="_Toc55466108"/>
      <w:bookmarkStart w:id="520" w:name="_Toc55480558"/>
      <w:bookmarkStart w:id="521" w:name="_Toc55482437"/>
      <w:bookmarkStart w:id="522" w:name="_Toc55486349"/>
      <w:bookmarkStart w:id="523" w:name="_Toc55488158"/>
      <w:bookmarkStart w:id="524" w:name="_Toc55488792"/>
      <w:bookmarkStart w:id="525" w:name="_Toc55490417"/>
      <w:bookmarkStart w:id="526" w:name="_Toc55490606"/>
      <w:bookmarkStart w:id="527" w:name="_Toc55498948"/>
      <w:bookmarkStart w:id="528" w:name="_Toc55499138"/>
      <w:bookmarkStart w:id="529" w:name="_Toc55651320"/>
      <w:bookmarkStart w:id="530" w:name="_Toc55662179"/>
      <w:bookmarkStart w:id="531" w:name="_Toc55663563"/>
      <w:bookmarkStart w:id="532" w:name="_Toc55750533"/>
      <w:bookmarkStart w:id="533" w:name="_Toc55761116"/>
      <w:bookmarkStart w:id="534" w:name="_Toc55808248"/>
      <w:bookmarkStart w:id="535" w:name="_Toc55899255"/>
      <w:bookmarkStart w:id="536" w:name="_Toc55899589"/>
      <w:bookmarkStart w:id="537" w:name="_Toc55899755"/>
      <w:bookmarkStart w:id="538" w:name="_Toc55977216"/>
      <w:bookmarkStart w:id="539" w:name="_Toc55991384"/>
      <w:bookmarkStart w:id="540" w:name="_Toc55993132"/>
      <w:bookmarkStart w:id="541" w:name="_Toc55999440"/>
      <w:bookmarkStart w:id="542" w:name="_Toc55999503"/>
      <w:bookmarkStart w:id="543" w:name="_Toc56012520"/>
      <w:bookmarkStart w:id="544" w:name="_Toc56013743"/>
      <w:bookmarkStart w:id="545" w:name="_Toc56172428"/>
      <w:bookmarkStart w:id="546" w:name="_Toc56173639"/>
      <w:bookmarkStart w:id="547" w:name="_Toc54187768"/>
      <w:bookmarkStart w:id="548" w:name="_Toc54195822"/>
      <w:bookmarkStart w:id="549" w:name="_Toc54198604"/>
      <w:bookmarkStart w:id="550" w:name="_Toc54363747"/>
      <w:bookmarkStart w:id="551" w:name="_Toc54374673"/>
      <w:r>
        <w:rPr>
          <w:noProof/>
        </w:rPr>
        <w:t>2.3 Revenue Policy</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Pr>
          <w:noProof/>
        </w:rPr>
        <w:t xml:space="preserve"> </w:t>
      </w:r>
      <w:bookmarkEnd w:id="547"/>
      <w:bookmarkEnd w:id="548"/>
      <w:bookmarkEnd w:id="549"/>
      <w:bookmarkEnd w:id="550"/>
      <w:bookmarkEnd w:id="551"/>
    </w:p>
    <w:p w:rsidR="00704A93" w:rsidRDefault="005D0BB9">
      <w:pPr>
        <w:spacing w:after="200" w:line="276" w:lineRule="auto"/>
        <w:rPr>
          <w:noProof/>
        </w:rPr>
      </w:pPr>
      <w:r>
        <w:rPr>
          <w:b/>
          <w:noProof/>
        </w:rPr>
        <w:t>Lower potential growth combined with higher debt makes the role of revenue policies even more crucial</w:t>
      </w:r>
      <w:r>
        <w:rPr>
          <w:noProof/>
        </w:rPr>
        <w:t>. The COVID-19 crisis and the consequent slowdown in economic activity are expected to lead to a fall in the level of total receipts in 2020 in line with the contraction in GDP (Table 2). Incomes have declined, consumption has contracted and some firms are expected to incur large losses thus leading to a significant decline in corporate tax receipts putting a strain on public revenues. Moreover, the VAT Gap</w:t>
      </w:r>
      <w:r>
        <w:rPr>
          <w:rStyle w:val="FootnoteReference"/>
          <w:noProof/>
        </w:rPr>
        <w:footnoteReference w:id="54"/>
      </w:r>
      <w:r>
        <w:rPr>
          <w:noProof/>
        </w:rPr>
        <w:t xml:space="preserve"> is projected to increase further in 2020</w:t>
      </w:r>
      <w:r>
        <w:rPr>
          <w:rStyle w:val="FootnoteReference"/>
          <w:noProof/>
        </w:rPr>
        <w:footnoteReference w:id="55"/>
      </w:r>
      <w:r>
        <w:rPr>
          <w:noProof/>
        </w:rPr>
        <w:t xml:space="preserve">, also due to a sudden decline in the tax base and the possible increase in tax fraud in some sectors of the economy. Finally, tax measures have also been one of the tools used by Member States to respond to the peak of the crisis (Box 1) with the primary aim to lower the pressure on companies’ and households’ liquidity. </w:t>
      </w:r>
    </w:p>
    <w:p w:rsidR="00704A93" w:rsidRDefault="005D0BB9">
      <w:pPr>
        <w:spacing w:after="200" w:line="276" w:lineRule="auto"/>
        <w:rPr>
          <w:noProof/>
        </w:rPr>
      </w:pPr>
      <w:r>
        <w:rPr>
          <w:b/>
          <w:noProof/>
        </w:rPr>
        <w:t>Notwithstanding the challenges arising from the crisis and the immediate pressure on revenue, there is still scope to make tax systems more growth-and environment-friendly going forward.</w:t>
      </w:r>
      <w:r>
        <w:rPr>
          <w:noProof/>
        </w:rPr>
        <w:t xml:space="preserve"> The tax burden in the euro area (at 40.5% of GDP) remains high, and above other advanced economies. Moreover, the overall tax burden is largely skewed towards labour and production factors, with more growth-friendly environmental taxes representing a very small share of tax revenues</w:t>
      </w:r>
      <w:r>
        <w:rPr>
          <w:rStyle w:val="FootnoteReference"/>
          <w:noProof/>
        </w:rPr>
        <w:footnoteReference w:id="56"/>
      </w:r>
      <w:r>
        <w:rPr>
          <w:noProof/>
        </w:rPr>
        <w:t xml:space="preserve"> (Table 3 and Graph 18). T</w:t>
      </w:r>
      <w:r>
        <w:rPr>
          <w:noProof/>
          <w:szCs w:val="24"/>
        </w:rPr>
        <w:t>he tax wedge on labour in the majority of euro area Member States remains much higher than the OECD average, corresponding to around 36% of labour costs</w:t>
      </w:r>
      <w:r>
        <w:rPr>
          <w:noProof/>
        </w:rPr>
        <w:t>.</w:t>
      </w:r>
      <w:r>
        <w:rPr>
          <w:rStyle w:val="FootnoteReference"/>
          <w:noProof/>
          <w:szCs w:val="24"/>
        </w:rPr>
        <w:footnoteReference w:id="57"/>
      </w:r>
      <w:r>
        <w:rPr>
          <w:noProof/>
        </w:rPr>
        <w:t xml:space="preserve"> Reducing employee/employer social security contributions or personal income taxes has the potential to stimulate labour supply, create work incentives and support job creation.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704A93">
        <w:tc>
          <w:tcPr>
            <w:tcW w:w="8834" w:type="dxa"/>
          </w:tcPr>
          <w:p w:rsidR="00704A93" w:rsidRDefault="005D0BB9">
            <w:pPr>
              <w:pStyle w:val="Caption"/>
              <w:keepNext/>
              <w:shd w:val="clear" w:color="auto" w:fill="FFFFFF"/>
              <w:spacing w:before="0" w:after="0"/>
              <w:jc w:val="center"/>
              <w:rPr>
                <w:noProof/>
                <w:color w:val="1F4E79" w:themeColor="accent1" w:themeShade="80"/>
                <w:szCs w:val="22"/>
              </w:rPr>
            </w:pPr>
            <w:r>
              <w:rPr>
                <w:noProof/>
                <w:color w:val="1F4E79" w:themeColor="accent1" w:themeShade="80"/>
                <w:szCs w:val="22"/>
              </w:rPr>
              <w:lastRenderedPageBreak/>
              <w:t>Table 3. Characteristics of Tax Categories</w:t>
            </w:r>
          </w:p>
        </w:tc>
      </w:tr>
      <w:tr w:rsidR="00704A93">
        <w:trPr>
          <w:trHeight w:val="1973"/>
        </w:trPr>
        <w:tc>
          <w:tcPr>
            <w:tcW w:w="8834" w:type="dxa"/>
          </w:tcPr>
          <w:p w:rsidR="00704A93" w:rsidRDefault="005D0BB9">
            <w:pPr>
              <w:spacing w:after="0" w:line="276" w:lineRule="auto"/>
              <w:jc w:val="center"/>
              <w:rPr>
                <w:noProof/>
              </w:rPr>
            </w:pPr>
            <w:r>
              <w:rPr>
                <w:noProof/>
                <w:lang w:eastAsia="en-GB"/>
              </w:rPr>
              <w:drawing>
                <wp:inline distT="0" distB="0" distL="0" distR="0">
                  <wp:extent cx="5144770" cy="130734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413" t="50969" r="29950" b="33728"/>
                          <a:stretch/>
                        </pic:blipFill>
                        <pic:spPr bwMode="auto">
                          <a:xfrm>
                            <a:off x="0" y="0"/>
                            <a:ext cx="5266434" cy="1338260"/>
                          </a:xfrm>
                          <a:prstGeom prst="rect">
                            <a:avLst/>
                          </a:prstGeom>
                          <a:ln>
                            <a:noFill/>
                          </a:ln>
                          <a:extLst>
                            <a:ext uri="{53640926-AAD7-44D8-BBD7-CCE9431645EC}">
                              <a14:shadowObscured xmlns:a14="http://schemas.microsoft.com/office/drawing/2010/main"/>
                            </a:ext>
                          </a:extLst>
                        </pic:spPr>
                      </pic:pic>
                    </a:graphicData>
                  </a:graphic>
                </wp:inline>
              </w:drawing>
            </w:r>
          </w:p>
        </w:tc>
      </w:tr>
      <w:tr w:rsidR="00704A93">
        <w:trPr>
          <w:trHeight w:val="298"/>
        </w:trPr>
        <w:tc>
          <w:tcPr>
            <w:tcW w:w="8834" w:type="dxa"/>
          </w:tcPr>
          <w:p w:rsidR="00704A93" w:rsidRDefault="005D0BB9">
            <w:pPr>
              <w:spacing w:before="60" w:after="0" w:line="276" w:lineRule="auto"/>
              <w:rPr>
                <w:noProof/>
                <w:sz w:val="14"/>
                <w:szCs w:val="14"/>
              </w:rPr>
            </w:pPr>
            <w:r>
              <w:rPr>
                <w:noProof/>
                <w:sz w:val="14"/>
                <w:szCs w:val="14"/>
              </w:rPr>
              <w:t>Note: Tax governance includes tax administration, including tax collection and compliance.</w:t>
            </w:r>
          </w:p>
          <w:p w:rsidR="00704A93" w:rsidRDefault="005D0BB9">
            <w:pPr>
              <w:spacing w:after="0" w:line="276" w:lineRule="auto"/>
              <w:rPr>
                <w:noProof/>
                <w:sz w:val="14"/>
                <w:szCs w:val="14"/>
              </w:rPr>
            </w:pPr>
            <w:r>
              <w:rPr>
                <w:noProof/>
                <w:sz w:val="14"/>
                <w:szCs w:val="14"/>
              </w:rPr>
              <w:t>Source: European Commission, Tax policies in the European Union, 2020 Survey; Tax Wedge On Labour: Shifting Tax Burden From Labour. To Other Forms Of Taxation; Technical note for the Eurogroup.</w:t>
            </w:r>
          </w:p>
        </w:tc>
      </w:tr>
    </w:tbl>
    <w:p w:rsidR="00704A93" w:rsidRDefault="00704A93">
      <w:pPr>
        <w:spacing w:after="200" w:line="276" w:lineRule="auto"/>
        <w:rPr>
          <w:rFonts w:ascii="&amp;quot" w:hAnsi="&amp;quot"/>
          <w:b/>
          <w:noProof/>
        </w:rPr>
      </w:pPr>
      <w:bookmarkStart w:id="552" w:name="_Toc52533650"/>
      <w:bookmarkStart w:id="553" w:name="_Toc52539447"/>
      <w:bookmarkStart w:id="554" w:name="_Toc52541967"/>
      <w:bookmarkStart w:id="555" w:name="_Toc52543794"/>
      <w:bookmarkStart w:id="556" w:name="_Toc52548748"/>
      <w:bookmarkStart w:id="557" w:name="_Toc52550078"/>
      <w:bookmarkStart w:id="558" w:name="_Toc52552274"/>
    </w:p>
    <w:p w:rsidR="00704A93" w:rsidRDefault="005D0BB9">
      <w:pPr>
        <w:spacing w:after="200" w:line="276" w:lineRule="auto"/>
        <w:rPr>
          <w:b/>
          <w:noProof/>
        </w:rPr>
      </w:pPr>
      <w:r>
        <w:rPr>
          <w:rFonts w:ascii="&amp;quot" w:hAnsi="&amp;quot"/>
          <w:b/>
          <w:noProof/>
        </w:rPr>
        <w:t>Rethinking the overall tax mix, including labour taxation, and ensuring a level-playing field could support inclusive and sustainable growth.</w:t>
      </w:r>
      <w:r>
        <w:rPr>
          <w:rFonts w:ascii="&amp;quot" w:hAnsi="&amp;quot"/>
          <w:noProof/>
        </w:rPr>
        <w:t xml:space="preserve"> In the current context, redistribution of tax would also ensure a fair burden-sharing of the effects of the crisis. </w:t>
      </w:r>
      <w:r>
        <w:rPr>
          <w:noProof/>
        </w:rPr>
        <w:t>High tax burden on labour, particularly for low-income and second earners, can be an impediment for job creation and labour market participation. At the same time, environmental taxation</w:t>
      </w:r>
      <w:r>
        <w:rPr>
          <w:rStyle w:val="FootnoteReference"/>
          <w:noProof/>
        </w:rPr>
        <w:footnoteReference w:id="58"/>
      </w:r>
      <w:r>
        <w:rPr>
          <w:noProof/>
        </w:rPr>
        <w:t xml:space="preserve"> can contribute to sustainable growth by incentivising “greener” behaviour by producers and consumers</w:t>
      </w:r>
      <w:r>
        <w:rPr>
          <w:rStyle w:val="FootnoteReference"/>
          <w:noProof/>
        </w:rPr>
        <w:footnoteReference w:id="59"/>
      </w:r>
      <w:r>
        <w:rPr>
          <w:noProof/>
        </w:rPr>
        <w:t xml:space="preserve"> although they could have adverse distributional effects, by putting a comparatively higher burden on lower-income households, compensation mechanisms may be warranted.</w:t>
      </w:r>
      <w:r>
        <w:rPr>
          <w:rStyle w:val="FootnoteReference"/>
          <w:noProof/>
        </w:rPr>
        <w:footnoteReference w:id="60"/>
      </w:r>
    </w:p>
    <w:p w:rsidR="00704A93" w:rsidRDefault="005D0BB9">
      <w:pPr>
        <w:spacing w:after="200" w:line="276" w:lineRule="auto"/>
        <w:rPr>
          <w:noProof/>
        </w:rPr>
      </w:pPr>
      <w:r>
        <w:rPr>
          <w:b/>
          <w:noProof/>
        </w:rPr>
        <w:t xml:space="preserve">In addition to the risks to the revenue linked to the COVID-19 crisis, tax competition and a race to the bottom in corporate taxation poses several challenges for the euro area. </w:t>
      </w:r>
      <w:r>
        <w:rPr>
          <w:noProof/>
        </w:rPr>
        <w:t>The average euro area top statutory corporate tax rate has been falling steadily in the last two decades, from 27.8% in 2004 to 23.4% in 2020.</w:t>
      </w:r>
      <w:r>
        <w:rPr>
          <w:rStyle w:val="FootnoteReference"/>
          <w:noProof/>
        </w:rPr>
        <w:footnoteReference w:id="61"/>
      </w:r>
      <w:r>
        <w:rPr>
          <w:noProof/>
        </w:rPr>
        <w:t xml:space="preserve"> Furthermore, </w:t>
      </w:r>
      <w:r>
        <w:rPr>
          <w:noProof/>
          <w:shd w:val="clear" w:color="auto" w:fill="FFFFFF"/>
        </w:rPr>
        <w:t>corporate taxation systems currently do not ensure that profits are taxed where they are generated, particularly given the increasing digitalisation of the economy</w:t>
      </w:r>
      <w:r>
        <w:rPr>
          <w:noProof/>
        </w:rPr>
        <w:t>. The resulting tax competition can lead to sub-optimal results in terms of resource allocation and investment decisions, while posing problems for economic growth, social fairness and the allocation of employment. Together with tax avoidance, it also risks undermining faith in the fairness of the overall tax system. Recent studies find that tax competition among corporates entails more than EUR 35 billion of corporate tax revenues losses across the EU, annually.</w:t>
      </w:r>
      <w:r>
        <w:rPr>
          <w:rStyle w:val="FootnoteReference"/>
          <w:noProof/>
        </w:rPr>
        <w:t xml:space="preserve"> </w:t>
      </w:r>
      <w:r>
        <w:rPr>
          <w:rStyle w:val="FootnoteReference"/>
          <w:noProof/>
        </w:rPr>
        <w:footnoteReference w:id="62"/>
      </w:r>
      <w:r>
        <w:rPr>
          <w:noProof/>
        </w:rPr>
        <w:t xml:space="preserve"> Race to the bottom and aggressive </w:t>
      </w:r>
      <w:r>
        <w:rPr>
          <w:noProof/>
        </w:rPr>
        <w:lastRenderedPageBreak/>
        <w:t>tax planning could also create strong negative spillovers within euro area Member States, through the tax-induced redistribution effects.</w:t>
      </w:r>
      <w:r>
        <w:rPr>
          <w:rStyle w:val="FootnoteReference"/>
          <w:noProof/>
        </w:rPr>
        <w:footnoteReference w:id="63"/>
      </w:r>
      <w:r>
        <w:rPr>
          <w:noProof/>
        </w:rPr>
        <w:t xml:space="preserve"> </w:t>
      </w:r>
    </w:p>
    <w:p w:rsidR="00704A93" w:rsidRDefault="005D0BB9">
      <w:pPr>
        <w:spacing w:after="200" w:line="276" w:lineRule="auto"/>
        <w:rPr>
          <w:noProof/>
        </w:rPr>
      </w:pPr>
      <w:r>
        <w:rPr>
          <w:b/>
          <w:noProof/>
        </w:rPr>
        <w:t>In the context of a growing digital economy, there is evidence that companies with digital business models have lower tax rates than more traditional businesses highlighting concerns around the degree of fairness of the tax system.</w:t>
      </w:r>
      <w:r>
        <w:rPr>
          <w:noProof/>
        </w:rPr>
        <w:t xml:space="preserve"> While it is an internationally agreed principle that profits should be taxed where value is created</w:t>
      </w:r>
      <w:r>
        <w:rPr>
          <w:rStyle w:val="FootnoteReference"/>
          <w:noProof/>
        </w:rPr>
        <w:footnoteReference w:id="64"/>
      </w:r>
      <w:r>
        <w:rPr>
          <w:noProof/>
        </w:rPr>
        <w:t>, the globalisation and digitalisation of the economy have created a disconnect between where value is created and where taxes are paid, and companies engaged in digital activities often avoid sharing the tax burden needed to finance the public services. In the context of its proposal on the digital service tax, the European Commission had estimated that companies with digital business models had lower tax rate than more traditional businesses, with an effective average tax rate of 9.5% compared to 23.2%.</w:t>
      </w:r>
      <w:r>
        <w:rPr>
          <w:rStyle w:val="FootnoteReference"/>
          <w:noProof/>
        </w:rPr>
        <w:footnoteReference w:id="65"/>
      </w:r>
      <w:r>
        <w:rPr>
          <w:noProof/>
        </w:rPr>
        <w:t xml:space="preserve"> While a number of jurisdictions have already enacted or considered national services taxes, work is ongoing within the OECD framework to reach a global-consensus based solution to address tax challenges arising from the digitalisation of the economy.</w:t>
      </w:r>
      <w:r>
        <w:rPr>
          <w:rStyle w:val="FootnoteReference"/>
          <w:noProof/>
        </w:rPr>
        <w:footnoteReference w:id="66"/>
      </w:r>
      <w:r>
        <w:rPr>
          <w:noProof/>
        </w:rPr>
        <w:t xml:space="preserve"> The pandemic has also accelerated the shift towards e-commerce, making it more urgent to make the EU VAT system better suited to the platform economy.</w:t>
      </w:r>
      <w:r>
        <w:rPr>
          <w:rStyle w:val="FootnoteReference"/>
          <w:noProof/>
        </w:rPr>
        <w:footnoteReference w:id="67"/>
      </w:r>
      <w:r>
        <w:rPr>
          <w:noProof/>
        </w:rPr>
        <w:t xml:space="preserve">  </w:t>
      </w:r>
    </w:p>
    <w:p w:rsidR="00704A93" w:rsidRDefault="005D0BB9">
      <w:pPr>
        <w:pStyle w:val="Heading1"/>
        <w:rPr>
          <w:noProof/>
          <w:lang w:val="en-IE"/>
        </w:rPr>
      </w:pPr>
      <w:bookmarkStart w:id="559" w:name="_Toc53133717"/>
      <w:bookmarkStart w:id="560" w:name="_Toc53143026"/>
      <w:bookmarkStart w:id="561" w:name="_Toc53151536"/>
      <w:bookmarkStart w:id="562" w:name="_Toc53160263"/>
      <w:bookmarkStart w:id="563" w:name="_Toc53163225"/>
      <w:bookmarkStart w:id="564" w:name="_Toc53390010"/>
      <w:bookmarkStart w:id="565" w:name="_Toc53391745"/>
      <w:bookmarkStart w:id="566" w:name="_Toc53432748"/>
      <w:bookmarkStart w:id="567" w:name="_Toc53490252"/>
      <w:bookmarkStart w:id="568" w:name="_Toc53490779"/>
      <w:bookmarkStart w:id="569" w:name="_Toc53494722"/>
      <w:bookmarkStart w:id="570" w:name="_Toc53504211"/>
      <w:bookmarkStart w:id="571" w:name="_Toc53505971"/>
      <w:bookmarkStart w:id="572" w:name="_Toc53652782"/>
      <w:bookmarkStart w:id="573" w:name="_Toc53670377"/>
      <w:bookmarkStart w:id="574" w:name="_Toc53670866"/>
      <w:bookmarkStart w:id="575" w:name="_Toc53678898"/>
      <w:bookmarkStart w:id="576" w:name="_Toc53752560"/>
      <w:bookmarkStart w:id="577" w:name="_Toc53752756"/>
      <w:bookmarkStart w:id="578" w:name="_Toc53756239"/>
      <w:bookmarkStart w:id="579" w:name="_Toc54002745"/>
      <w:bookmarkStart w:id="580" w:name="_Toc54004837"/>
      <w:bookmarkStart w:id="581" w:name="_Toc54187769"/>
      <w:bookmarkStart w:id="582" w:name="_Toc54195823"/>
      <w:bookmarkStart w:id="583" w:name="_Toc54198605"/>
      <w:bookmarkStart w:id="584" w:name="_Toc54363748"/>
      <w:bookmarkStart w:id="585" w:name="_Toc54374674"/>
      <w:bookmarkStart w:id="586" w:name="_Toc54376083"/>
      <w:bookmarkStart w:id="587" w:name="_Toc54429928"/>
      <w:bookmarkStart w:id="588" w:name="_Toc54430251"/>
      <w:bookmarkStart w:id="589" w:name="_Toc55466109"/>
      <w:bookmarkStart w:id="590" w:name="_Toc55402860"/>
      <w:bookmarkStart w:id="591" w:name="_Toc55398263"/>
      <w:bookmarkStart w:id="592" w:name="_Toc55410571"/>
      <w:bookmarkStart w:id="593" w:name="_Toc55480559"/>
      <w:bookmarkStart w:id="594" w:name="_Toc55482438"/>
      <w:bookmarkStart w:id="595" w:name="_Toc55486350"/>
      <w:bookmarkStart w:id="596" w:name="_Toc55488159"/>
      <w:bookmarkStart w:id="597" w:name="_Toc55488793"/>
      <w:bookmarkStart w:id="598" w:name="_Toc55490418"/>
      <w:bookmarkStart w:id="599" w:name="_Toc55490607"/>
      <w:bookmarkStart w:id="600" w:name="_Toc55498949"/>
      <w:bookmarkStart w:id="601" w:name="_Toc55499139"/>
      <w:bookmarkStart w:id="602" w:name="_Toc55651321"/>
      <w:bookmarkStart w:id="603" w:name="_Toc55662180"/>
      <w:bookmarkStart w:id="604" w:name="_Toc55663564"/>
      <w:bookmarkStart w:id="605" w:name="_Toc55750534"/>
      <w:bookmarkStart w:id="606" w:name="_Toc55761117"/>
      <w:bookmarkStart w:id="607" w:name="_Toc55808249"/>
      <w:bookmarkStart w:id="608" w:name="_Toc55899256"/>
      <w:bookmarkStart w:id="609" w:name="_Toc55899590"/>
      <w:bookmarkStart w:id="610" w:name="_Toc55899756"/>
      <w:bookmarkStart w:id="611" w:name="_Toc55977217"/>
      <w:bookmarkStart w:id="612" w:name="_Toc55991385"/>
      <w:bookmarkStart w:id="613" w:name="_Toc55993133"/>
      <w:bookmarkStart w:id="614" w:name="_Toc55999441"/>
      <w:bookmarkStart w:id="615" w:name="_Toc55999504"/>
      <w:bookmarkStart w:id="616" w:name="_Toc56012521"/>
      <w:bookmarkStart w:id="617" w:name="_Toc56013744"/>
      <w:bookmarkStart w:id="618" w:name="_Toc56172429"/>
      <w:bookmarkStart w:id="619" w:name="_Toc56173640"/>
      <w:r>
        <w:rPr>
          <w:noProof/>
        </w:rPr>
        <w:t>Structural issues and reform developments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704A93" w:rsidRDefault="005D0BB9">
      <w:pPr>
        <w:spacing w:after="200" w:line="276" w:lineRule="auto"/>
        <w:rPr>
          <w:noProof/>
        </w:rPr>
      </w:pPr>
      <w:bookmarkStart w:id="620" w:name="_Toc52533651"/>
      <w:bookmarkStart w:id="621" w:name="_Toc52539448"/>
      <w:bookmarkStart w:id="622" w:name="_Toc52541968"/>
      <w:bookmarkStart w:id="623" w:name="_Toc52543795"/>
      <w:bookmarkStart w:id="624" w:name="_Toc52548749"/>
      <w:bookmarkStart w:id="625" w:name="_Toc52550079"/>
      <w:bookmarkStart w:id="626" w:name="_Toc52552275"/>
      <w:bookmarkStart w:id="627" w:name="_Toc53133718"/>
      <w:bookmarkStart w:id="628" w:name="_Toc53143027"/>
      <w:r>
        <w:rPr>
          <w:b/>
          <w:noProof/>
        </w:rPr>
        <w:t xml:space="preserve">Well-designed structural policies - consistent with the green and digital transitions - can further support the recovery, enhance economic and social resilience and facilitate the transmission of monetary policy. </w:t>
      </w:r>
      <w:r>
        <w:rPr>
          <w:noProof/>
        </w:rPr>
        <w:t xml:space="preserve">In recent years, progress in reform implementation has been limited despite efforts to strengthen application through the European Semester. New model simulations provide further evidence on the effects of </w:t>
      </w:r>
      <w:r>
        <w:rPr>
          <w:noProof/>
          <w:lang w:val="en-US"/>
        </w:rPr>
        <w:t>labour and product market reforms, in terms of material growth benefits over the medium term (Box 2).</w:t>
      </w:r>
      <w:r>
        <w:rPr>
          <w:noProof/>
        </w:rPr>
        <w:t xml:space="preserve"> </w:t>
      </w:r>
    </w:p>
    <w:tbl>
      <w:tblPr>
        <w:tblStyle w:val="TableGrid"/>
        <w:tblW w:w="0" w:type="auto"/>
        <w:tblLook w:val="04A0" w:firstRow="1" w:lastRow="0" w:firstColumn="1" w:lastColumn="0" w:noHBand="0" w:noVBand="1"/>
      </w:tblPr>
      <w:tblGrid>
        <w:gridCol w:w="9242"/>
      </w:tblGrid>
      <w:tr w:rsidR="00704A93">
        <w:tc>
          <w:tcPr>
            <w:tcW w:w="9242" w:type="dxa"/>
          </w:tcPr>
          <w:p w:rsidR="00704A93" w:rsidRDefault="005D0BB9">
            <w:pPr>
              <w:jc w:val="center"/>
              <w:rPr>
                <w:b/>
                <w:noProof/>
                <w:lang w:val="en-US"/>
              </w:rPr>
            </w:pPr>
            <w:r>
              <w:rPr>
                <w:b/>
                <w:noProof/>
                <w:lang w:val="en-US"/>
              </w:rPr>
              <w:t>BOX 2: Simulation of Policy Mix based on the QUEST model</w:t>
            </w:r>
          </w:p>
          <w:tbl>
            <w:tblPr>
              <w:tblStyle w:val="TableGrid"/>
              <w:tblW w:w="896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458"/>
            </w:tblGrid>
            <w:tr w:rsidR="00704A93">
              <w:tc>
                <w:tcPr>
                  <w:tcW w:w="8505" w:type="dxa"/>
                </w:tcPr>
                <w:p w:rsidR="00704A93" w:rsidRDefault="005D0BB9">
                  <w:pPr>
                    <w:spacing w:after="0" w:line="276" w:lineRule="auto"/>
                    <w:rPr>
                      <w:noProof/>
                      <w:lang w:val="en-US"/>
                    </w:rPr>
                  </w:pPr>
                  <w:r>
                    <w:rPr>
                      <w:b/>
                      <w:noProof/>
                      <w:lang w:val="en-US"/>
                    </w:rPr>
                    <w:t xml:space="preserve">Along with monetary and fiscal support provided by Member States, structural reforms can ensure a lasting recovery and sustainable growth prospects in the euro area. </w:t>
                  </w:r>
                  <w:r>
                    <w:rPr>
                      <w:noProof/>
                      <w:lang w:val="en-US"/>
                    </w:rPr>
                    <w:t>The Recovery and Resilience Facility provides an opportunity to</w:t>
                  </w:r>
                  <w:r>
                    <w:rPr>
                      <w:b/>
                      <w:noProof/>
                      <w:lang w:val="en-US"/>
                    </w:rPr>
                    <w:t xml:space="preserve"> </w:t>
                  </w:r>
                  <w:r>
                    <w:rPr>
                      <w:noProof/>
                      <w:lang w:val="en-US"/>
                    </w:rPr>
                    <w:lastRenderedPageBreak/>
                    <w:t>undertake needed structural reforms that could have significant growth benefits, as shown in this box that uses DG ECFIN’s structural macro model QUEST</w:t>
                  </w:r>
                  <w:r>
                    <w:rPr>
                      <w:noProof/>
                      <w:vertAlign w:val="superscript"/>
                      <w:lang w:val="en-US"/>
                    </w:rPr>
                    <w:footnoteReference w:id="68"/>
                  </w:r>
                  <w:r>
                    <w:rPr>
                      <w:noProof/>
                      <w:lang w:val="en-US"/>
                    </w:rPr>
                    <w:t xml:space="preserve"> to assess the GDP impact of a set of structural reforms included on top of baseline monetary and fiscal support. </w:t>
                  </w:r>
                  <w:r>
                    <w:rPr>
                      <w:noProof/>
                    </w:rPr>
                    <w:t xml:space="preserve">The simulations illustrate that </w:t>
                  </w:r>
                  <w:r>
                    <w:rPr>
                      <w:noProof/>
                      <w:lang w:val="en-US"/>
                    </w:rPr>
                    <w:t>labour and product market reforms could have material growth benefits over the medium term.</w:t>
                  </w:r>
                  <w:r>
                    <w:rPr>
                      <w:noProof/>
                    </w:rPr>
                    <w:t xml:space="preserve"> </w:t>
                  </w:r>
                  <w:r>
                    <w:rPr>
                      <w:noProof/>
                      <w:lang w:val="en-US"/>
                    </w:rPr>
                    <w:t>The model analysis reflects the following assumptions for the simulated product and labour market reforms:</w:t>
                  </w:r>
                </w:p>
                <w:p w:rsidR="00704A93" w:rsidRDefault="005D0BB9">
                  <w:pPr>
                    <w:numPr>
                      <w:ilvl w:val="0"/>
                      <w:numId w:val="15"/>
                    </w:numPr>
                    <w:spacing w:after="0"/>
                    <w:contextualSpacing/>
                    <w:rPr>
                      <w:noProof/>
                      <w:lang w:val="en-US"/>
                    </w:rPr>
                  </w:pPr>
                  <w:r>
                    <w:rPr>
                      <w:noProof/>
                    </w:rPr>
                    <w:t>Reforms lowering the administrative burden</w:t>
                  </w:r>
                  <w:r>
                    <w:rPr>
                      <w:rStyle w:val="FootnoteReference"/>
                      <w:noProof/>
                    </w:rPr>
                    <w:footnoteReference w:id="69"/>
                  </w:r>
                  <w:r>
                    <w:rPr>
                      <w:noProof/>
                    </w:rPr>
                    <w:t xml:space="preserve"> implying a 2 percentage-point mark-up reduction in the euro area economy together with 0.5% improvement in the level of TFP. </w:t>
                  </w:r>
                </w:p>
                <w:p w:rsidR="00704A93" w:rsidRDefault="005D0BB9">
                  <w:pPr>
                    <w:numPr>
                      <w:ilvl w:val="0"/>
                      <w:numId w:val="15"/>
                    </w:numPr>
                    <w:spacing w:after="120"/>
                    <w:contextualSpacing/>
                    <w:rPr>
                      <w:noProof/>
                      <w:lang w:val="en-US"/>
                    </w:rPr>
                  </w:pPr>
                  <w:r>
                    <w:rPr>
                      <w:noProof/>
                    </w:rPr>
                    <w:t>A 2 pp increase in labour force participation</w:t>
                  </w:r>
                  <w:r>
                    <w:rPr>
                      <w:rStyle w:val="FootnoteReference"/>
                      <w:noProof/>
                    </w:rPr>
                    <w:footnoteReference w:id="70"/>
                  </w:r>
                  <w:r>
                    <w:rPr>
                      <w:noProof/>
                    </w:rPr>
                    <w:t xml:space="preserve"> over a 10-year horizon.</w:t>
                  </w:r>
                  <w:r>
                    <w:rPr>
                      <w:noProof/>
                      <w:vertAlign w:val="superscript"/>
                    </w:rPr>
                    <w:footnoteReference w:id="71"/>
                  </w:r>
                  <w:r>
                    <w:rPr>
                      <w:noProof/>
                      <w:lang w:val="en-US"/>
                    </w:rPr>
                    <w:t xml:space="preserve"> </w:t>
                  </w:r>
                </w:p>
                <w:p w:rsidR="00704A93" w:rsidRDefault="005D0BB9">
                  <w:pPr>
                    <w:numPr>
                      <w:ilvl w:val="0"/>
                      <w:numId w:val="15"/>
                    </w:numPr>
                    <w:spacing w:after="120"/>
                    <w:contextualSpacing/>
                    <w:rPr>
                      <w:noProof/>
                      <w:lang w:val="en-US"/>
                    </w:rPr>
                  </w:pPr>
                  <w:r>
                    <w:rPr>
                      <w:noProof/>
                      <w:lang w:val="en-US"/>
                    </w:rPr>
                    <w:t xml:space="preserve">Structural reforms in the labour and product market are assumed to kick off in mid-2021, when emergency support by Member States starts waning. </w:t>
                  </w:r>
                </w:p>
                <w:p w:rsidR="00704A93" w:rsidRDefault="005D0BB9">
                  <w:pPr>
                    <w:numPr>
                      <w:ilvl w:val="0"/>
                      <w:numId w:val="15"/>
                    </w:numPr>
                    <w:spacing w:after="120"/>
                    <w:contextualSpacing/>
                    <w:rPr>
                      <w:noProof/>
                      <w:lang w:val="en-US"/>
                    </w:rPr>
                  </w:pPr>
                  <w:r>
                    <w:rPr>
                      <w:noProof/>
                      <w:lang w:val="en-US"/>
                    </w:rPr>
                    <w:t>The labour market component is phased in over 20 years, whereas the product market component materialises fully after 5 years.</w:t>
                  </w:r>
                </w:p>
                <w:p w:rsidR="00704A93" w:rsidRDefault="00704A93">
                  <w:pPr>
                    <w:spacing w:after="120"/>
                    <w:contextualSpacing/>
                    <w:rPr>
                      <w:noProof/>
                      <w:lang w:val="en-US"/>
                    </w:rPr>
                  </w:pPr>
                </w:p>
                <w:p w:rsidR="00704A93" w:rsidRDefault="005D0BB9">
                  <w:pPr>
                    <w:rPr>
                      <w:noProof/>
                      <w:lang w:val="en-US"/>
                    </w:rPr>
                  </w:pPr>
                  <w:r>
                    <w:rPr>
                      <w:noProof/>
                      <w:lang w:val="en-US"/>
                    </w:rPr>
                    <w:t xml:space="preserve">Most notable results of the simulations (expressed as a deviation from a baseline) are the following (Graph 19): </w:t>
                  </w:r>
                </w:p>
                <w:p w:rsidR="00704A93" w:rsidRDefault="005D0BB9">
                  <w:pPr>
                    <w:numPr>
                      <w:ilvl w:val="0"/>
                      <w:numId w:val="16"/>
                    </w:numPr>
                    <w:contextualSpacing/>
                    <w:rPr>
                      <w:noProof/>
                      <w:lang w:val="en-US"/>
                    </w:rPr>
                  </w:pPr>
                  <w:r>
                    <w:rPr>
                      <w:noProof/>
                      <w:lang w:val="en-US"/>
                    </w:rPr>
                    <w:t xml:space="preserve">Labour and product market reforms start to kick-in by 2021. The growth benefits of these reforms are already visible in the same year, even if only a small part of the associated supply expansion will have materialized at that point. The reforms will take effect only gradually in the scenario; nonetheless, once their effects become more pronounced, structural reforms have a positive effect on GDP in the medium term. Specifically, by 2029 the projected level of GDP is 4.5% higher than in the baseline scenario. </w:t>
                  </w:r>
                </w:p>
                <w:p w:rsidR="00704A93" w:rsidRDefault="005D0BB9">
                  <w:pPr>
                    <w:numPr>
                      <w:ilvl w:val="0"/>
                      <w:numId w:val="16"/>
                    </w:numPr>
                    <w:contextualSpacing/>
                    <w:rPr>
                      <w:noProof/>
                      <w:lang w:val="en-US"/>
                    </w:rPr>
                  </w:pPr>
                  <w:r>
                    <w:rPr>
                      <w:noProof/>
                      <w:lang w:val="en-US"/>
                    </w:rPr>
                    <w:t xml:space="preserve">Structural reforms can add 0.5 percentage points to yearly GDP growth over the decade on average, which appears particularly significant considering the low potential GDP growth prior to the COVID-19 crisis. </w:t>
                  </w:r>
                </w:p>
                <w:p w:rsidR="00704A93" w:rsidRDefault="005D0BB9">
                  <w:pPr>
                    <w:numPr>
                      <w:ilvl w:val="0"/>
                      <w:numId w:val="16"/>
                    </w:numPr>
                    <w:contextualSpacing/>
                    <w:rPr>
                      <w:noProof/>
                      <w:lang w:val="en-US"/>
                    </w:rPr>
                  </w:pPr>
                  <w:r>
                    <w:rPr>
                      <w:noProof/>
                      <w:lang w:val="en-US"/>
                    </w:rPr>
                    <w:t>Strengthened product market competition can reduce the profit margins of individual firms and increase efficiency through new entrants in the market. Both elements have positive effects on the level of GDP. Increasing labour force participation through reforms would furthermore translate into a 2% increase in employment (as measured by hours worked) by 2029. Similarly, consumption would benefit from an increase in the participation rate, through higher disposable income.</w:t>
                  </w:r>
                </w:p>
                <w:p w:rsidR="00704A93" w:rsidRDefault="005D0BB9">
                  <w:pPr>
                    <w:numPr>
                      <w:ilvl w:val="0"/>
                      <w:numId w:val="16"/>
                    </w:numPr>
                    <w:contextualSpacing/>
                    <w:rPr>
                      <w:noProof/>
                      <w:lang w:val="en-US"/>
                    </w:rPr>
                  </w:pPr>
                  <w:r>
                    <w:rPr>
                      <w:noProof/>
                      <w:lang w:val="en-US"/>
                    </w:rPr>
                    <w:t xml:space="preserve">In the long-run, even partially closing the gap in terms of structural reforms towards best performing countries could also have significant positive effects </w:t>
                  </w:r>
                  <w:r>
                    <w:rPr>
                      <w:noProof/>
                      <w:lang w:val="en-US"/>
                    </w:rPr>
                    <w:lastRenderedPageBreak/>
                    <w:t>on convergence within the euro area, as the effects may be concentrated in areas and countries lagging behind.</w:t>
                  </w:r>
                </w:p>
                <w:p w:rsidR="00704A93" w:rsidRDefault="00704A93">
                  <w:pPr>
                    <w:spacing w:after="0"/>
                    <w:jc w:val="center"/>
                    <w:rPr>
                      <w:i/>
                      <w:noProof/>
                      <w:color w:val="1F497D"/>
                      <w:sz w:val="22"/>
                      <w:szCs w:val="22"/>
                    </w:rPr>
                  </w:pPr>
                </w:p>
                <w:p w:rsidR="00704A93" w:rsidRDefault="005D0BB9">
                  <w:pPr>
                    <w:spacing w:after="0"/>
                    <w:jc w:val="center"/>
                    <w:rPr>
                      <w:i/>
                      <w:noProof/>
                      <w:sz w:val="22"/>
                      <w:szCs w:val="22"/>
                      <w:lang w:val="en-IE"/>
                    </w:rPr>
                  </w:pPr>
                  <w:r>
                    <w:rPr>
                      <w:i/>
                      <w:noProof/>
                      <w:color w:val="1F497D"/>
                      <w:sz w:val="22"/>
                      <w:szCs w:val="22"/>
                    </w:rPr>
                    <w:t>Graph 19: Impact of product and labour market reforms on the level of euro area real GDP (deviation from baseline level)</w:t>
                  </w:r>
                </w:p>
              </w:tc>
              <w:tc>
                <w:tcPr>
                  <w:tcW w:w="458" w:type="dxa"/>
                </w:tcPr>
                <w:p w:rsidR="00704A93" w:rsidRDefault="00704A93">
                  <w:pPr>
                    <w:spacing w:after="0"/>
                    <w:rPr>
                      <w:i/>
                      <w:noProof/>
                      <w:color w:val="1F497D"/>
                      <w:sz w:val="22"/>
                      <w:szCs w:val="22"/>
                    </w:rPr>
                  </w:pPr>
                </w:p>
              </w:tc>
            </w:tr>
            <w:tr w:rsidR="00704A93">
              <w:tblPrEx>
                <w:tblCellMar>
                  <w:left w:w="70" w:type="dxa"/>
                  <w:right w:w="70" w:type="dxa"/>
                </w:tblCellMar>
              </w:tblPrEx>
              <w:tc>
                <w:tcPr>
                  <w:tcW w:w="8505" w:type="dxa"/>
                </w:tcPr>
                <w:p w:rsidR="00704A93" w:rsidRDefault="005D0BB9">
                  <w:pPr>
                    <w:jc w:val="center"/>
                    <w:rPr>
                      <w:noProof/>
                      <w:lang w:val="en-US"/>
                    </w:rPr>
                  </w:pPr>
                  <w:r>
                    <w:rPr>
                      <w:noProof/>
                      <w:lang w:eastAsia="en-GB"/>
                    </w:rPr>
                    <w:lastRenderedPageBreak/>
                    <w:drawing>
                      <wp:inline distT="0" distB="0" distL="0" distR="0">
                        <wp:extent cx="4018547" cy="1443790"/>
                        <wp:effectExtent l="0" t="0" r="127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4A93" w:rsidRDefault="005D0BB9">
                  <w:pPr>
                    <w:jc w:val="center"/>
                    <w:rPr>
                      <w:noProof/>
                      <w:sz w:val="16"/>
                      <w:szCs w:val="16"/>
                    </w:rPr>
                  </w:pPr>
                  <w:r>
                    <w:rPr>
                      <w:noProof/>
                      <w:sz w:val="16"/>
                      <w:szCs w:val="16"/>
                    </w:rPr>
                    <w:t xml:space="preserve">Source: European Commission. </w:t>
                  </w:r>
                </w:p>
              </w:tc>
              <w:tc>
                <w:tcPr>
                  <w:tcW w:w="458" w:type="dxa"/>
                </w:tcPr>
                <w:p w:rsidR="00704A93" w:rsidRDefault="00704A93">
                  <w:pPr>
                    <w:rPr>
                      <w:noProof/>
                      <w:color w:val="1F497D"/>
                      <w:lang w:val="en-US"/>
                    </w:rPr>
                  </w:pPr>
                </w:p>
              </w:tc>
            </w:tr>
          </w:tbl>
          <w:p w:rsidR="00704A93" w:rsidRDefault="00704A93">
            <w:pPr>
              <w:rPr>
                <w:noProof/>
              </w:rPr>
            </w:pPr>
          </w:p>
        </w:tc>
      </w:tr>
    </w:tbl>
    <w:p w:rsidR="00704A93" w:rsidRDefault="00704A93">
      <w:pPr>
        <w:spacing w:line="276" w:lineRule="auto"/>
        <w:rPr>
          <w:b/>
          <w:noProof/>
          <w:lang w:val="en-IE"/>
        </w:rPr>
      </w:pPr>
    </w:p>
    <w:p w:rsidR="00704A93" w:rsidRDefault="005D0BB9">
      <w:pPr>
        <w:spacing w:after="200" w:line="276" w:lineRule="auto"/>
        <w:rPr>
          <w:noProof/>
          <w:szCs w:val="24"/>
          <w:lang w:val="en-IE"/>
        </w:rPr>
      </w:pPr>
      <w:r>
        <w:rPr>
          <w:b/>
          <w:noProof/>
          <w:szCs w:val="24"/>
          <w:lang w:val="en-IE"/>
        </w:rPr>
        <w:t>There are several areas where structural and institutional factors continue hindering growth in the euro area and where wide-ranging reforms could support the euro area objectives of promoting convergence and the functioning of the single currency area while supporting a fair, green and digital</w:t>
      </w:r>
      <w:r>
        <w:rPr>
          <w:b/>
          <w:noProof/>
          <w:szCs w:val="24"/>
        </w:rPr>
        <w:t xml:space="preserve"> </w:t>
      </w:r>
      <w:r>
        <w:rPr>
          <w:b/>
          <w:noProof/>
          <w:szCs w:val="24"/>
          <w:lang w:val="en-IE"/>
        </w:rPr>
        <w:t>recovery.</w:t>
      </w:r>
      <w:r>
        <w:rPr>
          <w:rStyle w:val="FootnoteReference"/>
          <w:noProof/>
        </w:rPr>
        <w:footnoteReference w:id="72"/>
      </w:r>
      <w:r>
        <w:rPr>
          <w:b/>
          <w:noProof/>
          <w:szCs w:val="24"/>
          <w:lang w:val="en-IE"/>
        </w:rPr>
        <w:t xml:space="preserve"> </w:t>
      </w:r>
      <w:r>
        <w:rPr>
          <w:noProof/>
          <w:szCs w:val="24"/>
          <w:lang w:val="en-IE"/>
        </w:rPr>
        <w:t>The remaining of this section discusses structural weaknesses and reforms in the following areas</w:t>
      </w:r>
      <w:r>
        <w:rPr>
          <w:b/>
          <w:noProof/>
          <w:szCs w:val="24"/>
          <w:lang w:val="en-IE"/>
        </w:rPr>
        <w:t>:</w:t>
      </w:r>
      <w:r>
        <w:rPr>
          <w:noProof/>
          <w:szCs w:val="24"/>
          <w:lang w:val="en-IE"/>
        </w:rPr>
        <w:t xml:space="preserve"> </w:t>
      </w:r>
    </w:p>
    <w:p w:rsidR="00704A93" w:rsidRDefault="005D0BB9">
      <w:pPr>
        <w:pStyle w:val="ListParagraph"/>
        <w:numPr>
          <w:ilvl w:val="0"/>
          <w:numId w:val="19"/>
        </w:numPr>
        <w:spacing w:after="120" w:line="276" w:lineRule="auto"/>
        <w:rPr>
          <w:noProof/>
          <w:lang w:val="en-IE"/>
        </w:rPr>
      </w:pPr>
      <w:r>
        <w:rPr>
          <w:noProof/>
          <w:lang w:val="en-IE"/>
        </w:rPr>
        <w:t xml:space="preserve">Single market integration; </w:t>
      </w:r>
    </w:p>
    <w:p w:rsidR="00704A93" w:rsidRDefault="005D0BB9">
      <w:pPr>
        <w:pStyle w:val="ListParagraph"/>
        <w:numPr>
          <w:ilvl w:val="0"/>
          <w:numId w:val="19"/>
        </w:numPr>
        <w:spacing w:after="120" w:line="276" w:lineRule="auto"/>
        <w:rPr>
          <w:noProof/>
          <w:lang w:val="en-IE"/>
        </w:rPr>
      </w:pPr>
      <w:r>
        <w:rPr>
          <w:noProof/>
          <w:lang w:val="en-IE"/>
        </w:rPr>
        <w:t>Labour markets and social protection;</w:t>
      </w:r>
    </w:p>
    <w:p w:rsidR="00704A93" w:rsidRDefault="005D0BB9">
      <w:pPr>
        <w:pStyle w:val="ListParagraph"/>
        <w:numPr>
          <w:ilvl w:val="0"/>
          <w:numId w:val="19"/>
        </w:numPr>
        <w:spacing w:after="120" w:line="276" w:lineRule="auto"/>
        <w:rPr>
          <w:noProof/>
          <w:lang w:val="en-IE"/>
        </w:rPr>
      </w:pPr>
      <w:r>
        <w:rPr>
          <w:noProof/>
          <w:lang w:val="en-IE"/>
        </w:rPr>
        <w:t>Labour market skills for the digital and green transition;</w:t>
      </w:r>
    </w:p>
    <w:p w:rsidR="00704A93" w:rsidRDefault="005D0BB9">
      <w:pPr>
        <w:pStyle w:val="ListParagraph"/>
        <w:numPr>
          <w:ilvl w:val="0"/>
          <w:numId w:val="19"/>
        </w:numPr>
        <w:spacing w:after="120" w:line="276" w:lineRule="auto"/>
        <w:rPr>
          <w:noProof/>
          <w:lang w:val="en-IE"/>
        </w:rPr>
      </w:pPr>
      <w:r>
        <w:rPr>
          <w:noProof/>
          <w:lang w:val="en-IE"/>
        </w:rPr>
        <w:t xml:space="preserve">Insolvency frameworks; </w:t>
      </w:r>
    </w:p>
    <w:p w:rsidR="00704A93" w:rsidRDefault="005D0BB9">
      <w:pPr>
        <w:pStyle w:val="ListParagraph"/>
        <w:numPr>
          <w:ilvl w:val="0"/>
          <w:numId w:val="19"/>
        </w:numPr>
        <w:spacing w:after="120" w:line="276" w:lineRule="auto"/>
        <w:rPr>
          <w:noProof/>
          <w:lang w:val="en-IE"/>
        </w:rPr>
      </w:pPr>
      <w:r>
        <w:rPr>
          <w:noProof/>
          <w:lang w:val="en-IE"/>
        </w:rPr>
        <w:t xml:space="preserve">Administrative and absorption capacity and other drivers of institutional quality; </w:t>
      </w:r>
    </w:p>
    <w:p w:rsidR="00704A93" w:rsidRDefault="005D0BB9">
      <w:pPr>
        <w:pStyle w:val="ListParagraph"/>
        <w:numPr>
          <w:ilvl w:val="0"/>
          <w:numId w:val="19"/>
        </w:numPr>
        <w:spacing w:after="200" w:line="276" w:lineRule="auto"/>
        <w:rPr>
          <w:noProof/>
          <w:lang w:val="en-IE"/>
        </w:rPr>
      </w:pPr>
      <w:r>
        <w:rPr>
          <w:noProof/>
          <w:lang w:val="en-IE"/>
        </w:rPr>
        <w:t>Risks of macroeconomic imbalances.</w:t>
      </w:r>
    </w:p>
    <w:p w:rsidR="00704A93" w:rsidRDefault="005D0BB9">
      <w:pPr>
        <w:pStyle w:val="Heading2"/>
        <w:spacing w:line="276" w:lineRule="auto"/>
        <w:rPr>
          <w:noProof/>
        </w:rPr>
      </w:pPr>
      <w:bookmarkStart w:id="629" w:name="_Toc54429929"/>
      <w:bookmarkStart w:id="630" w:name="_Toc54430252"/>
      <w:bookmarkStart w:id="631" w:name="_Toc55466110"/>
      <w:bookmarkStart w:id="632" w:name="_Toc55480560"/>
      <w:bookmarkStart w:id="633" w:name="_Toc55482439"/>
      <w:bookmarkStart w:id="634" w:name="_Toc55486351"/>
      <w:bookmarkStart w:id="635" w:name="_Toc55488160"/>
      <w:bookmarkStart w:id="636" w:name="_Toc55488794"/>
      <w:bookmarkStart w:id="637" w:name="_Toc55490419"/>
      <w:bookmarkStart w:id="638" w:name="_Toc55490608"/>
      <w:bookmarkStart w:id="639" w:name="_Toc55498950"/>
      <w:bookmarkStart w:id="640" w:name="_Toc55499140"/>
      <w:bookmarkStart w:id="641" w:name="_Toc55651322"/>
      <w:bookmarkStart w:id="642" w:name="_Toc55662181"/>
      <w:bookmarkStart w:id="643" w:name="_Toc55663565"/>
      <w:bookmarkStart w:id="644" w:name="_Toc55750535"/>
      <w:bookmarkStart w:id="645" w:name="_Toc55761118"/>
      <w:bookmarkStart w:id="646" w:name="_Toc55808250"/>
      <w:bookmarkStart w:id="647" w:name="_Toc55899257"/>
      <w:bookmarkStart w:id="648" w:name="_Toc55899591"/>
      <w:bookmarkStart w:id="649" w:name="_Toc55899757"/>
      <w:bookmarkStart w:id="650" w:name="_Toc55977218"/>
      <w:bookmarkStart w:id="651" w:name="_Toc55991386"/>
      <w:bookmarkStart w:id="652" w:name="_Toc55993134"/>
      <w:bookmarkStart w:id="653" w:name="_Toc55999442"/>
      <w:bookmarkStart w:id="654" w:name="_Toc55999505"/>
      <w:bookmarkStart w:id="655" w:name="_Toc56012522"/>
      <w:bookmarkStart w:id="656" w:name="_Toc56013745"/>
      <w:bookmarkStart w:id="657" w:name="_Toc56172430"/>
      <w:bookmarkStart w:id="658" w:name="_Toc56173641"/>
      <w:bookmarkStart w:id="659" w:name="_Toc52533652"/>
      <w:bookmarkStart w:id="660" w:name="_Toc52539449"/>
      <w:bookmarkStart w:id="661" w:name="_Toc52541969"/>
      <w:bookmarkStart w:id="662" w:name="_Toc52543796"/>
      <w:bookmarkStart w:id="663" w:name="_Toc52548750"/>
      <w:bookmarkStart w:id="664" w:name="_Toc52550080"/>
      <w:bookmarkStart w:id="665" w:name="_Toc52552276"/>
      <w:bookmarkStart w:id="666" w:name="_Toc53133719"/>
      <w:bookmarkStart w:id="667" w:name="_Toc53143028"/>
      <w:bookmarkStart w:id="668" w:name="_Toc53151537"/>
      <w:bookmarkStart w:id="669" w:name="_Toc53160264"/>
      <w:bookmarkStart w:id="670" w:name="_Toc53163226"/>
      <w:bookmarkStart w:id="671" w:name="_Toc53390011"/>
      <w:bookmarkStart w:id="672" w:name="_Toc53391746"/>
      <w:bookmarkStart w:id="673" w:name="_Toc53432749"/>
      <w:bookmarkStart w:id="674" w:name="_Toc53490253"/>
      <w:bookmarkStart w:id="675" w:name="_Toc53490780"/>
      <w:bookmarkStart w:id="676" w:name="_Toc53494723"/>
      <w:bookmarkStart w:id="677" w:name="_Toc53504212"/>
      <w:bookmarkStart w:id="678" w:name="_Toc53505972"/>
      <w:bookmarkStart w:id="679" w:name="_Toc53652783"/>
      <w:bookmarkStart w:id="680" w:name="_Toc53670378"/>
      <w:bookmarkStart w:id="681" w:name="_Toc53670867"/>
      <w:bookmarkStart w:id="682" w:name="_Toc53678899"/>
      <w:bookmarkStart w:id="683" w:name="_Toc53752561"/>
      <w:bookmarkStart w:id="684" w:name="_Toc53752757"/>
      <w:bookmarkStart w:id="685" w:name="_Toc53756240"/>
      <w:bookmarkStart w:id="686" w:name="_Toc54002746"/>
      <w:bookmarkStart w:id="687" w:name="_Toc54004838"/>
      <w:bookmarkStart w:id="688" w:name="_Toc54187770"/>
      <w:bookmarkStart w:id="689" w:name="_Toc54195824"/>
      <w:bookmarkStart w:id="690" w:name="_Toc54198606"/>
      <w:bookmarkStart w:id="691" w:name="_Toc54363749"/>
      <w:bookmarkStart w:id="692" w:name="_Toc54374675"/>
      <w:bookmarkStart w:id="693" w:name="_Toc54376084"/>
      <w:bookmarkStart w:id="694" w:name="_Toc55398264"/>
      <w:bookmarkStart w:id="695" w:name="_Toc55402861"/>
      <w:bookmarkStart w:id="696" w:name="_Toc55410572"/>
      <w:bookmarkEnd w:id="620"/>
      <w:bookmarkEnd w:id="621"/>
      <w:bookmarkEnd w:id="622"/>
      <w:bookmarkEnd w:id="623"/>
      <w:bookmarkEnd w:id="624"/>
      <w:bookmarkEnd w:id="625"/>
      <w:bookmarkEnd w:id="626"/>
      <w:bookmarkEnd w:id="627"/>
      <w:bookmarkEnd w:id="628"/>
      <w:r>
        <w:rPr>
          <w:noProof/>
        </w:rPr>
        <w:t>3.1. Single market integration</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Pr>
          <w:noProof/>
        </w:rPr>
        <w:t xml:space="preserve"> </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704A93" w:rsidRDefault="005D0BB9">
      <w:pPr>
        <w:spacing w:after="200" w:line="276" w:lineRule="auto"/>
        <w:rPr>
          <w:b/>
          <w:noProof/>
        </w:rPr>
      </w:pPr>
      <w:r>
        <w:rPr>
          <w:b/>
          <w:noProof/>
        </w:rPr>
        <w:t xml:space="preserve">The common currency and the single market have been working in tandem to create better conditions for economic stabilisation and long-term growth. </w:t>
      </w:r>
      <w:r>
        <w:rPr>
          <w:noProof/>
        </w:rPr>
        <w:t xml:space="preserve">The euro’s very rationale has been to facilitate the functioning of the single market. In turn, the single market has the potential to diminish price rigidities that undermine both the monetary policy transmission mechanism and economic resilience in the euro area. Thanks to the single market, the mobility of production factors can allow sectors and regions to limit economic costs (e.g., unemployment) in response to shocks. The deeper integration of financial markets in the euro area can notably enable further risk-sharing (see section 5). At the same time, </w:t>
      </w:r>
      <w:r>
        <w:rPr>
          <w:noProof/>
        </w:rPr>
        <w:lastRenderedPageBreak/>
        <w:t>competitive sustainability requires openness and strong Single Market.</w:t>
      </w:r>
      <w:r>
        <w:rPr>
          <w:rStyle w:val="FootnoteReference"/>
          <w:noProof/>
        </w:rPr>
        <w:footnoteReference w:id="73"/>
      </w:r>
      <w:r>
        <w:rPr>
          <w:noProof/>
        </w:rPr>
        <w:t xml:space="preserve"> In the longer term, the single market favours exports, investment, innovation and productivity.</w:t>
      </w:r>
      <w:r>
        <w:rPr>
          <w:rStyle w:val="FootnoteReference"/>
          <w:noProof/>
        </w:rPr>
        <w:footnoteReference w:id="74"/>
      </w:r>
      <w:r>
        <w:rPr>
          <w:noProof/>
        </w:rPr>
        <w:t xml:space="preserve"> </w:t>
      </w:r>
    </w:p>
    <w:p w:rsidR="00704A93" w:rsidRDefault="005D0BB9">
      <w:pPr>
        <w:spacing w:line="276" w:lineRule="auto"/>
        <w:rPr>
          <w:noProof/>
        </w:rPr>
      </w:pPr>
      <w:r>
        <w:rPr>
          <w:b/>
          <w:noProof/>
        </w:rPr>
        <w:t>The single market has not fulfilled its full potential yet.</w:t>
      </w:r>
      <w:r>
        <w:rPr>
          <w:rStyle w:val="FootnoteReference"/>
          <w:noProof/>
        </w:rPr>
        <w:footnoteReference w:id="75"/>
      </w:r>
      <w:r>
        <w:rPr>
          <w:noProof/>
        </w:rPr>
        <w:t xml:space="preserve"> In fact, the European Commission</w:t>
      </w:r>
      <w:r>
        <w:rPr>
          <w:rStyle w:val="FootnoteReference"/>
          <w:noProof/>
        </w:rPr>
        <w:footnoteReference w:id="76"/>
      </w:r>
      <w:r>
        <w:rPr>
          <w:noProof/>
        </w:rPr>
        <w:t xml:space="preserve"> estimated that, while the share of trade within the single market amounts to about 8-9% of EU GDP, further integration could increase this share to around 12% of GDP. </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38"/>
        <w:gridCol w:w="4452"/>
        <w:gridCol w:w="79"/>
      </w:tblGrid>
      <w:tr w:rsidR="00704A93">
        <w:trPr>
          <w:gridAfter w:val="1"/>
          <w:wAfter w:w="79" w:type="dxa"/>
          <w:jc w:val="center"/>
        </w:trPr>
        <w:tc>
          <w:tcPr>
            <w:tcW w:w="4919" w:type="dxa"/>
            <w:gridSpan w:val="2"/>
          </w:tcPr>
          <w:p w:rsidR="00704A93" w:rsidRDefault="005D0BB9">
            <w:pPr>
              <w:spacing w:after="0"/>
              <w:jc w:val="center"/>
              <w:rPr>
                <w:i/>
                <w:noProof/>
                <w:color w:val="1F4E79" w:themeColor="accent1" w:themeShade="80"/>
                <w:sz w:val="22"/>
                <w:szCs w:val="22"/>
                <w:lang w:val="en-IE"/>
              </w:rPr>
            </w:pPr>
            <w:r>
              <w:rPr>
                <w:i/>
                <w:noProof/>
                <w:color w:val="1F4E79" w:themeColor="accent1" w:themeShade="80"/>
                <w:sz w:val="22"/>
                <w:szCs w:val="22"/>
                <w:lang w:val="en-IE"/>
              </w:rPr>
              <w:t>Graph 20: Product market regulation and barriers in services and network sectors in 2018</w:t>
            </w:r>
          </w:p>
        </w:tc>
        <w:tc>
          <w:tcPr>
            <w:tcW w:w="4452" w:type="dxa"/>
          </w:tcPr>
          <w:p w:rsidR="00704A93" w:rsidRDefault="005D0BB9">
            <w:pPr>
              <w:spacing w:after="0"/>
              <w:jc w:val="center"/>
              <w:rPr>
                <w:noProof/>
                <w:color w:val="1F4E79" w:themeColor="accent1" w:themeShade="80"/>
                <w:sz w:val="22"/>
                <w:szCs w:val="22"/>
                <w:lang w:val="en-IE"/>
              </w:rPr>
            </w:pPr>
            <w:r>
              <w:rPr>
                <w:i/>
                <w:noProof/>
                <w:color w:val="1F4E79" w:themeColor="accent1" w:themeShade="80"/>
                <w:sz w:val="22"/>
                <w:szCs w:val="22"/>
                <w:lang w:val="en-IE"/>
              </w:rPr>
              <w:t>Graph 21: Unemployment rate and share of workers in job retention schemes</w:t>
            </w:r>
          </w:p>
        </w:tc>
      </w:tr>
      <w:tr w:rsidR="00704A93">
        <w:tblPrEx>
          <w:tblCellMar>
            <w:left w:w="70" w:type="dxa"/>
            <w:right w:w="70" w:type="dxa"/>
          </w:tblCellMar>
        </w:tblPrEx>
        <w:trPr>
          <w:jc w:val="center"/>
        </w:trPr>
        <w:tc>
          <w:tcPr>
            <w:tcW w:w="4881" w:type="dxa"/>
          </w:tcPr>
          <w:p w:rsidR="00704A93" w:rsidRDefault="005D0BB9">
            <w:pPr>
              <w:spacing w:after="0"/>
              <w:rPr>
                <w:noProof/>
                <w:lang w:val="en-IE"/>
              </w:rPr>
            </w:pPr>
            <w:r>
              <w:rPr>
                <w:noProof/>
                <w:lang w:eastAsia="en-GB"/>
              </w:rPr>
              <w:drawing>
                <wp:inline distT="0" distB="0" distL="0" distR="0">
                  <wp:extent cx="2925201" cy="1983105"/>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569" w:type="dxa"/>
            <w:gridSpan w:val="3"/>
          </w:tcPr>
          <w:p w:rsidR="00704A93" w:rsidRDefault="005D0BB9">
            <w:pPr>
              <w:spacing w:after="0"/>
              <w:rPr>
                <w:noProof/>
                <w:lang w:val="en-IE"/>
              </w:rPr>
            </w:pPr>
            <w:r>
              <w:rPr>
                <w:noProof/>
                <w:sz w:val="16"/>
                <w:lang w:eastAsia="en-GB"/>
              </w:rPr>
              <w:drawing>
                <wp:inline distT="0" distB="0" distL="0" distR="0">
                  <wp:extent cx="2792437" cy="1997612"/>
                  <wp:effectExtent l="0" t="0" r="8255"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704A93">
        <w:trPr>
          <w:gridAfter w:val="1"/>
          <w:wAfter w:w="79" w:type="dxa"/>
          <w:trHeight w:val="738"/>
          <w:jc w:val="center"/>
        </w:trPr>
        <w:tc>
          <w:tcPr>
            <w:tcW w:w="4919" w:type="dxa"/>
            <w:gridSpan w:val="2"/>
          </w:tcPr>
          <w:p w:rsidR="00704A93" w:rsidRDefault="005D0BB9">
            <w:pPr>
              <w:spacing w:after="0"/>
              <w:rPr>
                <w:noProof/>
                <w:sz w:val="14"/>
                <w:szCs w:val="14"/>
                <w:lang w:val="en-IE"/>
              </w:rPr>
            </w:pPr>
            <w:r>
              <w:rPr>
                <w:noProof/>
                <w:sz w:val="14"/>
                <w:szCs w:val="14"/>
                <w:lang w:val="en-IE"/>
              </w:rPr>
              <w:t>Note: The coded information is normalised over a zero to six scale, where a lower value reflects a more competition-friendly regulatory stance.  EA-19 average based on population shares. Services sectors include: retail trade, taxis and professions (lawyers, notaries, accountants, architects, civil engineers, estate agents). Network sectors include: energy, transport and e-communications.</w:t>
            </w:r>
          </w:p>
          <w:p w:rsidR="00704A93" w:rsidRDefault="005D0BB9">
            <w:pPr>
              <w:rPr>
                <w:noProof/>
                <w:sz w:val="14"/>
                <w:szCs w:val="14"/>
                <w:lang w:val="en-IE"/>
              </w:rPr>
            </w:pPr>
            <w:r>
              <w:rPr>
                <w:noProof/>
                <w:sz w:val="14"/>
                <w:szCs w:val="14"/>
                <w:lang w:val="en-IE"/>
              </w:rPr>
              <w:t>Source: OECD.</w:t>
            </w:r>
          </w:p>
        </w:tc>
        <w:tc>
          <w:tcPr>
            <w:tcW w:w="4452" w:type="dxa"/>
          </w:tcPr>
          <w:p w:rsidR="00704A93" w:rsidRDefault="005D0BB9">
            <w:pPr>
              <w:spacing w:after="0"/>
              <w:rPr>
                <w:noProof/>
                <w:sz w:val="14"/>
                <w:szCs w:val="14"/>
                <w:lang w:val="en-IE"/>
              </w:rPr>
            </w:pPr>
            <w:r>
              <w:rPr>
                <w:noProof/>
                <w:sz w:val="14"/>
                <w:szCs w:val="14"/>
                <w:lang w:val="en-IE"/>
              </w:rPr>
              <w:t>Note: The share of short-time workers on zero-hours is assumed to be the half of workers in short-time work scheme (based on the number of applications sent up to the beginning of May 2020).</w:t>
            </w:r>
          </w:p>
          <w:p w:rsidR="00704A93" w:rsidRDefault="005D0BB9">
            <w:pPr>
              <w:rPr>
                <w:noProof/>
                <w:sz w:val="14"/>
                <w:szCs w:val="14"/>
                <w:lang w:val="en-IE"/>
              </w:rPr>
            </w:pPr>
            <w:r>
              <w:rPr>
                <w:noProof/>
                <w:sz w:val="14"/>
                <w:szCs w:val="14"/>
                <w:lang w:val="en-IE"/>
              </w:rPr>
              <w:t>Source: Eurostat and Staff’s calculations based on data collected from national institutions and provided by Müller and Schulten (2020), “Ensuring fair short-time work - a European overview “, ETUI Policy Brief.</w:t>
            </w:r>
          </w:p>
        </w:tc>
      </w:tr>
    </w:tbl>
    <w:p w:rsidR="00704A93" w:rsidRDefault="005D0BB9">
      <w:pPr>
        <w:spacing w:after="200" w:line="276" w:lineRule="auto"/>
        <w:rPr>
          <w:noProof/>
        </w:rPr>
      </w:pPr>
      <w:r>
        <w:rPr>
          <w:b/>
          <w:noProof/>
        </w:rPr>
        <w:t>The euro area is relatively at par with other OECD countries when it comes to product market regulation at large, but some barriers persist in services</w:t>
      </w:r>
      <w:r>
        <w:rPr>
          <w:noProof/>
        </w:rPr>
        <w:t>. The euro area fares way below the OECD average with regards to the removal of barriers in services (retail trade and professional services), while it lags behind the best OECD performers in network industries (Graph 20). Persisting barriers have affected negatively intra-EU trade flows both in the goods and the services sectors.</w:t>
      </w:r>
      <w:r>
        <w:rPr>
          <w:rStyle w:val="FootnoteReference"/>
          <w:noProof/>
        </w:rPr>
        <w:footnoteReference w:id="77"/>
      </w:r>
      <w:r>
        <w:rPr>
          <w:noProof/>
        </w:rPr>
        <w:t xml:space="preserve"> At the same time, the catalyst role played by the pandemic to boost digital usage is likely to benefit digital services sectors and more largely the digital single market. The pandemic, for instance, has had a direct impact on the euro mode of payments as it has accelerated the use of digital and cashless payment methods.</w:t>
      </w:r>
      <w:r>
        <w:rPr>
          <w:rStyle w:val="FootnoteReference"/>
          <w:noProof/>
        </w:rPr>
        <w:footnoteReference w:id="78"/>
      </w:r>
    </w:p>
    <w:p w:rsidR="00704A93" w:rsidRDefault="005D0BB9">
      <w:pPr>
        <w:pStyle w:val="Heading2"/>
        <w:spacing w:line="276" w:lineRule="auto"/>
        <w:rPr>
          <w:noProof/>
        </w:rPr>
      </w:pPr>
      <w:bookmarkStart w:id="697" w:name="_Toc53670379"/>
      <w:bookmarkStart w:id="698" w:name="_Toc53670868"/>
      <w:bookmarkStart w:id="699" w:name="_Toc53652784"/>
      <w:bookmarkStart w:id="700" w:name="_Toc53678900"/>
      <w:bookmarkStart w:id="701" w:name="_Toc53752562"/>
      <w:bookmarkStart w:id="702" w:name="_Toc53752758"/>
      <w:bookmarkStart w:id="703" w:name="_Toc53756241"/>
      <w:bookmarkStart w:id="704" w:name="_Toc54002747"/>
      <w:bookmarkStart w:id="705" w:name="_Toc54004839"/>
      <w:bookmarkStart w:id="706" w:name="_Toc54187771"/>
      <w:bookmarkStart w:id="707" w:name="_Toc54195825"/>
      <w:bookmarkStart w:id="708" w:name="_Toc54198607"/>
      <w:bookmarkStart w:id="709" w:name="_Toc54363750"/>
      <w:bookmarkStart w:id="710" w:name="_Toc54374676"/>
      <w:bookmarkStart w:id="711" w:name="_Toc54376085"/>
      <w:bookmarkStart w:id="712" w:name="_Toc54429930"/>
      <w:bookmarkStart w:id="713" w:name="_Toc54430253"/>
      <w:bookmarkStart w:id="714" w:name="_Toc55398265"/>
      <w:bookmarkStart w:id="715" w:name="_Toc55402862"/>
      <w:bookmarkStart w:id="716" w:name="_Toc55410573"/>
      <w:bookmarkStart w:id="717" w:name="_Toc55466111"/>
      <w:bookmarkStart w:id="718" w:name="_Toc55480561"/>
      <w:bookmarkStart w:id="719" w:name="_Toc55482440"/>
      <w:bookmarkStart w:id="720" w:name="_Toc55486352"/>
      <w:bookmarkStart w:id="721" w:name="_Toc55488161"/>
      <w:bookmarkStart w:id="722" w:name="_Toc55488795"/>
      <w:bookmarkStart w:id="723" w:name="_Toc55490420"/>
      <w:bookmarkStart w:id="724" w:name="_Toc55490609"/>
      <w:bookmarkStart w:id="725" w:name="_Toc55498951"/>
      <w:bookmarkStart w:id="726" w:name="_Toc55499141"/>
      <w:bookmarkStart w:id="727" w:name="_Toc55651323"/>
      <w:bookmarkStart w:id="728" w:name="_Toc55662182"/>
      <w:bookmarkStart w:id="729" w:name="_Toc55663566"/>
      <w:bookmarkStart w:id="730" w:name="_Toc55750536"/>
      <w:bookmarkStart w:id="731" w:name="_Toc55761119"/>
      <w:bookmarkStart w:id="732" w:name="_Toc55808251"/>
      <w:bookmarkStart w:id="733" w:name="_Toc55899258"/>
      <w:bookmarkStart w:id="734" w:name="_Toc55899592"/>
      <w:bookmarkStart w:id="735" w:name="_Toc55899758"/>
      <w:bookmarkStart w:id="736" w:name="_Toc55977219"/>
      <w:bookmarkStart w:id="737" w:name="_Toc55991387"/>
      <w:bookmarkStart w:id="738" w:name="_Toc55993135"/>
      <w:bookmarkStart w:id="739" w:name="_Toc55999443"/>
      <w:bookmarkStart w:id="740" w:name="_Toc55999506"/>
      <w:bookmarkStart w:id="741" w:name="_Toc56012523"/>
      <w:bookmarkStart w:id="742" w:name="_Toc56013746"/>
      <w:bookmarkStart w:id="743" w:name="_Toc56172431"/>
      <w:bookmarkStart w:id="744" w:name="_Toc56173642"/>
      <w:r>
        <w:rPr>
          <w:noProof/>
        </w:rPr>
        <w:lastRenderedPageBreak/>
        <w:t xml:space="preserve">3.2. </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Pr>
          <w:noProof/>
          <w:lang w:val="en-IE"/>
        </w:rPr>
        <w:t>Labour markets and social protection</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704A93" w:rsidRDefault="005D0BB9">
      <w:pPr>
        <w:spacing w:after="200" w:line="276" w:lineRule="auto"/>
        <w:rPr>
          <w:noProof/>
          <w:lang w:val="en-IE"/>
        </w:rPr>
      </w:pPr>
      <w:r>
        <w:rPr>
          <w:b/>
          <w:noProof/>
          <w:lang w:val="en-IE"/>
        </w:rPr>
        <w:t xml:space="preserve">The COVID-19 crisis has had a major impact on labour markets and social conditions. </w:t>
      </w:r>
      <w:r>
        <w:rPr>
          <w:noProof/>
          <w:lang w:val="en-IE"/>
        </w:rPr>
        <w:t>The recent crisis has triggered a reversal of the employment gains experienced over the past seven years (see Section 1)</w:t>
      </w:r>
      <w:r>
        <w:rPr>
          <w:b/>
          <w:noProof/>
          <w:lang w:val="en-IE"/>
        </w:rPr>
        <w:t xml:space="preserve"> </w:t>
      </w:r>
      <w:r>
        <w:rPr>
          <w:noProof/>
          <w:lang w:val="en-IE"/>
        </w:rPr>
        <w:t>and contributed to further divergences in labour market indicators. The effect on labour markets have been particularly strong for young workers, due to their relatively higher representation in sectors more affected by the crisis (e.g., tourism), to the widespread presence of precarious forms of contracts</w:t>
      </w:r>
      <w:r>
        <w:rPr>
          <w:noProof/>
        </w:rPr>
        <w:t xml:space="preserve">, </w:t>
      </w:r>
      <w:r>
        <w:rPr>
          <w:noProof/>
          <w:lang w:val="en-IE"/>
        </w:rPr>
        <w:t>and difficulties entering the labour market. The crisis has also particularly hit sectors with a high share of minimum wage</w:t>
      </w:r>
      <w:r>
        <w:rPr>
          <w:noProof/>
        </w:rPr>
        <w:t xml:space="preserve"> earners and it is likely to have a stronger impact on disadvantaged workers</w:t>
      </w:r>
      <w:r>
        <w:rPr>
          <w:noProof/>
          <w:lang w:val="en-IE"/>
        </w:rPr>
        <w:t>.</w:t>
      </w:r>
      <w:r>
        <w:rPr>
          <w:rStyle w:val="FootnoteReference"/>
          <w:noProof/>
          <w:lang w:val="en-IE"/>
        </w:rPr>
        <w:footnoteReference w:id="79"/>
      </w:r>
      <w:r>
        <w:rPr>
          <w:noProof/>
          <w:lang w:val="en-IE"/>
        </w:rPr>
        <w:t xml:space="preserve"> Measures taken by Member States</w:t>
      </w:r>
      <w:r>
        <w:rPr>
          <w:rStyle w:val="FootnoteReference"/>
          <w:noProof/>
          <w:lang w:val="en-IE"/>
        </w:rPr>
        <w:footnoteReference w:id="80"/>
      </w:r>
      <w:r>
        <w:rPr>
          <w:noProof/>
          <w:lang w:val="en-IE"/>
        </w:rPr>
        <w:t>, among others, to support job retention, protect incomes and provide liquidity to affected firms, helped workers and households to cope with the crisis, limiting its social consequences and improving the work-life balance in face of mobility restrictions.</w:t>
      </w:r>
      <w:r>
        <w:rPr>
          <w:rStyle w:val="FootnoteReference"/>
          <w:noProof/>
          <w:lang w:val="en-IE"/>
        </w:rPr>
        <w:footnoteReference w:id="81"/>
      </w:r>
      <w:r>
        <w:rPr>
          <w:noProof/>
          <w:vertAlign w:val="superscript"/>
          <w:lang w:val="en-IE"/>
        </w:rPr>
        <w:t>,</w:t>
      </w:r>
      <w:r>
        <w:rPr>
          <w:rStyle w:val="FootnoteReference"/>
          <w:noProof/>
          <w:lang w:val="en-IE"/>
        </w:rPr>
        <w:footnoteReference w:id="82"/>
      </w:r>
      <w:r>
        <w:rPr>
          <w:noProof/>
          <w:lang w:val="en-IE"/>
        </w:rPr>
        <w:t xml:space="preserve"> A number of policies can contribute to ensuring that the social, employment and economic impact of the crisis is mitigated. The role of social dialogue is key in the design and implementation of these policies, including for minimum wages.</w:t>
      </w:r>
      <w:r>
        <w:rPr>
          <w:rStyle w:val="FootnoteReference"/>
          <w:noProof/>
          <w:lang w:val="en-IE"/>
        </w:rPr>
        <w:t xml:space="preserve"> </w:t>
      </w:r>
      <w:r>
        <w:rPr>
          <w:rStyle w:val="FootnoteReference"/>
          <w:noProof/>
          <w:lang w:val="en-IE"/>
        </w:rPr>
        <w:footnoteReference w:id="83"/>
      </w:r>
    </w:p>
    <w:p w:rsidR="00704A93" w:rsidRDefault="005D0BB9">
      <w:pPr>
        <w:spacing w:after="200" w:line="276" w:lineRule="auto"/>
        <w:rPr>
          <w:noProof/>
          <w:lang w:val="en-IE"/>
        </w:rPr>
      </w:pPr>
      <w:r>
        <w:rPr>
          <w:b/>
          <w:noProof/>
          <w:lang w:val="en-IE"/>
        </w:rPr>
        <w:t xml:space="preserve">The extensive use of short-time work schemes has so far contained the rise in unemployment that would otherwise have resulted from the sharp economic contraction </w:t>
      </w:r>
      <w:r>
        <w:rPr>
          <w:noProof/>
          <w:lang w:val="en-IE"/>
        </w:rPr>
        <w:t>(see Graph 21 and comparative data in Section 1).</w:t>
      </w:r>
      <w:r>
        <w:rPr>
          <w:rStyle w:val="FootnoteReference"/>
          <w:b/>
          <w:noProof/>
          <w:lang w:val="en-IE"/>
        </w:rPr>
        <w:t xml:space="preserve"> </w:t>
      </w:r>
      <w:r>
        <w:rPr>
          <w:noProof/>
          <w:lang w:val="en-IE"/>
        </w:rPr>
        <w:t>Building on positive experience from short-time work schemes in some countries during the Global Financial Crisis, euro area countries have quickly reacted by adjusting and expanding their schemes, or creating new ones.</w:t>
      </w:r>
      <w:r>
        <w:rPr>
          <w:rStyle w:val="FootnoteReference"/>
          <w:noProof/>
          <w:lang w:val="en-IE"/>
        </w:rPr>
        <w:footnoteReference w:id="84"/>
      </w:r>
      <w:r>
        <w:rPr>
          <w:noProof/>
          <w:lang w:val="en-IE"/>
        </w:rPr>
        <w:t xml:space="preserve"> Recently, few Member States have started scaling back emergency measures, while others have prolonged or adapted them. These adaptations are meant to target the relevant sectors of the economy without hindering the reallocation of human capital to other sectors of the economy with better growth prospects.  Several Member States have adopted measures to increase employee retention and support labour demand by expanding hiring incentives. </w:t>
      </w:r>
    </w:p>
    <w:p w:rsidR="00704A93" w:rsidRDefault="005D0BB9">
      <w:pPr>
        <w:spacing w:after="200" w:line="276" w:lineRule="auto"/>
        <w:rPr>
          <w:noProof/>
        </w:rPr>
      </w:pPr>
      <w:r>
        <w:rPr>
          <w:b/>
          <w:noProof/>
        </w:rPr>
        <w:lastRenderedPageBreak/>
        <w:t>Despite large improvements in participation rates and employment during the pre-COVID-19 expansion phase, labour markets in euro area countries suffer from a number of structural weaknesses that have been aggravated by the current crisis.</w:t>
      </w:r>
      <w:r>
        <w:rPr>
          <w:noProof/>
        </w:rPr>
        <w:t xml:space="preserve"> Considerable differences across Member States and categories of workers still persist: gender gaps are wide, both in terms of employment as well as activity rates and earnings, with women earning close to 15% less than men in 2018 and youth unemployment remains persistently high (at  15.6% in 2019, further reaching 16.5% in Q2-2020)); the share of young not in employment, education or training (NEET) remains also persistently high, even though it was decreasing at a relatively fast pace before the crisis. These gaps are widening for particular segments of the labour force such as the youth and third-country workers. </w:t>
      </w:r>
      <w:r>
        <w:rPr>
          <w:noProof/>
          <w:lang w:val="en-IE"/>
        </w:rPr>
        <w:t xml:space="preserve">In this context, the need to tackle a surge in the number of job-seekers and support their reallocation across occupations or sectors requires effective labour market policies, as well strengthening </w:t>
      </w:r>
      <w:r>
        <w:rPr>
          <w:bCs/>
          <w:noProof/>
        </w:rPr>
        <w:t>Public Employment Services (PES) to go beyond traditional ways of working.</w:t>
      </w:r>
      <w:r>
        <w:rPr>
          <w:noProof/>
        </w:rPr>
        <w:t xml:space="preserve"> </w:t>
      </w:r>
    </w:p>
    <w:p w:rsidR="00704A93" w:rsidRDefault="005D0BB9">
      <w:pPr>
        <w:spacing w:after="200" w:line="276" w:lineRule="auto"/>
        <w:rPr>
          <w:strike/>
          <w:noProof/>
        </w:rPr>
      </w:pPr>
      <w:r>
        <w:rPr>
          <w:b/>
          <w:noProof/>
        </w:rPr>
        <w:t>The crisis will have a significant impact on social conditions, in particular for vulnerable groups.</w:t>
      </w:r>
      <w:r>
        <w:rPr>
          <w:noProof/>
        </w:rPr>
        <w:t xml:space="preserve"> Those already vulnerable prior to the crisis (such as low paid workers, the low-skilled, workers on temporary contracts, the involuntary part-time and self-employed, and migrant workers) are likely to be hit hardest, also now through unequal access to digital infrastructure and skills. Some groups in particular families with children, the long-term unemployed, people with disabilities, migrants and persons with a migrant background and Roma are relatively more exposed. While decreasing overall, temporary and involuntary part-time jobs remain high in some euro area countries, which contributes to entrenched labour market precariousness and, ultimately, higher risks of poverty and social exclusion. </w:t>
      </w:r>
    </w:p>
    <w:p w:rsidR="00704A93" w:rsidRDefault="005D0BB9">
      <w:pPr>
        <w:spacing w:after="200" w:line="276" w:lineRule="auto"/>
        <w:rPr>
          <w:noProof/>
          <w:lang w:val="en-IE"/>
        </w:rPr>
      </w:pPr>
      <w:r>
        <w:rPr>
          <w:b/>
          <w:noProof/>
          <w:lang w:val="en-IE"/>
        </w:rPr>
        <w:t>The COVID-19 crisis is likely to increase inequality in the euro area, following years of steady improvement in social conditions and living standards of households.</w:t>
      </w:r>
      <w:r>
        <w:rPr>
          <w:rStyle w:val="FootnoteReference"/>
          <w:noProof/>
          <w:lang w:val="en-IE"/>
        </w:rPr>
        <w:footnoteReference w:id="85"/>
      </w:r>
      <w:r>
        <w:rPr>
          <w:noProof/>
          <w:lang w:val="en-IE"/>
        </w:rPr>
        <w:t xml:space="preserve"> By 2019, some 7 million fewer people were living at risk of poverty or social exclusion compared with the 2012 peak. Real GDP per capita increased in all Member States and disposable income inequality has been fairly stable on average, at least until 2018. However, inequality levels are different across Member States and their trends have varied over recent years. Moreover, in the last decades, low wages have not kept up with other trends thus affecting in-work poverty, wage inequality, and the capacity of low-wage earners to cope with economic distress.</w:t>
      </w:r>
      <w:r>
        <w:rPr>
          <w:rStyle w:val="FootnoteReference"/>
          <w:noProof/>
          <w:lang w:val="en-IE"/>
        </w:rPr>
        <w:footnoteReference w:id="86"/>
      </w:r>
      <w:r>
        <w:rPr>
          <w:noProof/>
          <w:lang w:val="en-IE"/>
        </w:rPr>
        <w:t xml:space="preserve"> Labour related income losses caused by the COVID-19 outbreak, together with the difficulty for welfare transfers to reach all households promptly, may pose serious risks to living conditions of low-income households.</w:t>
      </w:r>
    </w:p>
    <w:p w:rsidR="00704A93" w:rsidRDefault="00704A93">
      <w:pPr>
        <w:spacing w:after="200" w:line="276" w:lineRule="auto"/>
        <w:rPr>
          <w:noProof/>
          <w:lang w:val="en-IE"/>
        </w:rPr>
      </w:pPr>
    </w:p>
    <w:p w:rsidR="00704A93" w:rsidRDefault="005D0BB9">
      <w:pPr>
        <w:pStyle w:val="Heading2"/>
        <w:spacing w:line="276" w:lineRule="auto"/>
        <w:rPr>
          <w:noProof/>
        </w:rPr>
      </w:pPr>
      <w:bookmarkStart w:id="745" w:name="_Toc52533654"/>
      <w:bookmarkStart w:id="746" w:name="_Toc52539451"/>
      <w:bookmarkStart w:id="747" w:name="_Toc52541971"/>
      <w:bookmarkStart w:id="748" w:name="_Toc52543798"/>
      <w:bookmarkStart w:id="749" w:name="_Toc52548752"/>
      <w:bookmarkStart w:id="750" w:name="_Toc52550082"/>
      <w:bookmarkStart w:id="751" w:name="_Toc52552278"/>
      <w:bookmarkStart w:id="752" w:name="_Toc53133721"/>
      <w:bookmarkStart w:id="753" w:name="_Toc53143030"/>
      <w:bookmarkStart w:id="754" w:name="_Toc53151539"/>
      <w:bookmarkStart w:id="755" w:name="_Toc53160265"/>
      <w:bookmarkStart w:id="756" w:name="_Toc53163227"/>
      <w:bookmarkStart w:id="757" w:name="_Toc53390012"/>
      <w:bookmarkStart w:id="758" w:name="_Toc53391747"/>
      <w:bookmarkStart w:id="759" w:name="_Toc53432750"/>
      <w:bookmarkStart w:id="760" w:name="_Toc53490254"/>
      <w:bookmarkStart w:id="761" w:name="_Toc53490781"/>
      <w:bookmarkStart w:id="762" w:name="_Toc53494724"/>
      <w:bookmarkStart w:id="763" w:name="_Toc53504213"/>
      <w:bookmarkStart w:id="764" w:name="_Toc53505973"/>
      <w:bookmarkStart w:id="765" w:name="_Toc53652785"/>
      <w:bookmarkStart w:id="766" w:name="_Toc53670380"/>
      <w:bookmarkStart w:id="767" w:name="_Toc53670869"/>
      <w:bookmarkStart w:id="768" w:name="_Toc53678901"/>
      <w:bookmarkStart w:id="769" w:name="_Toc53752563"/>
      <w:bookmarkStart w:id="770" w:name="_Toc53752759"/>
      <w:bookmarkStart w:id="771" w:name="_Toc53756242"/>
      <w:bookmarkStart w:id="772" w:name="_Toc54002748"/>
      <w:bookmarkStart w:id="773" w:name="_Toc54004840"/>
      <w:bookmarkStart w:id="774" w:name="_Toc54187772"/>
      <w:bookmarkStart w:id="775" w:name="_Toc54195826"/>
      <w:bookmarkStart w:id="776" w:name="_Toc54198608"/>
      <w:bookmarkStart w:id="777" w:name="_Toc54363751"/>
      <w:bookmarkStart w:id="778" w:name="_Toc54374677"/>
      <w:bookmarkStart w:id="779" w:name="_Toc54376086"/>
      <w:bookmarkStart w:id="780" w:name="_Toc54429931"/>
      <w:bookmarkStart w:id="781" w:name="_Toc54430254"/>
      <w:bookmarkStart w:id="782" w:name="_Toc55398266"/>
      <w:bookmarkStart w:id="783" w:name="_Toc55402863"/>
      <w:bookmarkStart w:id="784" w:name="_Toc55410574"/>
      <w:bookmarkStart w:id="785" w:name="_Toc55466112"/>
      <w:bookmarkStart w:id="786" w:name="_Toc55480562"/>
      <w:bookmarkStart w:id="787" w:name="_Toc55486353"/>
      <w:bookmarkStart w:id="788" w:name="_Toc55488796"/>
      <w:bookmarkStart w:id="789" w:name="_Toc55490421"/>
      <w:bookmarkStart w:id="790" w:name="_Toc55490610"/>
      <w:bookmarkStart w:id="791" w:name="_Toc55498952"/>
      <w:bookmarkStart w:id="792" w:name="_Toc55499142"/>
      <w:bookmarkStart w:id="793" w:name="_Toc55651324"/>
      <w:bookmarkStart w:id="794" w:name="_Toc55662183"/>
      <w:bookmarkStart w:id="795" w:name="_Toc55663567"/>
      <w:bookmarkStart w:id="796" w:name="_Toc55750537"/>
      <w:bookmarkStart w:id="797" w:name="_Toc55761120"/>
      <w:bookmarkStart w:id="798" w:name="_Toc55808252"/>
      <w:bookmarkStart w:id="799" w:name="_Toc55899259"/>
      <w:bookmarkStart w:id="800" w:name="_Toc55899593"/>
      <w:bookmarkStart w:id="801" w:name="_Toc55899759"/>
      <w:bookmarkStart w:id="802" w:name="_Toc55977220"/>
      <w:bookmarkStart w:id="803" w:name="_Toc55991388"/>
      <w:bookmarkStart w:id="804" w:name="_Toc55993136"/>
      <w:bookmarkStart w:id="805" w:name="_Toc55999444"/>
      <w:bookmarkStart w:id="806" w:name="_Toc55999507"/>
      <w:bookmarkStart w:id="807" w:name="_Toc56012524"/>
      <w:bookmarkStart w:id="808" w:name="_Toc56013747"/>
      <w:bookmarkStart w:id="809" w:name="_Toc56172432"/>
      <w:bookmarkStart w:id="810" w:name="_Toc56173643"/>
      <w:bookmarkStart w:id="811" w:name="_Toc55482441"/>
      <w:bookmarkStart w:id="812" w:name="_Toc55488162"/>
      <w:r>
        <w:rPr>
          <w:noProof/>
        </w:rPr>
        <w:lastRenderedPageBreak/>
        <w:t xml:space="preserve">3.3. </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Pr>
          <w:noProof/>
          <w:lang w:val="en-IE"/>
        </w:rPr>
        <w:t xml:space="preserve">Labour market skills for the digital and green </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Pr>
          <w:noProof/>
          <w:lang w:val="en-IE"/>
        </w:rPr>
        <w:t>transitions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bookmarkEnd w:id="811"/>
    <w:bookmarkEnd w:id="812"/>
    <w:p w:rsidR="00704A93" w:rsidRDefault="005D0BB9">
      <w:pPr>
        <w:spacing w:after="200" w:line="276" w:lineRule="auto"/>
        <w:rPr>
          <w:noProof/>
          <w:lang w:val="en-IE"/>
        </w:rPr>
      </w:pPr>
      <w:r>
        <w:rPr>
          <w:b/>
          <w:noProof/>
          <w:lang w:val="en-IE"/>
        </w:rPr>
        <w:t>Employment opportunities and working conditions are increasingly tied to workers’ skills levels as measured by degree of education.</w:t>
      </w:r>
      <w:r>
        <w:rPr>
          <w:noProof/>
        </w:rPr>
        <w:t xml:space="preserve"> </w:t>
      </w:r>
      <w:r>
        <w:rPr>
          <w:noProof/>
          <w:lang w:val="en-IE"/>
        </w:rPr>
        <w:t xml:space="preserve">People with higher degree of education tend to have higher activity and employment rates and lower unemployment rates (Graph 22).  Across the euro area, the unemployment rate is much higher among low-skilled individuals than among high skilled ones (13.2% against 4.8% in the second quarter of 2020), while participation rates also correlate positively with skills. Better skilled workers tend to earn higher wages, which helps in the light of rising dependency ratios. </w:t>
      </w:r>
    </w:p>
    <w:p w:rsidR="00704A93" w:rsidRDefault="005D0BB9">
      <w:pPr>
        <w:spacing w:after="200" w:line="276" w:lineRule="auto"/>
        <w:rPr>
          <w:noProof/>
          <w:lang w:val="en-IE"/>
        </w:rPr>
      </w:pPr>
      <w:r>
        <w:rPr>
          <w:b/>
          <w:noProof/>
          <w:lang w:val="en-IE"/>
        </w:rPr>
        <w:t>The COVID-19 crisis has highlighted the importance of skills and adaptation to new challenges.</w:t>
      </w:r>
      <w:r>
        <w:rPr>
          <w:noProof/>
          <w:lang w:val="en-IE"/>
        </w:rPr>
        <w:t xml:space="preserve"> Workers constantly need new skills, including digital, to navigate the labour market, to move across sectors and tap job opportunities. At the same time, given the expected demographic trends, as well as the twin transitions, the euro area (and EU as a whole) may experience significant skill shortages, which need to be addressed to ensure the necessary labour supply. In addition, with the widespread use of digital technologies across all economic sectors, higher levels of digital skills related to specific technologies such as cybersecurity or artificial intelligence will be necessary for professionals in different areas. In order to reinforce workforce skills, the European Skills Agenda and the </w:t>
      </w:r>
      <w:r>
        <w:rPr>
          <w:noProof/>
        </w:rPr>
        <w:t>Communication on the European Education Area</w:t>
      </w:r>
      <w:r>
        <w:rPr>
          <w:noProof/>
          <w:lang w:val="en-IE"/>
        </w:rPr>
        <w:t xml:space="preserve"> set a number of actions to be followed and several objectives to be fulfilled by 2025, based on well-established quantitative indicators, such as participation in learning opportunities, learning experience for unemployed as well as the share of adults with basic digital skills.</w:t>
      </w:r>
      <w:r>
        <w:rPr>
          <w:rStyle w:val="FootnoteReference"/>
          <w:noProof/>
          <w:lang w:val="en-IE"/>
        </w:rPr>
        <w:footnoteReference w:id="87"/>
      </w:r>
      <w:r>
        <w:rPr>
          <w:noProof/>
          <w:lang w:val="en-IE"/>
        </w:rPr>
        <w:t xml:space="preserve"> The European Commission’s Annual Sustainable Growth Strategy 2021 called for unprecedented investments in re- and upskilling as one of the seven ‘European flagships’ under the Recovery and Resilience Facility.</w:t>
      </w:r>
      <w:r>
        <w:rPr>
          <w:rStyle w:val="FootnoteReference"/>
          <w:noProof/>
          <w:lang w:val="en-IE"/>
        </w:rPr>
        <w:footnoteReference w:id="88"/>
      </w:r>
    </w:p>
    <w:p w:rsidR="00704A93" w:rsidRDefault="005D0BB9">
      <w:pPr>
        <w:spacing w:after="200" w:line="276" w:lineRule="auto"/>
        <w:rPr>
          <w:noProof/>
          <w:lang w:val="en-IE"/>
        </w:rPr>
      </w:pPr>
      <w:r>
        <w:rPr>
          <w:b/>
          <w:noProof/>
          <w:lang w:val="en-IE"/>
        </w:rPr>
        <w:t>Significant digital-skill heterogeneity across the euro area, if not properly addressed by appropriate policies and investments, risks exacerbating further divergences and labour market challenges.</w:t>
      </w:r>
      <w:r>
        <w:rPr>
          <w:rStyle w:val="FootnoteReference"/>
          <w:noProof/>
          <w:lang w:val="en-IE"/>
        </w:rPr>
        <w:footnoteReference w:id="89"/>
      </w:r>
      <w:r>
        <w:rPr>
          <w:noProof/>
        </w:rPr>
        <w:t xml:space="preserve"> </w:t>
      </w:r>
      <w:r>
        <w:rPr>
          <w:noProof/>
          <w:lang w:val="en-IE"/>
        </w:rPr>
        <w:t>According to the Digital Economy and Society Index (Graph 23), over 2019 the EU countries improved their digital performance in general although the rankings differ amongst countries including for the human capital dimension.</w:t>
      </w:r>
      <w:r>
        <w:rPr>
          <w:noProof/>
          <w:vertAlign w:val="superscript"/>
          <w:lang w:val="en-IE"/>
        </w:rPr>
        <w:footnoteReference w:id="90"/>
      </w:r>
      <w:r>
        <w:rPr>
          <w:noProof/>
          <w:lang w:val="en-IE"/>
        </w:rPr>
        <w:t xml:space="preserve"> Digitalisation has a distinct impact on labour markets and employment composition, with the risk of worsening job polarisation and skills mismatch.</w:t>
      </w:r>
      <w:r>
        <w:rPr>
          <w:noProof/>
          <w:vertAlign w:val="superscript"/>
          <w:lang w:val="en-IE"/>
        </w:rPr>
        <w:footnoteReference w:id="91"/>
      </w:r>
      <w:r>
        <w:rPr>
          <w:noProof/>
          <w:lang w:val="en-IE"/>
        </w:rPr>
        <w:t xml:space="preserve"> At the same time, labour supply may benefit from the introduction of online learning technologies, and digital platforms that lower barrier to labour market participation. Digitalisation also contributes to the rise of new work arrangements, thus affecting social protection systems. </w:t>
      </w:r>
    </w:p>
    <w:tbl>
      <w:tblPr>
        <w:tblStyle w:val="TableGrid"/>
        <w:tblW w:w="9902"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51"/>
        <w:gridCol w:w="4951"/>
      </w:tblGrid>
      <w:tr w:rsidR="00704A93">
        <w:tc>
          <w:tcPr>
            <w:tcW w:w="4951" w:type="dxa"/>
          </w:tcPr>
          <w:p w:rsidR="00704A93" w:rsidRDefault="005D0BB9">
            <w:pPr>
              <w:spacing w:after="0"/>
              <w:jc w:val="center"/>
              <w:rPr>
                <w:i/>
                <w:noProof/>
                <w:color w:val="1F4E79" w:themeColor="accent1" w:themeShade="80"/>
                <w:sz w:val="22"/>
                <w:szCs w:val="22"/>
                <w:lang w:val="en-IE"/>
              </w:rPr>
            </w:pPr>
            <w:r>
              <w:rPr>
                <w:i/>
                <w:noProof/>
                <w:color w:val="1F4E79" w:themeColor="accent1" w:themeShade="80"/>
                <w:sz w:val="22"/>
                <w:szCs w:val="22"/>
                <w:lang w:val="en-IE"/>
              </w:rPr>
              <w:lastRenderedPageBreak/>
              <w:t>Graph 22: Activity, employment and unemployment rates by educational attainment  (2020Q2)</w:t>
            </w:r>
          </w:p>
        </w:tc>
        <w:tc>
          <w:tcPr>
            <w:tcW w:w="4951" w:type="dxa"/>
          </w:tcPr>
          <w:p w:rsidR="00704A93" w:rsidRDefault="005D0BB9">
            <w:pPr>
              <w:spacing w:after="0"/>
              <w:jc w:val="center"/>
              <w:rPr>
                <w:i/>
                <w:noProof/>
                <w:color w:val="1F4E79" w:themeColor="accent1" w:themeShade="80"/>
                <w:sz w:val="22"/>
                <w:szCs w:val="22"/>
                <w:lang w:val="en-IE"/>
              </w:rPr>
            </w:pPr>
            <w:r>
              <w:rPr>
                <w:i/>
                <w:noProof/>
                <w:color w:val="1F4E79" w:themeColor="accent1" w:themeShade="80"/>
                <w:sz w:val="22"/>
                <w:szCs w:val="22"/>
                <w:lang w:val="en-IE"/>
              </w:rPr>
              <w:t xml:space="preserve">Graph 23: The Digital Economy and </w:t>
            </w:r>
          </w:p>
          <w:p w:rsidR="00704A93" w:rsidRDefault="005D0BB9">
            <w:pPr>
              <w:spacing w:after="0"/>
              <w:jc w:val="center"/>
              <w:rPr>
                <w:i/>
                <w:noProof/>
                <w:color w:val="1F4E79" w:themeColor="accent1" w:themeShade="80"/>
                <w:sz w:val="22"/>
                <w:szCs w:val="22"/>
                <w:lang w:val="en-IE"/>
              </w:rPr>
            </w:pPr>
            <w:r>
              <w:rPr>
                <w:i/>
                <w:noProof/>
                <w:color w:val="1F4E79" w:themeColor="accent1" w:themeShade="80"/>
                <w:sz w:val="22"/>
                <w:szCs w:val="22"/>
                <w:lang w:val="en-IE"/>
              </w:rPr>
              <w:t>Society Index in the euro area, 2020</w:t>
            </w:r>
          </w:p>
        </w:tc>
      </w:tr>
      <w:tr w:rsidR="00704A93">
        <w:tc>
          <w:tcPr>
            <w:tcW w:w="4951" w:type="dxa"/>
          </w:tcPr>
          <w:p w:rsidR="00704A93" w:rsidRDefault="005D0BB9">
            <w:pPr>
              <w:spacing w:after="0"/>
              <w:rPr>
                <w:noProof/>
                <w:lang w:val="en-US"/>
              </w:rPr>
            </w:pPr>
            <w:r>
              <w:rPr>
                <w:noProof/>
                <w:lang w:eastAsia="en-GB"/>
              </w:rPr>
              <w:drawing>
                <wp:inline distT="0" distB="0" distL="0" distR="0">
                  <wp:extent cx="3055009" cy="2013585"/>
                  <wp:effectExtent l="0" t="0" r="0" b="5715"/>
                  <wp:docPr id="1269668308" name="Chart 1269668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51" w:type="dxa"/>
          </w:tcPr>
          <w:p w:rsidR="00704A93" w:rsidRDefault="005D0BB9">
            <w:pPr>
              <w:spacing w:after="0"/>
              <w:rPr>
                <w:noProof/>
                <w:lang w:val="it-IT" w:eastAsia="it-IT"/>
              </w:rPr>
            </w:pPr>
            <w:r>
              <w:rPr>
                <w:noProof/>
                <w:lang w:eastAsia="en-GB"/>
              </w:rPr>
              <w:drawing>
                <wp:inline distT="0" distB="0" distL="0" distR="0">
                  <wp:extent cx="2708694" cy="2013585"/>
                  <wp:effectExtent l="0" t="0" r="0" b="5715"/>
                  <wp:docPr id="1269668306" name="Chart 1269668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704A93">
        <w:tblPrEx>
          <w:tblCellMar>
            <w:left w:w="108" w:type="dxa"/>
            <w:right w:w="108" w:type="dxa"/>
          </w:tblCellMar>
        </w:tblPrEx>
        <w:trPr>
          <w:trHeight w:val="464"/>
        </w:trPr>
        <w:tc>
          <w:tcPr>
            <w:tcW w:w="4951" w:type="dxa"/>
          </w:tcPr>
          <w:p w:rsidR="00704A93" w:rsidRDefault="005D0BB9">
            <w:pPr>
              <w:spacing w:after="0"/>
              <w:rPr>
                <w:noProof/>
                <w:sz w:val="14"/>
                <w:szCs w:val="14"/>
                <w:lang w:val="en-IE"/>
              </w:rPr>
            </w:pPr>
            <w:r>
              <w:rPr>
                <w:noProof/>
                <w:sz w:val="14"/>
                <w:szCs w:val="14"/>
                <w:lang w:val="en-IE"/>
              </w:rPr>
              <w:t>Note: Latest available quarters are 2020Q2 (activity and unemployment) and 2019Q4 (employment). The activity rate is the ratio between the number of active persons (occupied labour force and the unemployed) and the corresponding total population.</w:t>
            </w:r>
          </w:p>
          <w:p w:rsidR="00704A93" w:rsidRDefault="005D0BB9">
            <w:pPr>
              <w:spacing w:after="180"/>
              <w:rPr>
                <w:noProof/>
                <w:sz w:val="14"/>
                <w:szCs w:val="14"/>
                <w:lang w:val="en-IE"/>
              </w:rPr>
            </w:pPr>
            <w:r>
              <w:rPr>
                <w:noProof/>
                <w:sz w:val="14"/>
                <w:szCs w:val="14"/>
                <w:lang w:val="en-IE"/>
              </w:rPr>
              <w:t>Source: Eurostat.</w:t>
            </w:r>
          </w:p>
        </w:tc>
        <w:tc>
          <w:tcPr>
            <w:tcW w:w="4951" w:type="dxa"/>
          </w:tcPr>
          <w:p w:rsidR="00704A93" w:rsidRDefault="005D0BB9">
            <w:pPr>
              <w:spacing w:after="0"/>
              <w:rPr>
                <w:noProof/>
                <w:sz w:val="14"/>
                <w:szCs w:val="14"/>
                <w:lang w:val="en-IE"/>
              </w:rPr>
            </w:pPr>
            <w:r>
              <w:rPr>
                <w:noProof/>
                <w:sz w:val="14"/>
                <w:szCs w:val="14"/>
                <w:lang w:val="en-IE"/>
              </w:rPr>
              <w:t>Note: The DESI2020 ranking is calculated based on EU 28 Member States; in the chart, only the results of euro area countries are included.</w:t>
            </w:r>
          </w:p>
          <w:p w:rsidR="00704A93" w:rsidRDefault="005D0BB9">
            <w:pPr>
              <w:spacing w:after="0"/>
              <w:rPr>
                <w:noProof/>
                <w:sz w:val="14"/>
                <w:szCs w:val="14"/>
                <w:lang w:val="en-IE"/>
              </w:rPr>
            </w:pPr>
            <w:r>
              <w:rPr>
                <w:noProof/>
                <w:sz w:val="14"/>
                <w:szCs w:val="14"/>
                <w:lang w:val="en-IE"/>
              </w:rPr>
              <w:t>Source: European Commission.</w:t>
            </w:r>
          </w:p>
        </w:tc>
      </w:tr>
    </w:tbl>
    <w:p w:rsidR="00704A93" w:rsidRDefault="005D0BB9">
      <w:pPr>
        <w:spacing w:after="200" w:line="276" w:lineRule="auto"/>
        <w:rPr>
          <w:noProof/>
        </w:rPr>
      </w:pPr>
      <w:r>
        <w:rPr>
          <w:b/>
          <w:noProof/>
          <w:szCs w:val="24"/>
          <w:shd w:val="clear" w:color="auto" w:fill="FFFFFF"/>
        </w:rPr>
        <w:t xml:space="preserve">The green transition is also an increasingly important driver of labour demand and skills supply across all sectors, as the shift </w:t>
      </w:r>
      <w:r>
        <w:rPr>
          <w:b/>
          <w:noProof/>
        </w:rPr>
        <w:t>implies structural changes across sectors and occupations.</w:t>
      </w:r>
      <w:r>
        <w:rPr>
          <w:noProof/>
        </w:rPr>
        <w:t xml:space="preserve"> </w:t>
      </w:r>
      <w:r>
        <w:rPr>
          <w:noProof/>
          <w:szCs w:val="24"/>
          <w:shd w:val="clear" w:color="auto" w:fill="FFFFFF"/>
        </w:rPr>
        <w:t xml:space="preserve">While the </w:t>
      </w:r>
      <w:r>
        <w:rPr>
          <w:noProof/>
        </w:rPr>
        <w:t>impact of the greening of the economy and employment can be expected to take the form of new green skills within existing occupations as well as the creation of new jobs</w:t>
      </w:r>
      <w:r>
        <w:rPr>
          <w:rStyle w:val="FootnoteReference"/>
          <w:noProof/>
        </w:rPr>
        <w:footnoteReference w:id="92"/>
      </w:r>
      <w:r>
        <w:rPr>
          <w:noProof/>
        </w:rPr>
        <w:t xml:space="preserve"> in areas such as clean energy, there is still lack of capacity and investments in green skills.</w:t>
      </w:r>
      <w:r>
        <w:rPr>
          <w:rStyle w:val="FootnoteReference"/>
          <w:noProof/>
        </w:rPr>
        <w:footnoteReference w:id="93"/>
      </w:r>
      <w:r>
        <w:rPr>
          <w:noProof/>
        </w:rPr>
        <w:t xml:space="preserve"> </w:t>
      </w:r>
      <w:r>
        <w:rPr>
          <w:noProof/>
          <w:szCs w:val="24"/>
          <w:shd w:val="clear" w:color="auto" w:fill="FFFFFF"/>
        </w:rPr>
        <w:t>At the same time, the green transition is expected to have socio-economic consequences for workers employed in transition industries, which may need re-skilling and up-skilling. The Commission initiatives like the Just Transition Mechanism aim to help address these needs.</w:t>
      </w:r>
    </w:p>
    <w:p w:rsidR="00704A93" w:rsidRDefault="005D0BB9">
      <w:pPr>
        <w:pStyle w:val="Heading2"/>
        <w:rPr>
          <w:noProof/>
        </w:rPr>
      </w:pPr>
      <w:bookmarkStart w:id="813" w:name="_Toc52533656"/>
      <w:bookmarkStart w:id="814" w:name="_Toc52539453"/>
      <w:bookmarkStart w:id="815" w:name="_Toc52541973"/>
      <w:bookmarkStart w:id="816" w:name="_Toc52543800"/>
      <w:bookmarkStart w:id="817" w:name="_Toc52548754"/>
      <w:bookmarkStart w:id="818" w:name="_Toc52550084"/>
      <w:bookmarkStart w:id="819" w:name="_Toc52552280"/>
      <w:bookmarkStart w:id="820" w:name="_Toc53133723"/>
      <w:bookmarkStart w:id="821" w:name="_Toc53143032"/>
      <w:bookmarkStart w:id="822" w:name="_Toc53151541"/>
      <w:bookmarkStart w:id="823" w:name="_Toc53160267"/>
      <w:bookmarkStart w:id="824" w:name="_Toc53163229"/>
      <w:bookmarkStart w:id="825" w:name="_Toc53390014"/>
      <w:bookmarkStart w:id="826" w:name="_Toc53391749"/>
      <w:bookmarkStart w:id="827" w:name="_Toc53432752"/>
      <w:bookmarkStart w:id="828" w:name="_Toc53490255"/>
      <w:bookmarkStart w:id="829" w:name="_Toc53490782"/>
      <w:bookmarkStart w:id="830" w:name="_Toc53494725"/>
      <w:bookmarkStart w:id="831" w:name="_Toc53504214"/>
      <w:bookmarkStart w:id="832" w:name="_Toc53505974"/>
      <w:bookmarkStart w:id="833" w:name="_Toc53652786"/>
      <w:bookmarkStart w:id="834" w:name="_Toc53670381"/>
      <w:bookmarkStart w:id="835" w:name="_Toc53670870"/>
      <w:bookmarkStart w:id="836" w:name="_Toc53678902"/>
      <w:bookmarkStart w:id="837" w:name="_Toc53752564"/>
      <w:bookmarkStart w:id="838" w:name="_Toc53752760"/>
      <w:bookmarkStart w:id="839" w:name="_Toc53756243"/>
      <w:bookmarkStart w:id="840" w:name="_Toc54002749"/>
      <w:bookmarkStart w:id="841" w:name="_Toc54004841"/>
      <w:bookmarkStart w:id="842" w:name="_Toc54187773"/>
      <w:bookmarkStart w:id="843" w:name="_Toc54195827"/>
      <w:bookmarkStart w:id="844" w:name="_Toc54198609"/>
      <w:bookmarkStart w:id="845" w:name="_Toc54363752"/>
      <w:bookmarkStart w:id="846" w:name="_Toc54374678"/>
      <w:bookmarkStart w:id="847" w:name="_Toc54429932"/>
      <w:bookmarkStart w:id="848" w:name="_Toc54430255"/>
      <w:bookmarkStart w:id="849" w:name="_Toc55398267"/>
      <w:bookmarkStart w:id="850" w:name="_Toc55402864"/>
      <w:bookmarkStart w:id="851" w:name="_Toc55410575"/>
      <w:bookmarkStart w:id="852" w:name="_Toc55466113"/>
      <w:bookmarkStart w:id="853" w:name="_Toc55480563"/>
      <w:bookmarkStart w:id="854" w:name="_Toc55482442"/>
      <w:bookmarkStart w:id="855" w:name="_Toc55486354"/>
      <w:bookmarkStart w:id="856" w:name="_Toc55488163"/>
      <w:bookmarkStart w:id="857" w:name="_Toc55488797"/>
      <w:bookmarkStart w:id="858" w:name="_Toc55490422"/>
      <w:bookmarkStart w:id="859" w:name="_Toc55490611"/>
      <w:bookmarkStart w:id="860" w:name="_Toc55498953"/>
      <w:bookmarkStart w:id="861" w:name="_Toc55499143"/>
      <w:bookmarkStart w:id="862" w:name="_Toc55651325"/>
      <w:bookmarkStart w:id="863" w:name="_Toc55662184"/>
      <w:bookmarkStart w:id="864" w:name="_Toc55663568"/>
      <w:bookmarkStart w:id="865" w:name="_Toc55750538"/>
      <w:bookmarkStart w:id="866" w:name="_Toc55761121"/>
      <w:bookmarkStart w:id="867" w:name="_Toc55808253"/>
      <w:bookmarkStart w:id="868" w:name="_Toc55899260"/>
      <w:bookmarkStart w:id="869" w:name="_Toc55899594"/>
      <w:bookmarkStart w:id="870" w:name="_Toc55899760"/>
      <w:bookmarkStart w:id="871" w:name="_Toc55977221"/>
      <w:bookmarkStart w:id="872" w:name="_Toc55991389"/>
      <w:bookmarkStart w:id="873" w:name="_Toc55993137"/>
      <w:bookmarkStart w:id="874" w:name="_Toc55999445"/>
      <w:bookmarkStart w:id="875" w:name="_Toc55999508"/>
      <w:bookmarkStart w:id="876" w:name="_Toc56012525"/>
      <w:bookmarkStart w:id="877" w:name="_Toc56013748"/>
      <w:bookmarkStart w:id="878" w:name="_Toc56172433"/>
      <w:bookmarkStart w:id="879" w:name="_Toc56173644"/>
      <w:bookmarkStart w:id="880" w:name="_Toc54376087"/>
      <w:r>
        <w:rPr>
          <w:noProof/>
        </w:rPr>
        <w:t xml:space="preserve">3.4. </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Pr>
          <w:noProof/>
          <w:lang w:val="en-IE"/>
        </w:rPr>
        <w:t>Insolvency frameworks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bookmarkEnd w:id="880"/>
    <w:p w:rsidR="00704A93" w:rsidRDefault="005D0BB9">
      <w:pPr>
        <w:spacing w:after="200" w:line="276" w:lineRule="auto"/>
        <w:rPr>
          <w:noProof/>
        </w:rPr>
      </w:pPr>
      <w:r>
        <w:rPr>
          <w:b/>
          <w:noProof/>
          <w:lang w:val="en-IE"/>
        </w:rPr>
        <w:t xml:space="preserve">Non-bank insolvency frameworks are important for euro area Member States resilience to shock and to improve risk-sharing within the union. </w:t>
      </w:r>
      <w:r>
        <w:rPr>
          <w:noProof/>
          <w:lang w:val="en-IE"/>
        </w:rPr>
        <w:t xml:space="preserve">The next phase of the crisis might feature an increase in bankruptcy rates, so it is important that Member States have efficient insolvency frameworks in place, </w:t>
      </w:r>
      <w:r>
        <w:rPr>
          <w:noProof/>
        </w:rPr>
        <w:t>supporting bank lending and economic recoveries while reducing the building-up of non-performing loans (NPLs).</w:t>
      </w:r>
      <w:r>
        <w:rPr>
          <w:rStyle w:val="FootnoteReference"/>
          <w:noProof/>
        </w:rPr>
        <w:footnoteReference w:id="94"/>
      </w:r>
      <w:r>
        <w:rPr>
          <w:noProof/>
        </w:rPr>
        <w:t xml:space="preserve"> This is particularly important in a currency union, where the flow of credit within countries and across borders might be more difficult in the absence of other adjustment mechanisms.</w:t>
      </w:r>
    </w:p>
    <w:p w:rsidR="00704A93" w:rsidRDefault="005D0BB9">
      <w:pPr>
        <w:spacing w:after="200" w:line="276" w:lineRule="auto"/>
        <w:rPr>
          <w:noProof/>
          <w:lang w:val="en-IE"/>
        </w:rPr>
      </w:pPr>
      <w:r>
        <w:rPr>
          <w:b/>
          <w:noProof/>
          <w:lang w:val="en-IE"/>
        </w:rPr>
        <w:t xml:space="preserve">General insolvency frameworks differ substantially across countries. </w:t>
      </w:r>
      <w:r>
        <w:rPr>
          <w:noProof/>
        </w:rPr>
        <w:t>Even though based on simplifying assumptions and containing some element of appraisal, World Bank indicators (Graph 24) point to considerable variations across the euro area in terms of length of corporate insolvency proceedings, their cost and outcomes (recovery rates for creditors).</w:t>
      </w:r>
      <w:r>
        <w:rPr>
          <w:noProof/>
          <w:lang w:val="en-IE"/>
        </w:rPr>
        <w:t xml:space="preserve"> The </w:t>
      </w:r>
      <w:r>
        <w:rPr>
          <w:noProof/>
          <w:lang w:val="en-IE"/>
        </w:rPr>
        <w:lastRenderedPageBreak/>
        <w:t xml:space="preserve">insolvency frameworks differ </w:t>
      </w:r>
      <w:r>
        <w:rPr>
          <w:noProof/>
        </w:rPr>
        <w:t xml:space="preserve">as a result of </w:t>
      </w:r>
      <w:r>
        <w:rPr>
          <w:bCs/>
          <w:noProof/>
        </w:rPr>
        <w:t xml:space="preserve">distinct </w:t>
      </w:r>
      <w:r>
        <w:rPr>
          <w:noProof/>
        </w:rPr>
        <w:t>societal considerations, legal traditions and financial systems</w:t>
      </w:r>
      <w:r>
        <w:rPr>
          <w:b/>
          <w:bCs/>
          <w:noProof/>
        </w:rPr>
        <w:t xml:space="preserve">. </w:t>
      </w:r>
      <w:r>
        <w:rPr>
          <w:noProof/>
          <w:lang w:val="en-IE"/>
        </w:rPr>
        <w:t>Although there is no single prescription, a number of broad principles identified in the legal and economic literature</w:t>
      </w:r>
      <w:r>
        <w:rPr>
          <w:noProof/>
          <w:vertAlign w:val="superscript"/>
          <w:lang w:val="en-IE"/>
        </w:rPr>
        <w:footnoteReference w:id="95"/>
      </w:r>
      <w:r>
        <w:rPr>
          <w:noProof/>
          <w:lang w:val="en-IE"/>
        </w:rPr>
        <w:t xml:space="preserve"> have been translated into best practices.</w:t>
      </w:r>
      <w:r>
        <w:rPr>
          <w:noProof/>
          <w:vertAlign w:val="superscript"/>
          <w:lang w:val="en-IE"/>
        </w:rPr>
        <w:footnoteReference w:id="96"/>
      </w:r>
      <w:r>
        <w:rPr>
          <w:noProof/>
          <w:lang w:val="en-I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351"/>
        <w:gridCol w:w="16"/>
      </w:tblGrid>
      <w:tr w:rsidR="00704A93">
        <w:trPr>
          <w:gridAfter w:val="1"/>
          <w:wAfter w:w="16" w:type="dxa"/>
          <w:jc w:val="center"/>
        </w:trPr>
        <w:tc>
          <w:tcPr>
            <w:tcW w:w="4875" w:type="dxa"/>
          </w:tcPr>
          <w:p w:rsidR="00704A93" w:rsidRDefault="005D0BB9">
            <w:pPr>
              <w:spacing w:after="0" w:line="276" w:lineRule="auto"/>
              <w:jc w:val="center"/>
              <w:rPr>
                <w:i/>
                <w:noProof/>
                <w:color w:val="1F4E79" w:themeColor="accent1" w:themeShade="80"/>
                <w:sz w:val="20"/>
              </w:rPr>
            </w:pPr>
            <w:r>
              <w:rPr>
                <w:i/>
                <w:noProof/>
                <w:color w:val="1F4E79" w:themeColor="accent1" w:themeShade="80"/>
                <w:sz w:val="22"/>
                <w:szCs w:val="22"/>
              </w:rPr>
              <w:t>Graph 24:</w:t>
            </w:r>
            <w:r>
              <w:rPr>
                <w:i/>
                <w:noProof/>
                <w:color w:val="1F4E79" w:themeColor="accent1" w:themeShade="80"/>
                <w:sz w:val="20"/>
              </w:rPr>
              <w:t xml:space="preserve"> Efficiency of insolvency frameworks </w:t>
            </w:r>
          </w:p>
          <w:p w:rsidR="00704A93" w:rsidRDefault="005D0BB9">
            <w:pPr>
              <w:spacing w:after="0" w:line="276" w:lineRule="auto"/>
              <w:jc w:val="center"/>
              <w:rPr>
                <w:i/>
                <w:noProof/>
                <w:color w:val="1F4E79" w:themeColor="accent1" w:themeShade="80"/>
                <w:sz w:val="22"/>
                <w:szCs w:val="22"/>
              </w:rPr>
            </w:pPr>
            <w:r>
              <w:rPr>
                <w:i/>
                <w:noProof/>
                <w:color w:val="1F4E79" w:themeColor="accent1" w:themeShade="80"/>
                <w:sz w:val="20"/>
              </w:rPr>
              <w:t>in the euro area</w:t>
            </w:r>
          </w:p>
        </w:tc>
        <w:tc>
          <w:tcPr>
            <w:tcW w:w="4351" w:type="dxa"/>
          </w:tcPr>
          <w:p w:rsidR="00704A93" w:rsidRDefault="005D0BB9">
            <w:pPr>
              <w:spacing w:after="0" w:line="276" w:lineRule="auto"/>
              <w:jc w:val="center"/>
              <w:rPr>
                <w:i/>
                <w:noProof/>
                <w:color w:val="1F4E79" w:themeColor="accent1" w:themeShade="80"/>
                <w:sz w:val="22"/>
                <w:szCs w:val="22"/>
              </w:rPr>
            </w:pPr>
            <w:r>
              <w:rPr>
                <w:i/>
                <w:noProof/>
                <w:color w:val="1F4E79" w:themeColor="accent1" w:themeShade="80"/>
                <w:sz w:val="22"/>
                <w:szCs w:val="22"/>
              </w:rPr>
              <w:t xml:space="preserve">Graph 25: </w:t>
            </w:r>
            <w:r>
              <w:rPr>
                <w:i/>
                <w:noProof/>
                <w:color w:val="1F4E79" w:themeColor="accent1" w:themeShade="80"/>
                <w:sz w:val="22"/>
                <w:szCs w:val="22"/>
                <w:lang w:val="en-IE"/>
              </w:rPr>
              <w:t>Government Effectiveness, euro area and OECD high-income countries, 2019</w:t>
            </w:r>
          </w:p>
        </w:tc>
      </w:tr>
      <w:tr w:rsidR="00704A93">
        <w:tblPrEx>
          <w:tblCellMar>
            <w:left w:w="70" w:type="dxa"/>
            <w:right w:w="70" w:type="dxa"/>
          </w:tblCellMar>
        </w:tblPrEx>
        <w:trPr>
          <w:jc w:val="center"/>
        </w:trPr>
        <w:tc>
          <w:tcPr>
            <w:tcW w:w="4875" w:type="dxa"/>
          </w:tcPr>
          <w:p w:rsidR="00704A93" w:rsidRDefault="005D0BB9">
            <w:pPr>
              <w:spacing w:after="0" w:line="276" w:lineRule="auto"/>
              <w:jc w:val="center"/>
              <w:rPr>
                <w:noProof/>
                <w:lang w:val="en-US"/>
              </w:rPr>
            </w:pPr>
            <w:r>
              <w:rPr>
                <w:noProof/>
                <w:sz w:val="20"/>
                <w:lang w:eastAsia="en-GB"/>
              </w:rPr>
              <w:drawing>
                <wp:inline distT="0" distB="0" distL="0" distR="0">
                  <wp:extent cx="3074035" cy="2073349"/>
                  <wp:effectExtent l="0" t="0" r="0" b="317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367" w:type="dxa"/>
            <w:gridSpan w:val="2"/>
          </w:tcPr>
          <w:p w:rsidR="00704A93" w:rsidRDefault="005D0BB9">
            <w:pPr>
              <w:spacing w:after="0" w:line="276" w:lineRule="auto"/>
              <w:jc w:val="center"/>
              <w:rPr>
                <w:noProof/>
                <w:lang w:val="en-US"/>
              </w:rPr>
            </w:pPr>
            <w:r>
              <w:rPr>
                <w:noProof/>
                <w:lang w:eastAsia="en-GB"/>
              </w:rPr>
              <w:drawing>
                <wp:inline distT="0" distB="0" distL="0" distR="0">
                  <wp:extent cx="2736850" cy="1890445"/>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704A93">
        <w:trPr>
          <w:gridAfter w:val="1"/>
          <w:wAfter w:w="16" w:type="dxa"/>
          <w:jc w:val="center"/>
        </w:trPr>
        <w:tc>
          <w:tcPr>
            <w:tcW w:w="4875" w:type="dxa"/>
          </w:tcPr>
          <w:p w:rsidR="00704A93" w:rsidRDefault="005D0BB9">
            <w:pPr>
              <w:spacing w:after="180"/>
              <w:rPr>
                <w:noProof/>
                <w:sz w:val="14"/>
                <w:szCs w:val="14"/>
                <w:lang w:val="en-IE"/>
              </w:rPr>
            </w:pPr>
            <w:r>
              <w:rPr>
                <w:noProof/>
                <w:sz w:val="14"/>
                <w:szCs w:val="14"/>
                <w:lang w:val="en-IE"/>
              </w:rPr>
              <w:t>Source: World Bank Doing Business.</w:t>
            </w:r>
          </w:p>
        </w:tc>
        <w:tc>
          <w:tcPr>
            <w:tcW w:w="4351" w:type="dxa"/>
          </w:tcPr>
          <w:p w:rsidR="00704A93" w:rsidRDefault="005D0BB9">
            <w:pPr>
              <w:spacing w:after="0"/>
              <w:rPr>
                <w:noProof/>
                <w:sz w:val="14"/>
                <w:szCs w:val="14"/>
                <w:lang w:val="en-IE"/>
              </w:rPr>
            </w:pPr>
            <w:r>
              <w:rPr>
                <w:noProof/>
                <w:sz w:val="14"/>
                <w:szCs w:val="14"/>
                <w:lang w:val="en-IE"/>
              </w:rPr>
              <w:t>Source: Worldwide Governance Indicators, World Bank.</w:t>
            </w:r>
          </w:p>
        </w:tc>
      </w:tr>
    </w:tbl>
    <w:p w:rsidR="00704A93" w:rsidRDefault="005D0BB9">
      <w:pPr>
        <w:spacing w:after="200" w:line="269" w:lineRule="auto"/>
        <w:rPr>
          <w:b/>
          <w:noProof/>
        </w:rPr>
      </w:pPr>
      <w:r>
        <w:rPr>
          <w:b/>
          <w:noProof/>
        </w:rPr>
        <w:t xml:space="preserve">The divergence of insolvency frameworks remains an obstacle for cross-border capital flows. </w:t>
      </w:r>
      <w:r>
        <w:rPr>
          <w:noProof/>
        </w:rPr>
        <w:t>Differences in insolvency proceedings contribute to a home bias, as investors shy away from legal risks and costs linked to possible restructuring/insolvency proceedings abroad. Cross-border insolvency proceedings are often inefficient, complex, and expensive, especially for SMEs. It takes about two years on average, with considerable variations between jurisdictions, to resolve a domestic insolvency in the EU. Cross- border proceedings take three years on average and are twice as expensive.</w:t>
      </w:r>
      <w:r>
        <w:rPr>
          <w:rStyle w:val="FootnoteReference"/>
          <w:noProof/>
        </w:rPr>
        <w:footnoteReference w:id="97"/>
      </w:r>
    </w:p>
    <w:p w:rsidR="00704A93" w:rsidRDefault="005D0BB9">
      <w:pPr>
        <w:spacing w:after="200" w:line="269" w:lineRule="auto"/>
        <w:rPr>
          <w:b/>
          <w:bCs/>
          <w:noProof/>
        </w:rPr>
      </w:pPr>
      <w:r>
        <w:rPr>
          <w:b/>
          <w:noProof/>
        </w:rPr>
        <w:t>The impact of the COVID-19 crisis may in some countries lead to an increase in bankruptcies, which may in some cases require an adaptation of insolvency frameworks</w:t>
      </w:r>
      <w:r>
        <w:rPr>
          <w:noProof/>
        </w:rPr>
        <w:t xml:space="preserve">. Despite exceptional measures to contain the impact of the crisis on firms and households, corporate bankruptcies are likely to increase in the coming years in light of a protracted reduction in business activity and profitability. The repayment capacity of households will also be under strain, due to increased joblessness and reduced income prospects. The increase in debt distress may in some cases put a strain on insolvency frameworks in terms of court congestion and a slower than needed workout of bad debt in bank balance sheets. In this context, insolvency frameworks will play a crucial role in the </w:t>
      </w:r>
      <w:r>
        <w:rPr>
          <w:noProof/>
        </w:rPr>
        <w:lastRenderedPageBreak/>
        <w:t>process of supporting viable firms undergoing temporary problems and providing for the orderly exit of non-viable firms.</w:t>
      </w:r>
    </w:p>
    <w:p w:rsidR="00704A93" w:rsidRDefault="005D0BB9">
      <w:pPr>
        <w:spacing w:after="200" w:line="269" w:lineRule="auto"/>
        <w:rPr>
          <w:b/>
          <w:bCs/>
          <w:noProof/>
        </w:rPr>
      </w:pPr>
      <w:r>
        <w:rPr>
          <w:b/>
          <w:bCs/>
          <w:noProof/>
        </w:rPr>
        <w:t>The European Commission has emphasised the need for insolvency framework reforms in economic surveillance, and has taken several initiatives to foster best practices.</w:t>
      </w:r>
      <w:r>
        <w:rPr>
          <w:rStyle w:val="FootnoteReference"/>
          <w:b/>
          <w:bCs/>
          <w:noProof/>
        </w:rPr>
        <w:footnoteReference w:id="98"/>
      </w:r>
    </w:p>
    <w:p w:rsidR="00704A93" w:rsidRDefault="005D0BB9">
      <w:pPr>
        <w:pStyle w:val="ListParagraph"/>
        <w:numPr>
          <w:ilvl w:val="0"/>
          <w:numId w:val="39"/>
        </w:numPr>
        <w:spacing w:line="269" w:lineRule="auto"/>
        <w:rPr>
          <w:noProof/>
          <w:shd w:val="clear" w:color="auto" w:fill="FFFFFF"/>
        </w:rPr>
      </w:pPr>
      <w:r>
        <w:rPr>
          <w:noProof/>
        </w:rPr>
        <w:t xml:space="preserve">In 2019, the </w:t>
      </w:r>
      <w:r>
        <w:rPr>
          <w:b/>
          <w:noProof/>
        </w:rPr>
        <w:t>Restructuring and Second Chance Directive</w:t>
      </w:r>
      <w:r>
        <w:rPr>
          <w:noProof/>
        </w:rPr>
        <w:t xml:space="preserve"> was adopted to promote early restructuring and a second chance for entrepreneurs.</w:t>
      </w:r>
      <w:r>
        <w:rPr>
          <w:rStyle w:val="FootnoteReference"/>
          <w:noProof/>
        </w:rPr>
        <w:footnoteReference w:id="99"/>
      </w:r>
      <w:r>
        <w:rPr>
          <w:noProof/>
        </w:rPr>
        <w:t xml:space="preserve"> </w:t>
      </w:r>
      <w:r>
        <w:rPr>
          <w:noProof/>
          <w:color w:val="000000"/>
          <w:shd w:val="clear" w:color="auto" w:fill="FFFFFF"/>
        </w:rPr>
        <w:t>The aim of the directive is to introduce minimum standards among EU Member States for preventive restructuring frameworks available to debtors in financial difficulty and for procedures leading to a discharge of debts incurred by over-indebted entrepreneurs, as well as to provide measures to increase the efficiency of all types of insolvency procedures</w:t>
      </w:r>
      <w:r>
        <w:rPr>
          <w:noProof/>
          <w:shd w:val="clear" w:color="auto" w:fill="FFFFFF"/>
        </w:rPr>
        <w:t>.</w:t>
      </w:r>
    </w:p>
    <w:p w:rsidR="00704A93" w:rsidRDefault="005D0BB9">
      <w:pPr>
        <w:pStyle w:val="ListParagraph"/>
        <w:numPr>
          <w:ilvl w:val="0"/>
          <w:numId w:val="39"/>
        </w:numPr>
        <w:spacing w:line="269" w:lineRule="auto"/>
        <w:rPr>
          <w:noProof/>
          <w:shd w:val="clear" w:color="auto" w:fill="FFFFFF"/>
        </w:rPr>
      </w:pPr>
      <w:r>
        <w:rPr>
          <w:noProof/>
        </w:rPr>
        <w:t xml:space="preserve">In the </w:t>
      </w:r>
      <w:r>
        <w:rPr>
          <w:b/>
          <w:noProof/>
        </w:rPr>
        <w:t>new action plan on Capital Markets Union</w:t>
      </w:r>
      <w:r>
        <w:rPr>
          <w:noProof/>
        </w:rPr>
        <w:t xml:space="preserve">, the European Commission has announced measures to make the outcome of cross border investment more predictable as regard insolvency proceedings. Bearing in mind that different institutional settings – which do not only pertain specifically to insolvency regulation (e.g. efficiency of judicial systems or foreclosure legislation) – affect insolvency outcomes, harmonisation of certain targeted areas of national insolvency rules or their convergence could enhance legal and financial certainty, as well as would facilitate cross-border financial operations in European capital markets. The European Commission will take </w:t>
      </w:r>
      <w:r>
        <w:rPr>
          <w:bCs/>
          <w:noProof/>
        </w:rPr>
        <w:t xml:space="preserve">a legislative or non-legislative initiative for </w:t>
      </w:r>
      <w:r>
        <w:rPr>
          <w:noProof/>
        </w:rPr>
        <w:t>minimum harmonisation or increased convergence in targeted areas of core non-bank insolvency</w:t>
      </w:r>
      <w:r>
        <w:rPr>
          <w:bCs/>
          <w:noProof/>
        </w:rPr>
        <w:t>. The plan also foresees r</w:t>
      </w:r>
      <w:r>
        <w:rPr>
          <w:noProof/>
        </w:rPr>
        <w:t xml:space="preserve">egular monitoring of the effectiveness of national </w:t>
      </w:r>
      <w:r>
        <w:rPr>
          <w:noProof/>
          <w:szCs w:val="24"/>
          <w:lang w:eastAsia="en-GB"/>
        </w:rPr>
        <w:t>loan enforcement regimes</w:t>
      </w:r>
      <w:r>
        <w:rPr>
          <w:noProof/>
        </w:rPr>
        <w:t xml:space="preserve"> through enhanced data reporting that would allow Member States to benchmark their insolvency regimes against those in other Member States and encourage a strengthening of their regimes. </w:t>
      </w:r>
    </w:p>
    <w:p w:rsidR="00704A93" w:rsidRDefault="005D0BB9">
      <w:pPr>
        <w:pStyle w:val="ListParagraph"/>
        <w:numPr>
          <w:ilvl w:val="0"/>
          <w:numId w:val="39"/>
        </w:numPr>
        <w:spacing w:after="200" w:line="269" w:lineRule="auto"/>
        <w:rPr>
          <w:i/>
          <w:noProof/>
        </w:rPr>
      </w:pPr>
      <w:r>
        <w:rPr>
          <w:noProof/>
          <w:color w:val="000000" w:themeColor="text1"/>
          <w:szCs w:val="24"/>
          <w:lang w:eastAsia="en-GB"/>
        </w:rPr>
        <w:t xml:space="preserve">The European Commission will publish a </w:t>
      </w:r>
      <w:r>
        <w:rPr>
          <w:b/>
          <w:noProof/>
          <w:color w:val="000000" w:themeColor="text1"/>
          <w:szCs w:val="24"/>
          <w:lang w:eastAsia="en-GB"/>
        </w:rPr>
        <w:t>Communication</w:t>
      </w:r>
      <w:r>
        <w:rPr>
          <w:noProof/>
          <w:color w:val="000000" w:themeColor="text1"/>
          <w:szCs w:val="24"/>
          <w:lang w:eastAsia="en-GB"/>
        </w:rPr>
        <w:t xml:space="preserve"> outlining actions that could be taken at the current juncture, in order to address possibly rising NPLs, with a focus on developing secondary markets for distressed assets and reforms of insolvency and debt recovery frameworks. </w:t>
      </w:r>
    </w:p>
    <w:p w:rsidR="00704A93" w:rsidRDefault="005D0BB9">
      <w:pPr>
        <w:pStyle w:val="Heading2"/>
        <w:rPr>
          <w:noProof/>
        </w:rPr>
      </w:pPr>
      <w:bookmarkStart w:id="881" w:name="_Toc55398268"/>
      <w:bookmarkStart w:id="882" w:name="_Toc55402865"/>
      <w:bookmarkStart w:id="883" w:name="_Toc55410576"/>
      <w:bookmarkStart w:id="884" w:name="_Toc55466114"/>
      <w:bookmarkStart w:id="885" w:name="_Toc55480564"/>
      <w:bookmarkStart w:id="886" w:name="_Toc55482443"/>
      <w:bookmarkStart w:id="887" w:name="_Toc55486355"/>
      <w:bookmarkStart w:id="888" w:name="_Toc55488164"/>
      <w:bookmarkStart w:id="889" w:name="_Toc55488798"/>
      <w:bookmarkStart w:id="890" w:name="_Toc55490423"/>
      <w:bookmarkStart w:id="891" w:name="_Toc55490612"/>
      <w:bookmarkStart w:id="892" w:name="_Toc55498954"/>
      <w:bookmarkStart w:id="893" w:name="_Toc55499144"/>
      <w:bookmarkStart w:id="894" w:name="_Toc55651326"/>
      <w:bookmarkStart w:id="895" w:name="_Toc55662185"/>
      <w:bookmarkStart w:id="896" w:name="_Toc55663569"/>
      <w:bookmarkStart w:id="897" w:name="_Toc55750539"/>
      <w:bookmarkStart w:id="898" w:name="_Toc55761122"/>
      <w:bookmarkStart w:id="899" w:name="_Toc55808254"/>
      <w:bookmarkStart w:id="900" w:name="_Toc55899261"/>
      <w:bookmarkStart w:id="901" w:name="_Toc55899595"/>
      <w:bookmarkStart w:id="902" w:name="_Toc55899761"/>
      <w:bookmarkStart w:id="903" w:name="_Toc55977222"/>
      <w:bookmarkStart w:id="904" w:name="_Toc55991390"/>
      <w:bookmarkStart w:id="905" w:name="_Toc55993138"/>
      <w:bookmarkStart w:id="906" w:name="_Toc55999446"/>
      <w:bookmarkStart w:id="907" w:name="_Toc55999509"/>
      <w:bookmarkStart w:id="908" w:name="_Toc56012526"/>
      <w:bookmarkStart w:id="909" w:name="_Toc56013749"/>
      <w:bookmarkStart w:id="910" w:name="_Toc56172434"/>
      <w:bookmarkStart w:id="911" w:name="_Toc56173645"/>
      <w:r>
        <w:rPr>
          <w:noProof/>
        </w:rPr>
        <w:t xml:space="preserve">3.5. </w:t>
      </w:r>
      <w:r>
        <w:rPr>
          <w:noProof/>
          <w:lang w:val="en-IE"/>
        </w:rPr>
        <w:t>Administrative and absorption capacity and other drivers of institutional quality</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rsidR="00704A93" w:rsidRDefault="005D0BB9">
      <w:pPr>
        <w:spacing w:after="200" w:line="276" w:lineRule="auto"/>
        <w:rPr>
          <w:noProof/>
          <w:lang w:val="en-IE"/>
        </w:rPr>
      </w:pPr>
      <w:r>
        <w:rPr>
          <w:b/>
          <w:noProof/>
          <w:lang w:val="en-IE"/>
        </w:rPr>
        <w:t xml:space="preserve">The issue of administrative quality will be all the more important as the amount of EU funding some of the euro area Member States will have to absorb in the coming years </w:t>
      </w:r>
      <w:r>
        <w:rPr>
          <w:b/>
          <w:noProof/>
          <w:lang w:val="en-IE"/>
        </w:rPr>
        <w:lastRenderedPageBreak/>
        <w:t>will be large.</w:t>
      </w:r>
      <w:r>
        <w:rPr>
          <w:noProof/>
          <w:lang w:val="en-IE"/>
        </w:rPr>
        <w:t xml:space="preserve"> The EU grants for investments and reforms available in the next few years will include the European Structural and Investment Funds and Next Generation EU (including high amounts of Resilience and Recovery Facility grants). For some euro area Member States, notably Greece, Slovakia, Latvia, Lithuania, Estonia and Portugal, the sum of all these funds may well represent more than 2% of GDP in annualised terms. Administratively, this will require careful planning and implementation to ensure that EU outlays are efficiently and timely spent on the ground and in line with a coherent economic, social and environmental strategy.</w:t>
      </w:r>
    </w:p>
    <w:p w:rsidR="00704A93" w:rsidRDefault="005D0BB9">
      <w:pPr>
        <w:spacing w:after="200" w:line="276" w:lineRule="auto"/>
        <w:rPr>
          <w:noProof/>
          <w:lang w:val="en-IE"/>
        </w:rPr>
      </w:pPr>
      <w:r>
        <w:rPr>
          <w:b/>
          <w:noProof/>
          <w:lang w:val="en-IE"/>
        </w:rPr>
        <w:t xml:space="preserve">More broadly, sound institutions and economic structures can enhance economic resilience and long-term growth in the euro area. </w:t>
      </w:r>
      <w:r>
        <w:rPr>
          <w:noProof/>
          <w:lang w:val="en-IE"/>
        </w:rPr>
        <w:t>Most Member States are still lagging behind considerably the best performing countries of the OECD, over the quality of national institutions and the efficiency of economic structures.</w:t>
      </w:r>
      <w:r>
        <w:rPr>
          <w:rStyle w:val="FootnoteReference"/>
          <w:noProof/>
          <w:lang w:val="en-IE"/>
        </w:rPr>
        <w:footnoteReference w:id="100"/>
      </w:r>
      <w:r>
        <w:rPr>
          <w:noProof/>
          <w:lang w:val="en-IE"/>
        </w:rPr>
        <w:t xml:space="preserve"> In terms of government effectiveness, while a number of euro area countries are among the worldwide best performers, the majority score worse than the average of high-income OECD countries (Graph 25). Against this backdrop, there is a large body of economic literature showing that differences in institutions across countries contribute to cross-country differences in income per capita.</w:t>
      </w:r>
      <w:r>
        <w:rPr>
          <w:rStyle w:val="FootnoteReference"/>
          <w:noProof/>
          <w:lang w:val="en-IE"/>
        </w:rPr>
        <w:footnoteReference w:id="101"/>
      </w:r>
      <w:r>
        <w:rPr>
          <w:noProof/>
          <w:lang w:val="en-IE"/>
        </w:rPr>
        <w:t xml:space="preserve"> </w:t>
      </w:r>
    </w:p>
    <w:p w:rsidR="00704A93" w:rsidRDefault="005D0BB9">
      <w:pPr>
        <w:spacing w:after="200" w:line="276" w:lineRule="auto"/>
        <w:rPr>
          <w:noProof/>
          <w:lang w:val="en-IE"/>
        </w:rPr>
      </w:pPr>
      <w:r>
        <w:rPr>
          <w:b/>
          <w:noProof/>
          <w:lang w:val="en-IE"/>
        </w:rPr>
        <w:t>Strengthening institutional quality at national level can improve the delivery of structural reforms in the euro area</w:t>
      </w:r>
      <w:r>
        <w:rPr>
          <w:noProof/>
          <w:lang w:val="en-IE"/>
        </w:rPr>
        <w:t>.</w:t>
      </w:r>
      <w:r>
        <w:rPr>
          <w:rStyle w:val="FootnoteReference"/>
          <w:b/>
          <w:noProof/>
          <w:lang w:val="en-IE"/>
        </w:rPr>
        <w:footnoteReference w:id="102"/>
      </w:r>
      <w:r>
        <w:rPr>
          <w:noProof/>
          <w:lang w:val="en-IE"/>
        </w:rPr>
        <w:t xml:space="preserve"> There is evidence that measures that improve the institutional framework bring particularly strong long-term benefits and are a prerequisite for reforms in other areas to be effectively implemented. High-quality institutions, particularly those that ensure the efficient and impartial functioning of public administration including insolvency frameworks, effective justice systems and a high degree of transparency and accountability, are also a prerequisite for reforms in other areas (in particular market regulation) to be effectively implemented and yield their full potential. </w:t>
      </w:r>
      <w:r>
        <w:rPr>
          <w:rStyle w:val="FootnoteReference"/>
          <w:noProof/>
          <w:lang w:val="en-IE"/>
        </w:rPr>
        <w:footnoteReference w:id="103"/>
      </w:r>
    </w:p>
    <w:p w:rsidR="00704A93" w:rsidRDefault="005D0BB9">
      <w:pPr>
        <w:spacing w:after="200" w:line="269" w:lineRule="auto"/>
        <w:rPr>
          <w:noProof/>
          <w:lang w:val="en-IE"/>
        </w:rPr>
      </w:pPr>
      <w:r>
        <w:rPr>
          <w:b/>
          <w:noProof/>
          <w:lang w:val="en-IE"/>
        </w:rPr>
        <w:t>Selected features of public administrations and governance play an important role for investments</w:t>
      </w:r>
      <w:r>
        <w:rPr>
          <w:noProof/>
          <w:lang w:val="en-IE"/>
        </w:rPr>
        <w:t>.</w:t>
      </w:r>
      <w:r>
        <w:rPr>
          <w:rStyle w:val="FootnoteReference"/>
          <w:noProof/>
          <w:lang w:val="en-IE"/>
        </w:rPr>
        <w:footnoteReference w:id="104"/>
      </w:r>
      <w:r>
        <w:rPr>
          <w:noProof/>
          <w:lang w:val="en-IE"/>
        </w:rPr>
        <w:t xml:space="preserve"> Cumbersome bureaucracies may delay the distribution of permits and licenses, thus slowing down investments. Second, corruption, or perception thereof is found to negatively impact the investment climate and on economic growth.</w:t>
      </w:r>
      <w:r>
        <w:rPr>
          <w:rStyle w:val="FootnoteReference"/>
          <w:noProof/>
          <w:lang w:val="en-IE"/>
        </w:rPr>
        <w:footnoteReference w:id="105"/>
      </w:r>
      <w:r>
        <w:rPr>
          <w:noProof/>
          <w:lang w:val="en-IE"/>
        </w:rPr>
        <w:t xml:space="preserve"> Corruption creates uncertainty and it is effectively an added “cost”, which hampers the optimal allocation of resources.</w:t>
      </w:r>
      <w:r>
        <w:rPr>
          <w:rStyle w:val="FootnoteReference"/>
          <w:noProof/>
          <w:lang w:val="en-IE"/>
        </w:rPr>
        <w:footnoteReference w:id="106"/>
      </w:r>
      <w:r>
        <w:rPr>
          <w:noProof/>
          <w:lang w:val="en-IE"/>
        </w:rPr>
        <w:t xml:space="preserve"> In the euro area, there is a</w:t>
      </w:r>
      <w:r>
        <w:rPr>
          <w:b/>
          <w:noProof/>
          <w:lang w:val="en-IE"/>
        </w:rPr>
        <w:t xml:space="preserve"> </w:t>
      </w:r>
      <w:r>
        <w:rPr>
          <w:noProof/>
          <w:lang w:val="en-IE"/>
        </w:rPr>
        <w:t xml:space="preserve">positive (unconditional) correlation between a </w:t>
      </w:r>
      <w:r>
        <w:rPr>
          <w:noProof/>
          <w:lang w:val="en-IE"/>
        </w:rPr>
        <w:lastRenderedPageBreak/>
        <w:t>measure of the quality of public administration and the ratio of gross fixed capital formation to GDP (Graph 26a). In addition, investment appears to be also negatively correlated with people’s perceptions of corruption (Graph 26b) and with business’ perceived complexity of administrative procedures (Graph 26c).</w:t>
      </w:r>
      <w:r>
        <w:rPr>
          <w:rStyle w:val="FootnoteReference"/>
          <w:noProof/>
          <w:lang w:val="en-IE"/>
        </w:rPr>
        <w:footnoteReference w:id="107"/>
      </w:r>
      <w:r>
        <w:rPr>
          <w:noProof/>
          <w:lang w:val="en-IE"/>
        </w:rPr>
        <w:t xml:space="preserve"> Improving the governance structure and building-up the necessary administrative capacity are crucial to provide a regulatory environment conducive to investment. Planning and implementing ambitious investment projects including for the achievement of the green and digital transitions requires specific skills, including the ability to plan and execute strategic investments to steer long-run technological developments. </w:t>
      </w:r>
    </w:p>
    <w:p w:rsidR="00704A93" w:rsidRDefault="005D0BB9">
      <w:pPr>
        <w:spacing w:line="276" w:lineRule="auto"/>
        <w:jc w:val="center"/>
        <w:rPr>
          <w:i/>
          <w:noProof/>
          <w:color w:val="1F4E79" w:themeColor="accent1" w:themeShade="80"/>
          <w:sz w:val="22"/>
          <w:szCs w:val="22"/>
          <w:lang w:val="en-IE"/>
        </w:rPr>
      </w:pPr>
      <w:r>
        <w:rPr>
          <w:i/>
          <w:noProof/>
          <w:color w:val="1F4E79" w:themeColor="accent1" w:themeShade="80"/>
          <w:sz w:val="22"/>
          <w:szCs w:val="22"/>
          <w:lang w:val="en-IE"/>
        </w:rPr>
        <w:t>Graph 26: Relationship between investment and quality of public administration (a), perceived corruption (b) and perceived complexity of administrative procedures (c). EU28 and EA19 countries</w:t>
      </w:r>
    </w:p>
    <w:tbl>
      <w:tblPr>
        <w:tblStyle w:val="TableGrid"/>
        <w:tblW w:w="9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31"/>
        <w:gridCol w:w="2930"/>
        <w:gridCol w:w="215"/>
        <w:gridCol w:w="2890"/>
        <w:gridCol w:w="23"/>
      </w:tblGrid>
      <w:tr w:rsidR="00704A93">
        <w:trPr>
          <w:trHeight w:val="382"/>
        </w:trPr>
        <w:tc>
          <w:tcPr>
            <w:tcW w:w="3732" w:type="dxa"/>
            <w:gridSpan w:val="2"/>
            <w:vAlign w:val="center"/>
          </w:tcPr>
          <w:p w:rsidR="00704A93" w:rsidRDefault="005D0BB9">
            <w:pPr>
              <w:spacing w:after="0"/>
              <w:jc w:val="center"/>
              <w:rPr>
                <w:noProof/>
                <w:color w:val="1F4E79" w:themeColor="accent1" w:themeShade="80"/>
                <w:sz w:val="16"/>
                <w:szCs w:val="16"/>
                <w:lang w:val="en-IE"/>
              </w:rPr>
            </w:pPr>
            <w:r>
              <w:rPr>
                <w:noProof/>
                <w:color w:val="1F4E79" w:themeColor="accent1" w:themeShade="80"/>
                <w:sz w:val="16"/>
                <w:szCs w:val="16"/>
                <w:lang w:val="en-IE"/>
              </w:rPr>
              <w:t>26. a) Investment and quality of public administration</w:t>
            </w:r>
          </w:p>
        </w:tc>
        <w:tc>
          <w:tcPr>
            <w:tcW w:w="3790" w:type="dxa"/>
            <w:gridSpan w:val="2"/>
            <w:vAlign w:val="center"/>
          </w:tcPr>
          <w:p w:rsidR="00704A93" w:rsidRDefault="005D0BB9">
            <w:pPr>
              <w:spacing w:after="0"/>
              <w:jc w:val="center"/>
              <w:rPr>
                <w:noProof/>
                <w:color w:val="1F4E79" w:themeColor="accent1" w:themeShade="80"/>
                <w:sz w:val="16"/>
                <w:szCs w:val="16"/>
                <w:lang w:val="en-IE"/>
              </w:rPr>
            </w:pPr>
            <w:r>
              <w:rPr>
                <w:noProof/>
                <w:color w:val="1F4E79" w:themeColor="accent1" w:themeShade="80"/>
                <w:sz w:val="16"/>
                <w:szCs w:val="16"/>
                <w:lang w:val="en-IE"/>
              </w:rPr>
              <w:t>26. b) Investment and perceived corruption</w:t>
            </w:r>
          </w:p>
        </w:tc>
        <w:tc>
          <w:tcPr>
            <w:tcW w:w="1643" w:type="dxa"/>
            <w:gridSpan w:val="2"/>
            <w:vAlign w:val="center"/>
          </w:tcPr>
          <w:p w:rsidR="00704A93" w:rsidRDefault="005D0BB9">
            <w:pPr>
              <w:spacing w:after="0"/>
              <w:jc w:val="center"/>
              <w:rPr>
                <w:noProof/>
                <w:color w:val="1F4E79" w:themeColor="accent1" w:themeShade="80"/>
                <w:sz w:val="16"/>
                <w:szCs w:val="16"/>
                <w:lang w:val="en-IE"/>
              </w:rPr>
            </w:pPr>
            <w:r>
              <w:rPr>
                <w:noProof/>
                <w:color w:val="1F4E79" w:themeColor="accent1" w:themeShade="80"/>
                <w:sz w:val="16"/>
                <w:szCs w:val="16"/>
                <w:lang w:val="en-IE"/>
              </w:rPr>
              <w:t>26. c) Investment and perceived complexity of administrative procedures</w:t>
            </w:r>
          </w:p>
        </w:tc>
      </w:tr>
      <w:tr w:rsidR="00704A93">
        <w:tblPrEx>
          <w:tblCellMar>
            <w:left w:w="70" w:type="dxa"/>
            <w:right w:w="70" w:type="dxa"/>
          </w:tblCellMar>
        </w:tblPrEx>
        <w:trPr>
          <w:gridAfter w:val="1"/>
          <w:wAfter w:w="44" w:type="dxa"/>
          <w:trHeight w:val="2978"/>
        </w:trPr>
        <w:tc>
          <w:tcPr>
            <w:tcW w:w="3553" w:type="dxa"/>
            <w:vAlign w:val="center"/>
          </w:tcPr>
          <w:p w:rsidR="00704A93" w:rsidRDefault="005D0BB9">
            <w:pPr>
              <w:jc w:val="center"/>
              <w:rPr>
                <w:rFonts w:asciiTheme="majorHAnsi" w:hAnsiTheme="majorHAnsi" w:cstheme="majorBidi"/>
                <w:noProof/>
                <w:color w:val="2E74B5" w:themeColor="accent1" w:themeShade="BF"/>
                <w:sz w:val="16"/>
                <w:szCs w:val="16"/>
                <w:lang w:val="en-IE"/>
              </w:rPr>
            </w:pPr>
            <w:r>
              <w:rPr>
                <w:rFonts w:asciiTheme="majorHAnsi" w:hAnsiTheme="majorHAnsi" w:cstheme="majorBidi"/>
                <w:noProof/>
                <w:color w:val="2E74B5" w:themeColor="accent1" w:themeShade="BF"/>
                <w:sz w:val="16"/>
                <w:szCs w:val="16"/>
                <w:lang w:eastAsia="en-GB"/>
              </w:rPr>
              <w:drawing>
                <wp:inline distT="0" distB="0" distL="0" distR="0">
                  <wp:extent cx="1863288" cy="1733641"/>
                  <wp:effectExtent l="0" t="0" r="0" b="0"/>
                  <wp:docPr id="1269668289" name="Picture 126966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3707" cy="1761944"/>
                          </a:xfrm>
                          <a:prstGeom prst="rect">
                            <a:avLst/>
                          </a:prstGeom>
                          <a:noFill/>
                        </pic:spPr>
                      </pic:pic>
                    </a:graphicData>
                  </a:graphic>
                </wp:inline>
              </w:drawing>
            </w:r>
          </w:p>
        </w:tc>
        <w:tc>
          <w:tcPr>
            <w:tcW w:w="3796" w:type="dxa"/>
            <w:gridSpan w:val="2"/>
            <w:vAlign w:val="center"/>
          </w:tcPr>
          <w:p w:rsidR="00704A93" w:rsidRDefault="005D0BB9">
            <w:pPr>
              <w:jc w:val="center"/>
              <w:rPr>
                <w:rFonts w:asciiTheme="majorHAnsi" w:hAnsiTheme="majorHAnsi" w:cstheme="majorBidi"/>
                <w:noProof/>
                <w:color w:val="2E74B5" w:themeColor="accent1" w:themeShade="BF"/>
                <w:sz w:val="16"/>
                <w:szCs w:val="16"/>
                <w:lang w:val="en-IE"/>
              </w:rPr>
            </w:pPr>
            <w:r>
              <w:rPr>
                <w:rFonts w:asciiTheme="majorHAnsi" w:hAnsiTheme="majorHAnsi" w:cstheme="majorBidi"/>
                <w:noProof/>
                <w:color w:val="2E74B5" w:themeColor="accent1" w:themeShade="BF"/>
                <w:sz w:val="16"/>
                <w:szCs w:val="16"/>
                <w:lang w:eastAsia="en-GB"/>
              </w:rPr>
              <w:drawing>
                <wp:inline distT="0" distB="0" distL="0" distR="0">
                  <wp:extent cx="1868316" cy="1775652"/>
                  <wp:effectExtent l="0" t="0" r="0" b="0"/>
                  <wp:docPr id="1269668299" name="Picture 126966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2829" cy="1808454"/>
                          </a:xfrm>
                          <a:prstGeom prst="rect">
                            <a:avLst/>
                          </a:prstGeom>
                          <a:noFill/>
                        </pic:spPr>
                      </pic:pic>
                    </a:graphicData>
                  </a:graphic>
                </wp:inline>
              </w:drawing>
            </w:r>
          </w:p>
        </w:tc>
        <w:tc>
          <w:tcPr>
            <w:tcW w:w="1772" w:type="dxa"/>
            <w:gridSpan w:val="2"/>
            <w:vAlign w:val="center"/>
          </w:tcPr>
          <w:p w:rsidR="00704A93" w:rsidRDefault="005D0BB9">
            <w:pPr>
              <w:jc w:val="center"/>
              <w:rPr>
                <w:rFonts w:asciiTheme="majorHAnsi" w:hAnsiTheme="majorHAnsi" w:cstheme="majorBidi"/>
                <w:noProof/>
                <w:color w:val="2E74B5" w:themeColor="accent1" w:themeShade="BF"/>
                <w:sz w:val="16"/>
                <w:szCs w:val="16"/>
                <w:lang w:val="en-IE"/>
              </w:rPr>
            </w:pPr>
            <w:r>
              <w:rPr>
                <w:rFonts w:asciiTheme="majorHAnsi" w:hAnsiTheme="majorHAnsi" w:cstheme="majorBidi"/>
                <w:noProof/>
                <w:color w:val="2E74B5" w:themeColor="accent1" w:themeShade="BF"/>
                <w:sz w:val="16"/>
                <w:szCs w:val="16"/>
                <w:lang w:eastAsia="en-GB"/>
              </w:rPr>
              <w:drawing>
                <wp:inline distT="0" distB="0" distL="0" distR="0">
                  <wp:extent cx="1896549" cy="1799140"/>
                  <wp:effectExtent l="0" t="0" r="0" b="0"/>
                  <wp:docPr id="1269668305" name="Picture 126966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062" cy="1821446"/>
                          </a:xfrm>
                          <a:prstGeom prst="rect">
                            <a:avLst/>
                          </a:prstGeom>
                          <a:noFill/>
                        </pic:spPr>
                      </pic:pic>
                    </a:graphicData>
                  </a:graphic>
                </wp:inline>
              </w:drawing>
            </w:r>
          </w:p>
        </w:tc>
      </w:tr>
      <w:tr w:rsidR="00704A93">
        <w:trPr>
          <w:gridAfter w:val="1"/>
          <w:wAfter w:w="44" w:type="dxa"/>
          <w:trHeight w:val="1000"/>
        </w:trPr>
        <w:tc>
          <w:tcPr>
            <w:tcW w:w="9121" w:type="dxa"/>
            <w:gridSpan w:val="5"/>
          </w:tcPr>
          <w:p w:rsidR="00704A93" w:rsidRDefault="005D0BB9">
            <w:pPr>
              <w:spacing w:after="0"/>
              <w:rPr>
                <w:noProof/>
                <w:sz w:val="14"/>
                <w:szCs w:val="14"/>
                <w:lang w:val="en-IE"/>
              </w:rPr>
            </w:pPr>
            <w:r>
              <w:rPr>
                <w:noProof/>
                <w:sz w:val="14"/>
                <w:szCs w:val="14"/>
                <w:lang w:val="en-IE"/>
              </w:rPr>
              <w:t xml:space="preserve">Source: European Commission. </w:t>
            </w:r>
          </w:p>
          <w:p w:rsidR="00704A93" w:rsidRDefault="005D0BB9">
            <w:pPr>
              <w:autoSpaceDE w:val="0"/>
              <w:autoSpaceDN w:val="0"/>
              <w:spacing w:after="0"/>
              <w:rPr>
                <w:noProof/>
                <w:sz w:val="22"/>
              </w:rPr>
            </w:pPr>
            <w:r>
              <w:rPr>
                <w:noProof/>
                <w:sz w:val="14"/>
                <w:szCs w:val="14"/>
                <w:lang w:val="en-IE"/>
              </w:rPr>
              <w:t>Notes:  Average gross fixed capital formation to GDP ratio over 2010-2019; EU28 and Euro area-19 countries. PAC: European Commission’s public administration composite index, based on (OECD SIGMA, 2017); Average of 2017 and 2019 values. The perception of corruption indicator is taken from the Special EuroBarometer on corruption numbers 79.1, 88.2 and 92.4; The complexity of administrative procedures indicator is taken from the Flash Eurobarometer numbers 428, 457 and 482.</w:t>
            </w:r>
          </w:p>
          <w:p w:rsidR="00704A93" w:rsidRDefault="00704A93">
            <w:pPr>
              <w:spacing w:after="0" w:line="276" w:lineRule="auto"/>
              <w:rPr>
                <w:noProof/>
                <w:sz w:val="14"/>
                <w:szCs w:val="14"/>
                <w:lang w:val="en-IE"/>
              </w:rPr>
            </w:pPr>
          </w:p>
        </w:tc>
      </w:tr>
    </w:tbl>
    <w:p w:rsidR="00704A93" w:rsidRDefault="005D0BB9">
      <w:pPr>
        <w:pStyle w:val="Heading2"/>
        <w:rPr>
          <w:noProof/>
        </w:rPr>
      </w:pPr>
      <w:bookmarkStart w:id="912" w:name="_Toc55398269"/>
      <w:bookmarkStart w:id="913" w:name="_Toc55402866"/>
      <w:bookmarkStart w:id="914" w:name="_Toc55410577"/>
      <w:bookmarkStart w:id="915" w:name="_Toc55466115"/>
      <w:bookmarkStart w:id="916" w:name="_Toc55480565"/>
      <w:bookmarkStart w:id="917" w:name="_Toc55482444"/>
      <w:bookmarkStart w:id="918" w:name="_Toc55486356"/>
      <w:bookmarkStart w:id="919" w:name="_Toc55488165"/>
      <w:bookmarkStart w:id="920" w:name="_Toc55488799"/>
      <w:bookmarkStart w:id="921" w:name="_Toc55490424"/>
      <w:bookmarkStart w:id="922" w:name="_Toc55490613"/>
      <w:bookmarkStart w:id="923" w:name="_Toc55498955"/>
      <w:bookmarkStart w:id="924" w:name="_Toc55499145"/>
      <w:bookmarkStart w:id="925" w:name="_Toc55651327"/>
      <w:bookmarkStart w:id="926" w:name="_Toc55662186"/>
      <w:bookmarkStart w:id="927" w:name="_Toc55663570"/>
      <w:bookmarkStart w:id="928" w:name="_Toc55750540"/>
      <w:bookmarkStart w:id="929" w:name="_Toc55761123"/>
      <w:bookmarkStart w:id="930" w:name="_Toc55808255"/>
      <w:bookmarkStart w:id="931" w:name="_Toc55899262"/>
      <w:bookmarkStart w:id="932" w:name="_Toc55899596"/>
      <w:bookmarkStart w:id="933" w:name="_Toc55899762"/>
      <w:bookmarkStart w:id="934" w:name="_Toc55977223"/>
      <w:bookmarkStart w:id="935" w:name="_Toc55991391"/>
      <w:bookmarkStart w:id="936" w:name="_Toc55993139"/>
      <w:bookmarkStart w:id="937" w:name="_Toc55999447"/>
      <w:bookmarkStart w:id="938" w:name="_Toc55999510"/>
      <w:bookmarkStart w:id="939" w:name="_Toc56012527"/>
      <w:bookmarkStart w:id="940" w:name="_Toc56013750"/>
      <w:bookmarkStart w:id="941" w:name="_Toc56172435"/>
      <w:bookmarkStart w:id="942" w:name="_Toc56173646"/>
      <w:r>
        <w:rPr>
          <w:noProof/>
        </w:rPr>
        <w:t xml:space="preserve">3.6. </w:t>
      </w:r>
      <w:r>
        <w:rPr>
          <w:noProof/>
          <w:lang w:val="en-IE"/>
        </w:rPr>
        <w:t>Risks of macroeconomic imbalances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704A93" w:rsidRDefault="005D0BB9">
      <w:pPr>
        <w:spacing w:after="200" w:line="276" w:lineRule="auto"/>
        <w:rPr>
          <w:noProof/>
        </w:rPr>
      </w:pPr>
      <w:bookmarkStart w:id="943" w:name="_Toc52533657"/>
      <w:bookmarkStart w:id="944" w:name="_Toc52539454"/>
      <w:bookmarkStart w:id="945" w:name="_Toc52541974"/>
      <w:bookmarkStart w:id="946" w:name="_Toc52543801"/>
      <w:bookmarkStart w:id="947" w:name="_Toc52548755"/>
      <w:bookmarkStart w:id="948" w:name="_Toc52550085"/>
      <w:bookmarkStart w:id="949" w:name="_Toc52552281"/>
      <w:bookmarkStart w:id="950" w:name="_Toc53133724"/>
      <w:bookmarkStart w:id="951" w:name="_Toc53143033"/>
      <w:bookmarkStart w:id="952" w:name="_Toc53151542"/>
      <w:bookmarkStart w:id="953" w:name="_Toc53160268"/>
      <w:bookmarkStart w:id="954" w:name="_Toc53163230"/>
      <w:bookmarkStart w:id="955" w:name="_Toc53390015"/>
      <w:bookmarkStart w:id="956" w:name="_Toc53391750"/>
      <w:bookmarkStart w:id="957" w:name="_Toc53432753"/>
      <w:r>
        <w:rPr>
          <w:b/>
          <w:noProof/>
        </w:rPr>
        <w:t xml:space="preserve">The COVID-19 crisis could further exacerbate existing imbalances across the euro. </w:t>
      </w:r>
      <w:r>
        <w:rPr>
          <w:noProof/>
        </w:rPr>
        <w:t>The impact of the pandemic and the associated recession has generally been stronger in countries already characterised by large stocks of private or public debt (Graph 27).</w:t>
      </w:r>
      <w:r>
        <w:rPr>
          <w:b/>
          <w:noProof/>
        </w:rPr>
        <w:t xml:space="preserve"> </w:t>
      </w:r>
      <w:r>
        <w:rPr>
          <w:noProof/>
        </w:rPr>
        <w:t>The major drop in incomes in 2020 is expected to be only partially offset in the subsequent years, with nominal GDP remaining below levels observed before the COVID crisis. This automatically implies growing debt-GDP ratios. Both private and public debts will also grow because of missing revenues and increased borrowing needed by corporations and the public sector to cushion the recession. Although the dynamic of household debt shows a relatively contained development, corporate debt is expected to increase considerably across the board in 2020, also on account of liquidity needs.</w:t>
      </w:r>
      <w:r>
        <w:rPr>
          <w:rStyle w:val="FootnoteReference"/>
          <w:noProof/>
        </w:rPr>
        <w:footnoteReference w:id="108"/>
      </w:r>
      <w:r>
        <w:rPr>
          <w:noProof/>
        </w:rPr>
        <w:t xml:space="preserve"> </w:t>
      </w:r>
    </w:p>
    <w:p w:rsidR="00704A93" w:rsidRDefault="005D0BB9">
      <w:pPr>
        <w:spacing w:after="200" w:line="276" w:lineRule="auto"/>
        <w:rPr>
          <w:b/>
          <w:noProof/>
        </w:rPr>
      </w:pPr>
      <w:r>
        <w:rPr>
          <w:b/>
          <w:noProof/>
        </w:rPr>
        <w:lastRenderedPageBreak/>
        <w:t>The COVID-19 outbreak is likely to have a negative impact on income prospects for households and corporations, and could translate into debt distress as well as a higher share of non-performing loans.</w:t>
      </w:r>
      <w:r>
        <w:rPr>
          <w:noProof/>
        </w:rPr>
        <w:t xml:space="preserve"> The ensuing deterioration of bank balance sheets could compound the narrow profitability margins in the banking sectors constraining lending to the real economy, which in turn could adversely affect GDP growth, amplifying the initial problems with NPLs (See also 4.1). Furthermore, in a deeply economically-integrated area, elevated NPL ratios may pose cross-borders risks. Market tensions in one country are likely to constrain credit supply and economic growth in the euro area as a whole. These imbalances can hinder the smooth functioning of EMU if not properly addressed. Finally, </w:t>
      </w:r>
      <w:r>
        <w:rPr>
          <w:noProof/>
          <w:lang w:eastAsia="en-GB"/>
        </w:rPr>
        <w:t xml:space="preserve">housing markets also pose a risk going forward following a sustained increase in house prices – including </w:t>
      </w:r>
      <w:r>
        <w:rPr>
          <w:noProof/>
        </w:rPr>
        <w:t xml:space="preserve">evidence of overvaluation – </w:t>
      </w:r>
      <w:r>
        <w:rPr>
          <w:noProof/>
          <w:lang w:eastAsia="en-GB"/>
        </w:rPr>
        <w:t xml:space="preserve">in many </w:t>
      </w:r>
      <w:r>
        <w:rPr>
          <w:noProof/>
        </w:rPr>
        <w:t>Member States which may lead to downward corrections on the back of falling labour incomes. These downward corrections, especially if taking place in a disorderly fashion, may affect collateral valuation and therefore bank balance sheets distress.</w:t>
      </w:r>
      <w:r>
        <w:rPr>
          <w:rStyle w:val="FootnoteReference"/>
          <w:noProof/>
        </w:rPr>
        <w:footnoteReference w:id="10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0"/>
      </w:tblGrid>
      <w:tr w:rsidR="00704A93">
        <w:tc>
          <w:tcPr>
            <w:tcW w:w="4621" w:type="dxa"/>
          </w:tcPr>
          <w:p w:rsidR="00704A93" w:rsidRDefault="005D0BB9">
            <w:pPr>
              <w:spacing w:after="120"/>
              <w:jc w:val="center"/>
              <w:rPr>
                <w:noProof/>
              </w:rPr>
            </w:pPr>
            <w:r>
              <w:rPr>
                <w:i/>
                <w:noProof/>
                <w:color w:val="1F4E79" w:themeColor="accent1" w:themeShade="80"/>
                <w:sz w:val="22"/>
                <w:szCs w:val="22"/>
              </w:rPr>
              <w:t>Graph 27: Recessions, COVID-19 death toll, and debt</w:t>
            </w:r>
          </w:p>
        </w:tc>
        <w:tc>
          <w:tcPr>
            <w:tcW w:w="4621" w:type="dxa"/>
          </w:tcPr>
          <w:p w:rsidR="00704A93" w:rsidRDefault="005D0BB9">
            <w:pPr>
              <w:spacing w:after="120"/>
              <w:jc w:val="center"/>
              <w:rPr>
                <w:i/>
                <w:noProof/>
                <w:color w:val="1F4E79" w:themeColor="accent1" w:themeShade="80"/>
                <w:sz w:val="22"/>
                <w:szCs w:val="22"/>
              </w:rPr>
            </w:pPr>
            <w:r>
              <w:rPr>
                <w:i/>
                <w:noProof/>
                <w:color w:val="1F4E79" w:themeColor="accent1" w:themeShade="80"/>
                <w:sz w:val="22"/>
                <w:szCs w:val="22"/>
              </w:rPr>
              <w:t>Graph 28: Net international investment positions (NIIP) 2018-2021 and benchmarks in 2019</w:t>
            </w:r>
          </w:p>
        </w:tc>
      </w:tr>
      <w:tr w:rsidR="00704A93">
        <w:tc>
          <w:tcPr>
            <w:tcW w:w="4621" w:type="dxa"/>
          </w:tcPr>
          <w:p w:rsidR="00704A93" w:rsidRDefault="005D0BB9">
            <w:pPr>
              <w:spacing w:after="0" w:line="276" w:lineRule="auto"/>
              <w:rPr>
                <w:noProof/>
              </w:rPr>
            </w:pPr>
            <w:r>
              <w:rPr>
                <w:noProof/>
                <w:lang w:eastAsia="en-GB"/>
              </w:rPr>
              <w:drawing>
                <wp:inline distT="0" distB="0" distL="0" distR="0">
                  <wp:extent cx="2805430" cy="1724025"/>
                  <wp:effectExtent l="0" t="0" r="0" b="9525"/>
                  <wp:docPr id="1269668294" name="Picture 126966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6706" cy="1730954"/>
                          </a:xfrm>
                          <a:prstGeom prst="rect">
                            <a:avLst/>
                          </a:prstGeom>
                          <a:noFill/>
                          <a:ln>
                            <a:noFill/>
                          </a:ln>
                        </pic:spPr>
                      </pic:pic>
                    </a:graphicData>
                  </a:graphic>
                </wp:inline>
              </w:drawing>
            </w:r>
          </w:p>
          <w:p w:rsidR="00704A93" w:rsidRDefault="005D0BB9">
            <w:pPr>
              <w:spacing w:line="276" w:lineRule="auto"/>
              <w:rPr>
                <w:noProof/>
              </w:rPr>
            </w:pPr>
            <w:r>
              <w:rPr>
                <w:i/>
                <w:noProof/>
                <w:sz w:val="14"/>
              </w:rPr>
              <w:t>Source:</w:t>
            </w:r>
            <w:r>
              <w:rPr>
                <w:noProof/>
                <w:sz w:val="14"/>
              </w:rPr>
              <w:t xml:space="preserve"> Eurostat, ECDC for COVID-19 deaths</w:t>
            </w:r>
          </w:p>
        </w:tc>
        <w:tc>
          <w:tcPr>
            <w:tcW w:w="4621" w:type="dxa"/>
          </w:tcPr>
          <w:p w:rsidR="00704A93" w:rsidRDefault="005D0BB9">
            <w:pPr>
              <w:spacing w:after="0" w:line="276" w:lineRule="auto"/>
              <w:rPr>
                <w:noProof/>
                <w:lang w:val="en-US"/>
              </w:rPr>
            </w:pPr>
            <w:r>
              <w:rPr>
                <w:noProof/>
                <w:lang w:eastAsia="en-GB"/>
              </w:rPr>
              <w:drawing>
                <wp:inline distT="0" distB="0" distL="0" distR="0">
                  <wp:extent cx="2804594" cy="1751613"/>
                  <wp:effectExtent l="0" t="0" r="0" b="1270"/>
                  <wp:docPr id="1269668295" name="Picture 12696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5915" cy="1777420"/>
                          </a:xfrm>
                          <a:prstGeom prst="rect">
                            <a:avLst/>
                          </a:prstGeom>
                          <a:noFill/>
                          <a:ln>
                            <a:noFill/>
                          </a:ln>
                        </pic:spPr>
                      </pic:pic>
                    </a:graphicData>
                  </a:graphic>
                </wp:inline>
              </w:drawing>
            </w:r>
          </w:p>
          <w:p w:rsidR="00704A93" w:rsidRDefault="005D0BB9">
            <w:pPr>
              <w:spacing w:after="0"/>
              <w:rPr>
                <w:noProof/>
                <w:sz w:val="14"/>
              </w:rPr>
            </w:pPr>
            <w:r>
              <w:rPr>
                <w:noProof/>
                <w:sz w:val="14"/>
              </w:rPr>
              <w:t xml:space="preserve">Source: Eurostat and Commission services calculations. </w:t>
            </w:r>
          </w:p>
          <w:p w:rsidR="00704A93" w:rsidRDefault="005D0BB9">
            <w:pPr>
              <w:spacing w:after="0"/>
              <w:rPr>
                <w:noProof/>
                <w:lang w:val="en-US"/>
              </w:rPr>
            </w:pPr>
            <w:r>
              <w:rPr>
                <w:noProof/>
                <w:sz w:val="14"/>
              </w:rPr>
              <w:t xml:space="preserve">Note: NIIP in line with fundamentals (NIIP norms) are obtained as the cumulation over time of current account norms. NIIP prudential thresholds are determined from the maximisation of the signal power in predicting a balance of payment crisis, taking into account country-specific information summarised by per-capita income. </w:t>
            </w:r>
          </w:p>
        </w:tc>
      </w:tr>
    </w:tbl>
    <w:p w:rsidR="00704A93" w:rsidRDefault="00704A93">
      <w:pPr>
        <w:spacing w:after="120" w:line="276" w:lineRule="auto"/>
        <w:rPr>
          <w:b/>
          <w:noProof/>
        </w:rPr>
      </w:pPr>
    </w:p>
    <w:p w:rsidR="00704A93" w:rsidRDefault="005D0BB9">
      <w:pPr>
        <w:spacing w:after="200" w:line="276" w:lineRule="auto"/>
        <w:rPr>
          <w:noProof/>
        </w:rPr>
      </w:pPr>
      <w:r>
        <w:rPr>
          <w:b/>
          <w:noProof/>
        </w:rPr>
        <w:t xml:space="preserve">In a number of countries, Net International Investment Positions (NIIPs) remain large and negative and the COVID-19 crisis is likely to halt improvements in recent years </w:t>
      </w:r>
      <w:r>
        <w:rPr>
          <w:noProof/>
        </w:rPr>
        <w:t>(Graph 28)</w:t>
      </w:r>
      <w:r>
        <w:rPr>
          <w:b/>
          <w:noProof/>
        </w:rPr>
        <w:t>.</w:t>
      </w:r>
      <w:r>
        <w:rPr>
          <w:noProof/>
        </w:rPr>
        <w:t xml:space="preserve"> In countries such as Cyprus, Greece, Ireland, and Portugal, NIIPs are beyond the NIIP norms and respective prudential threshold. These four countries, together with Spain, show a strong incidence of debt liabilities in their NIIPs and in 2020, the expected strong decline in GDP will negatively affect their NIIP-to-GDP ratio.</w:t>
      </w:r>
      <w:r>
        <w:rPr>
          <w:rStyle w:val="FootnoteReference"/>
          <w:noProof/>
        </w:rPr>
        <w:footnoteReference w:id="110"/>
      </w:r>
      <w:r>
        <w:rPr>
          <w:noProof/>
        </w:rPr>
        <w:t xml:space="preserve"> Moreover, countries with larger stocks of net external liabilities are more dependent on sectors highly impacted by the crisis, notably tourism.</w:t>
      </w:r>
      <w:r>
        <w:rPr>
          <w:noProof/>
        </w:rPr>
        <w:br w:type="page"/>
      </w:r>
    </w:p>
    <w:p w:rsidR="00704A93" w:rsidRDefault="005D0BB9">
      <w:pPr>
        <w:pStyle w:val="Heading1"/>
        <w:rPr>
          <w:noProof/>
        </w:rPr>
      </w:pPr>
      <w:bookmarkStart w:id="958" w:name="_Toc53490257"/>
      <w:bookmarkStart w:id="959" w:name="_Toc53490784"/>
      <w:bookmarkStart w:id="960" w:name="_Toc53494727"/>
      <w:bookmarkStart w:id="961" w:name="_Toc53504216"/>
      <w:bookmarkStart w:id="962" w:name="_Toc53505976"/>
      <w:bookmarkStart w:id="963" w:name="_Toc53652788"/>
      <w:bookmarkStart w:id="964" w:name="_Toc53670383"/>
      <w:bookmarkStart w:id="965" w:name="_Toc53670872"/>
      <w:bookmarkStart w:id="966" w:name="_Toc53678904"/>
      <w:bookmarkStart w:id="967" w:name="_Toc53752566"/>
      <w:bookmarkStart w:id="968" w:name="_Toc53752762"/>
      <w:bookmarkStart w:id="969" w:name="_Toc53756245"/>
      <w:bookmarkStart w:id="970" w:name="_Toc54002751"/>
      <w:bookmarkStart w:id="971" w:name="_Toc54004843"/>
      <w:bookmarkStart w:id="972" w:name="_Toc54187775"/>
      <w:bookmarkStart w:id="973" w:name="_Toc54195829"/>
      <w:bookmarkStart w:id="974" w:name="_Toc54198611"/>
      <w:bookmarkStart w:id="975" w:name="_Toc54363754"/>
      <w:bookmarkStart w:id="976" w:name="_Toc54374680"/>
      <w:bookmarkStart w:id="977" w:name="_Toc54376089"/>
      <w:bookmarkStart w:id="978" w:name="_Toc54429934"/>
      <w:bookmarkStart w:id="979" w:name="_Toc54430257"/>
      <w:bookmarkStart w:id="980" w:name="_Toc55402867"/>
      <w:bookmarkStart w:id="981" w:name="_Toc55410578"/>
      <w:bookmarkStart w:id="982" w:name="_Toc55466116"/>
      <w:bookmarkStart w:id="983" w:name="_Toc55480566"/>
      <w:bookmarkStart w:id="984" w:name="_Toc55482445"/>
      <w:bookmarkStart w:id="985" w:name="_Toc55486357"/>
      <w:bookmarkStart w:id="986" w:name="_Toc55488166"/>
      <w:bookmarkStart w:id="987" w:name="_Toc55488800"/>
      <w:bookmarkStart w:id="988" w:name="_Toc55490425"/>
      <w:bookmarkStart w:id="989" w:name="_Toc55490614"/>
      <w:bookmarkStart w:id="990" w:name="_Toc55498956"/>
      <w:bookmarkStart w:id="991" w:name="_Toc55499146"/>
      <w:bookmarkStart w:id="992" w:name="_Toc55651328"/>
      <w:bookmarkStart w:id="993" w:name="_Toc55662187"/>
      <w:bookmarkStart w:id="994" w:name="_Toc55663571"/>
      <w:bookmarkStart w:id="995" w:name="_Toc55750541"/>
      <w:bookmarkStart w:id="996" w:name="_Toc55761124"/>
      <w:bookmarkStart w:id="997" w:name="_Toc55808256"/>
      <w:bookmarkStart w:id="998" w:name="_Toc55899263"/>
      <w:bookmarkStart w:id="999" w:name="_Toc55899597"/>
      <w:bookmarkStart w:id="1000" w:name="_Toc55899763"/>
      <w:bookmarkStart w:id="1001" w:name="_Toc55977224"/>
      <w:bookmarkStart w:id="1002" w:name="_Toc55991392"/>
      <w:bookmarkStart w:id="1003" w:name="_Toc55992821"/>
      <w:bookmarkStart w:id="1004" w:name="_Toc55993140"/>
      <w:bookmarkStart w:id="1005" w:name="_Toc55999448"/>
      <w:bookmarkStart w:id="1006" w:name="_Toc55999511"/>
      <w:bookmarkStart w:id="1007" w:name="_Toc56012528"/>
      <w:bookmarkStart w:id="1008" w:name="_Toc56013751"/>
      <w:bookmarkStart w:id="1009" w:name="_Toc56172436"/>
      <w:bookmarkStart w:id="1010" w:name="_Toc56173647"/>
      <w:bookmarkStart w:id="1011" w:name="_Toc55398270"/>
      <w:r>
        <w:rPr>
          <w:noProof/>
        </w:rPr>
        <w:lastRenderedPageBreak/>
        <w:t>Macro-financial Stability</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rsidR="00704A93" w:rsidRDefault="005D0BB9">
      <w:pPr>
        <w:pStyle w:val="Heading2"/>
        <w:rPr>
          <w:noProof/>
        </w:rPr>
      </w:pPr>
      <w:bookmarkStart w:id="1012" w:name="_Toc52533658"/>
      <w:bookmarkStart w:id="1013" w:name="_Toc52539455"/>
      <w:bookmarkStart w:id="1014" w:name="_Toc52541975"/>
      <w:bookmarkStart w:id="1015" w:name="_Toc52543802"/>
      <w:bookmarkStart w:id="1016" w:name="_Toc52548756"/>
      <w:bookmarkStart w:id="1017" w:name="_Toc52550086"/>
      <w:bookmarkStart w:id="1018" w:name="_Toc52552282"/>
      <w:bookmarkStart w:id="1019" w:name="_Toc53133725"/>
      <w:bookmarkStart w:id="1020" w:name="_Toc53143034"/>
      <w:bookmarkStart w:id="1021" w:name="_Toc53151543"/>
      <w:bookmarkStart w:id="1022" w:name="_Toc53160269"/>
      <w:bookmarkStart w:id="1023" w:name="_Toc53163231"/>
      <w:bookmarkStart w:id="1024" w:name="_Toc53390016"/>
      <w:bookmarkStart w:id="1025" w:name="_Toc53391751"/>
      <w:bookmarkStart w:id="1026" w:name="_Toc53432754"/>
      <w:bookmarkStart w:id="1027" w:name="_Toc53490258"/>
      <w:bookmarkStart w:id="1028" w:name="_Toc53490785"/>
      <w:bookmarkStart w:id="1029" w:name="_Toc53494728"/>
      <w:bookmarkStart w:id="1030" w:name="_Toc53504217"/>
      <w:bookmarkStart w:id="1031" w:name="_Toc53505977"/>
      <w:bookmarkStart w:id="1032" w:name="_Toc53652789"/>
      <w:bookmarkStart w:id="1033" w:name="_Toc53670384"/>
      <w:bookmarkStart w:id="1034" w:name="_Toc53670873"/>
      <w:bookmarkStart w:id="1035" w:name="_Toc53678905"/>
      <w:bookmarkStart w:id="1036" w:name="_Toc53752567"/>
      <w:bookmarkStart w:id="1037" w:name="_Toc53752763"/>
      <w:bookmarkStart w:id="1038" w:name="_Toc53756246"/>
      <w:bookmarkStart w:id="1039" w:name="_Toc54002752"/>
      <w:bookmarkStart w:id="1040" w:name="_Toc54004844"/>
      <w:bookmarkStart w:id="1041" w:name="_Toc54187776"/>
      <w:bookmarkStart w:id="1042" w:name="_Toc54195830"/>
      <w:bookmarkStart w:id="1043" w:name="_Toc54198612"/>
      <w:bookmarkStart w:id="1044" w:name="_Toc54363755"/>
      <w:bookmarkStart w:id="1045" w:name="_Toc54374681"/>
      <w:bookmarkStart w:id="1046" w:name="_Toc54376090"/>
      <w:bookmarkStart w:id="1047" w:name="_Toc54429935"/>
      <w:bookmarkStart w:id="1048" w:name="_Toc54430258"/>
      <w:bookmarkStart w:id="1049" w:name="_Toc55398271"/>
      <w:bookmarkStart w:id="1050" w:name="_Toc55402868"/>
      <w:bookmarkStart w:id="1051" w:name="_Toc55410579"/>
      <w:bookmarkStart w:id="1052" w:name="_Toc55466117"/>
      <w:bookmarkStart w:id="1053" w:name="_Toc55480567"/>
      <w:bookmarkStart w:id="1054" w:name="_Toc55482446"/>
      <w:bookmarkStart w:id="1055" w:name="_Toc55486358"/>
      <w:bookmarkStart w:id="1056" w:name="_Toc55488167"/>
      <w:bookmarkStart w:id="1057" w:name="_Toc55488801"/>
      <w:bookmarkStart w:id="1058" w:name="_Toc55490426"/>
      <w:bookmarkStart w:id="1059" w:name="_Toc55490615"/>
      <w:bookmarkStart w:id="1060" w:name="_Toc55498957"/>
      <w:bookmarkStart w:id="1061" w:name="_Toc55499147"/>
      <w:bookmarkStart w:id="1062" w:name="_Toc55651329"/>
      <w:bookmarkStart w:id="1063" w:name="_Toc55662188"/>
      <w:bookmarkStart w:id="1064" w:name="_Toc55663572"/>
      <w:bookmarkStart w:id="1065" w:name="_Toc55750542"/>
      <w:bookmarkStart w:id="1066" w:name="_Toc55761125"/>
      <w:bookmarkStart w:id="1067" w:name="_Toc55808257"/>
      <w:bookmarkStart w:id="1068" w:name="_Toc55899264"/>
      <w:bookmarkStart w:id="1069" w:name="_Toc55899598"/>
      <w:bookmarkStart w:id="1070" w:name="_Toc55899764"/>
      <w:bookmarkStart w:id="1071" w:name="_Toc55977225"/>
      <w:bookmarkStart w:id="1072" w:name="_Toc55991393"/>
      <w:bookmarkStart w:id="1073" w:name="_Toc55992822"/>
      <w:bookmarkStart w:id="1074" w:name="_Toc55993141"/>
      <w:bookmarkStart w:id="1075" w:name="_Toc55999449"/>
      <w:bookmarkStart w:id="1076" w:name="_Toc55999512"/>
      <w:bookmarkStart w:id="1077" w:name="_Toc56012529"/>
      <w:bookmarkStart w:id="1078" w:name="_Toc56013752"/>
      <w:bookmarkStart w:id="1079" w:name="_Toc56172437"/>
      <w:bookmarkStart w:id="1080" w:name="_Toc56173648"/>
      <w:bookmarkEnd w:id="1011"/>
      <w:r>
        <w:rPr>
          <w:noProof/>
        </w:rPr>
        <w:t>4.1. Financial market developments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rsidR="00704A93" w:rsidRDefault="005D0BB9">
      <w:pPr>
        <w:spacing w:after="200" w:line="276" w:lineRule="auto"/>
        <w:rPr>
          <w:noProof/>
        </w:rPr>
      </w:pPr>
      <w:r>
        <w:rPr>
          <w:b/>
          <w:noProof/>
        </w:rPr>
        <w:t xml:space="preserve">The economic and financial implications of the pandemic and subsequent containment measures have been muted, following some initial financial market stress. </w:t>
      </w:r>
      <w:r>
        <w:rPr>
          <w:noProof/>
        </w:rPr>
        <w:t>The worsening macroeconomic and earnings outlook led to sharp price corrections in February-March 2020, which were widespread across regions and asset classes and were accompanied by sharp increases of market volatility (Graph 29). Concomitant to the rapid market sell-off, market financing conditions tightened as credit risk premia increased, with euro area non-financial corporates’ investment grade bond yields edging up in April to their highest levels since early 2014. The deterioration in corporate bond market liquidity was particularly pronounced in the high-yield segment, as mirrored in a sharp increase in bid-ask spreads to levels above the peak of the Global Financial Crisis. At the same time, liquidity conditions deteriorated in many market segments amid a general flight to liquidity, which initially also affected high-quality asset markets.</w:t>
      </w:r>
      <w:r>
        <w:rPr>
          <w:rStyle w:val="FootnoteReference"/>
          <w:noProof/>
        </w:rPr>
        <w:footnoteReference w:id="111"/>
      </w:r>
      <w:r>
        <w:rPr>
          <w:noProof/>
        </w:rPr>
        <w:t xml:space="preserve"> In subsequent months, market conditions have eased and stock markets have recovered much of the initial losses, fueled by decisive governmental and central bank action. </w:t>
      </w:r>
    </w:p>
    <w:tbl>
      <w:tblPr>
        <w:tblStyle w:val="TableGrid"/>
        <w:tblpPr w:leftFromText="180" w:rightFromText="180" w:vertAnchor="text" w:horzAnchor="margin" w:tblpY="232"/>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68"/>
        <w:gridCol w:w="4498"/>
      </w:tblGrid>
      <w:tr w:rsidR="00704A93">
        <w:trPr>
          <w:trHeight w:val="392"/>
        </w:trPr>
        <w:tc>
          <w:tcPr>
            <w:tcW w:w="4624" w:type="dxa"/>
          </w:tcPr>
          <w:p w:rsidR="00704A93" w:rsidRDefault="005D0BB9">
            <w:pPr>
              <w:spacing w:line="276" w:lineRule="auto"/>
              <w:jc w:val="center"/>
              <w:rPr>
                <w:i/>
                <w:noProof/>
                <w:color w:val="1F4E79" w:themeColor="accent1" w:themeShade="80"/>
                <w:sz w:val="22"/>
                <w:szCs w:val="22"/>
              </w:rPr>
            </w:pPr>
            <w:r>
              <w:rPr>
                <w:i/>
                <w:noProof/>
                <w:color w:val="1F4E79" w:themeColor="accent1" w:themeShade="80"/>
                <w:sz w:val="22"/>
                <w:szCs w:val="22"/>
              </w:rPr>
              <w:t>Graph 29: Systemic stress in the euro area</w:t>
            </w:r>
          </w:p>
        </w:tc>
        <w:tc>
          <w:tcPr>
            <w:tcW w:w="4455" w:type="dxa"/>
            <w:vMerge w:val="restart"/>
          </w:tcPr>
          <w:p w:rsidR="00704A93" w:rsidRDefault="005D0BB9">
            <w:pPr>
              <w:spacing w:line="276" w:lineRule="auto"/>
              <w:jc w:val="center"/>
              <w:rPr>
                <w:i/>
                <w:noProof/>
                <w:color w:val="1F4E79" w:themeColor="accent1" w:themeShade="80"/>
                <w:sz w:val="22"/>
                <w:szCs w:val="22"/>
              </w:rPr>
            </w:pPr>
            <w:r>
              <w:rPr>
                <w:i/>
                <w:noProof/>
                <w:color w:val="1F4E79" w:themeColor="accent1" w:themeShade="80"/>
                <w:sz w:val="22"/>
                <w:szCs w:val="22"/>
              </w:rPr>
              <w:t>Graph 30: Bank stability indicators</w:t>
            </w:r>
          </w:p>
          <w:p w:rsidR="00704A93" w:rsidRDefault="005D0BB9">
            <w:pPr>
              <w:spacing w:after="0" w:line="276" w:lineRule="auto"/>
              <w:jc w:val="center"/>
              <w:rPr>
                <w:i/>
                <w:noProof/>
                <w:color w:val="1F4E79" w:themeColor="accent1" w:themeShade="80"/>
                <w:sz w:val="22"/>
                <w:szCs w:val="22"/>
              </w:rPr>
            </w:pPr>
            <w:r>
              <w:rPr>
                <w:noProof/>
                <w:lang w:eastAsia="en-GB"/>
              </w:rPr>
              <w:drawing>
                <wp:inline distT="0" distB="0" distL="0" distR="0">
                  <wp:extent cx="2880995" cy="2112645"/>
                  <wp:effectExtent l="0" t="0" r="0" b="1905"/>
                  <wp:docPr id="19" name="Chart 1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704A93">
        <w:trPr>
          <w:trHeight w:val="1939"/>
        </w:trPr>
        <w:tc>
          <w:tcPr>
            <w:tcW w:w="4624" w:type="dxa"/>
          </w:tcPr>
          <w:p w:rsidR="00704A93" w:rsidRDefault="005D0BB9">
            <w:pPr>
              <w:spacing w:after="0"/>
              <w:jc w:val="center"/>
              <w:rPr>
                <w:i/>
                <w:noProof/>
                <w:color w:val="A6A6A6" w:themeColor="background1" w:themeShade="A6"/>
                <w:sz w:val="22"/>
                <w:szCs w:val="22"/>
              </w:rPr>
            </w:pPr>
            <w:r>
              <w:rPr>
                <w:noProof/>
                <w:lang w:eastAsia="en-GB"/>
              </w:rPr>
              <w:drawing>
                <wp:inline distT="0" distB="0" distL="0" distR="0">
                  <wp:extent cx="2987040" cy="2112645"/>
                  <wp:effectExtent l="0" t="0" r="3810" b="19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455" w:type="dxa"/>
            <w:vMerge/>
          </w:tcPr>
          <w:p w:rsidR="00704A93" w:rsidRDefault="00704A93">
            <w:pPr>
              <w:jc w:val="center"/>
              <w:rPr>
                <w:i/>
                <w:noProof/>
                <w:color w:val="1F4E79" w:themeColor="accent1" w:themeShade="80"/>
                <w:sz w:val="22"/>
                <w:szCs w:val="22"/>
              </w:rPr>
            </w:pPr>
          </w:p>
        </w:tc>
      </w:tr>
      <w:tr w:rsidR="00704A93">
        <w:tblPrEx>
          <w:tblCellMar>
            <w:left w:w="108" w:type="dxa"/>
            <w:right w:w="108" w:type="dxa"/>
          </w:tblCellMar>
        </w:tblPrEx>
        <w:trPr>
          <w:trHeight w:val="340"/>
        </w:trPr>
        <w:tc>
          <w:tcPr>
            <w:tcW w:w="9079" w:type="dxa"/>
            <w:gridSpan w:val="2"/>
          </w:tcPr>
          <w:p w:rsidR="00704A93" w:rsidRDefault="005D0BB9">
            <w:pPr>
              <w:spacing w:after="0"/>
              <w:rPr>
                <w:noProof/>
                <w:color w:val="000000" w:themeColor="text1"/>
                <w:sz w:val="14"/>
              </w:rPr>
            </w:pPr>
            <w:r>
              <w:rPr>
                <w:noProof/>
                <w:color w:val="000000" w:themeColor="text1"/>
                <w:sz w:val="14"/>
              </w:rPr>
              <w:t>Note (Graph 26): Domestic banking groups and stand-alone banks, foreign (EU and non-EU) controlled subsidiaries and foreign (EU and non-EU) controlled branches, All institutions.</w:t>
            </w:r>
          </w:p>
          <w:p w:rsidR="00704A93" w:rsidRDefault="005D0BB9">
            <w:pPr>
              <w:rPr>
                <w:noProof/>
                <w:color w:val="000000" w:themeColor="text1"/>
                <w:sz w:val="14"/>
                <w:highlight w:val="yellow"/>
              </w:rPr>
            </w:pPr>
            <w:r>
              <w:rPr>
                <w:noProof/>
                <w:color w:val="000000" w:themeColor="text1"/>
                <w:sz w:val="14"/>
              </w:rPr>
              <w:t>Source: ECB – CISS database (Graph 25), ECB - CBD2 - Consolidated Banking data (Graph 26).</w:t>
            </w:r>
          </w:p>
        </w:tc>
      </w:tr>
    </w:tbl>
    <w:p w:rsidR="00704A93" w:rsidRDefault="005D0BB9">
      <w:pPr>
        <w:spacing w:after="200" w:line="276" w:lineRule="auto"/>
        <w:rPr>
          <w:b/>
          <w:noProof/>
        </w:rPr>
      </w:pPr>
      <w:r>
        <w:rPr>
          <w:b/>
          <w:noProof/>
        </w:rPr>
        <w:t>Euro area banks entered the current crisis with stronger capital levels, better liquidity positions and more stable funding structures compared to the onset of the 2008 Global Financial Crisis, increasing their capacity to absorb potential losses and to maintain lending.</w:t>
      </w:r>
      <w:r>
        <w:rPr>
          <w:noProof/>
        </w:rPr>
        <w:t xml:space="preserve"> Euro area banks’ CET1-ratios further strengthened to 14.8% at the end of 2019, which was mainly achieved via retained earnings (Graph 30). Euro area banks’ holdings of High Quality Liquid Assets (HQLA) also increased significantly over the past years, mainly </w:t>
      </w:r>
      <w:r>
        <w:rPr>
          <w:noProof/>
        </w:rPr>
        <w:lastRenderedPageBreak/>
        <w:t>on account of larger central bank reserve holdings following the Eurosystem’s asset purchases.  Meanwhile, euro area banks continued their steady reduction of non-performing loans (NPL) even through the very early stage of the pandemic, with the euro area NPL ratio declining to its lowest level at 2.9% in Q1 2020, compared to 3.6% at the end of 2018.</w:t>
      </w:r>
      <w:r>
        <w:rPr>
          <w:rStyle w:val="FootnoteReference"/>
          <w:noProof/>
        </w:rPr>
        <w:footnoteReference w:id="112"/>
      </w:r>
      <w:r>
        <w:rPr>
          <w:noProof/>
        </w:rPr>
        <w:t xml:space="preserve"> Some national NPL ratios still remain far apart from the euro area average and continue to require attention.</w:t>
      </w:r>
      <w:r>
        <w:rPr>
          <w:noProof/>
          <w:color w:val="A6A6A6" w:themeColor="background1" w:themeShade="A6"/>
        </w:rPr>
        <w:t xml:space="preserve"> </w:t>
      </w:r>
      <w:r>
        <w:rPr>
          <w:noProof/>
        </w:rPr>
        <w:t>NPL volumes are likely to increase substantially as a result of the coronavirus outbreak, in particular in the Member States and  for loans to sectors most affected by the pandemic. However, given the various government guarantee schemes and debt moratoria in combination with the recently announced SSM flexibility regarding the supervisory treatment of NPLs</w:t>
      </w:r>
      <w:r>
        <w:rPr>
          <w:rStyle w:val="FootnoteReference"/>
          <w:noProof/>
        </w:rPr>
        <w:footnoteReference w:id="113"/>
      </w:r>
      <w:r>
        <w:rPr>
          <w:noProof/>
        </w:rPr>
        <w:t>, such an increase could come with some delay.</w:t>
      </w:r>
    </w:p>
    <w:p w:rsidR="00704A93" w:rsidRDefault="005D0BB9">
      <w:pPr>
        <w:spacing w:after="200" w:line="276" w:lineRule="auto"/>
        <w:rPr>
          <w:noProof/>
        </w:rPr>
      </w:pPr>
      <w:r>
        <w:rPr>
          <w:b/>
          <w:noProof/>
        </w:rPr>
        <w:t xml:space="preserve">The crisis is expected to put further pressure on banks’ already low profitability levels. </w:t>
      </w:r>
      <w:r>
        <w:rPr>
          <w:noProof/>
        </w:rPr>
        <w:t>With the pandemic outbreak, euro area bank valuations saw strong downward pressure in anticipation of the pandemic’s effect on banks’ balance sheets and their expected profitability</w:t>
      </w:r>
      <w:r>
        <w:rPr>
          <w:rStyle w:val="FootnoteReference"/>
          <w:noProof/>
        </w:rPr>
        <w:footnoteReference w:id="114"/>
      </w:r>
      <w:r>
        <w:rPr>
          <w:noProof/>
        </w:rPr>
        <w:t xml:space="preserve"> (Graph 31). This might impact their intermediation capacity going forward, which is important to maintain in order to support the recovery. On the funding side, banks’ bond funding costs increased at the outset of the pandemic, in particular for riskier instruments such as unsecured and contingent convertible bonds, but have moderated again somewhat in subsequent months. Both unsecured and secured interbank markets overall showed resilience during the market turbulences, in particular when compared to the Global Financial Crisis. Swift and sizeable central bank interventions such as additional refinancing operations and net asset purchases significantly contributed to that. Consequently, short-term funding remained ample for euro area banks and private sector deposits continue to provide euro area banks with a stable and abundant source of funding.</w:t>
      </w:r>
      <w:r>
        <w:rPr>
          <w:rStyle w:val="FootnoteReference"/>
          <w:noProof/>
        </w:rPr>
        <w:footnoteReference w:id="115"/>
      </w:r>
      <w:r>
        <w:rPr>
          <w:noProof/>
        </w:rPr>
        <w:t xml:space="preserve"> </w:t>
      </w:r>
    </w:p>
    <w:p w:rsidR="00704A93" w:rsidRDefault="005D0BB9">
      <w:pPr>
        <w:spacing w:after="200" w:line="276" w:lineRule="auto"/>
        <w:rPr>
          <w:noProof/>
        </w:rPr>
      </w:pPr>
      <w:r>
        <w:rPr>
          <w:b/>
          <w:noProof/>
        </w:rPr>
        <w:t>Non-financial corporations’ credit demand surged in the first half of 2020 in the face of mounting liquidity shortages, while banks have so far kept their credit standards largely unchanged.</w:t>
      </w:r>
      <w:r>
        <w:rPr>
          <w:rStyle w:val="FootnoteReference"/>
          <w:b/>
          <w:noProof/>
        </w:rPr>
        <w:footnoteReference w:id="116"/>
      </w:r>
      <w:r>
        <w:rPr>
          <w:noProof/>
        </w:rPr>
        <w:t xml:space="preserve"> Ample central bank liquidity provision, as well as fiscal measures such as government guarantees, allowed banks so far to satisfy the growing credit demand while maintaining overall favourable lending conditions. Consequently, the annual growth </w:t>
      </w:r>
      <w:r>
        <w:rPr>
          <w:noProof/>
        </w:rPr>
        <w:lastRenderedPageBreak/>
        <w:t>rate of loans</w:t>
      </w:r>
      <w:r>
        <w:rPr>
          <w:rStyle w:val="FootnoteReference"/>
          <w:noProof/>
        </w:rPr>
        <w:footnoteReference w:id="117"/>
      </w:r>
      <w:r>
        <w:rPr>
          <w:noProof/>
        </w:rPr>
        <w:t xml:space="preserve"> to non-financial corporations increased sharply from March on (Graph 32), despite many firms postponing larger investment projects, as corporates substantially increased their demand for short-term loans and drew on existing credit lines in the face of liquidity shortages and the precautionary build-up of liquidity buffers. Corporates’ net long-term bond issuance surged between April and June, almost exclusively as a result of investment-grade issuance. </w:t>
      </w:r>
    </w:p>
    <w:tbl>
      <w:tblPr>
        <w:tblStyle w:val="TableGrid"/>
        <w:tblpPr w:leftFromText="180" w:rightFromText="180" w:vertAnchor="text" w:horzAnchor="margin" w:tblpY="232"/>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6"/>
        <w:gridCol w:w="4751"/>
      </w:tblGrid>
      <w:tr w:rsidR="00704A93">
        <w:trPr>
          <w:cantSplit/>
          <w:trHeight w:val="3567"/>
        </w:trPr>
        <w:tc>
          <w:tcPr>
            <w:tcW w:w="4416" w:type="dxa"/>
          </w:tcPr>
          <w:p w:rsidR="00704A93" w:rsidRDefault="005D0BB9">
            <w:pPr>
              <w:jc w:val="center"/>
              <w:rPr>
                <w:i/>
                <w:noProof/>
                <w:color w:val="1F4E79" w:themeColor="accent1" w:themeShade="80"/>
                <w:sz w:val="22"/>
                <w:szCs w:val="22"/>
              </w:rPr>
            </w:pPr>
            <w:r>
              <w:rPr>
                <w:i/>
                <w:noProof/>
                <w:color w:val="1F4E79" w:themeColor="accent1" w:themeShade="80"/>
                <w:sz w:val="22"/>
                <w:szCs w:val="22"/>
              </w:rPr>
              <w:t>Graph 31: Banks’ return on equity</w:t>
            </w:r>
          </w:p>
          <w:p w:rsidR="00704A93" w:rsidRDefault="005D0BB9">
            <w:pPr>
              <w:spacing w:after="120"/>
              <w:jc w:val="left"/>
              <w:rPr>
                <w:noProof/>
                <w:lang w:val="en-IE" w:eastAsia="it-IT"/>
              </w:rPr>
            </w:pPr>
            <w:r>
              <w:rPr>
                <w:noProof/>
                <w:lang w:eastAsia="en-GB"/>
              </w:rPr>
              <w:drawing>
                <wp:inline distT="0" distB="0" distL="0" distR="0">
                  <wp:extent cx="2687541" cy="2107096"/>
                  <wp:effectExtent l="0" t="0" r="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color w:val="A6A6A6" w:themeColor="background1" w:themeShade="A6"/>
                <w:lang w:val="en-US"/>
              </w:rPr>
              <w:t xml:space="preserve"> </w:t>
            </w:r>
            <w:r>
              <w:rPr>
                <w:noProof/>
                <w:color w:val="A6A6A6" w:themeColor="background1" w:themeShade="A6"/>
              </w:rPr>
              <w:t xml:space="preserve">   </w:t>
            </w:r>
            <w:r>
              <w:rPr>
                <w:noProof/>
                <w:lang w:val="en-IE" w:eastAsia="it-IT"/>
              </w:rPr>
              <w:t xml:space="preserve"> </w:t>
            </w:r>
          </w:p>
          <w:p w:rsidR="00704A93" w:rsidRDefault="005D0BB9">
            <w:pPr>
              <w:autoSpaceDE w:val="0"/>
              <w:autoSpaceDN w:val="0"/>
              <w:spacing w:after="40"/>
              <w:jc w:val="left"/>
              <w:rPr>
                <w:noProof/>
                <w:sz w:val="14"/>
              </w:rPr>
            </w:pPr>
            <w:r>
              <w:rPr>
                <w:noProof/>
                <w:sz w:val="14"/>
              </w:rPr>
              <w:t>Note: *Domestic banking groups and stand-alone banks. **</w:t>
            </w:r>
            <w:r>
              <w:rPr>
                <w:noProof/>
                <w:sz w:val="14"/>
                <w:lang w:val="en-US"/>
              </w:rPr>
              <w:t xml:space="preserve">Single Supervisory Mechanism (SSM) Banks quarterly data have been aggregated on a yearly average. The data-point related to 2020 corresponds to the average of 2020Q1 and 2020Q2. </w:t>
            </w:r>
            <w:r>
              <w:rPr>
                <w:noProof/>
                <w:sz w:val="14"/>
              </w:rPr>
              <w:t>***Required RoE as self-reported by banks in the semi-annual Risk Assessment Questionnaire of the EBA, Spring 2020.</w:t>
            </w:r>
          </w:p>
          <w:p w:rsidR="00704A93" w:rsidRDefault="005D0BB9">
            <w:pPr>
              <w:autoSpaceDE w:val="0"/>
              <w:autoSpaceDN w:val="0"/>
              <w:spacing w:after="180"/>
              <w:jc w:val="left"/>
              <w:rPr>
                <w:noProof/>
                <w:sz w:val="14"/>
                <w:lang w:val="en-US"/>
              </w:rPr>
            </w:pPr>
            <w:r>
              <w:rPr>
                <w:noProof/>
                <w:sz w:val="14"/>
                <w:lang w:val="en-US"/>
              </w:rPr>
              <w:t>Source: ECB.</w:t>
            </w:r>
          </w:p>
        </w:tc>
        <w:tc>
          <w:tcPr>
            <w:tcW w:w="4751" w:type="dxa"/>
          </w:tcPr>
          <w:p w:rsidR="00704A93" w:rsidRDefault="005D0BB9">
            <w:pPr>
              <w:jc w:val="center"/>
              <w:rPr>
                <w:i/>
                <w:noProof/>
                <w:color w:val="1F4E79" w:themeColor="accent1" w:themeShade="80"/>
                <w:sz w:val="22"/>
                <w:szCs w:val="22"/>
              </w:rPr>
            </w:pPr>
            <w:r>
              <w:rPr>
                <w:i/>
                <w:noProof/>
                <w:color w:val="1F4E79" w:themeColor="accent1" w:themeShade="80"/>
                <w:sz w:val="22"/>
                <w:szCs w:val="22"/>
              </w:rPr>
              <w:t>Graph 32:  Loans to the private non-financial sector*, euro area</w:t>
            </w:r>
          </w:p>
          <w:p w:rsidR="00704A93" w:rsidRDefault="005D0BB9">
            <w:pPr>
              <w:spacing w:after="120"/>
              <w:jc w:val="center"/>
              <w:rPr>
                <w:noProof/>
                <w:lang w:val="en-IE" w:eastAsia="it-IT"/>
              </w:rPr>
            </w:pPr>
            <w:r>
              <w:rPr>
                <w:noProof/>
                <w:lang w:val="en-IE" w:eastAsia="it-IT"/>
              </w:rPr>
              <w:t xml:space="preserve"> </w:t>
            </w:r>
            <w:r>
              <w:rPr>
                <w:noProof/>
                <w:lang w:eastAsia="en-GB"/>
              </w:rPr>
              <w:drawing>
                <wp:inline distT="0" distB="0" distL="0" distR="0">
                  <wp:extent cx="2815590" cy="1916265"/>
                  <wp:effectExtent l="0" t="0" r="3810"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4A93" w:rsidRDefault="005D0BB9">
            <w:pPr>
              <w:spacing w:after="0"/>
              <w:jc w:val="left"/>
              <w:rPr>
                <w:noProof/>
                <w:sz w:val="14"/>
                <w:lang w:val="en-US"/>
              </w:rPr>
            </w:pPr>
            <w:r>
              <w:rPr>
                <w:noProof/>
                <w:sz w:val="14"/>
                <w:lang w:val="en-US"/>
              </w:rPr>
              <w:t>Note: *Annual growth rates, loans adjusted for sales and securitisation as well as for positions arising from notional cash pooling services provided by MFIs.</w:t>
            </w:r>
          </w:p>
          <w:p w:rsidR="00704A93" w:rsidRDefault="005D0BB9">
            <w:pPr>
              <w:jc w:val="left"/>
              <w:rPr>
                <w:i/>
                <w:noProof/>
                <w:color w:val="1F4E79" w:themeColor="accent1" w:themeShade="80"/>
                <w:sz w:val="22"/>
                <w:szCs w:val="22"/>
              </w:rPr>
            </w:pPr>
            <w:r>
              <w:rPr>
                <w:noProof/>
                <w:sz w:val="14"/>
                <w:lang w:val="en-US"/>
              </w:rPr>
              <w:t>Source: ECB.</w:t>
            </w:r>
          </w:p>
        </w:tc>
      </w:tr>
    </w:tbl>
    <w:p w:rsidR="00704A93" w:rsidRDefault="005D0BB9">
      <w:pPr>
        <w:spacing w:after="200" w:line="276" w:lineRule="auto"/>
        <w:rPr>
          <w:noProof/>
        </w:rPr>
      </w:pPr>
      <w:r>
        <w:rPr>
          <w:b/>
          <w:noProof/>
        </w:rPr>
        <w:t>Some parts of the non-bank financial sector experienced valuation losses and large outflows, which have been only partly recovered.</w:t>
      </w:r>
      <w:r>
        <w:rPr>
          <w:noProof/>
        </w:rPr>
        <w:t xml:space="preserve"> The substantial market re-pricing at the onset of the corona crisis, which was particularly pronounced in the high-yield segment, led to significant valuation losses also for non-banks. Subsequently, investment and money market funds experienced large outflows in a relatively short period amid a general flight to safety, squeezing liquidity and threatening the short-term funding.</w:t>
      </w:r>
      <w:r>
        <w:rPr>
          <w:rStyle w:val="FootnoteReference"/>
          <w:noProof/>
        </w:rPr>
        <w:footnoteReference w:id="118"/>
      </w:r>
      <w:r>
        <w:rPr>
          <w:noProof/>
        </w:rPr>
        <w:t xml:space="preserve"> ECB interventions such as the PEPP announcement, but also the inclusion of non-financial commercial paper in the list of eligible assets under its Corporate Sector Purchase Programme (CSPP), stabilized markets and led to some recovery in non-banks’ valuations. Euro area insurers and pension funds were initially less affected by valuation losses due to their comparatively conservative portfolio mixes. However, given their already strained profitability situation, the combination of falling asset prices and the prospect of an even longer period of very low interest rates poses a challenge going ahead.</w:t>
      </w:r>
    </w:p>
    <w:p w:rsidR="00704A93" w:rsidRDefault="005D0BB9">
      <w:pPr>
        <w:pStyle w:val="Heading2"/>
        <w:rPr>
          <w:noProof/>
        </w:rPr>
      </w:pPr>
      <w:bookmarkStart w:id="1081" w:name="_Toc53133726"/>
      <w:bookmarkStart w:id="1082" w:name="_Toc53143035"/>
      <w:bookmarkStart w:id="1083" w:name="_Toc53151544"/>
      <w:bookmarkStart w:id="1084" w:name="_Toc53160270"/>
      <w:bookmarkStart w:id="1085" w:name="_Toc53163232"/>
      <w:bookmarkStart w:id="1086" w:name="_Toc53390017"/>
      <w:bookmarkStart w:id="1087" w:name="_Toc53391752"/>
      <w:bookmarkStart w:id="1088" w:name="_Toc53432755"/>
      <w:bookmarkStart w:id="1089" w:name="_Toc53490259"/>
      <w:bookmarkStart w:id="1090" w:name="_Toc53490786"/>
      <w:bookmarkStart w:id="1091" w:name="_Toc53494729"/>
      <w:bookmarkStart w:id="1092" w:name="_Toc53504218"/>
      <w:bookmarkStart w:id="1093" w:name="_Toc53505978"/>
      <w:bookmarkStart w:id="1094" w:name="_Toc53652790"/>
      <w:bookmarkStart w:id="1095" w:name="_Toc53670385"/>
      <w:bookmarkStart w:id="1096" w:name="_Toc53670874"/>
      <w:bookmarkStart w:id="1097" w:name="_Toc53678906"/>
      <w:bookmarkStart w:id="1098" w:name="_Toc53752568"/>
      <w:bookmarkStart w:id="1099" w:name="_Toc53752764"/>
      <w:bookmarkStart w:id="1100" w:name="_Toc53756247"/>
      <w:bookmarkStart w:id="1101" w:name="_Toc54002753"/>
      <w:bookmarkStart w:id="1102" w:name="_Toc54004845"/>
      <w:bookmarkStart w:id="1103" w:name="_Toc54187777"/>
      <w:bookmarkStart w:id="1104" w:name="_Toc54195831"/>
      <w:bookmarkStart w:id="1105" w:name="_Toc54198613"/>
      <w:bookmarkStart w:id="1106" w:name="_Toc54363756"/>
      <w:bookmarkStart w:id="1107" w:name="_Toc54374682"/>
      <w:bookmarkStart w:id="1108" w:name="_Toc54376091"/>
      <w:bookmarkStart w:id="1109" w:name="_Toc54429936"/>
      <w:bookmarkStart w:id="1110" w:name="_Toc54430259"/>
      <w:bookmarkStart w:id="1111" w:name="_Toc55398272"/>
      <w:bookmarkStart w:id="1112" w:name="_Toc55402869"/>
      <w:bookmarkStart w:id="1113" w:name="_Toc55410580"/>
      <w:bookmarkStart w:id="1114" w:name="_Toc55466118"/>
      <w:bookmarkStart w:id="1115" w:name="_Toc55480568"/>
      <w:bookmarkStart w:id="1116" w:name="_Toc55482447"/>
      <w:bookmarkStart w:id="1117" w:name="_Toc55486359"/>
      <w:bookmarkStart w:id="1118" w:name="_Toc55488168"/>
      <w:bookmarkStart w:id="1119" w:name="_Toc55488802"/>
      <w:bookmarkStart w:id="1120" w:name="_Toc55490427"/>
      <w:bookmarkStart w:id="1121" w:name="_Toc55490616"/>
      <w:bookmarkStart w:id="1122" w:name="_Toc55498958"/>
      <w:bookmarkStart w:id="1123" w:name="_Toc55499148"/>
      <w:bookmarkStart w:id="1124" w:name="_Toc55651330"/>
      <w:bookmarkStart w:id="1125" w:name="_Toc55662189"/>
      <w:bookmarkStart w:id="1126" w:name="_Toc55663573"/>
      <w:bookmarkStart w:id="1127" w:name="_Toc55750543"/>
      <w:bookmarkStart w:id="1128" w:name="_Toc55761126"/>
      <w:bookmarkStart w:id="1129" w:name="_Toc55808258"/>
      <w:bookmarkStart w:id="1130" w:name="_Toc55899265"/>
      <w:bookmarkStart w:id="1131" w:name="_Toc55899599"/>
      <w:bookmarkStart w:id="1132" w:name="_Toc55899765"/>
      <w:bookmarkStart w:id="1133" w:name="_Toc55977226"/>
      <w:bookmarkStart w:id="1134" w:name="_Toc55991394"/>
      <w:bookmarkStart w:id="1135" w:name="_Toc55992823"/>
      <w:bookmarkStart w:id="1136" w:name="_Toc55993142"/>
      <w:bookmarkStart w:id="1137" w:name="_Toc55999450"/>
      <w:bookmarkStart w:id="1138" w:name="_Toc55999513"/>
      <w:bookmarkStart w:id="1139" w:name="_Toc56012530"/>
      <w:bookmarkStart w:id="1140" w:name="_Toc56013753"/>
      <w:bookmarkStart w:id="1141" w:name="_Toc56172438"/>
      <w:bookmarkStart w:id="1142" w:name="_Toc56173649"/>
      <w:r>
        <w:rPr>
          <w:noProof/>
        </w:rPr>
        <w:lastRenderedPageBreak/>
        <w:t xml:space="preserve">4.2. </w:t>
      </w:r>
      <w:bookmarkStart w:id="1143" w:name="_Toc52533660"/>
      <w:bookmarkStart w:id="1144" w:name="_Toc52539457"/>
      <w:bookmarkStart w:id="1145" w:name="_Toc52541977"/>
      <w:bookmarkStart w:id="1146" w:name="_Toc52543804"/>
      <w:bookmarkStart w:id="1147" w:name="_Toc52548758"/>
      <w:bookmarkStart w:id="1148" w:name="_Toc52550088"/>
      <w:bookmarkStart w:id="1149" w:name="_Toc52552284"/>
      <w:bookmarkStart w:id="1150" w:name="_Toc53133727"/>
      <w:bookmarkEnd w:id="1081"/>
      <w:r>
        <w:rPr>
          <w:noProof/>
        </w:rPr>
        <w:t>Risks to macro-financial stability</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rsidR="00704A93" w:rsidRDefault="005D0BB9">
      <w:pPr>
        <w:spacing w:after="200" w:line="276" w:lineRule="auto"/>
        <w:rPr>
          <w:noProof/>
        </w:rPr>
      </w:pPr>
      <w:r>
        <w:rPr>
          <w:b/>
          <w:noProof/>
        </w:rPr>
        <w:t>Euro area banks have withstood the first wave of the pandemic shock, but its full impact is still uncertain.</w:t>
      </w:r>
      <w:r>
        <w:rPr>
          <w:rStyle w:val="FootnoteReference"/>
          <w:noProof/>
        </w:rPr>
        <w:footnoteReference w:id="119"/>
      </w:r>
      <w:r>
        <w:rPr>
          <w:b/>
          <w:noProof/>
        </w:rPr>
        <w:t xml:space="preserve"> </w:t>
      </w:r>
      <w:r>
        <w:rPr>
          <w:noProof/>
        </w:rPr>
        <w:t>A recent ECB vulnerability analysis of banks under SSM supervision suggests that the euro area banking sector is capable of withstanding the initial pandemic-induced stress.</w:t>
      </w:r>
      <w:r>
        <w:rPr>
          <w:rStyle w:val="FootnoteReference"/>
          <w:noProof/>
        </w:rPr>
        <w:footnoteReference w:id="120"/>
      </w:r>
      <w:r>
        <w:rPr>
          <w:noProof/>
        </w:rPr>
        <w:t xml:space="preserve"> However, a worsening of the economic situation would impact banks’ capital position more severely. Specifically, under the baseline scenario (i.e. real GDP shrinking by 8.7% in 2020), banks’ CET1 ratio would be around 1.9 percentage points lower by the end of 2022, whereas under a more severe scenario (i.e. real GDP shrinking by 12.6% in 2020) it would shrink by 5.7 percentage points. For orientation, the Commission’s Autumn forecast estimates real GDP in the euro area to contract by 7.8% in 2020, however, these estimates are surrounded by significant downside risks. </w:t>
      </w:r>
    </w:p>
    <w:p w:rsidR="00704A93" w:rsidRDefault="005D0BB9">
      <w:pPr>
        <w:spacing w:after="200" w:line="276" w:lineRule="auto"/>
        <w:rPr>
          <w:noProof/>
        </w:rPr>
      </w:pPr>
      <w:r>
        <w:rPr>
          <w:b/>
          <w:noProof/>
        </w:rPr>
        <w:t>Prolonged government loan guarantee schemes could protect the banking sector, but also represent contingent liabilities for Member States’ budgets.</w:t>
      </w:r>
      <w:r>
        <w:rPr>
          <w:noProof/>
        </w:rPr>
        <w:t xml:space="preserve"> While general support to the private sector during the pandemic and loan guarantees, in particular, are helping solvent firms and households stay liquid in times of market stress, a substantial amount of defaults is still to be expected as a result of the pandemic.</w:t>
      </w:r>
      <w:r>
        <w:rPr>
          <w:rStyle w:val="FootnoteReference"/>
          <w:noProof/>
        </w:rPr>
        <w:footnoteReference w:id="121"/>
      </w:r>
      <w:r>
        <w:rPr>
          <w:noProof/>
        </w:rPr>
        <w:t xml:space="preserve"> Whether and when these defaults on loans show up on banks’ balance sheets will to some extent depend on the overall duration of these guarantees. While an early end obviously risks substantially increasing NPL ratios and tighter credit conditions</w:t>
      </w:r>
      <w:r>
        <w:rPr>
          <w:rStyle w:val="FootnoteReference"/>
          <w:noProof/>
        </w:rPr>
        <w:footnoteReference w:id="122"/>
      </w:r>
      <w:r>
        <w:rPr>
          <w:noProof/>
        </w:rPr>
        <w:t xml:space="preserve">, the guarantees might be increasingly activated if those schemes persist for some time, thereby effectively weighing on government debt. Higher sovereign debt as a result of realized loan losses covered by guarantees in turn could reignite market concerns about public debt sustainability in some Member States, with negative effects on those countries’ financial sector and real economy. Furthermore, given the high concentration and home bias of sovereign debt in banks’, insurers’ and pension funds’ portfolios, solvency ratios of euro area financial institutions could also be adversely affected. </w:t>
      </w:r>
    </w:p>
    <w:p w:rsidR="00704A93" w:rsidRDefault="005D0BB9">
      <w:pPr>
        <w:spacing w:after="200" w:line="276" w:lineRule="auto"/>
        <w:rPr>
          <w:noProof/>
          <w:color w:val="A6A6A6" w:themeColor="background1" w:themeShade="A6"/>
        </w:rPr>
      </w:pPr>
      <w:r>
        <w:rPr>
          <w:b/>
          <w:noProof/>
        </w:rPr>
        <w:t xml:space="preserve">The non-bank financial sector’s exposure to corporate bonds makes it vulnerable to a deterioration of corporate sector solvency, which in turn could hinder market access in particular for riskier borrowers. </w:t>
      </w:r>
      <w:r>
        <w:rPr>
          <w:noProof/>
        </w:rPr>
        <w:t xml:space="preserve">The financial sector could see further valuation losses following corporate rating downgrades, which might come with some delay (see above). Non-banks, in particular, have large exposures to corporate bonds, including high-yield bonds and those that narrowly fulfil investment grade status (BBB) and would thus be particularly </w:t>
      </w:r>
      <w:r>
        <w:rPr>
          <w:noProof/>
        </w:rPr>
        <w:lastRenderedPageBreak/>
        <w:t>affected by downgrades.</w:t>
      </w:r>
      <w:r>
        <w:rPr>
          <w:rStyle w:val="FootnoteReference"/>
          <w:noProof/>
        </w:rPr>
        <w:footnoteReference w:id="123"/>
      </w:r>
      <w:r>
        <w:rPr>
          <w:noProof/>
        </w:rPr>
        <w:t xml:space="preserve"> If such a downgrade were to trigger further rebalancing towards safer and more liquid assets, it would drive up market financing costs, in particular for the most vulnerable and leveraged borrowers, and might impair their market access. Indeed, since February, non-financial corporations’ issuance of high yield bonds has stagnated after strong increases over recent years, while investment grade bond issuance surged since April in the context of ECB monetary policy decisions. However, disruptions in high-yield corporate bond markets can easily spillover to other market segments and adversely impact market financing conditions for the whole corporate sector. </w:t>
      </w:r>
    </w:p>
    <w:p w:rsidR="00704A93" w:rsidRDefault="005D0BB9">
      <w:pPr>
        <w:spacing w:after="200" w:line="276" w:lineRule="auto"/>
        <w:rPr>
          <w:noProof/>
        </w:rPr>
      </w:pPr>
      <w:r>
        <w:rPr>
          <w:b/>
          <w:noProof/>
        </w:rPr>
        <w:t>A prolongation of insolvency moratoria and continued forbearance of non-performing loans entails difficult decisions.</w:t>
      </w:r>
      <w:r>
        <w:rPr>
          <w:noProof/>
        </w:rPr>
        <w:t xml:space="preserve"> While insolvency moratoria can prevent immediate and large-scale bankruptcies by giving vulnerable corporations and households some time to benefit from the recovery, they also come with risks, in particular if these schemes persist for an extended period of time and the economic recovery is weaker than expected. Non-viable businesses under solvency pressures might be incentivized to take more risks, potentially making the eventual losses under bankruptcy worse. This in turn could undermine business confidence ex-ante and also impact credit provision to healthy firms. Lastly, delayed bankruptcies as a result of loan repayment moratoria could lead to a misallocation of funds to non-viable borrowers. Against this background, the Commission has welcomed a list of ‘best practices', agreed by the financial sector and consumer and business organisations, which also covers payment moratoria and credit guarantees.</w:t>
      </w:r>
      <w:r>
        <w:rPr>
          <w:rStyle w:val="FootnoteReference"/>
          <w:noProof/>
        </w:rPr>
        <w:footnoteReference w:id="124"/>
      </w:r>
      <w:r>
        <w:rPr>
          <w:noProof/>
        </w:rPr>
        <w:t xml:space="preserve">  </w:t>
      </w:r>
    </w:p>
    <w:p w:rsidR="00704A93" w:rsidRDefault="005D0BB9">
      <w:pPr>
        <w:pStyle w:val="Heading1"/>
        <w:rPr>
          <w:b w:val="0"/>
          <w:noProof/>
        </w:rPr>
      </w:pPr>
      <w:bookmarkStart w:id="1151" w:name="_Toc52533661"/>
      <w:bookmarkStart w:id="1152" w:name="_Toc52539458"/>
      <w:bookmarkStart w:id="1153" w:name="_Toc52541978"/>
      <w:bookmarkStart w:id="1154" w:name="_Toc52543805"/>
      <w:bookmarkStart w:id="1155" w:name="_Toc52548759"/>
      <w:bookmarkStart w:id="1156" w:name="_Toc52550089"/>
      <w:bookmarkStart w:id="1157" w:name="_Toc52552285"/>
      <w:bookmarkStart w:id="1158" w:name="_Toc53133728"/>
      <w:bookmarkStart w:id="1159" w:name="_Toc53143036"/>
      <w:bookmarkStart w:id="1160" w:name="_Toc53151545"/>
      <w:bookmarkStart w:id="1161" w:name="_Toc53160271"/>
      <w:bookmarkStart w:id="1162" w:name="_Toc53163233"/>
      <w:bookmarkStart w:id="1163" w:name="_Toc53390018"/>
      <w:bookmarkStart w:id="1164" w:name="_Toc53391753"/>
      <w:bookmarkStart w:id="1165" w:name="_Toc53432756"/>
      <w:bookmarkStart w:id="1166" w:name="_Toc53490260"/>
      <w:bookmarkStart w:id="1167" w:name="_Toc53490787"/>
      <w:bookmarkStart w:id="1168" w:name="_Toc53494730"/>
      <w:bookmarkStart w:id="1169" w:name="_Toc53504219"/>
      <w:bookmarkStart w:id="1170" w:name="_Toc53505979"/>
      <w:bookmarkStart w:id="1171" w:name="_Toc53652791"/>
      <w:bookmarkStart w:id="1172" w:name="_Toc53670386"/>
      <w:bookmarkStart w:id="1173" w:name="_Toc53670875"/>
      <w:bookmarkStart w:id="1174" w:name="_Toc53678907"/>
      <w:bookmarkStart w:id="1175" w:name="_Toc53752569"/>
      <w:bookmarkStart w:id="1176" w:name="_Toc53752765"/>
      <w:bookmarkStart w:id="1177" w:name="_Toc53756248"/>
      <w:bookmarkStart w:id="1178" w:name="_Toc54002754"/>
      <w:bookmarkStart w:id="1179" w:name="_Toc54004846"/>
      <w:bookmarkStart w:id="1180" w:name="_Toc54187778"/>
      <w:bookmarkStart w:id="1181" w:name="_Toc54195832"/>
      <w:bookmarkStart w:id="1182" w:name="_Toc54198614"/>
      <w:bookmarkStart w:id="1183" w:name="_Toc54363757"/>
      <w:bookmarkStart w:id="1184" w:name="_Toc54374683"/>
      <w:bookmarkStart w:id="1185" w:name="_Toc54376092"/>
      <w:bookmarkStart w:id="1186" w:name="_Toc54429937"/>
      <w:bookmarkStart w:id="1187" w:name="_Toc54430260"/>
      <w:bookmarkStart w:id="1188" w:name="_Toc55398273"/>
      <w:bookmarkStart w:id="1189" w:name="_Toc55402870"/>
      <w:bookmarkStart w:id="1190" w:name="_Toc55410581"/>
      <w:bookmarkStart w:id="1191" w:name="_Toc55466119"/>
      <w:bookmarkStart w:id="1192" w:name="_Toc55480569"/>
      <w:bookmarkStart w:id="1193" w:name="_Toc55482448"/>
      <w:bookmarkStart w:id="1194" w:name="_Toc55486360"/>
      <w:bookmarkStart w:id="1195" w:name="_Toc55488169"/>
      <w:bookmarkStart w:id="1196" w:name="_Toc55488803"/>
      <w:bookmarkStart w:id="1197" w:name="_Toc55490428"/>
      <w:bookmarkStart w:id="1198" w:name="_Toc55490617"/>
      <w:bookmarkStart w:id="1199" w:name="_Toc55498959"/>
      <w:bookmarkStart w:id="1200" w:name="_Toc55499149"/>
      <w:bookmarkStart w:id="1201" w:name="_Toc55651331"/>
      <w:bookmarkStart w:id="1202" w:name="_Toc55662190"/>
      <w:bookmarkStart w:id="1203" w:name="_Toc55663574"/>
      <w:bookmarkStart w:id="1204" w:name="_Toc55750544"/>
      <w:bookmarkStart w:id="1205" w:name="_Toc55761127"/>
      <w:bookmarkStart w:id="1206" w:name="_Toc55808259"/>
      <w:bookmarkStart w:id="1207" w:name="_Toc55899266"/>
      <w:bookmarkStart w:id="1208" w:name="_Toc55899600"/>
      <w:bookmarkStart w:id="1209" w:name="_Toc55899766"/>
      <w:bookmarkStart w:id="1210" w:name="_Toc55977227"/>
      <w:bookmarkStart w:id="1211" w:name="_Toc55991395"/>
      <w:bookmarkStart w:id="1212" w:name="_Toc55992824"/>
      <w:bookmarkStart w:id="1213" w:name="_Toc55993143"/>
      <w:bookmarkStart w:id="1214" w:name="_Toc55999451"/>
      <w:bookmarkStart w:id="1215" w:name="_Toc55999514"/>
      <w:bookmarkStart w:id="1216" w:name="_Toc56012531"/>
      <w:bookmarkStart w:id="1217" w:name="_Toc56013754"/>
      <w:bookmarkStart w:id="1218" w:name="_Toc56172439"/>
      <w:bookmarkStart w:id="1219" w:name="_Toc56173650"/>
      <w:r>
        <w:rPr>
          <w:noProof/>
        </w:rPr>
        <w:t>The EU recovery plan: its impact on EMU and the international role of the euro</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704A93" w:rsidRDefault="005D0BB9">
      <w:pPr>
        <w:spacing w:after="200" w:line="276" w:lineRule="auto"/>
        <w:rPr>
          <w:noProof/>
        </w:rPr>
      </w:pPr>
      <w:bookmarkStart w:id="1220" w:name="_Toc52533662"/>
      <w:bookmarkStart w:id="1221" w:name="_Toc52539459"/>
      <w:bookmarkStart w:id="1222" w:name="_Toc52541979"/>
      <w:bookmarkStart w:id="1223" w:name="_Toc52543806"/>
      <w:bookmarkStart w:id="1224" w:name="_Toc52548760"/>
      <w:bookmarkStart w:id="1225" w:name="_Toc52550090"/>
      <w:bookmarkStart w:id="1226" w:name="_Toc52552286"/>
      <w:bookmarkStart w:id="1227" w:name="_Toc53133729"/>
      <w:bookmarkStart w:id="1228" w:name="_Toc53143037"/>
      <w:bookmarkStart w:id="1229" w:name="_Toc53151546"/>
      <w:bookmarkStart w:id="1230" w:name="_Toc53160272"/>
      <w:bookmarkStart w:id="1231" w:name="_Toc53163234"/>
      <w:bookmarkStart w:id="1232" w:name="_Toc53432757"/>
      <w:bookmarkStart w:id="1233" w:name="_Toc53490261"/>
      <w:bookmarkStart w:id="1234" w:name="_Toc53490788"/>
      <w:bookmarkStart w:id="1235" w:name="_Toc53494731"/>
      <w:bookmarkStart w:id="1236" w:name="_Toc53504220"/>
      <w:bookmarkStart w:id="1237" w:name="_Toc53505980"/>
      <w:bookmarkStart w:id="1238" w:name="_Toc53652792"/>
      <w:bookmarkStart w:id="1239" w:name="_Toc53670387"/>
      <w:bookmarkStart w:id="1240" w:name="_Toc53670876"/>
      <w:bookmarkStart w:id="1241" w:name="_Toc53678908"/>
      <w:bookmarkStart w:id="1242" w:name="_Toc53752570"/>
      <w:bookmarkStart w:id="1243" w:name="_Toc53752766"/>
      <w:bookmarkStart w:id="1244" w:name="_Toc53756249"/>
      <w:bookmarkStart w:id="1245" w:name="_Toc54002755"/>
      <w:bookmarkStart w:id="1246" w:name="_Toc54004847"/>
      <w:bookmarkStart w:id="1247" w:name="_Toc53391754"/>
      <w:bookmarkStart w:id="1248" w:name="_Toc53390019"/>
      <w:r>
        <w:rPr>
          <w:b/>
          <w:noProof/>
          <w:szCs w:val="24"/>
        </w:rPr>
        <w:t>The EU recovery plan, Next Generation EU, beyond its short-term stabilisation function and its role in supporting the recovery post-crisis, has the potential to permanently change the EMU.</w:t>
      </w:r>
      <w:r>
        <w:rPr>
          <w:noProof/>
          <w:szCs w:val="24"/>
        </w:rPr>
        <w:t xml:space="preserve">  The collective action taken at the EU level has reassured markets and the policies are likely to increase the euro area’s growth potential and resilience to future shocks. With a</w:t>
      </w:r>
      <w:r>
        <w:rPr>
          <w:noProof/>
        </w:rPr>
        <w:t xml:space="preserve"> significant portion of the debt issuance as green bonds, the recovery plan has the potential to accelerate the EU’s decarbonisation and clean energy transition. </w:t>
      </w:r>
      <w:r>
        <w:rPr>
          <w:noProof/>
          <w:szCs w:val="24"/>
        </w:rPr>
        <w:t xml:space="preserve">Finally, given the increase in the issuance of high-quality, euro-denominated debt, the recovery plan can strengthen the euro’s role as an international reserve currency particularly if coupled with ambitious EMU reforms. </w:t>
      </w:r>
    </w:p>
    <w:p w:rsidR="00704A93" w:rsidRDefault="005D0BB9">
      <w:pPr>
        <w:pStyle w:val="Heading2"/>
        <w:spacing w:line="276" w:lineRule="auto"/>
        <w:rPr>
          <w:bCs/>
          <w:noProof/>
        </w:rPr>
      </w:pPr>
      <w:bookmarkStart w:id="1249" w:name="_Toc54187779"/>
      <w:bookmarkStart w:id="1250" w:name="_Toc54195833"/>
      <w:bookmarkStart w:id="1251" w:name="_Toc54198615"/>
      <w:bookmarkStart w:id="1252" w:name="_Toc54363758"/>
      <w:bookmarkStart w:id="1253" w:name="_Toc54374684"/>
      <w:bookmarkStart w:id="1254" w:name="_Toc54376093"/>
      <w:bookmarkStart w:id="1255" w:name="_Toc54429938"/>
      <w:bookmarkStart w:id="1256" w:name="_Toc54430261"/>
      <w:bookmarkStart w:id="1257" w:name="_Toc55398274"/>
      <w:bookmarkStart w:id="1258" w:name="_Toc55402871"/>
      <w:bookmarkStart w:id="1259" w:name="_Toc55410582"/>
      <w:bookmarkStart w:id="1260" w:name="_Toc55466120"/>
      <w:bookmarkStart w:id="1261" w:name="_Toc55480570"/>
      <w:bookmarkStart w:id="1262" w:name="_Toc55482449"/>
      <w:bookmarkStart w:id="1263" w:name="_Toc55486361"/>
      <w:bookmarkStart w:id="1264" w:name="_Toc55488170"/>
      <w:bookmarkStart w:id="1265" w:name="_Toc55488804"/>
      <w:bookmarkStart w:id="1266" w:name="_Toc55490429"/>
      <w:bookmarkStart w:id="1267" w:name="_Toc55490618"/>
      <w:bookmarkStart w:id="1268" w:name="_Toc55498960"/>
      <w:bookmarkStart w:id="1269" w:name="_Toc55499150"/>
      <w:bookmarkStart w:id="1270" w:name="_Toc55651332"/>
      <w:bookmarkStart w:id="1271" w:name="_Toc55662191"/>
      <w:bookmarkStart w:id="1272" w:name="_Toc55663575"/>
      <w:bookmarkStart w:id="1273" w:name="_Toc55750545"/>
      <w:bookmarkStart w:id="1274" w:name="_Toc55761128"/>
      <w:bookmarkStart w:id="1275" w:name="_Toc55808260"/>
      <w:bookmarkStart w:id="1276" w:name="_Toc55899267"/>
      <w:bookmarkStart w:id="1277" w:name="_Toc55899601"/>
      <w:bookmarkStart w:id="1278" w:name="_Toc55899767"/>
      <w:bookmarkStart w:id="1279" w:name="_Toc55977228"/>
      <w:bookmarkStart w:id="1280" w:name="_Toc55991396"/>
      <w:bookmarkStart w:id="1281" w:name="_Toc55992825"/>
      <w:bookmarkStart w:id="1282" w:name="_Toc55993144"/>
      <w:bookmarkStart w:id="1283" w:name="_Toc55999452"/>
      <w:bookmarkStart w:id="1284" w:name="_Toc55999515"/>
      <w:bookmarkStart w:id="1285" w:name="_Toc56012532"/>
      <w:bookmarkStart w:id="1286" w:name="_Toc56013755"/>
      <w:bookmarkStart w:id="1287" w:name="_Toc56172440"/>
      <w:bookmarkStart w:id="1288" w:name="_Toc56173651"/>
      <w:r>
        <w:rPr>
          <w:noProof/>
        </w:rPr>
        <w:t>5.1. Impact of the European recovery plan on the international role of the euro</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r>
        <w:rPr>
          <w:noProof/>
        </w:rPr>
        <w:t xml:space="preserve"> </w:t>
      </w:r>
      <w:bookmarkEnd w:id="1247"/>
    </w:p>
    <w:bookmarkEnd w:id="1248"/>
    <w:p w:rsidR="00704A93" w:rsidRDefault="005D0BB9">
      <w:pPr>
        <w:spacing w:line="276" w:lineRule="auto"/>
        <w:rPr>
          <w:noProof/>
        </w:rPr>
      </w:pPr>
      <w:r>
        <w:rPr>
          <w:b/>
          <w:bCs/>
          <w:noProof/>
        </w:rPr>
        <w:t>The international role of the euro has remained broadly stable in recent years.</w:t>
      </w:r>
      <w:r>
        <w:rPr>
          <w:noProof/>
        </w:rPr>
        <w:t xml:space="preserve"> The euro is the number two currency in the world although, contrary to the US dollar, with a largely </w:t>
      </w:r>
    </w:p>
    <w:tbl>
      <w:tblPr>
        <w:tblStyle w:val="TableGrid"/>
        <w:tblpPr w:leftFromText="141" w:rightFromText="141" w:vertAnchor="text" w:horzAnchor="margin" w:tblpY="68"/>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532"/>
        <w:gridCol w:w="16"/>
      </w:tblGrid>
      <w:tr w:rsidR="00704A93">
        <w:trPr>
          <w:gridAfter w:val="1"/>
          <w:wAfter w:w="16" w:type="dxa"/>
          <w:trHeight w:val="473"/>
        </w:trPr>
        <w:tc>
          <w:tcPr>
            <w:tcW w:w="4728" w:type="dxa"/>
          </w:tcPr>
          <w:p w:rsidR="00704A93" w:rsidRDefault="005D0BB9">
            <w:pPr>
              <w:spacing w:line="276" w:lineRule="auto"/>
              <w:jc w:val="center"/>
              <w:rPr>
                <w:noProof/>
              </w:rPr>
            </w:pPr>
            <w:r>
              <w:rPr>
                <w:i/>
                <w:noProof/>
                <w:color w:val="1F4E79" w:themeColor="accent1" w:themeShade="80"/>
                <w:sz w:val="22"/>
                <w:szCs w:val="22"/>
              </w:rPr>
              <w:lastRenderedPageBreak/>
              <w:t>Graph 33: Euro denominated share of foreign exchange reserves, international debt securities and cross-border loans</w:t>
            </w:r>
          </w:p>
        </w:tc>
        <w:tc>
          <w:tcPr>
            <w:tcW w:w="4532" w:type="dxa"/>
          </w:tcPr>
          <w:p w:rsidR="00704A93" w:rsidRDefault="005D0BB9">
            <w:pPr>
              <w:spacing w:line="276" w:lineRule="auto"/>
              <w:jc w:val="center"/>
              <w:rPr>
                <w:i/>
                <w:noProof/>
                <w:color w:val="1F4E79" w:themeColor="accent1" w:themeShade="80"/>
                <w:sz w:val="22"/>
                <w:szCs w:val="22"/>
              </w:rPr>
            </w:pPr>
            <w:r>
              <w:rPr>
                <w:i/>
                <w:noProof/>
                <w:color w:val="1F4E79" w:themeColor="accent1" w:themeShade="80"/>
                <w:sz w:val="22"/>
                <w:szCs w:val="22"/>
              </w:rPr>
              <w:t>Graph 34: Current and projected AAA-rated  euro area government debt and recovery package issuance</w:t>
            </w:r>
          </w:p>
        </w:tc>
      </w:tr>
      <w:tr w:rsidR="00704A93">
        <w:tblPrEx>
          <w:tblCellMar>
            <w:left w:w="70" w:type="dxa"/>
            <w:right w:w="70" w:type="dxa"/>
          </w:tblCellMar>
        </w:tblPrEx>
        <w:trPr>
          <w:trHeight w:val="1258"/>
        </w:trPr>
        <w:tc>
          <w:tcPr>
            <w:tcW w:w="4728" w:type="dxa"/>
          </w:tcPr>
          <w:p w:rsidR="00704A93" w:rsidRDefault="005D0BB9">
            <w:pPr>
              <w:spacing w:after="0" w:line="276" w:lineRule="auto"/>
              <w:rPr>
                <w:noProof/>
              </w:rPr>
            </w:pPr>
            <w:r>
              <w:rPr>
                <w:noProof/>
                <w:shd w:val="clear" w:color="auto" w:fill="FFFFFF" w:themeFill="background1"/>
                <w:lang w:eastAsia="en-GB"/>
              </w:rPr>
              <w:drawing>
                <wp:inline distT="0" distB="0" distL="0" distR="0">
                  <wp:extent cx="2743200" cy="2057400"/>
                  <wp:effectExtent l="0" t="0" r="0" b="0"/>
                  <wp:docPr id="1269668292" name="Chart 1269668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548" w:type="dxa"/>
            <w:gridSpan w:val="2"/>
          </w:tcPr>
          <w:p w:rsidR="00704A93" w:rsidRDefault="005D0BB9">
            <w:pPr>
              <w:spacing w:after="0" w:line="276" w:lineRule="auto"/>
              <w:rPr>
                <w:noProof/>
              </w:rPr>
            </w:pPr>
            <w:r>
              <w:rPr>
                <w:noProof/>
                <w:lang w:eastAsia="en-GB"/>
              </w:rPr>
              <w:drawing>
                <wp:inline distT="0" distB="0" distL="0" distR="0">
                  <wp:extent cx="2681288" cy="2081213"/>
                  <wp:effectExtent l="0" t="0" r="5080" b="0"/>
                  <wp:docPr id="1269668293" name="Chart 1269668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704A93">
        <w:trPr>
          <w:gridAfter w:val="1"/>
          <w:wAfter w:w="16" w:type="dxa"/>
          <w:trHeight w:val="220"/>
        </w:trPr>
        <w:tc>
          <w:tcPr>
            <w:tcW w:w="4728" w:type="dxa"/>
          </w:tcPr>
          <w:p w:rsidR="00704A93" w:rsidRDefault="005D0BB9">
            <w:pPr>
              <w:spacing w:after="180" w:line="276" w:lineRule="auto"/>
              <w:rPr>
                <w:noProof/>
                <w:color w:val="000000" w:themeColor="text1"/>
                <w:sz w:val="14"/>
              </w:rPr>
            </w:pPr>
            <w:r>
              <w:rPr>
                <w:noProof/>
                <w:color w:val="000000" w:themeColor="text1"/>
                <w:sz w:val="14"/>
                <w:lang w:val="da-DK"/>
              </w:rPr>
              <w:t xml:space="preserve">Source: IMF Database, BIS Database. </w:t>
            </w:r>
            <w:r>
              <w:rPr>
                <w:noProof/>
                <w:color w:val="000000" w:themeColor="text1"/>
                <w:sz w:val="14"/>
              </w:rPr>
              <w:t>Own computations.</w:t>
            </w:r>
          </w:p>
        </w:tc>
        <w:tc>
          <w:tcPr>
            <w:tcW w:w="4532" w:type="dxa"/>
          </w:tcPr>
          <w:p w:rsidR="00704A93" w:rsidRDefault="005D0BB9">
            <w:pPr>
              <w:spacing w:after="0"/>
              <w:rPr>
                <w:noProof/>
                <w:color w:val="000000" w:themeColor="text1"/>
                <w:sz w:val="14"/>
              </w:rPr>
            </w:pPr>
            <w:r>
              <w:rPr>
                <w:noProof/>
                <w:color w:val="000000" w:themeColor="text1"/>
                <w:sz w:val="14"/>
              </w:rPr>
              <w:t>Note: Unless indicated otherwise, the data presents outstanding amounts at the end of the year.</w:t>
            </w:r>
            <w:r>
              <w:rPr>
                <w:noProof/>
                <w:color w:val="000000" w:themeColor="text1"/>
              </w:rPr>
              <w:t xml:space="preserve"> </w:t>
            </w:r>
            <w:r>
              <w:rPr>
                <w:noProof/>
                <w:color w:val="000000" w:themeColor="text1"/>
                <w:sz w:val="14"/>
              </w:rPr>
              <w:t>For the projections, countries considered rated AAA are those rated at this grade in Q2 2020 (i.e. DE, LU and NL).</w:t>
            </w:r>
          </w:p>
          <w:p w:rsidR="00704A93" w:rsidRDefault="005D0BB9">
            <w:pPr>
              <w:spacing w:after="180" w:line="276" w:lineRule="auto"/>
              <w:rPr>
                <w:noProof/>
              </w:rPr>
            </w:pPr>
            <w:r>
              <w:rPr>
                <w:noProof/>
                <w:color w:val="000000" w:themeColor="text1"/>
                <w:sz w:val="14"/>
              </w:rPr>
              <w:t>Source: Bloomberg, Commission services.</w:t>
            </w:r>
          </w:p>
        </w:tc>
      </w:tr>
    </w:tbl>
    <w:p w:rsidR="00704A93" w:rsidRDefault="005D0BB9">
      <w:pPr>
        <w:spacing w:after="200" w:line="276" w:lineRule="auto"/>
        <w:rPr>
          <w:noProof/>
        </w:rPr>
      </w:pPr>
      <w:r>
        <w:rPr>
          <w:noProof/>
        </w:rPr>
        <w:t>regional character. The latest assessment by the ECB covering 2019 shows that the euro’s share in outstanding international loans increased while the share of the euro in outstanding international debt securities declined compared to 2018.</w:t>
      </w:r>
      <w:r>
        <w:rPr>
          <w:rStyle w:val="FootnoteReference"/>
          <w:noProof/>
        </w:rPr>
        <w:footnoteReference w:id="125"/>
      </w:r>
      <w:r>
        <w:rPr>
          <w:noProof/>
        </w:rPr>
        <w:t xml:space="preserve"> The share of the euro in global foreign exchange reserves (Graph 33) and in outstanding international deposits as well as the use of the euro as an invoicing currency for extra-euro area transactions in goods remained broadly stable. Likewise, the stock of euro banknotes circulating outside the euro area remained largely unchanged.</w:t>
      </w:r>
      <w:r>
        <w:rPr>
          <w:rStyle w:val="FootnoteReference"/>
          <w:noProof/>
        </w:rPr>
        <w:t xml:space="preserve"> </w:t>
      </w:r>
      <w:r>
        <w:rPr>
          <w:noProof/>
        </w:rPr>
        <w:t>Strengthening the economic and financial autonomy of the EU including through an enhanced international role of the euro is part of the Commission’s agenda</w:t>
      </w:r>
      <w:r>
        <w:rPr>
          <w:rStyle w:val="FootnoteReference"/>
          <w:bCs/>
          <w:noProof/>
          <w:sz w:val="23"/>
          <w:szCs w:val="23"/>
        </w:rPr>
        <w:footnoteReference w:id="126"/>
      </w:r>
      <w:r>
        <w:rPr>
          <w:bCs/>
          <w:noProof/>
          <w:sz w:val="23"/>
          <w:szCs w:val="23"/>
        </w:rPr>
        <w:t xml:space="preserve">, </w:t>
      </w:r>
      <w:r>
        <w:rPr>
          <w:noProof/>
        </w:rPr>
        <w:t>and a Communication in this regard will be released shortly as indicated in the Commission’s revised work program</w:t>
      </w:r>
      <w:r>
        <w:rPr>
          <w:bCs/>
          <w:noProof/>
          <w:sz w:val="23"/>
          <w:szCs w:val="23"/>
        </w:rPr>
        <w:t>.</w:t>
      </w:r>
      <w:r>
        <w:rPr>
          <w:bCs/>
          <w:noProof/>
        </w:rPr>
        <w:t xml:space="preserve"> </w:t>
      </w:r>
    </w:p>
    <w:p w:rsidR="00704A93" w:rsidRDefault="005D0BB9">
      <w:pPr>
        <w:spacing w:after="200" w:line="276" w:lineRule="auto"/>
        <w:rPr>
          <w:noProof/>
        </w:rPr>
      </w:pPr>
      <w:r>
        <w:rPr>
          <w:b/>
          <w:bCs/>
          <w:noProof/>
        </w:rPr>
        <w:t xml:space="preserve">The common response by the EU to the crisis has increased the overall resilience of all Member States including those in the euro area and provided strong reassurances to markets. </w:t>
      </w:r>
      <w:r>
        <w:rPr>
          <w:noProof/>
        </w:rPr>
        <w:t>Overall, credit rating agencies have identified the Next Generation EU agreement as a net supportive factor of Member States’ sovereign ratings.</w:t>
      </w:r>
      <w:r>
        <w:rPr>
          <w:rStyle w:val="FootnoteReference"/>
          <w:noProof/>
        </w:rPr>
        <w:footnoteReference w:id="127"/>
      </w:r>
      <w:r>
        <w:rPr>
          <w:noProof/>
        </w:rPr>
        <w:t xml:space="preserve"> On top of its macroeconomic effects, the sizeable issuance of safe, euro-denominated debt resulting from the recovery package can be an important contributing factor towards further financial markets development and integration. For example,</w:t>
      </w:r>
      <w:r>
        <w:rPr>
          <w:bCs/>
          <w:noProof/>
        </w:rPr>
        <w:t xml:space="preserve"> as banks complement domestic government bond holdings with EU debt, it </w:t>
      </w:r>
      <w:r>
        <w:rPr>
          <w:noProof/>
        </w:rPr>
        <w:t xml:space="preserve">could facilitate portfolio diversification and help </w:t>
      </w:r>
      <w:r>
        <w:rPr>
          <w:noProof/>
        </w:rPr>
        <w:lastRenderedPageBreak/>
        <w:t>sever the direct nexus between banks and sovereigns.</w:t>
      </w:r>
      <w:r>
        <w:rPr>
          <w:rStyle w:val="FootnoteReference"/>
          <w:bCs/>
          <w:noProof/>
        </w:rPr>
        <w:footnoteReference w:id="128"/>
      </w:r>
      <w:r>
        <w:rPr>
          <w:noProof/>
        </w:rPr>
        <w:t xml:space="preserve"> Furthermore, common issuance is likely to strengthen liquidity conditions on sometimes strained repo markets and improve the uniform transmission of monetary policy through the provision of high-quality liquid collateral.</w:t>
      </w:r>
      <w:r>
        <w:rPr>
          <w:rStyle w:val="FootnoteReference"/>
          <w:noProof/>
        </w:rPr>
        <w:footnoteReference w:id="129"/>
      </w:r>
      <w:r>
        <w:rPr>
          <w:noProof/>
        </w:rPr>
        <w:t xml:space="preserve"> Lastly, the EU issuance can lend further support to the development of a single securities market in the EU, thereby contributing to enhanced private sector risk-sharing via the capital markets. </w:t>
      </w:r>
    </w:p>
    <w:p w:rsidR="00704A93" w:rsidRDefault="005D0BB9">
      <w:pPr>
        <w:spacing w:after="200" w:line="276" w:lineRule="auto"/>
        <w:rPr>
          <w:b/>
          <w:bCs/>
          <w:noProof/>
        </w:rPr>
      </w:pPr>
      <w:r>
        <w:rPr>
          <w:b/>
          <w:bCs/>
          <w:noProof/>
        </w:rPr>
        <w:t>Next Generation EU can increase the international standing of the euro through an enhanced supply of euro-denominated safe assets.</w:t>
      </w:r>
      <w:r>
        <w:rPr>
          <w:noProof/>
        </w:rPr>
        <w:t xml:space="preserve"> The envisaged issuance of up to EUR 850 billion compares to around EUR 2.2 trillion outstanding euro-denominated debt securities with an AAA rating at the beginning of 2020 thus representing a significant increase in high-rated euro-denominated debt (Graph 34). Common issuance of the intended size will add depth and liquidity to the market for high-quality, euro-denominated debt securities, making the euro more attractive as a reserve currency. </w:t>
      </w:r>
      <w:r>
        <w:rPr>
          <w:noProof/>
          <w:color w:val="000000" w:themeColor="text1"/>
          <w:szCs w:val="24"/>
        </w:rPr>
        <w:t xml:space="preserve">It could likewise support a larger total international investor exposure to the EU by providing the low-risk component of balanced portfolios. </w:t>
      </w:r>
      <w:r>
        <w:rPr>
          <w:noProof/>
        </w:rPr>
        <w:t>The long foreseen time period over which funds raised under NGEU are to be repaid – i.e. not before 2028 and not after 2058 – should ensure a sizeable market presence of the EU for a significant period of time. Furthermore, given the proposed coverage of debt repayments through the EU budget, the high rating for common EU issuance is expected to be preserved. The quick development of sustainable finance, and in particular of green bonds around the world, can favour the euro and increase the attractiveness of the euro area. Indeed, today, green bonds are in majority euro-denominated, and the sustainable investment targets of EU’s recovery plan, and the development of an EU green bond standard can lead to an even more developed sector.</w:t>
      </w:r>
    </w:p>
    <w:p w:rsidR="00704A93" w:rsidRDefault="005D0BB9">
      <w:pPr>
        <w:spacing w:after="200" w:line="276" w:lineRule="auto"/>
        <w:rPr>
          <w:noProof/>
        </w:rPr>
      </w:pPr>
      <w:r>
        <w:rPr>
          <w:b/>
          <w:bCs/>
          <w:noProof/>
        </w:rPr>
        <w:t>Technological developments and the rise of digital currencies open new possibilities and challenges for the euro.</w:t>
      </w:r>
      <w:r>
        <w:rPr>
          <w:bCs/>
          <w:noProof/>
        </w:rPr>
        <w:t xml:space="preserve"> </w:t>
      </w:r>
      <w:r>
        <w:rPr>
          <w:noProof/>
        </w:rPr>
        <w:t>The COVID-19 crisis has accelerated the digital transformation (see section 1) and the use of digital and cashless payment methods. Going forward, any innovation related to the digitalisation of money and payment systems might also have implications for the international role of the euro. To this end, the Commission adopted its Digital Finance</w:t>
      </w:r>
      <w:r>
        <w:rPr>
          <w:rStyle w:val="FootnoteReference"/>
          <w:noProof/>
        </w:rPr>
        <w:footnoteReference w:id="130"/>
      </w:r>
      <w:r>
        <w:rPr>
          <w:noProof/>
        </w:rPr>
        <w:t xml:space="preserve"> and Retail Payment Strategies</w:t>
      </w:r>
      <w:r>
        <w:rPr>
          <w:rStyle w:val="FootnoteReference"/>
          <w:noProof/>
        </w:rPr>
        <w:footnoteReference w:id="131"/>
      </w:r>
      <w:r>
        <w:rPr>
          <w:noProof/>
        </w:rPr>
        <w:t>, containing elements supporting the international role of the euro and the EU’s economic and financial autonomy. The possible future issuance of central bank digital currencies (CBDC) including by the ECB can help to increase further the efficiency of payment infrastructure but needs to be further assessed against its implications for monetary policy, financial stability and competition.</w:t>
      </w:r>
      <w:r>
        <w:rPr>
          <w:rStyle w:val="FootnoteReference"/>
          <w:noProof/>
        </w:rPr>
        <w:footnoteReference w:id="132"/>
      </w:r>
    </w:p>
    <w:p w:rsidR="00704A93" w:rsidRDefault="005D0BB9">
      <w:pPr>
        <w:pStyle w:val="Heading2"/>
        <w:spacing w:line="276" w:lineRule="auto"/>
        <w:rPr>
          <w:noProof/>
        </w:rPr>
      </w:pPr>
      <w:bookmarkStart w:id="1289" w:name="_Toc53490262"/>
      <w:bookmarkStart w:id="1290" w:name="_Toc53490789"/>
      <w:bookmarkStart w:id="1291" w:name="_Toc52533663"/>
      <w:bookmarkStart w:id="1292" w:name="_Toc52539460"/>
      <w:bookmarkStart w:id="1293" w:name="_Toc52541980"/>
      <w:bookmarkStart w:id="1294" w:name="_Toc52543807"/>
      <w:bookmarkStart w:id="1295" w:name="_Toc52548761"/>
      <w:bookmarkStart w:id="1296" w:name="_Toc52550091"/>
      <w:bookmarkStart w:id="1297" w:name="_Toc52552287"/>
      <w:bookmarkStart w:id="1298" w:name="_Toc53133730"/>
      <w:bookmarkStart w:id="1299" w:name="_Toc53143038"/>
      <w:bookmarkStart w:id="1300" w:name="_Toc53151547"/>
      <w:bookmarkStart w:id="1301" w:name="_Toc53160273"/>
      <w:bookmarkStart w:id="1302" w:name="_Toc53163235"/>
      <w:bookmarkStart w:id="1303" w:name="_Toc53390020"/>
      <w:bookmarkStart w:id="1304" w:name="_Toc53391755"/>
      <w:bookmarkStart w:id="1305" w:name="_Toc53432758"/>
      <w:bookmarkStart w:id="1306" w:name="_Toc53494733"/>
      <w:bookmarkStart w:id="1307" w:name="_Toc53504222"/>
      <w:bookmarkStart w:id="1308" w:name="_Toc53505982"/>
      <w:bookmarkStart w:id="1309" w:name="_Toc53652793"/>
      <w:bookmarkStart w:id="1310" w:name="_Toc53670388"/>
      <w:bookmarkStart w:id="1311" w:name="_Toc53670877"/>
      <w:bookmarkStart w:id="1312" w:name="_Toc53678909"/>
      <w:bookmarkStart w:id="1313" w:name="_Toc53752571"/>
      <w:bookmarkStart w:id="1314" w:name="_Toc53752767"/>
      <w:bookmarkStart w:id="1315" w:name="_Toc53756250"/>
      <w:bookmarkStart w:id="1316" w:name="_Toc54002756"/>
      <w:bookmarkStart w:id="1317" w:name="_Toc54004848"/>
      <w:bookmarkStart w:id="1318" w:name="_Toc54187780"/>
      <w:bookmarkStart w:id="1319" w:name="_Toc54195834"/>
      <w:bookmarkStart w:id="1320" w:name="_Toc54198616"/>
      <w:bookmarkStart w:id="1321" w:name="_Toc54363759"/>
      <w:bookmarkStart w:id="1322" w:name="_Toc54374685"/>
      <w:bookmarkStart w:id="1323" w:name="_Toc54376094"/>
      <w:bookmarkStart w:id="1324" w:name="_Toc54429939"/>
      <w:bookmarkStart w:id="1325" w:name="_Toc54430262"/>
      <w:bookmarkStart w:id="1326" w:name="_Toc55398275"/>
      <w:bookmarkStart w:id="1327" w:name="_Toc55402872"/>
      <w:bookmarkStart w:id="1328" w:name="_Toc55410583"/>
      <w:bookmarkStart w:id="1329" w:name="_Toc55466121"/>
      <w:bookmarkStart w:id="1330" w:name="_Toc55480571"/>
      <w:bookmarkStart w:id="1331" w:name="_Toc55482450"/>
      <w:bookmarkStart w:id="1332" w:name="_Toc55486362"/>
      <w:bookmarkStart w:id="1333" w:name="_Toc55488171"/>
      <w:bookmarkStart w:id="1334" w:name="_Toc55488805"/>
      <w:bookmarkStart w:id="1335" w:name="_Toc55490430"/>
      <w:bookmarkStart w:id="1336" w:name="_Toc55490619"/>
      <w:bookmarkStart w:id="1337" w:name="_Toc55498961"/>
      <w:bookmarkStart w:id="1338" w:name="_Toc55499151"/>
      <w:bookmarkStart w:id="1339" w:name="_Toc55651333"/>
      <w:bookmarkStart w:id="1340" w:name="_Toc55662192"/>
      <w:bookmarkStart w:id="1341" w:name="_Toc55663576"/>
      <w:bookmarkStart w:id="1342" w:name="_Toc55750546"/>
      <w:bookmarkStart w:id="1343" w:name="_Toc55761129"/>
      <w:bookmarkStart w:id="1344" w:name="_Toc55808261"/>
      <w:bookmarkStart w:id="1345" w:name="_Toc55899268"/>
      <w:bookmarkStart w:id="1346" w:name="_Toc55899602"/>
      <w:bookmarkStart w:id="1347" w:name="_Toc55899768"/>
      <w:bookmarkStart w:id="1348" w:name="_Toc55977229"/>
      <w:bookmarkStart w:id="1349" w:name="_Toc55991397"/>
      <w:bookmarkStart w:id="1350" w:name="_Toc55992826"/>
      <w:bookmarkStart w:id="1351" w:name="_Toc55993145"/>
      <w:bookmarkStart w:id="1352" w:name="_Toc55999453"/>
      <w:bookmarkStart w:id="1353" w:name="_Toc55999516"/>
      <w:bookmarkStart w:id="1354" w:name="_Toc56012533"/>
      <w:bookmarkStart w:id="1355" w:name="_Toc56013756"/>
      <w:bookmarkStart w:id="1356" w:name="_Toc56172441"/>
      <w:bookmarkStart w:id="1357" w:name="_Toc56173652"/>
      <w:r>
        <w:rPr>
          <w:noProof/>
        </w:rPr>
        <w:lastRenderedPageBreak/>
        <w:t>5.2. Remaining missing elements of the EMU architecture</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rsidR="00704A93" w:rsidRDefault="005D0BB9">
      <w:pPr>
        <w:spacing w:after="200" w:line="276" w:lineRule="auto"/>
        <w:rPr>
          <w:noProof/>
        </w:rPr>
      </w:pPr>
      <w:r>
        <w:rPr>
          <w:b/>
          <w:noProof/>
        </w:rPr>
        <w:t>Important gaps remain in the architecture of the Economic and Monetary Union (EMU).</w:t>
      </w:r>
      <w:r>
        <w:rPr>
          <w:b/>
          <w:bCs/>
          <w:noProof/>
          <w:lang w:val="en-IE"/>
        </w:rPr>
        <w:t xml:space="preserve"> </w:t>
      </w:r>
      <w:r>
        <w:rPr>
          <w:noProof/>
        </w:rPr>
        <w:t xml:space="preserve">While the Global Financial Crisis gave a strong momentum to reform, the political will to push towards completing the EMU has slowed somewhat in the second half of the last decade, against the backdrop of a more favourable economic context. Important elements are still missing, such as complete Banking Union and Capital Markets Union. </w:t>
      </w:r>
    </w:p>
    <w:p w:rsidR="00704A93" w:rsidRDefault="005D0BB9">
      <w:pPr>
        <w:spacing w:after="200" w:line="276" w:lineRule="auto"/>
        <w:rPr>
          <w:noProof/>
        </w:rPr>
      </w:pPr>
      <w:r>
        <w:rPr>
          <w:b/>
          <w:noProof/>
        </w:rPr>
        <w:t xml:space="preserve">Completing the Capital Markets Union is a key priority of the Commission. </w:t>
      </w:r>
      <w:r>
        <w:rPr>
          <w:noProof/>
        </w:rPr>
        <w:t>The final Report of the High Level Forum on the Capital Markets Union has underlined that a complete CMU is key to rebuild the EU’s economy following the pandemic, to mobilise long-term investments in new technologies and infrastructure, to tackle climate change and to deliver Europe’s New Green Deal and Digital Agenda. A complete CMU is also a precondition for a stronger international role of the euro.</w:t>
      </w:r>
      <w:r>
        <w:rPr>
          <w:rStyle w:val="FootnoteReference"/>
          <w:noProof/>
        </w:rPr>
        <w:footnoteReference w:id="133"/>
      </w:r>
      <w:r>
        <w:rPr>
          <w:b/>
          <w:noProof/>
        </w:rPr>
        <w:t xml:space="preserve"> </w:t>
      </w:r>
      <w:r>
        <w:rPr>
          <w:noProof/>
        </w:rPr>
        <w:t xml:space="preserve">The Commission adopted a Capital Markets Union action plan in September 2020 which aims at integrating national capital markets into a genuine EU-wide single market for capital. This is coupled with objectives of supporting the green, digital, and resilient economic recovery by making financing more accessible to European companies, and making the EU a safer place for individuals to save and invest long-term. </w:t>
      </w:r>
    </w:p>
    <w:p w:rsidR="00704A93" w:rsidRDefault="005D0BB9">
      <w:pPr>
        <w:spacing w:after="200" w:line="276" w:lineRule="auto"/>
        <w:rPr>
          <w:noProof/>
        </w:rPr>
      </w:pPr>
      <w:r>
        <w:rPr>
          <w:b/>
          <w:bCs/>
          <w:noProof/>
        </w:rPr>
        <w:t xml:space="preserve">Despite the significant progress and efforts made, the </w:t>
      </w:r>
      <w:r>
        <w:rPr>
          <w:b/>
          <w:noProof/>
        </w:rPr>
        <w:t>Banking Union</w:t>
      </w:r>
      <w:r>
        <w:rPr>
          <w:b/>
          <w:bCs/>
          <w:noProof/>
        </w:rPr>
        <w:t xml:space="preserve"> is not complete. </w:t>
      </w:r>
      <w:r>
        <w:rPr>
          <w:noProof/>
          <w:lang w:val="en-IE"/>
        </w:rPr>
        <w:t xml:space="preserve">Today, the EU banking sector is </w:t>
      </w:r>
      <w:r>
        <w:rPr>
          <w:noProof/>
        </w:rPr>
        <w:t xml:space="preserve">better prepared to withstand economic shocks </w:t>
      </w:r>
      <w:r>
        <w:rPr>
          <w:noProof/>
          <w:lang w:val="en-IE"/>
        </w:rPr>
        <w:t xml:space="preserve">than </w:t>
      </w:r>
      <w:r>
        <w:rPr>
          <w:noProof/>
        </w:rPr>
        <w:t>it was prior to the Global Financial Crisis. A significant amount of risk-reduction has taken place in the last decade, and overall, banks are better capitalised and less leveraged. However, there remains scope for further strengthening it in a number of areas. A stronger Banking Union would bring benefits in terms of ensuring Europe’s economic and financial sovereignty, private risk-sharing, financial integration, financial stability and economic growth. For example, there is still room to improve the integration of the banking sector given the low levels of cross-border consolidation and the potential to strengthen the volume of cross-border loans and deposits in the euro area.</w:t>
      </w:r>
    </w:p>
    <w:p w:rsidR="00704A93" w:rsidRDefault="005D0BB9">
      <w:pPr>
        <w:spacing w:after="200" w:line="276" w:lineRule="auto"/>
        <w:rPr>
          <w:noProof/>
        </w:rPr>
      </w:pPr>
      <w:r>
        <w:rPr>
          <w:b/>
          <w:noProof/>
        </w:rPr>
        <w:t>Discussions are also ongoing on how to progress on several elements of the Banking Union.</w:t>
      </w:r>
      <w:r>
        <w:rPr>
          <w:noProof/>
        </w:rPr>
        <w:t xml:space="preserve"> In December 2018, the Heads of State or Government called for the work on the Banking Union to advance, and in particular to define a roadmap for starting political negotiations on the European Deposit Insurance Scheme (EDIS). In addition, the Banking Union will not be complete until a fully robust system for dealing with ailing banks has been put in place. In this regard, Member States </w:t>
      </w:r>
      <w:r>
        <w:rPr>
          <w:bCs/>
          <w:noProof/>
        </w:rPr>
        <w:t>have already agreed that the European Stability Mechanism will provide a common backstop to the Single Resolution Fund in the form of a credit line.</w:t>
      </w:r>
      <w:r>
        <w:rPr>
          <w:rStyle w:val="FootnoteReference"/>
          <w:bCs/>
          <w:noProof/>
        </w:rPr>
        <w:footnoteReference w:id="134"/>
      </w:r>
      <w:r>
        <w:rPr>
          <w:b/>
          <w:bCs/>
          <w:noProof/>
        </w:rPr>
        <w:t xml:space="preserve"> </w:t>
      </w:r>
      <w:r>
        <w:rPr>
          <w:noProof/>
        </w:rPr>
        <w:t xml:space="preserve">EU’s Heads of State or Government agreed to introduce the backstop by 2023 </w:t>
      </w:r>
      <w:r>
        <w:rPr>
          <w:noProof/>
        </w:rPr>
        <w:lastRenderedPageBreak/>
        <w:t xml:space="preserve">at the latest, while an early introduction is currently under discussion. As a last resort, the common backstop will support bank crises management within the Single Resolution Mechanism, and will be repaid via contributions from the European banking sector. </w:t>
      </w:r>
    </w:p>
    <w:p w:rsidR="00704A93" w:rsidRDefault="005D0BB9">
      <w:pPr>
        <w:spacing w:after="200" w:line="276" w:lineRule="auto"/>
        <w:rPr>
          <w:noProof/>
          <w:lang w:val="en-IE"/>
        </w:rPr>
      </w:pPr>
      <w:r>
        <w:rPr>
          <w:b/>
          <w:noProof/>
          <w:lang w:val="en-IE"/>
        </w:rPr>
        <w:t>The Commission’s Economic Governance Review is set to assess the effectiveness of the current framework of economic and fiscal surveillance.</w:t>
      </w:r>
      <w:r>
        <w:rPr>
          <w:noProof/>
          <w:lang w:val="en-IE"/>
        </w:rPr>
        <w:t xml:space="preserve"> While the existing framework for economic surveillance, including the </w:t>
      </w:r>
      <w:r>
        <w:rPr>
          <w:noProof/>
        </w:rPr>
        <w:t>six-pack and two-pack legislation,</w:t>
      </w:r>
      <w:r>
        <w:rPr>
          <w:noProof/>
          <w:lang w:val="en-IE"/>
        </w:rPr>
        <w:t xml:space="preserve"> has helped reduce public deficits and debt levels and address macroeconomic imbalances in the past, it has grown increasingly complex over the years, also reflecting the fact that the economic context has significantly changed since the rules were established. At the same time, it has not prevented overall high public debt levels in some Member States, frequently pro-cyclical fiscal policies and a less growth-friendly composition of public finances. Against this background, in February 2020, the Commission launched a review of the effectiveness of the economic surveillance framework that aims to assess strengths and weaknesses of the current framework with regard to past developments and consider possible changes to meet future challenges. With the deep recession, activation of the general escape clause of the Stability and Growth Pact, and new policy instruments agreed at the EU level, the context of the debate has changed radically. The review has been put on hold in light of the pandemic, but the Commission will return to it once the immediate crisis is over and lessons can be drawn from the recent experience. </w:t>
      </w:r>
    </w:p>
    <w:p w:rsidR="00704A93" w:rsidRDefault="005D0BB9">
      <w:pPr>
        <w:spacing w:after="200" w:line="276" w:lineRule="auto"/>
        <w:rPr>
          <w:noProof/>
        </w:rPr>
      </w:pPr>
      <w:r>
        <w:rPr>
          <w:b/>
          <w:noProof/>
        </w:rPr>
        <w:t xml:space="preserve">The establishment of the European Stability Mechanism (ESM) during the sovereign debt crisis was a major milestone on the way towards a more stable EMU. </w:t>
      </w:r>
      <w:r>
        <w:rPr>
          <w:noProof/>
        </w:rPr>
        <w:t>In the context of the current crisis, the ESM established a further preventive backstop via its Pandemic Crisis Support that is based on its Enhanced Conditions Credit Line (ECCL) available to all euro area countries. However, the ESM remains an intergovernmental organisation. In December 2017, the European Commission proposed for the ESM to be incorporated in the EU legal framework establishing the European Monetary Fund (EMF).</w:t>
      </w:r>
      <w:r>
        <w:rPr>
          <w:rStyle w:val="FootnoteReference"/>
          <w:noProof/>
        </w:rPr>
        <w:t xml:space="preserve">131 </w:t>
      </w:r>
      <w:r>
        <w:rPr>
          <w:noProof/>
        </w:rPr>
        <w:t>The Commission made its proposal due to the firm belief that the ESM should become a full part of the European Union given its euro area wide goal. The integration would further strengthen the ESM’s institutional anchoring and improve its synergies within the EU legal framework, in particular to articulate its role with the competences of economic policy coordination conferred on the Union, in terms of cooperation with the Commission, transparency and efficiency of the EU’s financial resources. It would also equip the ESM with a dedicated political accountability mechanism before the European Parliament. In addition, this would also ensure that the ESM is subject to the same legal scrutiny that other institutions acting for the European public good face before the European Court of Justice. In contrast, the recent Next Generation EU proposal was firmly set within the EU legal framework, a move that clearly strengthens the EU and EMU institutional set-up.</w:t>
      </w:r>
    </w:p>
    <w:sectPr w:rsidR="00704A93">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94"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BB9" w:rsidRDefault="005D0BB9">
      <w:pPr>
        <w:spacing w:after="0"/>
      </w:pPr>
      <w:r>
        <w:separator/>
      </w:r>
    </w:p>
  </w:endnote>
  <w:endnote w:type="continuationSeparator" w:id="0">
    <w:p w:rsidR="005D0BB9" w:rsidRDefault="005D0BB9">
      <w:pPr>
        <w:spacing w:after="0"/>
      </w:pPr>
      <w:r>
        <w:continuationSeparator/>
      </w:r>
    </w:p>
  </w:endnote>
  <w:endnote w:type="continuationNotice" w:id="1">
    <w:p w:rsidR="005D0BB9" w:rsidRDefault="005D0B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5D0BB9">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743554"/>
      <w:docPartObj>
        <w:docPartGallery w:val="Page Numbers (Bottom of Page)"/>
        <w:docPartUnique/>
      </w:docPartObj>
    </w:sdtPr>
    <w:sdtEndPr>
      <w:rPr>
        <w:noProof/>
      </w:rPr>
    </w:sdtEndPr>
    <w:sdtContent>
      <w:p w:rsidR="00704A93" w:rsidRDefault="005D0BB9">
        <w:pPr>
          <w:pStyle w:val="Footer"/>
          <w:jc w:val="right"/>
        </w:pPr>
        <w:r>
          <w:fldChar w:fldCharType="begin"/>
        </w:r>
        <w:r>
          <w:instrText xml:space="preserve"> PAGE   \* MERGEFORMAT </w:instrText>
        </w:r>
        <w:r>
          <w:fldChar w:fldCharType="separate"/>
        </w:r>
        <w:r w:rsidR="00EE6EAB">
          <w:rPr>
            <w:noProof/>
          </w:rPr>
          <w:t>1</w:t>
        </w:r>
        <w:r>
          <w:rPr>
            <w:noProof/>
          </w:rPr>
          <w:fldChar w:fldCharType="end"/>
        </w:r>
      </w:p>
    </w:sdtContent>
  </w:sdt>
  <w:p w:rsidR="00704A93" w:rsidRDefault="00704A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BB9" w:rsidRDefault="005D0BB9">
      <w:pPr>
        <w:spacing w:after="0"/>
      </w:pPr>
      <w:r>
        <w:separator/>
      </w:r>
    </w:p>
  </w:footnote>
  <w:footnote w:type="continuationSeparator" w:id="0">
    <w:p w:rsidR="005D0BB9" w:rsidRDefault="005D0BB9">
      <w:pPr>
        <w:spacing w:after="0"/>
      </w:pPr>
      <w:r>
        <w:continuationSeparator/>
      </w:r>
    </w:p>
  </w:footnote>
  <w:footnote w:type="continuationNotice" w:id="1">
    <w:p w:rsidR="005D0BB9" w:rsidRDefault="005D0BB9">
      <w:pPr>
        <w:spacing w:after="0"/>
      </w:pPr>
    </w:p>
  </w:footnote>
  <w:footnote w:id="2">
    <w:p w:rsidR="00704A93" w:rsidRDefault="005D0BB9">
      <w:pPr>
        <w:pStyle w:val="Header"/>
        <w:rPr>
          <w:sz w:val="20"/>
        </w:rPr>
      </w:pPr>
      <w:r>
        <w:rPr>
          <w:rStyle w:val="FootnoteReference"/>
        </w:rPr>
        <w:footnoteRef/>
      </w:r>
      <w:r>
        <w:t xml:space="preserve"> </w:t>
      </w:r>
      <w:r>
        <w:rPr>
          <w:sz w:val="20"/>
        </w:rPr>
        <w:t>Based on European Commission. Directorate General for Economic and Financial Affairs. “European Economic Forecast: Autumn 2020” (Publications Office 2020).</w:t>
      </w:r>
    </w:p>
    <w:p w:rsidR="00704A93" w:rsidRDefault="00704A93">
      <w:pPr>
        <w:pStyle w:val="FootnoteText"/>
      </w:pPr>
    </w:p>
  </w:footnote>
  <w:footnote w:id="3">
    <w:p w:rsidR="00704A93" w:rsidRDefault="005D0BB9">
      <w:pPr>
        <w:pStyle w:val="FootnoteText"/>
      </w:pPr>
      <w:r>
        <w:rPr>
          <w:rStyle w:val="FootnoteReference"/>
        </w:rPr>
        <w:footnoteRef/>
      </w:r>
      <w:r>
        <w:t xml:space="preserve"> The unemployment divergence in the euro area is largely due to differences in labour market institutions across countries and one of the main drivers of cross-country differences is youth unemployment. Dispersion in youth unemployment rates – although decreasing over time – remained high already before the COVID-19 crisis and youth unemployment was still above 30% in 2019 in some Member States (Greece: 35.2%; Spain: 32.5%). The COVID-19 crisis is likely to exacerbate those differences. See the Joint Employment Report (2020). </w:t>
      </w:r>
    </w:p>
  </w:footnote>
  <w:footnote w:id="4">
    <w:p w:rsidR="00704A93" w:rsidRDefault="005D0BB9">
      <w:pPr>
        <w:pStyle w:val="FootnoteText"/>
      </w:pPr>
      <w:r>
        <w:rPr>
          <w:rStyle w:val="FootnoteReference"/>
        </w:rPr>
        <w:footnoteRef/>
      </w:r>
      <w:r>
        <w:t xml:space="preserve"> Despite the deceleration of economic growth relative to 2018, throughout 2019, the euro area had the highest employment in history and the lowest unemployment level on record. Employment rate increased up to 68%, from 63.5% in 2013, while unemployment rate fell by 4.5 percentage points (between 2013 and 2019), down to 7.5% in 2019. Activity rates for people aged 20-64 continued to rise in 2019, reaching a record high rate of 78.6% in the last quarter.</w:t>
      </w:r>
    </w:p>
  </w:footnote>
  <w:footnote w:id="5">
    <w:p w:rsidR="00704A93" w:rsidRDefault="005D0BB9">
      <w:pPr>
        <w:pStyle w:val="paragraph"/>
        <w:spacing w:before="0" w:beforeAutospacing="0" w:after="0" w:afterAutospacing="0"/>
        <w:jc w:val="both"/>
        <w:textAlignment w:val="baseline"/>
        <w:rPr>
          <w:rFonts w:ascii="Segoe UI" w:hAnsi="Segoe UI" w:cs="Segoe UI"/>
          <w:sz w:val="18"/>
          <w:szCs w:val="18"/>
        </w:rPr>
      </w:pPr>
      <w:r>
        <w:rPr>
          <w:rStyle w:val="FootnoteReference"/>
        </w:rPr>
        <w:footnoteRef/>
      </w:r>
      <w:r>
        <w:t xml:space="preserve"> </w:t>
      </w:r>
      <w:r>
        <w:rPr>
          <w:rStyle w:val="normaltextrun"/>
          <w:sz w:val="20"/>
          <w:szCs w:val="20"/>
          <w:lang w:val="en-IE"/>
        </w:rPr>
        <w:t>Support to mitigate Unemployment Risks in an Emergency (SURE) is a new instrument providing funding solidarity to Member States. SURE can provide financial assistance up to EUR 100 billion in the form of loans from the EU to affected Member States to address sudden increases in public expenditure for the preservation of employment.</w:t>
      </w:r>
      <w:r>
        <w:t xml:space="preserve"> </w:t>
      </w:r>
      <w:r>
        <w:rPr>
          <w:rStyle w:val="normaltextrun"/>
          <w:sz w:val="20"/>
          <w:szCs w:val="20"/>
          <w:lang w:val="en-IE"/>
        </w:rPr>
        <w:t xml:space="preserve">The Council has already approved a total of €87.9 billion in financial support to 17 EU Member States, based on proposals from the Commission. The first instalments, worth €17 billion overall, have been disbursed to Italy, Spain and Poland.  On SURE see </w:t>
      </w:r>
      <w:hyperlink r:id="rId1" w:tgtFrame="_blank" w:history="1">
        <w:r>
          <w:rPr>
            <w:rStyle w:val="normaltextrun"/>
            <w:color w:val="000000"/>
            <w:sz w:val="20"/>
            <w:szCs w:val="20"/>
            <w:u w:val="single"/>
            <w:lang w:val="en-IE"/>
          </w:rPr>
          <w:t>https://ec.europa.eu/info/business-economy-euro/economic-and-fiscal-policy-coordination/financial-assistance-eu/funding-mechanisms-and-facilities/sure_en</w:t>
        </w:r>
      </w:hyperlink>
      <w:r>
        <w:rPr>
          <w:rStyle w:val="normaltextrun"/>
          <w:color w:val="000000"/>
          <w:sz w:val="20"/>
          <w:szCs w:val="20"/>
          <w:u w:val="single"/>
          <w:lang w:val="en-IE"/>
        </w:rPr>
        <w:t>.</w:t>
      </w:r>
      <w:r>
        <w:rPr>
          <w:rStyle w:val="normaltextrun"/>
          <w:sz w:val="20"/>
          <w:szCs w:val="20"/>
          <w:lang w:val="en-IE"/>
        </w:rPr>
        <w:t> </w:t>
      </w:r>
      <w:r>
        <w:rPr>
          <w:rStyle w:val="eop"/>
          <w:sz w:val="20"/>
          <w:szCs w:val="20"/>
        </w:rPr>
        <w:t> </w:t>
      </w:r>
    </w:p>
  </w:footnote>
  <w:footnote w:id="6">
    <w:p w:rsidR="00704A93" w:rsidRDefault="005D0BB9">
      <w:pPr>
        <w:pStyle w:val="FootnoteText"/>
      </w:pPr>
      <w:r>
        <w:rPr>
          <w:rStyle w:val="FootnoteReference"/>
        </w:rPr>
        <w:footnoteRef/>
      </w:r>
      <w:r>
        <w:t xml:space="preserve"> Particularly high decreases, above 8%, were recorded in Italy, Belgium and France, in terms of </w:t>
      </w:r>
      <w:r>
        <w:rPr>
          <w:noProof/>
        </w:rPr>
        <w:t>growth of compensation per employee on annual basis.</w:t>
      </w:r>
    </w:p>
  </w:footnote>
  <w:footnote w:id="7">
    <w:p w:rsidR="00704A93" w:rsidRDefault="005D0BB9">
      <w:pPr>
        <w:pStyle w:val="FootnoteText"/>
        <w:rPr>
          <w:lang w:val="en-US"/>
        </w:rPr>
      </w:pPr>
      <w:r>
        <w:rPr>
          <w:rStyle w:val="FootnoteReference"/>
        </w:rPr>
        <w:footnoteRef/>
      </w:r>
      <w:r>
        <w:t xml:space="preserve"> Recent ECB research found that more than two-thirds of the additional savings during the first six months of 2020 constituted “forced savings” — money set aside because people could not spend it. Only a much smaller proportion was saved for precautionary reasons which are typically an important factor in explaining the increase in household savings during downturns. For more details, see Dossche, M. and Zlatanos, S., “COVID-19 and the increase in household savings: precautionary or forced?”, Economic Bulletin, Issue 6, ECB, September 2020.</w:t>
      </w:r>
    </w:p>
  </w:footnote>
  <w:footnote w:id="8">
    <w:p w:rsidR="00704A93" w:rsidRDefault="005D0BB9">
      <w:pPr>
        <w:pStyle w:val="FootnoteText"/>
      </w:pPr>
      <w:r>
        <w:rPr>
          <w:rStyle w:val="FootnoteReference"/>
        </w:rPr>
        <w:footnoteRef/>
      </w:r>
      <w:r>
        <w:t xml:space="preserve"> For more details, see “Commission Staff Working Document: Identifying Europe's recovery needs”,  accompanying the document “Communication from the Commission to the European Parliament, The European Council, the Council, the European Economic and Social Committee and the Committee of Regions: Europe's moment: Repair and Prepare for the Next Generation”, SWD(2020) 98 final, 27 May 2020.</w:t>
      </w:r>
    </w:p>
  </w:footnote>
  <w:footnote w:id="9">
    <w:p w:rsidR="00704A93" w:rsidRDefault="005D0BB9">
      <w:pPr>
        <w:pStyle w:val="FootnoteText"/>
      </w:pPr>
      <w:r>
        <w:rPr>
          <w:rStyle w:val="FootnoteReference"/>
        </w:rPr>
        <w:footnoteRef/>
      </w:r>
      <w:r>
        <w:t xml:space="preserve"> Trade openness can make it more difficult to stimulate domestic demand expansion as it spills out through the import channel. For more details, see for instance, Spilimbergo, A., et al., “Fiscal Policy for the Crisis”, IMF Staff Position Note, SPN/08/01, December 2008 and Sutherland, D., et al., “Counter-cyclical Economic Policy”, OECD Economics Department WP No. 760, May 2010.</w:t>
      </w:r>
    </w:p>
  </w:footnote>
  <w:footnote w:id="10">
    <w:p w:rsidR="00704A93" w:rsidRDefault="005D0BB9">
      <w:pPr>
        <w:pStyle w:val="FootnoteText"/>
      </w:pPr>
      <w:r>
        <w:rPr>
          <w:rStyle w:val="FootnoteReference"/>
        </w:rPr>
        <w:footnoteRef/>
      </w:r>
      <w:r>
        <w:t xml:space="preserve"> Exports of goods and services represented in 2019 28.5% of euro area GDP while imports of goods and services represent 25.2% of euro area GDP. Exports and imports in terms of GDP amount to 11.8% and 14.5% in the US, 17.8% and 17.7% in Japan; 18.5 % and 17.4% in China. </w:t>
      </w:r>
    </w:p>
  </w:footnote>
  <w:footnote w:id="11">
    <w:p w:rsidR="00704A93" w:rsidRDefault="005D0BB9">
      <w:pPr>
        <w:pStyle w:val="FootnoteText"/>
      </w:pPr>
      <w:r>
        <w:rPr>
          <w:rStyle w:val="FootnoteReference"/>
        </w:rPr>
        <w:footnoteRef/>
      </w:r>
      <w:r>
        <w:t xml:space="preserve"> For more details, see Miroudot, S., “Resilience versus robustness in global value chains: Some policy implications”, VoxEU.org, 18 June 2020. doi: https://voxeu.org/article/resilience-versus-robustness-global-value-chains. </w:t>
      </w:r>
    </w:p>
  </w:footnote>
  <w:footnote w:id="12">
    <w:p w:rsidR="00704A93" w:rsidRDefault="005D0BB9">
      <w:pPr>
        <w:pStyle w:val="FootnoteText"/>
      </w:pPr>
      <w:r>
        <w:rPr>
          <w:rStyle w:val="FootnoteReference"/>
        </w:rPr>
        <w:footnoteRef/>
      </w:r>
      <w:r>
        <w:t xml:space="preserve"> This surplus continues to mainly reflect the large, but steadily falling, surpluses recorded in Germany and the Netherlands, whose combined external balances accounted for 2.7% of euro area GDP in 2019. </w:t>
      </w:r>
    </w:p>
  </w:footnote>
  <w:footnote w:id="13">
    <w:p w:rsidR="00704A93" w:rsidRDefault="005D0BB9">
      <w:pPr>
        <w:pStyle w:val="FootnoteText"/>
      </w:pPr>
      <w:r>
        <w:rPr>
          <w:rStyle w:val="FootnoteReference"/>
        </w:rPr>
        <w:footnoteRef/>
      </w:r>
      <w:r>
        <w:t xml:space="preserve"> For more details, see 2021 Alert Mechanism Report (2020).</w:t>
      </w:r>
    </w:p>
  </w:footnote>
  <w:footnote w:id="14">
    <w:p w:rsidR="00704A93" w:rsidRDefault="005D0BB9">
      <w:pPr>
        <w:pStyle w:val="FootnoteText"/>
      </w:pPr>
      <w:r>
        <w:rPr>
          <w:rStyle w:val="FootnoteReference"/>
        </w:rPr>
        <w:footnoteRef/>
      </w:r>
      <w:r>
        <w:t xml:space="preserve"> The jobs considered fall under the broad sectors “wholesale and retail trade, transport, accommodation and food service activities” and “arts and entertainment” sectors (Source: Eurostat, National Account, Annual Employment Data).</w:t>
      </w:r>
    </w:p>
  </w:footnote>
  <w:footnote w:id="15">
    <w:p w:rsidR="00704A93" w:rsidRDefault="005D0BB9">
      <w:pPr>
        <w:pStyle w:val="FootnoteText"/>
      </w:pPr>
      <w:r>
        <w:rPr>
          <w:rStyle w:val="FootnoteReference"/>
        </w:rPr>
        <w:footnoteRef/>
      </w:r>
      <w:r>
        <w:t xml:space="preserve"> Mobility patterns have suffered a strong drawback in the recent crisis. The jobs considered fall under the broad sectors of “wholesale and retail trade, transport, accommodation and food service activities” and “arts and entertainment”. See Eurostat, National Account, Annual Employment Data, Nace Rev. 2 Classification. </w:t>
      </w:r>
    </w:p>
  </w:footnote>
  <w:footnote w:id="16">
    <w:p w:rsidR="00704A93" w:rsidRDefault="005D0BB9">
      <w:pPr>
        <w:pStyle w:val="FootnoteText"/>
      </w:pPr>
      <w:r>
        <w:rPr>
          <w:rStyle w:val="FootnoteReference"/>
        </w:rPr>
        <w:footnoteRef/>
      </w:r>
      <w:r>
        <w:t xml:space="preserve"> The personal transport equipment sector accounts for about 42% of durable goods in the euro area.</w:t>
      </w:r>
    </w:p>
  </w:footnote>
  <w:footnote w:id="17">
    <w:p w:rsidR="00704A93" w:rsidRDefault="005D0BB9">
      <w:pPr>
        <w:spacing w:after="0"/>
        <w:rPr>
          <w:sz w:val="20"/>
        </w:rPr>
      </w:pPr>
      <w:r>
        <w:rPr>
          <w:rStyle w:val="FootnoteReference"/>
          <w:sz w:val="20"/>
        </w:rPr>
        <w:footnoteRef/>
      </w:r>
      <w:r>
        <w:t xml:space="preserve"> </w:t>
      </w:r>
      <w:r>
        <w:rPr>
          <w:sz w:val="20"/>
        </w:rPr>
        <w:t>Real convergence is the cornerstone of EMU resilience. It relates to the idea of narrowing the gaps between euro area economies on a macroeconomic level through the long-term process of catching up. From the perspective of an efficient monetary policy, convergence of business cycles is a critical factor for a successful monetary union. Moreover, another important dimension of convergence is the concept of convergence towards resilient economic structures. It implies that euro area economies reduce their vulnerability to shocks, together with an increase in their capacity to absorb shocks and in their ability to re-allocate resources. For more details, see “Sustainable convergence in the euro area: A multidimensional process”, Quarterly Report on the Euro Area (QREA), Vol. 16, No. 3 (2017)/16.</w:t>
      </w:r>
    </w:p>
  </w:footnote>
  <w:footnote w:id="18">
    <w:p w:rsidR="00704A93" w:rsidRDefault="005D0BB9">
      <w:pPr>
        <w:pStyle w:val="FootnoteText"/>
      </w:pPr>
      <w:r>
        <w:rPr>
          <w:rStyle w:val="FootnoteReference"/>
        </w:rPr>
        <w:footnoteRef/>
      </w:r>
      <w:r>
        <w:t xml:space="preserve"> Franks J., B. Barkbu, R. Blavy, W. Oman and H. Schoelermann (2018), “Economic Convergence in the Euro Area: Coming Together or Drifting Apart?”, IMF Working Paper No. 18/10.</w:t>
      </w:r>
    </w:p>
  </w:footnote>
  <w:footnote w:id="19">
    <w:p w:rsidR="00704A93" w:rsidRDefault="005D0BB9">
      <w:pPr>
        <w:pStyle w:val="FootnoteText"/>
      </w:pPr>
      <w:r>
        <w:rPr>
          <w:rStyle w:val="FootnoteReference"/>
        </w:rPr>
        <w:footnoteRef/>
      </w:r>
      <w:r>
        <w:t xml:space="preserve"> On the risk of dampening support for the common currency, see also S.Bergbauer, N. Hernborg, J-F Jamet, E. Persson and H. Schölermann “Citizens’ attitudes towards the ECB, the euro and Economic and Monetary Union”, ECB Economic Bulletin, Issue 4/2020.</w:t>
      </w:r>
    </w:p>
  </w:footnote>
  <w:footnote w:id="20">
    <w:p w:rsidR="00704A93" w:rsidRDefault="005D0BB9">
      <w:pPr>
        <w:pStyle w:val="FootnoteText"/>
      </w:pPr>
      <w:r>
        <w:rPr>
          <w:rStyle w:val="FootnoteReference"/>
        </w:rPr>
        <w:footnoteRef/>
      </w:r>
      <w:r>
        <w:t xml:space="preserve"> As measured by the Google Mobility Index. For more details, see Summer (interim) Forecasts 2020.</w:t>
      </w:r>
    </w:p>
  </w:footnote>
  <w:footnote w:id="21">
    <w:p w:rsidR="00704A93" w:rsidRDefault="005D0BB9">
      <w:pPr>
        <w:spacing w:after="0"/>
        <w:rPr>
          <w:lang w:val="en-IE"/>
        </w:rPr>
      </w:pPr>
      <w:r>
        <w:rPr>
          <w:rStyle w:val="FootnoteReference"/>
          <w:sz w:val="20"/>
        </w:rPr>
        <w:footnoteRef/>
      </w:r>
      <w:r>
        <w:t xml:space="preserve"> </w:t>
      </w:r>
      <w:r>
        <w:rPr>
          <w:sz w:val="20"/>
          <w:lang w:val="en-IE"/>
        </w:rPr>
        <w:t xml:space="preserve">Research and development (R&amp;D) and innovation (R&amp;I) are important drivers of growth but research intensity in the euro area is still lagging behind other advanced economies. For example, in 2018, R&amp;D spending in the euro area was around 2.2% of GDP. This is well below R&amp;D spending in the US (2.8 % of GDP), Japan (3.3% of GDP) and Korea (4.5% of GDP). See Eurostat, Intramural R&amp;D expenditure (GERD) by sectors of performance. </w:t>
      </w:r>
    </w:p>
  </w:footnote>
  <w:footnote w:id="22">
    <w:p w:rsidR="00704A93" w:rsidRDefault="005D0BB9">
      <w:pPr>
        <w:pStyle w:val="FootnoteText"/>
      </w:pPr>
      <w:r>
        <w:rPr>
          <w:rStyle w:val="FootnoteReference"/>
        </w:rPr>
        <w:footnoteRef/>
      </w:r>
      <w:r>
        <w:t xml:space="preserve"> For more details, see Annoni, P. and Dijkstra, L., “The EU Regional Competitiveness Index”, Publication Office of the European Union, 2019.</w:t>
      </w:r>
    </w:p>
  </w:footnote>
  <w:footnote w:id="23">
    <w:p w:rsidR="00704A93" w:rsidRDefault="005D0BB9">
      <w:pPr>
        <w:autoSpaceDE w:val="0"/>
        <w:autoSpaceDN w:val="0"/>
        <w:adjustRightInd w:val="0"/>
        <w:spacing w:after="56"/>
        <w:rPr>
          <w:sz w:val="20"/>
        </w:rPr>
      </w:pPr>
      <w:r>
        <w:rPr>
          <w:rStyle w:val="FootnoteReference"/>
          <w:sz w:val="20"/>
        </w:rPr>
        <w:footnoteRef/>
      </w:r>
      <w:r>
        <w:rPr>
          <w:rStyle w:val="FootnoteReference"/>
          <w:sz w:val="20"/>
        </w:rPr>
        <w:t xml:space="preserve"> </w:t>
      </w:r>
      <w:r>
        <w:rPr>
          <w:sz w:val="20"/>
        </w:rPr>
        <w:t xml:space="preserve">See OECD, “From pandemic to recovery: Local employment and economic development”, OECD Policy Responses to Coronavirus (COVID-19), 27 April 2020 </w:t>
      </w:r>
      <w:hyperlink r:id="rId2" w:history="1">
        <w:r>
          <w:rPr>
            <w:rStyle w:val="Hyperlink"/>
            <w:sz w:val="20"/>
          </w:rPr>
          <w:t>http://www.oecd.org/coronavirus/policy-responses/from-pandemic-to-recovery-local-employment-and-economic-development-879d2913/</w:t>
        </w:r>
      </w:hyperlink>
      <w:r>
        <w:rPr>
          <w:rStyle w:val="Hyperlink"/>
          <w:sz w:val="20"/>
        </w:rPr>
        <w:t>.</w:t>
      </w:r>
    </w:p>
  </w:footnote>
  <w:footnote w:id="24">
    <w:p w:rsidR="00704A93" w:rsidRDefault="005D0BB9">
      <w:pPr>
        <w:pStyle w:val="FootnoteText"/>
      </w:pPr>
      <w:r>
        <w:rPr>
          <w:rStyle w:val="FootnoteReference"/>
        </w:rPr>
        <w:footnoteRef/>
      </w:r>
      <w:r>
        <w:t xml:space="preserve"> European Commission (2020), ‘Employment and Social Developments in Europe 2020’.</w:t>
      </w:r>
    </w:p>
  </w:footnote>
  <w:footnote w:id="25">
    <w:p w:rsidR="00704A93" w:rsidRDefault="005D0BB9">
      <w:pPr>
        <w:pStyle w:val="FootnoteText"/>
      </w:pPr>
      <w:r>
        <w:rPr>
          <w:rStyle w:val="FootnoteReference"/>
        </w:rPr>
        <w:footnoteRef/>
      </w:r>
      <w:r>
        <w:t xml:space="preserve"> Fernald, J. and R. Inklaar (2020), “Does Disappointing European Productivity Growth Reflect a Slowing Trend? Weighing the Evidence and Assessing the Future,” FRB of San Francisco WP 2020-22.</w:t>
      </w:r>
    </w:p>
  </w:footnote>
  <w:footnote w:id="26">
    <w:p w:rsidR="00704A93" w:rsidRDefault="005D0BB9">
      <w:pPr>
        <w:pStyle w:val="FootnoteText"/>
      </w:pPr>
      <w:r>
        <w:rPr>
          <w:rStyle w:val="FootnoteReference"/>
        </w:rPr>
        <w:footnoteRef/>
      </w:r>
      <w:r>
        <w:t xml:space="preserve"> In the aftermath of the previous crisis real convergence stalled due to a stronger decline in productivity (especially TFP) in the catching-up euro area countries compared to the rest of the euro area. See also Chiacchio, Gradeva, and López-García (2018), “The post-crisis TFP growth slowdown in CEE countries: Exploring the role of Global Value Chains”, ECB Working Paper, No. 2143.</w:t>
      </w:r>
    </w:p>
  </w:footnote>
  <w:footnote w:id="27">
    <w:p w:rsidR="00704A93" w:rsidRDefault="005D0BB9">
      <w:pPr>
        <w:autoSpaceDE w:val="0"/>
        <w:autoSpaceDN w:val="0"/>
        <w:spacing w:after="0"/>
        <w:rPr>
          <w:sz w:val="20"/>
        </w:rPr>
      </w:pPr>
      <w:r>
        <w:rPr>
          <w:rStyle w:val="FootnoteReference"/>
          <w:sz w:val="20"/>
        </w:rPr>
        <w:footnoteRef/>
      </w:r>
      <w:r>
        <w:rPr>
          <w:rStyle w:val="FootnoteReference"/>
          <w:sz w:val="20"/>
        </w:rPr>
        <w:t xml:space="preserve"> </w:t>
      </w:r>
      <w:r>
        <w:rPr>
          <w:sz w:val="20"/>
        </w:rPr>
        <w:t>In the period 1996-2019, the average growth rate of labour productivity in the euro area was 0.8% (versus 1.6% in the US), while TFP growth rate was 0.5% (versus 1.0% in the US).</w:t>
      </w:r>
    </w:p>
  </w:footnote>
  <w:footnote w:id="28">
    <w:p w:rsidR="00704A93" w:rsidRDefault="005D0BB9">
      <w:pPr>
        <w:pStyle w:val="FootnoteText"/>
      </w:pPr>
      <w:r>
        <w:rPr>
          <w:rStyle w:val="FootnoteReference"/>
        </w:rPr>
        <w:footnoteRef/>
      </w:r>
      <w:r>
        <w:t xml:space="preserve"> Cette, G., J. Fernald, and B. Mojon. (2016.), "The Pre-Great Recession Slowdown in Productivity." European Economic Review 88(C): 3-20.</w:t>
      </w:r>
    </w:p>
  </w:footnote>
  <w:footnote w:id="29">
    <w:p w:rsidR="00704A93" w:rsidRDefault="005D0BB9">
      <w:pPr>
        <w:pStyle w:val="FootnoteText"/>
      </w:pPr>
      <w:r>
        <w:rPr>
          <w:rStyle w:val="FootnoteReference"/>
        </w:rPr>
        <w:footnoteRef/>
      </w:r>
      <w:r>
        <w:t xml:space="preserve"> For more details, see Diaz del Hoyo, J. L. et al, “Real convergence in the euro area: a long term perspective”, ECB occasional paper series, N. 203, December 2017.</w:t>
      </w:r>
    </w:p>
  </w:footnote>
  <w:footnote w:id="30">
    <w:p w:rsidR="00704A93" w:rsidRDefault="005D0BB9">
      <w:pPr>
        <w:pStyle w:val="FootnoteText"/>
      </w:pPr>
      <w:r>
        <w:rPr>
          <w:rStyle w:val="FootnoteReference"/>
        </w:rPr>
        <w:footnoteRef/>
      </w:r>
      <w:r>
        <w:t xml:space="preserve">  For more details, see A. Dieppe (2020), “Global Productivity: Trends, Drivers, and Policies,” Advance Edition. World Bank.</w:t>
      </w:r>
    </w:p>
  </w:footnote>
  <w:footnote w:id="31">
    <w:p w:rsidR="00704A93" w:rsidRDefault="005D0BB9">
      <w:pPr>
        <w:pStyle w:val="FootnoteText"/>
      </w:pPr>
      <w:r>
        <w:rPr>
          <w:rStyle w:val="FootnoteReference"/>
        </w:rPr>
        <w:footnoteRef/>
      </w:r>
      <w:r>
        <w:t xml:space="preserve"> See also “Business and consumer survey results for April 2020”, which expected a decrease in industrial investment although a considerable part of replies was collected before strict COVID-19 containment measures.</w:t>
      </w:r>
    </w:p>
  </w:footnote>
  <w:footnote w:id="32">
    <w:p w:rsidR="00704A93" w:rsidRDefault="005D0BB9">
      <w:pPr>
        <w:pStyle w:val="FootnoteText"/>
      </w:pPr>
      <w:r>
        <w:rPr>
          <w:rStyle w:val="FootnoteReference"/>
        </w:rPr>
        <w:footnoteRef/>
      </w:r>
      <w:r>
        <w:t xml:space="preserve"> See G. Adler, R. Duval, D. Furceri, S. Kılıç Çelik, K. Koloskova, M. Poplawski Ribeiro (2017). "Gone with the Headwinds; Global Productivity," IMF Staff Discussion Notes 2017/004, IMF.</w:t>
      </w:r>
    </w:p>
  </w:footnote>
  <w:footnote w:id="33">
    <w:p w:rsidR="00704A93" w:rsidRDefault="005D0BB9">
      <w:pPr>
        <w:pStyle w:val="FootnoteText"/>
      </w:pPr>
      <w:r>
        <w:rPr>
          <w:rStyle w:val="FootnoteReference"/>
        </w:rPr>
        <w:footnoteRef/>
      </w:r>
      <w:r>
        <w:t xml:space="preserve"> Based on data for 112 countries over 1970–2014, IMF empirical estimates of this effect suggests that falling investment may be responsible for lowering TFP growth by nearly 0.2 percentage points per year in advanced economies over the post-crisis period. See G. Adler, R. Duval, D. Furceri, S. Kılıç Çelik, K. Koloskova, M. Poplawski Ribeiro (2017). "Gone with the Headwinds; Global Productivity," IMF Staff Discussion Notes 2017/004, International Monetary Fund.</w:t>
      </w:r>
    </w:p>
  </w:footnote>
  <w:footnote w:id="34">
    <w:p w:rsidR="00704A93" w:rsidRDefault="005D0BB9">
      <w:pPr>
        <w:pStyle w:val="FootnoteText"/>
      </w:pPr>
      <w:r>
        <w:rPr>
          <w:rStyle w:val="FootnoteReference"/>
        </w:rPr>
        <w:footnoteRef/>
      </w:r>
      <w:r>
        <w:t xml:space="preserve"> For more details, see “Does trade play a role in helping to explain productivity growth?”, ECB Economic Bulletin, Issue 7, November 2017. </w:t>
      </w:r>
      <w:hyperlink r:id="rId3" w:history="1">
        <w:r>
          <w:rPr>
            <w:rStyle w:val="Hyperlink"/>
          </w:rPr>
          <w:t>https://www.ecb.europa.eu/pub/pdf/other/ebbox201707_01.en.pdf</w:t>
        </w:r>
      </w:hyperlink>
      <w:r>
        <w:t>.</w:t>
      </w:r>
    </w:p>
  </w:footnote>
  <w:footnote w:id="35">
    <w:p w:rsidR="00704A93" w:rsidRDefault="005D0BB9">
      <w:pPr>
        <w:pStyle w:val="FootnoteText"/>
      </w:pPr>
      <w:r>
        <w:rPr>
          <w:rStyle w:val="FootnoteReference"/>
        </w:rPr>
        <w:footnoteRef/>
      </w:r>
      <w:r>
        <w:t xml:space="preserve"> See OECD, “COVID-19 and global value chains: Policy options to build more resilient production networks”, OECD Policy Responses to Coronavirus (COVID-19), 3 June 2020.  </w:t>
      </w:r>
      <w:hyperlink r:id="rId4" w:history="1">
        <w:r>
          <w:rPr>
            <w:rStyle w:val="Hyperlink"/>
          </w:rPr>
          <w:t>http://www.oecd.org/coronavirus/policy-responses/COVID-19-and-global-value-chains-policy-options-to-build-more-resilient-production-networks-04934ef4/</w:t>
        </w:r>
      </w:hyperlink>
      <w:r>
        <w:t>.</w:t>
      </w:r>
    </w:p>
  </w:footnote>
  <w:footnote w:id="36">
    <w:p w:rsidR="00704A93" w:rsidRDefault="005D0BB9">
      <w:pPr>
        <w:pStyle w:val="FootnoteText"/>
      </w:pPr>
      <w:r>
        <w:rPr>
          <w:rStyle w:val="FootnoteReference"/>
        </w:rPr>
        <w:footnoteRef/>
      </w:r>
      <w:r>
        <w:t xml:space="preserve"> Tough Global Value Chains have been impacted, the existence of complex value chains is expected to persist as globalisation is already too advanced for a sharp reversal. See, for instance, Miroudot, S., “Resilience versus robustness in global value chains: Some policy implications”, VoxEU.org, 18 June 2020. </w:t>
      </w:r>
      <w:hyperlink r:id="rId5" w:history="1">
        <w:r>
          <w:rPr>
            <w:rStyle w:val="Hyperlink"/>
          </w:rPr>
          <w:t>https://voxeu.org/article/resilience-versus-robustness-global-value-chains</w:t>
        </w:r>
      </w:hyperlink>
      <w:r>
        <w:rPr>
          <w:rStyle w:val="Hyperlink"/>
        </w:rPr>
        <w:t>.</w:t>
      </w:r>
      <w:r>
        <w:t xml:space="preserve">    </w:t>
      </w:r>
    </w:p>
  </w:footnote>
  <w:footnote w:id="37">
    <w:p w:rsidR="00704A93" w:rsidRDefault="005D0BB9">
      <w:pPr>
        <w:pStyle w:val="FootnoteText"/>
      </w:pPr>
      <w:r>
        <w:rPr>
          <w:rStyle w:val="FootnoteReference"/>
        </w:rPr>
        <w:footnoteRef/>
      </w:r>
      <w:r>
        <w:t xml:space="preserve"> The ECB has defined price stability as a year-on-year increase in the Harmonised Index of Consumer Prices (HICP) for the euro area of below 2%. In the pursuit of price stability, the ECB aims at maintaining inflation rates below, but close to, 2% over the medium term.</w:t>
      </w:r>
    </w:p>
  </w:footnote>
  <w:footnote w:id="38">
    <w:p w:rsidR="00704A93" w:rsidRDefault="005D0BB9">
      <w:pPr>
        <w:pStyle w:val="FootnoteText"/>
      </w:pPr>
      <w:r>
        <w:rPr>
          <w:rStyle w:val="FootnoteReference"/>
        </w:rPr>
        <w:footnoteRef/>
      </w:r>
      <w:r>
        <w:t xml:space="preserve"> </w:t>
      </w:r>
      <w:r>
        <w:rPr>
          <w:noProof/>
        </w:rPr>
        <w:t xml:space="preserve">The additional liquidity provided to banks includes </w:t>
      </w:r>
      <w:r>
        <w:rPr>
          <w:lang w:val="en-US"/>
        </w:rPr>
        <w:t xml:space="preserve">additional Long-Term Refinancing Operations (LTROs) and a new series of seven pandemic emergency longer-term refinancing operations (PELTROs), priced 25bp below the average MRO rate prevailing over the life of the operation. Moreover, the ECB decided on more favorable terms for existing and outstanding </w:t>
      </w:r>
      <w:r>
        <w:rPr>
          <w:noProof/>
        </w:rPr>
        <w:t xml:space="preserve">targeted operations with long maturities (TLTRO III). Lastly, </w:t>
      </w:r>
      <w:r>
        <w:t>the ECB also offered daily USD-denominated refinancing operations within an enhanced USD swap line agreement with the Federal Reserve.</w:t>
      </w:r>
    </w:p>
  </w:footnote>
  <w:footnote w:id="39">
    <w:p w:rsidR="00704A93" w:rsidRDefault="005D0BB9">
      <w:pPr>
        <w:pStyle w:val="FootnoteText"/>
      </w:pPr>
      <w:r>
        <w:rPr>
          <w:rStyle w:val="FootnoteReference"/>
        </w:rPr>
        <w:footnoteRef/>
      </w:r>
      <w:r>
        <w:t xml:space="preserve"> Measures included lower regulatory capital requirements for banks, the temporary permission to operate below certain capital buffer requirements and acceptance of lower liquidity coverage ratios, as well as taking a flexible approach in the supervisory treatment of NPLs covered by state guarantees. At the same time, several national authorities decided to release countercyclical capital buffers (CCyB) or to revoke previously announced CCyB increases and reduced other buffer requirements such as for structural risks.</w:t>
      </w:r>
    </w:p>
  </w:footnote>
  <w:footnote w:id="40">
    <w:p w:rsidR="00704A93" w:rsidRDefault="005D0BB9">
      <w:pPr>
        <w:pStyle w:val="FootnoteText"/>
      </w:pPr>
      <w:r>
        <w:rPr>
          <w:rStyle w:val="FootnoteReference"/>
        </w:rPr>
        <w:footnoteRef/>
      </w:r>
      <w:r>
        <w:t xml:space="preserve"> </w:t>
      </w:r>
      <w:r>
        <w:rPr>
          <w:noProof/>
        </w:rPr>
        <w:t>The Council endorsed this assessment on 23 March.</w:t>
      </w:r>
    </w:p>
  </w:footnote>
  <w:footnote w:id="41">
    <w:p w:rsidR="00704A93" w:rsidRDefault="005D0BB9">
      <w:pPr>
        <w:pStyle w:val="FootnoteText"/>
      </w:pPr>
      <w:r>
        <w:rPr>
          <w:rStyle w:val="FootnoteReference"/>
        </w:rPr>
        <w:footnoteRef/>
      </w:r>
      <w:r>
        <w:t xml:space="preserve"> For more details, see https://ec.europa.eu/commission/presscorner/detail/en/ip_20_1872</w:t>
      </w:r>
    </w:p>
  </w:footnote>
  <w:footnote w:id="42">
    <w:p w:rsidR="00704A93" w:rsidRDefault="005D0BB9">
      <w:pPr>
        <w:pStyle w:val="FootnoteText"/>
      </w:pPr>
      <w:r>
        <w:rPr>
          <w:rStyle w:val="FootnoteReference"/>
        </w:rPr>
        <w:footnoteRef/>
      </w:r>
      <w:r>
        <w:t xml:space="preserve"> The CRII (Coronavirus Response Investment Initiative), in force as of 1 April 2020, gives Member States an upfront cash injection of EUR 8 billion from the EU cohesion funds which could accelerate up to EUR 37 billion of European public investment to fight the coronavirus. The CRII+ (Coronavirus Response Investment Initiative Plus) extended the scope of support of the funds, provided immediate liquidity and gave flexibility in programme amendments. See </w:t>
      </w:r>
      <w:hyperlink r:id="rId6" w:history="1">
        <w:r>
          <w:rPr>
            <w:rStyle w:val="Hyperlink"/>
          </w:rPr>
          <w:t>https://eur-lex.europa.eu/legal-content/EN/TXT/PDF/? uri=CELEX :52020 PC 0113&amp;from=EN</w:t>
        </w:r>
      </w:hyperlink>
      <w:r>
        <w:t xml:space="preserve"> </w:t>
      </w:r>
    </w:p>
  </w:footnote>
  <w:footnote w:id="43">
    <w:p w:rsidR="00704A93" w:rsidRDefault="005D0BB9">
      <w:pPr>
        <w:spacing w:after="0"/>
        <w:rPr>
          <w:sz w:val="20"/>
        </w:rPr>
      </w:pPr>
      <w:r>
        <w:rPr>
          <w:rStyle w:val="FootnoteReference"/>
          <w:sz w:val="20"/>
        </w:rPr>
        <w:footnoteRef/>
      </w:r>
      <w:r>
        <w:rPr>
          <w:color w:val="000000"/>
          <w:sz w:val="20"/>
        </w:rPr>
        <w:t xml:space="preserve"> </w:t>
      </w:r>
      <w:r>
        <w:rPr>
          <w:color w:val="000000"/>
          <w:sz w:val="20"/>
          <w:lang w:val="en-US"/>
        </w:rPr>
        <w:t>The EU Commission estimates that effective implementation of Next Generation EU can deliver around 1¾ % of additional EU GDP in 2021 and 2022, rising to 2¼% by 2024, and create 2 million jobs.  See SWD(2020</w:t>
      </w:r>
      <w:r>
        <w:rPr>
          <w:color w:val="000000"/>
          <w:sz w:val="20"/>
        </w:rPr>
        <w:t>) 98 final - Identifying Europe's recovery needs.</w:t>
      </w:r>
    </w:p>
  </w:footnote>
  <w:footnote w:id="44">
    <w:p w:rsidR="00704A93" w:rsidRDefault="005D0BB9">
      <w:pPr>
        <w:pStyle w:val="FootnoteText"/>
      </w:pPr>
      <w:r>
        <w:rPr>
          <w:rStyle w:val="FootnoteReference"/>
        </w:rPr>
        <w:footnoteRef/>
      </w:r>
      <w:r>
        <w:t xml:space="preserve"> The results of the identification and quantification of measures presented in this section should be considered work-in-progress. The estimation of the budgetary impact is subject to revision as new information becomes available or Member States announce new measures. The estimated budgetary impact also depends on statistical classification decisions and guidance by national statistical authorities and Eurostat.</w:t>
      </w:r>
    </w:p>
  </w:footnote>
  <w:footnote w:id="45">
    <w:p w:rsidR="00704A93" w:rsidRDefault="005D0BB9">
      <w:pPr>
        <w:pStyle w:val="FootnoteText"/>
      </w:pPr>
      <w:r>
        <w:rPr>
          <w:rStyle w:val="FootnoteReference"/>
        </w:rPr>
        <w:footnoteRef/>
      </w:r>
      <w:r>
        <w:t xml:space="preserve"> The figure refers to the available public guarantee framework, i.e. the maximum public funds that would be committed if all of the available guarantees were taken-up.</w:t>
      </w:r>
    </w:p>
  </w:footnote>
  <w:footnote w:id="46">
    <w:p w:rsidR="00704A93" w:rsidRDefault="005D0BB9">
      <w:pPr>
        <w:pStyle w:val="FootnoteText"/>
      </w:pPr>
      <w:r>
        <w:rPr>
          <w:rStyle w:val="FootnoteReference"/>
        </w:rPr>
        <w:footnoteRef/>
      </w:r>
      <w:r>
        <w:t xml:space="preserve"> See 2020 Autumn Economic Forecast.</w:t>
      </w:r>
    </w:p>
  </w:footnote>
  <w:footnote w:id="47">
    <w:p w:rsidR="00704A93" w:rsidRDefault="005D0BB9">
      <w:pPr>
        <w:autoSpaceDE w:val="0"/>
        <w:autoSpaceDN w:val="0"/>
        <w:adjustRightInd w:val="0"/>
        <w:spacing w:after="0"/>
        <w:rPr>
          <w:rFonts w:eastAsiaTheme="minorHAnsi"/>
          <w:sz w:val="20"/>
          <w:lang w:val="en-US"/>
        </w:rPr>
      </w:pPr>
      <w:r>
        <w:rPr>
          <w:rStyle w:val="FootnoteReference"/>
          <w:sz w:val="20"/>
        </w:rPr>
        <w:footnoteRef/>
      </w:r>
      <w:r>
        <w:rPr>
          <w:rStyle w:val="FootnoteReference"/>
          <w:sz w:val="20"/>
        </w:rPr>
        <w:t xml:space="preserve"> </w:t>
      </w:r>
      <w:r>
        <w:rPr>
          <w:rFonts w:eastAsiaTheme="minorHAnsi"/>
          <w:sz w:val="20"/>
          <w:lang w:val="en-US"/>
        </w:rPr>
        <w:t>These measures are assumed to be phased out gradually in the course of 2021 under a no-policy-change assumption.</w:t>
      </w:r>
    </w:p>
  </w:footnote>
  <w:footnote w:id="48">
    <w:p w:rsidR="00704A93" w:rsidRDefault="005D0BB9">
      <w:pPr>
        <w:pStyle w:val="FootnoteText"/>
      </w:pPr>
      <w:r>
        <w:rPr>
          <w:rStyle w:val="FootnoteReference"/>
        </w:rPr>
        <w:footnoteRef/>
      </w:r>
      <w:r>
        <w:t xml:space="preserve"> The gradual withdrawal of the temporary emergency measures is expected, assuming that the pandemic wanes and the negative economic impact of containment measures tapers off. At the same time, these temporary emergency measures distort the traditional fiscal indicators of the fiscal stance.</w:t>
      </w:r>
    </w:p>
  </w:footnote>
  <w:footnote w:id="49">
    <w:p w:rsidR="00704A93" w:rsidRDefault="005D0BB9">
      <w:pPr>
        <w:pStyle w:val="FootnoteText"/>
      </w:pPr>
      <w:r>
        <w:rPr>
          <w:rStyle w:val="FootnoteReference"/>
        </w:rPr>
        <w:footnoteRef/>
      </w:r>
      <w:r>
        <w:t xml:space="preserve"> </w:t>
      </w:r>
      <w:r>
        <w:rPr>
          <w:szCs w:val="24"/>
        </w:rPr>
        <w:t xml:space="preserve">The 2020-22 Commission baseline incorporates fiscal policy measures (adopted or at least credibility announced) and information as of 22 October 2020. Starting in 2023, countries are generally assumed to gradually adjust their structural primary balance to return to the level that was forecasted for year 2021 in the (pre-pandemic) Commission 2019 Autumn Forecast. In order to avoid an unrealistic fiscal path, the yearly adjustment of the structural primary balance is capped at 0.6 % of GDP. </w:t>
      </w:r>
    </w:p>
  </w:footnote>
  <w:footnote w:id="50">
    <w:p w:rsidR="00704A93" w:rsidRDefault="005D0BB9">
      <w:pPr>
        <w:pStyle w:val="FootnoteText"/>
      </w:pPr>
      <w:r>
        <w:rPr>
          <w:rStyle w:val="FootnoteReference"/>
        </w:rPr>
        <w:footnoteRef/>
      </w:r>
      <w:r>
        <w:t xml:space="preserve"> Given the limited information on the use of RRF, the approach to its incorporation in the 2020 Autumn Forecast, and thus in the figures reported in the document, is based on technical assumptions. In particular, the forecast only incorporates those measures that are credibly announced and sufficiently detailed in the draft national budgets. Similarly, no financing from the RRF has been included on the revenue side of the budgetary projections (only the pre-financing).</w:t>
      </w:r>
    </w:p>
  </w:footnote>
  <w:footnote w:id="51">
    <w:p w:rsidR="00704A93" w:rsidRDefault="005D0BB9">
      <w:pPr>
        <w:pStyle w:val="FootnoteText"/>
      </w:pPr>
      <w:r>
        <w:rPr>
          <w:rStyle w:val="FootnoteReference"/>
        </w:rPr>
        <w:footnoteRef/>
      </w:r>
      <w:r>
        <w:t xml:space="preserve"> On this see </w:t>
      </w:r>
      <w:hyperlink r:id="rId7" w:tgtFrame="_self" w:tooltip="com-2017-572.pdf" w:history="1">
        <w:r>
          <w:t xml:space="preserve">COM(2017) 572, </w:t>
        </w:r>
      </w:hyperlink>
      <w:r>
        <w:t xml:space="preserve"> Making Public Procurement work in and for Europe.</w:t>
      </w:r>
    </w:p>
  </w:footnote>
  <w:footnote w:id="52">
    <w:p w:rsidR="00704A93" w:rsidRDefault="005D0BB9">
      <w:pPr>
        <w:pStyle w:val="FootnoteText"/>
      </w:pPr>
      <w:r>
        <w:rPr>
          <w:rStyle w:val="FootnoteReference"/>
        </w:rPr>
        <w:footnoteRef/>
      </w:r>
      <w:r>
        <w:t xml:space="preserve"> The quality of procurement data submitted to TED (Tenders Electronic Daily) and an early adoption of eForms in their broad scope (including voluntary fields) are instrumental to achieve successful twin green and digital transitions. See “Single Market Scoreboard: Performance per policy area – Public Procurement”, </w:t>
      </w:r>
      <w:hyperlink r:id="rId8" w:history="1">
        <w:r>
          <w:rPr>
            <w:rStyle w:val="Hyperlink"/>
          </w:rPr>
          <w:t>https ://ec.europa.eu/internal_market/scoreboard/performance_per_policy_area/public_procurement/index_en.htm</w:t>
        </w:r>
      </w:hyperlink>
      <w:r>
        <w:t>.</w:t>
      </w:r>
    </w:p>
  </w:footnote>
  <w:footnote w:id="53">
    <w:p w:rsidR="00704A93" w:rsidRDefault="005D0BB9">
      <w:pPr>
        <w:pStyle w:val="FootnoteText"/>
      </w:pPr>
      <w:r>
        <w:rPr>
          <w:rStyle w:val="FootnoteReference"/>
        </w:rPr>
        <w:footnoteRef/>
      </w:r>
      <w:r>
        <w:t xml:space="preserve"> A recent review conducted by the Commission pointed to a limited use of green budgeting practices across Member States, with a variety of different approaches. For more detail, see “Development in Public Finances in the EMU”, Report on Public Finances in the EMU 2019 (2020). </w:t>
      </w:r>
    </w:p>
  </w:footnote>
  <w:footnote w:id="54">
    <w:p w:rsidR="00704A93" w:rsidRDefault="005D0BB9">
      <w:pPr>
        <w:pStyle w:val="FootnoteText"/>
        <w:rPr>
          <w:strike/>
        </w:rPr>
      </w:pPr>
      <w:r>
        <w:rPr>
          <w:rStyle w:val="FootnoteReference"/>
        </w:rPr>
        <w:footnoteRef/>
      </w:r>
      <w:r>
        <w:t xml:space="preserve"> The VAT Gap is the difference between the expected VAT revenues and VAT actually collected. </w:t>
      </w:r>
    </w:p>
  </w:footnote>
  <w:footnote w:id="55">
    <w:p w:rsidR="00704A93" w:rsidRDefault="005D0BB9">
      <w:pPr>
        <w:pStyle w:val="FootnoteText"/>
        <w:rPr>
          <w:highlight w:val="yellow"/>
          <w:lang w:val="en-IE"/>
        </w:rPr>
      </w:pPr>
      <w:r>
        <w:rPr>
          <w:rStyle w:val="FootnoteReference"/>
        </w:rPr>
        <w:footnoteRef/>
      </w:r>
      <w:r>
        <w:t xml:space="preserve"> Study and Reports on the VAT Gap in the EU-28 Member States (2020) Final Report </w:t>
      </w:r>
      <w:hyperlink r:id="rId9" w:history="1">
        <w:r>
          <w:rPr>
            <w:rStyle w:val="Hyperlink"/>
          </w:rPr>
          <w:t>www.ec.europa.eu/taxation_customs/sites/taxation/files/vat-gap-full-report-2020_en.pdf</w:t>
        </w:r>
      </w:hyperlink>
      <w:r>
        <w:rPr>
          <w:rStyle w:val="Hyperlink"/>
        </w:rPr>
        <w:t>.</w:t>
      </w:r>
    </w:p>
  </w:footnote>
  <w:footnote w:id="56">
    <w:p w:rsidR="00704A93" w:rsidRDefault="005D0BB9">
      <w:pPr>
        <w:pStyle w:val="FootnoteText"/>
      </w:pPr>
      <w:r>
        <w:rPr>
          <w:rStyle w:val="FootnoteReference"/>
        </w:rPr>
        <w:footnoteRef/>
      </w:r>
      <w:r>
        <w:t xml:space="preserve"> </w:t>
      </w:r>
      <w:r>
        <w:rPr>
          <w:noProof/>
        </w:rPr>
        <w:t>Environmental taxes could have a long-lasting positive impact on growth and reduction of negative externalities</w:t>
      </w:r>
      <w:r>
        <w:t xml:space="preserve"> although they </w:t>
      </w:r>
      <w:r>
        <w:rPr>
          <w:noProof/>
        </w:rPr>
        <w:t>may disproportionally affect low-income individuals, due to increase in prices of basic goods, including heating and electricity.</w:t>
      </w:r>
    </w:p>
  </w:footnote>
  <w:footnote w:id="57">
    <w:p w:rsidR="00704A93" w:rsidRDefault="005D0BB9">
      <w:pPr>
        <w:pStyle w:val="FootnoteText"/>
      </w:pPr>
      <w:r>
        <w:rPr>
          <w:rStyle w:val="FootnoteReference"/>
        </w:rPr>
        <w:footnoteRef/>
      </w:r>
      <w:r>
        <w:t xml:space="preserve"> For more details, see 2021 Joint Employment Report (2020) and “Tax wedge on labour: shifting tax burden from labour to other forms of taxation”, Technical Note for the Eurogroup, ARES (2020).</w:t>
      </w:r>
    </w:p>
  </w:footnote>
  <w:footnote w:id="58">
    <w:p w:rsidR="00704A93" w:rsidRDefault="005D0BB9">
      <w:pPr>
        <w:pStyle w:val="FootnoteText"/>
        <w:rPr>
          <w:lang w:val="en-IE"/>
        </w:rPr>
      </w:pPr>
      <w:r>
        <w:rPr>
          <w:rStyle w:val="FootnoteReference"/>
        </w:rPr>
        <w:footnoteRef/>
      </w:r>
      <w:r>
        <w:t xml:space="preserve"> </w:t>
      </w:r>
      <w:r>
        <w:rPr>
          <w:noProof/>
        </w:rPr>
        <w:t xml:space="preserve">The share of environmental taxes in total revenues is still well below the 10% 2020 target. See </w:t>
      </w:r>
      <w:r>
        <w:t>EU Flagship Initiative for a Resource-Efficient Europe.</w:t>
      </w:r>
    </w:p>
  </w:footnote>
  <w:footnote w:id="59">
    <w:p w:rsidR="00704A93" w:rsidRDefault="005D0BB9">
      <w:pPr>
        <w:pStyle w:val="FootnoteText"/>
        <w:rPr>
          <w:lang w:val="en-IE"/>
        </w:rPr>
      </w:pPr>
      <w:r>
        <w:rPr>
          <w:rStyle w:val="FootnoteReference"/>
        </w:rPr>
        <w:footnoteRef/>
      </w:r>
      <w:r>
        <w:t xml:space="preserve"> See Meyermans, E., et al., “Shifting taxes away from labour to strengthen growth in the euro area”, Quarterly Report on the Euro Area (QREA), Vol. 19, No. 1 (2020)/19 and </w:t>
      </w:r>
      <w:r>
        <w:rPr>
          <w:lang w:val="en-IE"/>
        </w:rPr>
        <w:t>European Green Deal.</w:t>
      </w:r>
    </w:p>
  </w:footnote>
  <w:footnote w:id="60">
    <w:p w:rsidR="00704A93" w:rsidRDefault="005D0BB9">
      <w:pPr>
        <w:pStyle w:val="FootnoteText"/>
        <w:rPr>
          <w:lang w:val="en-US"/>
        </w:rPr>
      </w:pPr>
      <w:r>
        <w:rPr>
          <w:rStyle w:val="FootnoteReference"/>
        </w:rPr>
        <w:footnoteRef/>
      </w:r>
      <w:r>
        <w:t xml:space="preserve"> European Commission (2020), ‘Employment and Social Developments in Europe 2020’.</w:t>
      </w:r>
    </w:p>
  </w:footnote>
  <w:footnote w:id="61">
    <w:p w:rsidR="00704A93" w:rsidRDefault="005D0BB9">
      <w:pPr>
        <w:pStyle w:val="FootnoteText"/>
      </w:pPr>
      <w:r>
        <w:rPr>
          <w:rStyle w:val="FootnoteReference"/>
        </w:rPr>
        <w:footnoteRef/>
      </w:r>
      <w:r>
        <w:t xml:space="preserve"> “Taxation Trends in the European Union, 2020 edition”, Directorate-General for Taxation and Customs Union, European Commission.</w:t>
      </w:r>
    </w:p>
  </w:footnote>
  <w:footnote w:id="62">
    <w:p w:rsidR="00704A93" w:rsidRDefault="005D0BB9">
      <w:pPr>
        <w:pStyle w:val="FootnoteText"/>
      </w:pPr>
      <w:r>
        <w:rPr>
          <w:rStyle w:val="FootnoteReference"/>
        </w:rPr>
        <w:footnoteRef/>
      </w:r>
      <w:r>
        <w:rPr>
          <w:lang w:val="fr-BE"/>
        </w:rPr>
        <w:t xml:space="preserve"> </w:t>
      </w:r>
      <w:r>
        <w:rPr>
          <w:noProof/>
          <w:lang w:val="es-ES_tradnl"/>
        </w:rPr>
        <w:t xml:space="preserve">Álvarez-Martínez , M. et al., 2018. </w:t>
      </w:r>
      <w:r>
        <w:rPr>
          <w:noProof/>
        </w:rPr>
        <w:t xml:space="preserve">How Large is the Corporate Tax Base Erosion and Profit Shifting? A General Equilibrium Approach. </w:t>
      </w:r>
      <w:r>
        <w:rPr>
          <w:i/>
          <w:iCs/>
          <w:noProof/>
        </w:rPr>
        <w:t xml:space="preserve">CEPR Discussion Papers 12637 </w:t>
      </w:r>
      <w:r>
        <w:rPr>
          <w:iCs/>
          <w:noProof/>
        </w:rPr>
        <w:t>and</w:t>
      </w:r>
      <w:r>
        <w:rPr>
          <w:i/>
          <w:iCs/>
          <w:noProof/>
        </w:rPr>
        <w:t xml:space="preserve"> </w:t>
      </w:r>
      <w:r>
        <w:rPr>
          <w:noProof/>
        </w:rPr>
        <w:t xml:space="preserve">Tørsløv, T., Wier, L. &amp; Zucman, G., 2018. The Missing Profits of Nations. </w:t>
      </w:r>
      <w:r>
        <w:rPr>
          <w:i/>
          <w:iCs/>
          <w:noProof/>
        </w:rPr>
        <w:t>NBER Working Paper 24701.</w:t>
      </w:r>
      <w:r>
        <w:rPr>
          <w:i/>
        </w:rPr>
        <w:t xml:space="preserve"> </w:t>
      </w:r>
      <w:r>
        <w:t>An analysis commissioned by the European Parliament finds that the revenue loss from profit shifting within the EU amounts to about EUR 50-70 billion.</w:t>
      </w:r>
    </w:p>
  </w:footnote>
  <w:footnote w:id="63">
    <w:p w:rsidR="00704A93" w:rsidRDefault="005D0BB9">
      <w:pPr>
        <w:pStyle w:val="FootnoteText"/>
        <w:rPr>
          <w:lang w:val="en-IE"/>
        </w:rPr>
      </w:pPr>
      <w:r>
        <w:rPr>
          <w:rStyle w:val="FootnoteReference"/>
        </w:rPr>
        <w:footnoteRef/>
      </w:r>
      <w:r>
        <w:t xml:space="preserve"> </w:t>
      </w:r>
      <w:r>
        <w:rPr>
          <w:noProof/>
        </w:rPr>
        <w:t xml:space="preserve">In order to ensure a lasting, efficient and fair approach for international taxation, a number of initiatives have been put in place at the euro area and international levels to ensure fair taxation across countries. </w:t>
      </w:r>
      <w:r>
        <w:rPr>
          <w:lang w:val="en-IE"/>
        </w:rPr>
        <w:t xml:space="preserve">Among these, the EU Anti Tax Avoidance Package (2016); </w:t>
      </w:r>
      <w:r>
        <w:t xml:space="preserve">the Union list of non-cooperative jurisdictions for tax purposes; </w:t>
      </w:r>
      <w:r>
        <w:rPr>
          <w:lang w:val="en-IE"/>
        </w:rPr>
        <w:t>the OECD/G20 Inclusive Framework on Base Erosion and Profit Shifting (BEPS).</w:t>
      </w:r>
    </w:p>
  </w:footnote>
  <w:footnote w:id="64">
    <w:p w:rsidR="00704A93" w:rsidRDefault="005D0BB9">
      <w:pPr>
        <w:pStyle w:val="FootnoteText"/>
        <w:rPr>
          <w:lang w:val="en-IE"/>
        </w:rPr>
      </w:pPr>
      <w:r>
        <w:rPr>
          <w:rStyle w:val="FootnoteReference"/>
        </w:rPr>
        <w:footnoteRef/>
      </w:r>
      <w:r>
        <w:t xml:space="preserve"> OECD/G20 Base Erosion and Profit Shifting Project (2013).</w:t>
      </w:r>
    </w:p>
  </w:footnote>
  <w:footnote w:id="65">
    <w:p w:rsidR="00704A93" w:rsidRDefault="005D0BB9">
      <w:pPr>
        <w:pStyle w:val="FootnoteText"/>
        <w:rPr>
          <w:lang w:val="en-IE"/>
        </w:rPr>
      </w:pPr>
      <w:r>
        <w:rPr>
          <w:rStyle w:val="FootnoteReference"/>
        </w:rPr>
        <w:footnoteRef/>
      </w:r>
      <w:r>
        <w:t xml:space="preserve"> For more details, see “Commission Staff Working Document- Impact Assessment- Accompanying the document Proposal for a Council Directive laying down rules relating to the corporate taxation of a significant digital presence and Proposal for a Council Directive on the common system of a digital services tax on revenues resulting from the provision of certain digital services”, SWD (2018) 81 final, 21 March 2018.</w:t>
      </w:r>
    </w:p>
  </w:footnote>
  <w:footnote w:id="66">
    <w:p w:rsidR="00704A93" w:rsidRDefault="005D0BB9">
      <w:pPr>
        <w:pStyle w:val="FootnoteText"/>
      </w:pPr>
      <w:r>
        <w:rPr>
          <w:rStyle w:val="FootnoteReference"/>
        </w:rPr>
        <w:footnoteRef/>
      </w:r>
      <w:r>
        <w:t xml:space="preserve"> Communiqué of G20 Finance Ministers &amp; Central Bank Governors Meeting, 14 October 2020.</w:t>
      </w:r>
    </w:p>
  </w:footnote>
  <w:footnote w:id="67">
    <w:p w:rsidR="00704A93" w:rsidRDefault="005D0BB9">
      <w:pPr>
        <w:pStyle w:val="FootnoteText"/>
      </w:pPr>
      <w:r>
        <w:rPr>
          <w:rStyle w:val="FootnoteReference"/>
        </w:rPr>
        <w:footnoteRef/>
      </w:r>
      <w:r>
        <w:t xml:space="preserve"> See EU Commission (2020) “Fair and simple taxation” https://ec.europa.eu/taxation_customs/general-information-taxation/eu-tax-policy-strategy/package-fair-and-simple-taxation_ en. </w:t>
      </w:r>
    </w:p>
  </w:footnote>
  <w:footnote w:id="68">
    <w:p w:rsidR="00704A93" w:rsidRDefault="005D0BB9">
      <w:pPr>
        <w:pStyle w:val="FootnoteText"/>
      </w:pPr>
      <w:r>
        <w:rPr>
          <w:rStyle w:val="FootnoteReference"/>
        </w:rPr>
        <w:footnoteRef/>
      </w:r>
      <w:r>
        <w:t xml:space="preserve"> See Burgert  et  al.  (2020), ‘A  Global  Economy Version   of   QUEST:   Simulation   Properties’, European Economy Discussion Paper 126.</w:t>
      </w:r>
    </w:p>
  </w:footnote>
  <w:footnote w:id="69">
    <w:p w:rsidR="00704A93" w:rsidRDefault="005D0BB9">
      <w:pPr>
        <w:pStyle w:val="FootnoteText"/>
      </w:pPr>
      <w:r>
        <w:rPr>
          <w:rStyle w:val="FootnoteReference"/>
        </w:rPr>
        <w:footnoteRef/>
      </w:r>
      <w:r>
        <w:t xml:space="preserve"> For instance, policies including product market reforms, reforms to improve the business environment and the justice systems.</w:t>
      </w:r>
    </w:p>
  </w:footnote>
  <w:footnote w:id="70">
    <w:p w:rsidR="00704A93" w:rsidRDefault="005D0BB9">
      <w:pPr>
        <w:pStyle w:val="FootnoteText"/>
        <w:rPr>
          <w:lang w:val="en-US"/>
        </w:rPr>
      </w:pPr>
      <w:r>
        <w:rPr>
          <w:rStyle w:val="FootnoteReference"/>
        </w:rPr>
        <w:footnoteRef/>
      </w:r>
      <w:r>
        <w:t xml:space="preserve"> Depending on Member States, there could be different reforms leading to such increase in labour force participation, including reducing early retirement schemes, increasing the provision of child care, strengthening active labour market policies and training/education to improve employability.</w:t>
      </w:r>
    </w:p>
  </w:footnote>
  <w:footnote w:id="71">
    <w:p w:rsidR="00704A93" w:rsidRDefault="005D0BB9">
      <w:pPr>
        <w:pStyle w:val="FootnoteText"/>
      </w:pPr>
      <w:r>
        <w:rPr>
          <w:rStyle w:val="FootnoteReference"/>
        </w:rPr>
        <w:footnoteRef/>
      </w:r>
      <w:r>
        <w:t xml:space="preserve"> </w:t>
      </w:r>
      <w:r>
        <w:rPr>
          <w:lang w:val="en-US"/>
        </w:rPr>
        <w:t xml:space="preserve">The size of the assumed product and labour market reforms on GDP is purely illustrative, but orders of magnitude are informed by the scope for reforms as measured by halving the performance gap between the euro area average and the best performing EU Member States. </w:t>
      </w:r>
    </w:p>
  </w:footnote>
  <w:footnote w:id="72">
    <w:p w:rsidR="00704A93" w:rsidRDefault="005D0BB9">
      <w:pPr>
        <w:pStyle w:val="FootnoteText"/>
      </w:pPr>
      <w:r>
        <w:rPr>
          <w:rStyle w:val="FootnoteReference"/>
        </w:rPr>
        <w:footnoteRef/>
      </w:r>
      <w:r>
        <w:t xml:space="preserve"> The importance of future-proofing the euro area economy through embracing the green and digital transitions is recognised and discussed widely in a number of European Commission documents, including in the Strategic Foresight report on Future-proofing the EU; the documentation on the European Green Deal; the Annual Sustainable Growth Strategy 2021; and the documentation on the Recovery and Resilience Facility.</w:t>
      </w:r>
    </w:p>
  </w:footnote>
  <w:footnote w:id="73">
    <w:p w:rsidR="00704A93" w:rsidRDefault="005D0BB9">
      <w:pPr>
        <w:pStyle w:val="FootnoteText"/>
      </w:pPr>
      <w:r>
        <w:rPr>
          <w:rStyle w:val="FootnoteReference"/>
        </w:rPr>
        <w:footnoteRef/>
      </w:r>
      <w:r>
        <w:t xml:space="preserve"> See for instance COM(2020) 575 final, “Annual Sustainable Growth Strategy 2021”.</w:t>
      </w:r>
    </w:p>
  </w:footnote>
  <w:footnote w:id="74">
    <w:p w:rsidR="00704A93" w:rsidRDefault="005D0BB9">
      <w:pPr>
        <w:pStyle w:val="FootnoteText"/>
      </w:pPr>
      <w:r>
        <w:rPr>
          <w:rStyle w:val="FootnoteReference"/>
        </w:rPr>
        <w:footnoteRef/>
      </w:r>
      <w:r>
        <w:t xml:space="preserve"> See for instance COM(2018) 772 final, “The Single Market in a changing world. A unique asset in need of renewed political commitment” or London Economics and PwC, (2013), “The cost of non-Europe: the untapped potential of the European Single Market”, Final Report, London/Luxembourg.</w:t>
      </w:r>
    </w:p>
  </w:footnote>
  <w:footnote w:id="75">
    <w:p w:rsidR="00704A93" w:rsidRDefault="005D0BB9">
      <w:pPr>
        <w:pStyle w:val="FootnoteText"/>
      </w:pPr>
      <w:r>
        <w:rPr>
          <w:rStyle w:val="FootnoteReference"/>
        </w:rPr>
        <w:footnoteRef/>
      </w:r>
      <w:r>
        <w:t xml:space="preserve"> For more details, see COM(2020) 93 final, “Identifying and addressing barriers to the Single Market”, 22 November 2018.</w:t>
      </w:r>
    </w:p>
  </w:footnote>
  <w:footnote w:id="76">
    <w:p w:rsidR="00704A93" w:rsidRDefault="005D0BB9">
      <w:pPr>
        <w:pStyle w:val="FootnoteText"/>
      </w:pPr>
      <w:r>
        <w:rPr>
          <w:rStyle w:val="FootnoteReference"/>
        </w:rPr>
        <w:footnoteRef/>
      </w:r>
      <w:r>
        <w:t xml:space="preserve"> For more details, see COM(2020) 94 final, “Long term action plan for better implementation and enforcement of single market rules.”, 10 March 2020.</w:t>
      </w:r>
    </w:p>
  </w:footnote>
  <w:footnote w:id="77">
    <w:p w:rsidR="00704A93" w:rsidRDefault="005D0BB9">
      <w:pPr>
        <w:pStyle w:val="FootnoteText"/>
      </w:pPr>
      <w:r>
        <w:rPr>
          <w:rStyle w:val="FootnoteReference"/>
        </w:rPr>
        <w:footnoteRef/>
      </w:r>
      <w:r>
        <w:t xml:space="preserve"> For more details, see SWD (2019) 444 final, “Single Market Performance Report 2019”, 17 December 2019.</w:t>
      </w:r>
    </w:p>
  </w:footnote>
  <w:footnote w:id="78">
    <w:p w:rsidR="00704A93" w:rsidRDefault="005D0BB9">
      <w:pPr>
        <w:pStyle w:val="FootnoteText"/>
      </w:pPr>
      <w:r>
        <w:rPr>
          <w:rStyle w:val="FootnoteReference"/>
        </w:rPr>
        <w:footnoteRef/>
      </w:r>
      <w:r>
        <w:t xml:space="preserve"> See, for instance, Keynote speech by Fabio Panetta, “On the edge of a new frontier: European payments in the digital age” 22 October 2020.</w:t>
      </w:r>
    </w:p>
  </w:footnote>
  <w:footnote w:id="79">
    <w:p w:rsidR="00704A93" w:rsidRDefault="005D0BB9">
      <w:pPr>
        <w:pStyle w:val="FootnoteText"/>
      </w:pPr>
      <w:r>
        <w:rPr>
          <w:rStyle w:val="FootnoteReference"/>
        </w:rPr>
        <w:footnoteRef/>
      </w:r>
      <w:r>
        <w:t xml:space="preserve"> The role of minimum wages in protecting low-wage workers has thus become increasingly important. Cf. Commission proposal for a Directive of the European Parliament and of the Council on adequate minimum wages in the European Union (COM(2020) 682 final) and Impact Assessment (SWD(2020) 245 final).</w:t>
      </w:r>
    </w:p>
  </w:footnote>
  <w:footnote w:id="80">
    <w:p w:rsidR="00704A93" w:rsidRDefault="005D0BB9">
      <w:pPr>
        <w:pStyle w:val="FootnoteText"/>
      </w:pPr>
      <w:r>
        <w:rPr>
          <w:rStyle w:val="FootnoteReference"/>
        </w:rPr>
        <w:footnoteRef/>
      </w:r>
      <w:r>
        <w:t xml:space="preserve"> Within the European Semester, the 2020 Country Specific Recommendations and the 2020 Employment Guidelines called on Member States to ensure that the social, employment and economic impact of the COVID-19 crisis is mitigated.</w:t>
      </w:r>
    </w:p>
  </w:footnote>
  <w:footnote w:id="81">
    <w:p w:rsidR="00704A93" w:rsidRDefault="005D0BB9">
      <w:pPr>
        <w:pStyle w:val="FootnoteText"/>
      </w:pPr>
      <w:r>
        <w:rPr>
          <w:rStyle w:val="FootnoteReference"/>
        </w:rPr>
        <w:footnoteRef/>
      </w:r>
      <w:r>
        <w:t xml:space="preserve"> European Commission. Directorate General for Employment, Social Affairs and Inclusion. “Employment and Social Developments in Europe 2020”. (Publications Office 2020). </w:t>
      </w:r>
      <w:hyperlink r:id="rId10" w:history="1">
        <w:r>
          <w:rPr>
            <w:rStyle w:val="Hyperlink"/>
          </w:rPr>
          <w:t>https://ec.europa.eu/ social/main.jsp?catId= 738&amp;langId =en&amp;pubId =8342 &amp;furtherPubs=yes</w:t>
        </w:r>
      </w:hyperlink>
      <w:r>
        <w:rPr>
          <w:rStyle w:val="Hyperlink"/>
        </w:rPr>
        <w:t>.</w:t>
      </w:r>
    </w:p>
  </w:footnote>
  <w:footnote w:id="82">
    <w:p w:rsidR="00704A93" w:rsidRDefault="005D0BB9">
      <w:pPr>
        <w:pStyle w:val="FootnoteText"/>
        <w:rPr>
          <w:lang w:val="en-IE"/>
        </w:rPr>
      </w:pPr>
      <w:r>
        <w:rPr>
          <w:rStyle w:val="FootnoteReference"/>
        </w:rPr>
        <w:footnoteRef/>
      </w:r>
      <w:r>
        <w:t xml:space="preserve"> The Commission’s proposal for a Joint Employment Report 2021 provides detailed evidence on recent employment and social trends, as well as on measures taken by Member States.</w:t>
      </w:r>
    </w:p>
  </w:footnote>
  <w:footnote w:id="83">
    <w:p w:rsidR="00704A93" w:rsidRDefault="005D0BB9">
      <w:pPr>
        <w:pStyle w:val="FootnoteText"/>
      </w:pPr>
      <w:r>
        <w:rPr>
          <w:rStyle w:val="FootnoteReference"/>
        </w:rPr>
        <w:footnoteRef/>
      </w:r>
      <w:r>
        <w:t xml:space="preserve"> This has recently been highlighted in the Commission proposal for a Directive of the European Parliament and of the Council on adequate minimum wages in the European Union (COM(2020) 682 final). The proposed Directive aims among others at strengthening the involvement of social partners in statutory minimum wage setting and updating, as well as promoting collective bargaining on wage setting. Moreover, Member States may entrust the social partners with the implementation of the proposed Directive.</w:t>
      </w:r>
    </w:p>
  </w:footnote>
  <w:footnote w:id="84">
    <w:p w:rsidR="00704A93" w:rsidRDefault="005D0BB9">
      <w:pPr>
        <w:pStyle w:val="FootnoteText"/>
      </w:pPr>
      <w:r>
        <w:rPr>
          <w:rStyle w:val="FootnoteReference"/>
        </w:rPr>
        <w:footnoteRef/>
      </w:r>
      <w:r>
        <w:t xml:space="preserve"> </w:t>
      </w:r>
      <w:r>
        <w:rPr>
          <w:lang w:val="en-IE"/>
        </w:rPr>
        <w:t xml:space="preserve">For earlier studies on the positive effects on variability of employment of short-time work schemes, during the Global Financial Crisis, see </w:t>
      </w:r>
      <w:r>
        <w:t>Arpaia et al (2010), “Short time working arrangements as response to cyclical fluctuations”, European Economy, Occasional paper 64 | June 2010.</w:t>
      </w:r>
    </w:p>
  </w:footnote>
  <w:footnote w:id="85">
    <w:p w:rsidR="00704A93" w:rsidRDefault="005D0BB9">
      <w:pPr>
        <w:pStyle w:val="FootnoteText"/>
      </w:pPr>
      <w:r>
        <w:rPr>
          <w:rStyle w:val="FootnoteReference"/>
        </w:rPr>
        <w:footnoteRef/>
      </w:r>
      <w:r>
        <w:t xml:space="preserve"> For more on the social dimension of the impact of the COVID-19 crisis see also </w:t>
      </w:r>
      <w:r>
        <w:rPr>
          <w:bCs/>
        </w:rPr>
        <w:t>the annual </w:t>
      </w:r>
      <w:r>
        <w:t>European Commission. Directorate General for Employment, Social Affairs and Inclusion. “Employment and Social Developments in Europe 2020” (Publications Office 2020).</w:t>
      </w:r>
    </w:p>
  </w:footnote>
  <w:footnote w:id="86">
    <w:p w:rsidR="00704A93" w:rsidRDefault="005D0BB9">
      <w:pPr>
        <w:pStyle w:val="FootnoteText"/>
      </w:pPr>
      <w:r>
        <w:rPr>
          <w:rStyle w:val="FootnoteReference"/>
        </w:rPr>
        <w:footnoteRef/>
      </w:r>
      <w:r>
        <w:t xml:space="preserve"> Cf. Impact Assessment accompanying the Commission proposal for a Directive of the European Parliament and of the Council on adequate minimum wages in the European Union, SWD(2020) 245 final. </w:t>
      </w:r>
    </w:p>
  </w:footnote>
  <w:footnote w:id="87">
    <w:p w:rsidR="00704A93" w:rsidRDefault="005D0BB9">
      <w:pPr>
        <w:pStyle w:val="FootnoteText"/>
      </w:pPr>
      <w:r>
        <w:rPr>
          <w:rStyle w:val="FootnoteReference"/>
        </w:rPr>
        <w:footnoteRef/>
      </w:r>
      <w:r>
        <w:t xml:space="preserve"> European Skills Agenda for Sustainable Competitiveness, Social Fairness and Resilience (2020).</w:t>
      </w:r>
    </w:p>
  </w:footnote>
  <w:footnote w:id="88">
    <w:p w:rsidR="00704A93" w:rsidRDefault="005D0BB9">
      <w:pPr>
        <w:pStyle w:val="FootnoteText"/>
      </w:pPr>
      <w:r>
        <w:rPr>
          <w:rStyle w:val="FootnoteReference"/>
        </w:rPr>
        <w:footnoteRef/>
      </w:r>
      <w:r>
        <w:t xml:space="preserve"> The 2021 Annual Sustainable Growth Strategy put </w:t>
      </w:r>
      <w:r>
        <w:rPr>
          <w:noProof/>
        </w:rPr>
        <w:t>forward seven flagship initiatives. Those flagships represent common challenges that call for coordinated investments and reforms. These are: (1) Power up, (2) Renovate, (3) Recharge and Refuel, (4) Connect,  (5) Modernise, (6) Scale-up, (7) Reskill and upskill.</w:t>
      </w:r>
    </w:p>
  </w:footnote>
  <w:footnote w:id="89">
    <w:p w:rsidR="00704A93" w:rsidRDefault="005D0BB9">
      <w:pPr>
        <w:pStyle w:val="FootnoteText"/>
      </w:pPr>
      <w:r>
        <w:rPr>
          <w:rStyle w:val="FootnoteReference"/>
        </w:rPr>
        <w:footnoteRef/>
      </w:r>
      <w:r>
        <w:t xml:space="preserve"> For the green and digital transitions, more than just digital skills are required. For more details, see Morandini, M. C., et al., “Facing the Digital Transformation: are Digital Skills Enough?”, European Economy, Economic Brief n. 054, June 2020.</w:t>
      </w:r>
    </w:p>
  </w:footnote>
  <w:footnote w:id="90">
    <w:p w:rsidR="00704A93" w:rsidRDefault="005D0BB9">
      <w:pPr>
        <w:pStyle w:val="FootnoteText"/>
      </w:pPr>
      <w:r>
        <w:rPr>
          <w:rStyle w:val="FootnoteReference"/>
        </w:rPr>
        <w:footnoteRef/>
      </w:r>
      <w:r>
        <w:t xml:space="preserve"> Digital Economy and Society Index, European Commission Digital Scoreboard 2020.</w:t>
      </w:r>
    </w:p>
  </w:footnote>
  <w:footnote w:id="91">
    <w:p w:rsidR="00704A93" w:rsidRDefault="005D0BB9">
      <w:pPr>
        <w:pStyle w:val="FootnoteText"/>
      </w:pPr>
      <w:r>
        <w:rPr>
          <w:rStyle w:val="FootnoteReference"/>
        </w:rPr>
        <w:footnoteRef/>
      </w:r>
      <w:r>
        <w:t xml:space="preserve"> Petropolus G. et al., “Digitalisation and European welfare states”, Bruegel, Blueprint series 30, 2019.</w:t>
      </w:r>
    </w:p>
  </w:footnote>
  <w:footnote w:id="92">
    <w:p w:rsidR="00704A93" w:rsidRDefault="005D0BB9">
      <w:pPr>
        <w:pStyle w:val="FootnoteText"/>
      </w:pPr>
      <w:r>
        <w:rPr>
          <w:rStyle w:val="FootnoteReference"/>
        </w:rPr>
        <w:footnoteRef/>
      </w:r>
      <w:r>
        <w:t xml:space="preserve"> Skills for green jobs: 2018 update. European synthesis report.</w:t>
      </w:r>
    </w:p>
  </w:footnote>
  <w:footnote w:id="93">
    <w:p w:rsidR="00704A93" w:rsidRDefault="005D0BB9">
      <w:pPr>
        <w:pStyle w:val="FootnoteText"/>
        <w:rPr>
          <w:lang w:val="en-IE"/>
        </w:rPr>
      </w:pPr>
      <w:r>
        <w:rPr>
          <w:rStyle w:val="FootnoteReference"/>
        </w:rPr>
        <w:footnoteRef/>
      </w:r>
      <w:r>
        <w:t xml:space="preserve"> European Skills Agenda for Sustainable Competitiveness, Social Fairness and Resilience includes specific actions to support the twin transition.</w:t>
      </w:r>
    </w:p>
  </w:footnote>
  <w:footnote w:id="94">
    <w:p w:rsidR="00704A93" w:rsidRDefault="005D0BB9">
      <w:pPr>
        <w:pStyle w:val="FootnoteText"/>
        <w:rPr>
          <w:lang w:val="en-IE"/>
        </w:rPr>
      </w:pPr>
      <w:r>
        <w:rPr>
          <w:rStyle w:val="FootnoteReference"/>
        </w:rPr>
        <w:footnoteRef/>
      </w:r>
      <w:r>
        <w:t xml:space="preserve"> </w:t>
      </w:r>
      <w:r>
        <w:rPr>
          <w:lang w:val="en-IE"/>
        </w:rPr>
        <w:t>Ari, A., Chen, S. and Ratnovski</w:t>
      </w:r>
      <w:r>
        <w:t xml:space="preserve">, R., “COVID-19 and non-performing loans: lessons from past crises”, ECB Research Bulletin No 71, 27 May 2020 </w:t>
      </w:r>
      <w:hyperlink r:id="rId11" w:history="1">
        <w:r>
          <w:rPr>
            <w:rStyle w:val="Hyperlink"/>
            <w:rFonts w:eastAsiaTheme="majorEastAsia"/>
            <w:lang w:val="en-IE"/>
          </w:rPr>
          <w:t>https://www.ecb.europa.eu/pub/economic-research/resbull/2020/html/ecb.rb200527~3fe177d27d.en.html</w:t>
        </w:r>
      </w:hyperlink>
      <w:r>
        <w:rPr>
          <w:lang w:val="en-IE"/>
        </w:rPr>
        <w:t>.</w:t>
      </w:r>
    </w:p>
  </w:footnote>
  <w:footnote w:id="95">
    <w:p w:rsidR="00704A93" w:rsidRDefault="005D0BB9">
      <w:pPr>
        <w:pStyle w:val="FootnoteText"/>
      </w:pPr>
      <w:r>
        <w:rPr>
          <w:rStyle w:val="FootnoteReference"/>
        </w:rPr>
        <w:footnoteRef/>
      </w:r>
      <w:r>
        <w:t xml:space="preserve"> See, for instance, Djankov, S., O. Hart, C. McLiesh, and A. Shleifer, "Debt Enforcement around the World", Journal of Political Economy, vol. 116, no. 6, 1105-1149, 2008; La Porta, R.., Lopez-de-Silanes F., Shleifer A., and Vishny, R. W. , “Legal Determinants of External Finance”, Journal of Finance, vol. 52(3), pp 1131-50, July 1997: Bricongne et al. “Macroeconomic Relevance of Insolvency Frameworks in a High-debt Context: An EU Perspective," European Economy - Discussion Papers no. 32, 2016.</w:t>
      </w:r>
    </w:p>
  </w:footnote>
  <w:footnote w:id="96">
    <w:p w:rsidR="00704A93" w:rsidRDefault="005D0BB9">
      <w:pPr>
        <w:pStyle w:val="FootnoteText"/>
      </w:pPr>
      <w:r>
        <w:rPr>
          <w:rStyle w:val="FootnoteReference"/>
        </w:rPr>
        <w:footnoteRef/>
      </w:r>
      <w:r>
        <w:t xml:space="preserve"> The Eurogroup identified a number of principles including early identification of debt distress and availability of early restructuring procedures. See </w:t>
      </w:r>
      <w:hyperlink r:id="rId12" w:history="1">
        <w:r>
          <w:rPr>
            <w:rStyle w:val="Hyperlink"/>
          </w:rPr>
          <w:t>https://www.consilium.europa.eu/en/meetings/eurogroup/2016/04/22/</w:t>
        </w:r>
      </w:hyperlink>
      <w:r>
        <w:t xml:space="preserve"> .</w:t>
      </w:r>
    </w:p>
  </w:footnote>
  <w:footnote w:id="97">
    <w:p w:rsidR="00704A93" w:rsidRDefault="005D0BB9">
      <w:pPr>
        <w:pStyle w:val="FootnoteText"/>
      </w:pPr>
      <w:r>
        <w:rPr>
          <w:rStyle w:val="FootnoteReference"/>
        </w:rPr>
        <w:footnoteRef/>
      </w:r>
      <w:r>
        <w:t xml:space="preserve"> European Commission, Early restructuring and a second chance for entrepreneurs: A modern and streamlined approach to business insolvency, June 2019, </w:t>
      </w:r>
      <w:hyperlink r:id="rId13" w:history="1">
        <w:r>
          <w:rPr>
            <w:rStyle w:val="Hyperlink"/>
            <w:rFonts w:eastAsiaTheme="majorEastAsia"/>
            <w:lang w:val="en-IE"/>
          </w:rPr>
          <w:t>https://ec.europa.eu/info/sites/info/files/factsheet_-_a_ modern_and_streamlined_approach_to_business_insolvency.pdf</w:t>
        </w:r>
      </w:hyperlink>
      <w:r>
        <w:rPr>
          <w:rStyle w:val="Hyperlink"/>
          <w:rFonts w:eastAsiaTheme="majorEastAsia"/>
          <w:lang w:val="en-IE"/>
        </w:rPr>
        <w:t xml:space="preserve"> .</w:t>
      </w:r>
    </w:p>
  </w:footnote>
  <w:footnote w:id="98">
    <w:p w:rsidR="00704A93" w:rsidRDefault="005D0BB9">
      <w:pPr>
        <w:pStyle w:val="FootnoteText"/>
      </w:pPr>
      <w:r>
        <w:rPr>
          <w:rStyle w:val="FootnoteReference"/>
        </w:rPr>
        <w:footnoteRef/>
      </w:r>
      <w:r>
        <w:t xml:space="preserve"> </w:t>
      </w:r>
      <w:r>
        <w:rPr>
          <w:lang w:val="en-IE"/>
        </w:rPr>
        <w:t>The economic literature offers a number of principles to increase the efficiency of non-bank insolvency frameworks. Insolvency framework should ensure an equitable treatment of creditors on the one hand, and a maximisation of the value of the debtor’s assets on the other, including the option to liquidate assets as a going concern. It should ensure the continuity of the economic activity through restructuring when it is possible. It should not dissuade risk-taking and entrepreneurship while protecting creditors against dishonest behaviours, including strategic default. Predictability and effectiveness of proceedings are also key to attract investors for distressed securities and boost the secondary markets for NPLs.</w:t>
      </w:r>
    </w:p>
  </w:footnote>
  <w:footnote w:id="99">
    <w:p w:rsidR="00704A93" w:rsidRDefault="005D0BB9">
      <w:pPr>
        <w:pStyle w:val="FootnoteText"/>
        <w:rPr>
          <w:lang w:val="en-IE"/>
        </w:rPr>
      </w:pPr>
      <w:r>
        <w:rPr>
          <w:rStyle w:val="FootnoteReference"/>
        </w:rPr>
        <w:footnoteRef/>
      </w:r>
      <w:r>
        <w:t xml:space="preserve"> Directive (EU) 2019/1023 of the European Parliament and of the Council of 20 June 2019 on preventive restructuring frameworks, on discharge of debt and disqualifications, and on measures to increase the efficiency of procedures concerning restructuring, insolvency and discharge of debt, and amending Directive (EU) 2017/1132 (Directive on Restructuring and Insolvency). OJ L 172, 26.6.2019.</w:t>
      </w:r>
    </w:p>
  </w:footnote>
  <w:footnote w:id="100">
    <w:p w:rsidR="00704A93" w:rsidRDefault="005D0BB9">
      <w:pPr>
        <w:pStyle w:val="FootnoteText"/>
      </w:pPr>
      <w:r>
        <w:rPr>
          <w:rStyle w:val="FootnoteReference"/>
        </w:rPr>
        <w:footnoteRef/>
      </w:r>
      <w:r>
        <w:t xml:space="preserve"> “Increasing resilience and long-term growth: the importance of sound institutions and economic structures for euro area countries and EMU”, ECB Economic Bulletin, Issue 5, 2016.</w:t>
      </w:r>
    </w:p>
  </w:footnote>
  <w:footnote w:id="101">
    <w:p w:rsidR="00704A93" w:rsidRDefault="005D0BB9">
      <w:pPr>
        <w:spacing w:after="0"/>
        <w:rPr>
          <w:sz w:val="20"/>
          <w:lang w:val="en-IE"/>
        </w:rPr>
      </w:pPr>
      <w:r>
        <w:rPr>
          <w:rStyle w:val="FootnoteReference"/>
          <w:sz w:val="20"/>
        </w:rPr>
        <w:footnoteRef/>
      </w:r>
      <w:r>
        <w:t xml:space="preserve"> </w:t>
      </w:r>
      <w:r>
        <w:rPr>
          <w:sz w:val="20"/>
          <w:lang w:val="en-IE"/>
        </w:rPr>
        <w:t>The term institution is construed broadly, to cover a variety of aspects, such as the enforcement of property rights (North, 1973), the rule of law including the system of checks and balances on the executive power (Levy, 2007) and the existence of an efficient public sector (World Competitiveness report, 2015).</w:t>
      </w:r>
    </w:p>
  </w:footnote>
  <w:footnote w:id="102">
    <w:p w:rsidR="00704A93" w:rsidRDefault="005D0BB9">
      <w:pPr>
        <w:pStyle w:val="FootnoteText"/>
      </w:pPr>
      <w:r>
        <w:rPr>
          <w:rStyle w:val="FootnoteReference"/>
        </w:rPr>
        <w:footnoteRef/>
      </w:r>
      <w:r>
        <w:t xml:space="preserve"> See 2021 Annual Sustainable Growth Strategy (2020).</w:t>
      </w:r>
    </w:p>
  </w:footnote>
  <w:footnote w:id="103">
    <w:p w:rsidR="00704A93" w:rsidRDefault="005D0BB9">
      <w:pPr>
        <w:pStyle w:val="FootnoteText"/>
      </w:pPr>
      <w:r>
        <w:rPr>
          <w:rStyle w:val="FootnoteReference"/>
        </w:rPr>
        <w:footnoteRef/>
      </w:r>
      <w:r>
        <w:t xml:space="preserve"> </w:t>
      </w:r>
      <w:r>
        <w:rPr>
          <w:lang w:val="en-US"/>
        </w:rPr>
        <w:t>Thorough the new Technical Support Instrument, the European Commission will support Member States in developing and implementing a coherent set of reforms to support the recovery and consolidate strong, long term growth.</w:t>
      </w:r>
      <w:r>
        <w:t xml:space="preserve"> See </w:t>
      </w:r>
      <w:hyperlink r:id="rId14" w:history="1">
        <w:r>
          <w:rPr>
            <w:rStyle w:val="Hyperlink"/>
          </w:rPr>
          <w:t>https://www.consilium.europa.eu/en/press/press-releases/2020/07/22/council-agrees-its-position-on-an-instrument-to-support-implementation-of-reforms-for-a-sustainable-recovery/</w:t>
        </w:r>
      </w:hyperlink>
      <w:r>
        <w:rPr>
          <w:rStyle w:val="Hyperlink"/>
          <w:u w:val="none"/>
        </w:rPr>
        <w:t>.</w:t>
      </w:r>
    </w:p>
  </w:footnote>
  <w:footnote w:id="104">
    <w:p w:rsidR="00704A93" w:rsidRDefault="005D0BB9">
      <w:pPr>
        <w:pStyle w:val="FootnoteText"/>
        <w:rPr>
          <w:lang w:val="en-IE"/>
        </w:rPr>
      </w:pPr>
      <w:r>
        <w:rPr>
          <w:rStyle w:val="FootnoteReference"/>
        </w:rPr>
        <w:footnoteRef/>
      </w:r>
      <w:r>
        <w:rPr>
          <w:lang w:val="en-US"/>
        </w:rPr>
        <w:t xml:space="preserve"> </w:t>
      </w:r>
      <w:r>
        <w:t>Investment is construed broadly, to include both tangible and intangible assets (e.g., human capital).</w:t>
      </w:r>
    </w:p>
  </w:footnote>
  <w:footnote w:id="105">
    <w:p w:rsidR="00704A93" w:rsidRDefault="005D0BB9">
      <w:pPr>
        <w:pStyle w:val="FootnoteText"/>
        <w:rPr>
          <w:lang w:val="en-US"/>
        </w:rPr>
      </w:pPr>
      <w:r>
        <w:rPr>
          <w:rStyle w:val="FootnoteReference"/>
        </w:rPr>
        <w:footnoteRef/>
      </w:r>
      <w:r>
        <w:rPr>
          <w:rStyle w:val="FootnoteReference"/>
        </w:rPr>
        <w:t xml:space="preserve"> </w:t>
      </w:r>
      <w:r>
        <w:t xml:space="preserve">See for example </w:t>
      </w:r>
      <w:r>
        <w:rPr>
          <w:lang w:val="en-US"/>
        </w:rPr>
        <w:t>Mauro (1995) who concludes that corruption is found to lower investment, thereby lowering economic growth.</w:t>
      </w:r>
    </w:p>
  </w:footnote>
  <w:footnote w:id="106">
    <w:p w:rsidR="00704A93" w:rsidRDefault="005D0BB9">
      <w:pPr>
        <w:pStyle w:val="FootnoteText"/>
      </w:pPr>
      <w:r>
        <w:rPr>
          <w:rStyle w:val="FootnoteReference"/>
        </w:rPr>
        <w:footnoteRef/>
      </w:r>
      <w:r>
        <w:t xml:space="preserve"> See </w:t>
      </w:r>
      <w:r>
        <w:rPr>
          <w:lang w:val="en-IE"/>
        </w:rPr>
        <w:t>Global Competitiveness Report (2015-2016) and references therein.</w:t>
      </w:r>
    </w:p>
  </w:footnote>
  <w:footnote w:id="107">
    <w:p w:rsidR="00704A93" w:rsidRDefault="005D0BB9">
      <w:pPr>
        <w:pStyle w:val="FootnoteText"/>
      </w:pPr>
      <w:r>
        <w:rPr>
          <w:rStyle w:val="FootnoteReference"/>
        </w:rPr>
        <w:footnoteRef/>
      </w:r>
      <w:r>
        <w:t xml:space="preserve"> The EIB investment report 2019-2020 highlights that lack of administrative capacity is a major investment barrier. See </w:t>
      </w:r>
      <w:hyperlink r:id="rId15" w:history="1">
        <w:r>
          <w:rPr>
            <w:rStyle w:val="Hyperlink"/>
          </w:rPr>
          <w:t>https://www.eib.org/en/publications/investment-report-2019</w:t>
        </w:r>
      </w:hyperlink>
      <w:r>
        <w:t>.</w:t>
      </w:r>
    </w:p>
  </w:footnote>
  <w:footnote w:id="108">
    <w:p w:rsidR="00704A93" w:rsidRDefault="005D0BB9">
      <w:pPr>
        <w:pStyle w:val="FootnoteText"/>
      </w:pPr>
      <w:r>
        <w:rPr>
          <w:rStyle w:val="FootnoteReference"/>
        </w:rPr>
        <w:footnoteRef/>
      </w:r>
      <w:r>
        <w:t xml:space="preserve"> On this issue, see 2021 Alert Mechanism Report (2020).</w:t>
      </w:r>
    </w:p>
  </w:footnote>
  <w:footnote w:id="109">
    <w:p w:rsidR="00704A93" w:rsidRDefault="005D0BB9">
      <w:pPr>
        <w:pStyle w:val="FootnoteText"/>
      </w:pPr>
      <w:r>
        <w:rPr>
          <w:rStyle w:val="FootnoteReference"/>
        </w:rPr>
        <w:footnoteRef/>
      </w:r>
      <w:r>
        <w:t xml:space="preserve"> Although </w:t>
      </w:r>
      <w:r>
        <w:rPr>
          <w:lang w:eastAsia="en-GB"/>
        </w:rPr>
        <w:t>house price growth remained rather sustained (including in early 2020)</w:t>
      </w:r>
      <w:r>
        <w:rPr>
          <w:b/>
          <w:lang w:eastAsia="en-GB"/>
        </w:rPr>
        <w:t xml:space="preserve">, </w:t>
      </w:r>
      <w:r>
        <w:rPr>
          <w:lang w:eastAsia="en-GB"/>
        </w:rPr>
        <w:t>quarterly data, estimates of price levels from quotations by sellers and model-based house price forecasts point to a softening of housing markets. For more details, see 2021 Alert Mechanism Report (2020).</w:t>
      </w:r>
    </w:p>
  </w:footnote>
  <w:footnote w:id="110">
    <w:p w:rsidR="00704A93" w:rsidRDefault="005D0BB9">
      <w:pPr>
        <w:pStyle w:val="FootnoteText"/>
      </w:pPr>
      <w:r>
        <w:rPr>
          <w:rStyle w:val="FootnoteReference"/>
        </w:rPr>
        <w:footnoteRef/>
      </w:r>
      <w:r>
        <w:t xml:space="preserve"> On this issue, see 2021 Alert Mechanism Report (2020).</w:t>
      </w:r>
    </w:p>
  </w:footnote>
  <w:footnote w:id="111">
    <w:p w:rsidR="00704A93" w:rsidRDefault="005D0BB9">
      <w:pPr>
        <w:pStyle w:val="FootnoteText"/>
      </w:pPr>
      <w:r>
        <w:rPr>
          <w:rStyle w:val="FootnoteReference"/>
        </w:rPr>
        <w:footnoteRef/>
      </w:r>
      <w:r>
        <w:t xml:space="preserve"> For instance, the bid-ask spread for German Bunds more than doubled in March and April, albeit from low levels, while sovereign bond spreads in the euro area increased significantly. At the same time, the Euribor 3m spread over Eonia increased substantially.</w:t>
      </w:r>
    </w:p>
  </w:footnote>
  <w:footnote w:id="112">
    <w:p w:rsidR="00704A93" w:rsidRDefault="005D0BB9">
      <w:pPr>
        <w:pStyle w:val="FootnoteText"/>
      </w:pPr>
      <w:r>
        <w:rPr>
          <w:rStyle w:val="FootnoteReference"/>
        </w:rPr>
        <w:footnoteRef/>
      </w:r>
      <w:r>
        <w:t xml:space="preserve"> Faster corrections were observed in Member States with the highest stock of such loans. In Greece, the NPL ratio has decreased but it still remains the highest across the euro area, around 35%. Similarly, Cyprus has recorded notable improvements that translated into its NPL ratio falling below 20%, In Italy and Portugal the NPL ratio has declined markedly in the last years with moderate reductions in 2019, to below 7%. On this see also the 2021 Alert Mechanism Report (2020).  </w:t>
      </w:r>
    </w:p>
  </w:footnote>
  <w:footnote w:id="113">
    <w:p w:rsidR="00704A93" w:rsidRDefault="005D0BB9">
      <w:pPr>
        <w:pStyle w:val="FootnoteText"/>
      </w:pPr>
      <w:r>
        <w:rPr>
          <w:rStyle w:val="FootnoteReference"/>
        </w:rPr>
        <w:footnoteRef/>
      </w:r>
      <w:r>
        <w:t xml:space="preserve"> The Single Supervisory Mechanism (SSM) announced on 20 March would exercise flexibility regarding the classification of debtors as “unlikely to pay” when banks call on public guarantees granted in the context of coronavirus. Furthermore, a flexible approach would be applied regarding loans under COVID-19 related public moratoriums. </w:t>
      </w:r>
    </w:p>
  </w:footnote>
  <w:footnote w:id="114">
    <w:p w:rsidR="00704A93" w:rsidRDefault="005D0BB9">
      <w:pPr>
        <w:pStyle w:val="FootnoteText"/>
      </w:pPr>
      <w:r>
        <w:rPr>
          <w:rStyle w:val="FootnoteReference"/>
        </w:rPr>
        <w:footnoteRef/>
      </w:r>
      <w:r>
        <w:t xml:space="preserve"> Quarterly data for EU-banks under SSM supervision show a steep decline in those banks’ return on equity in the first half of the year 2020, reaching 0.01% in the second quarter.</w:t>
      </w:r>
    </w:p>
  </w:footnote>
  <w:footnote w:id="115">
    <w:p w:rsidR="00704A93" w:rsidRDefault="005D0BB9">
      <w:pPr>
        <w:pStyle w:val="FootnoteText"/>
        <w:rPr>
          <w:lang w:val="en-US"/>
        </w:rPr>
      </w:pPr>
      <w:r>
        <w:rPr>
          <w:rStyle w:val="FootnoteReference"/>
        </w:rPr>
        <w:footnoteRef/>
      </w:r>
      <w:r>
        <w:t xml:space="preserve"> </w:t>
      </w:r>
      <w:r>
        <w:rPr>
          <w:lang w:val="en-US"/>
        </w:rPr>
        <w:t>In some euro area countries, interest rates on corporate deposits have entered negative territory, thus supporting banks’ net interest margin in an environment of fluctuating asset prices.</w:t>
      </w:r>
    </w:p>
  </w:footnote>
  <w:footnote w:id="116">
    <w:p w:rsidR="00704A93" w:rsidRDefault="005D0BB9">
      <w:pPr>
        <w:pStyle w:val="FootnoteText"/>
      </w:pPr>
      <w:r>
        <w:rPr>
          <w:rStyle w:val="FootnoteReference"/>
        </w:rPr>
        <w:footnoteRef/>
      </w:r>
      <w:r>
        <w:t xml:space="preserve"> While the second quarter saw a considerable loosening of credit standards on corporate loans in the euro area, during the third quarter the opposite direction of standards led to overall unchanged results over the course of the year.</w:t>
      </w:r>
    </w:p>
  </w:footnote>
  <w:footnote w:id="117">
    <w:p w:rsidR="00704A93" w:rsidRDefault="005D0BB9">
      <w:pPr>
        <w:pStyle w:val="FootnoteText"/>
      </w:pPr>
      <w:r>
        <w:rPr>
          <w:rStyle w:val="FootnoteReference"/>
        </w:rPr>
        <w:footnoteRef/>
      </w:r>
      <w:r>
        <w:t xml:space="preserve"> Adjusted for sales and securitisation and the impact of notional cash pooling.</w:t>
      </w:r>
    </w:p>
  </w:footnote>
  <w:footnote w:id="118">
    <w:p w:rsidR="00704A93" w:rsidRDefault="005D0BB9">
      <w:pPr>
        <w:pStyle w:val="FootnoteText"/>
      </w:pPr>
      <w:r>
        <w:rPr>
          <w:rStyle w:val="FootnoteReference"/>
        </w:rPr>
        <w:footnoteRef/>
      </w:r>
      <w:r>
        <w:t xml:space="preserve"> Between 12-18 March, outflows from euro area money market funds were the second highest on record, surpassed only in September 2008.</w:t>
      </w:r>
    </w:p>
  </w:footnote>
  <w:footnote w:id="119">
    <w:p w:rsidR="00704A93" w:rsidRDefault="005D0BB9">
      <w:pPr>
        <w:pStyle w:val="FootnoteText"/>
        <w:rPr>
          <w:lang w:val="en-US"/>
        </w:rPr>
      </w:pPr>
      <w:r>
        <w:rPr>
          <w:rStyle w:val="FootnoteReference"/>
        </w:rPr>
        <w:footnoteRef/>
      </w:r>
      <w:r>
        <w:t xml:space="preserve"> In a typical recession, the decline in corporate fundamentals takes up to three years to translate into higher bank NPLs (see the box entitled “Do corporate fundamentals explain differences in sectoral NPLs?”, Financial Stability Review, ECB, May 2019).</w:t>
      </w:r>
    </w:p>
  </w:footnote>
  <w:footnote w:id="120">
    <w:p w:rsidR="00704A93" w:rsidRDefault="005D0BB9">
      <w:pPr>
        <w:pStyle w:val="FootnoteText"/>
        <w:rPr>
          <w:lang w:val="en-US"/>
        </w:rPr>
      </w:pPr>
      <w:r>
        <w:rPr>
          <w:rStyle w:val="FootnoteReference"/>
        </w:rPr>
        <w:footnoteRef/>
      </w:r>
      <w:r>
        <w:t xml:space="preserve"> </w:t>
      </w:r>
      <w:r>
        <w:rPr>
          <w:lang w:val="en-US"/>
        </w:rPr>
        <w:t xml:space="preserve">ECB Banking Supervision, results overview of “COVID-19 Vulnerability Analysis”, 28 July 2020, </w:t>
      </w:r>
      <w:hyperlink r:id="rId16" w:history="1">
        <w:r>
          <w:rPr>
            <w:rStyle w:val="Hyperlink"/>
            <w:lang w:val="en-US"/>
          </w:rPr>
          <w:t>https://www.bankingsupervision.europa.eu/press/pr/date/2020/html/ssm.pr200728_annex~d36d893ca2.en.pdf</w:t>
        </w:r>
      </w:hyperlink>
      <w:r>
        <w:rPr>
          <w:lang w:val="en-US"/>
        </w:rPr>
        <w:t xml:space="preserve"> </w:t>
      </w:r>
    </w:p>
  </w:footnote>
  <w:footnote w:id="121">
    <w:p w:rsidR="00704A93" w:rsidRDefault="005D0BB9">
      <w:pPr>
        <w:pStyle w:val="FootnoteText"/>
        <w:rPr>
          <w:lang w:val="en-US"/>
        </w:rPr>
      </w:pPr>
      <w:r>
        <w:rPr>
          <w:rStyle w:val="FootnoteReference"/>
        </w:rPr>
        <w:footnoteRef/>
      </w:r>
      <w:r>
        <w:t xml:space="preserve"> Moreover, a worsening of corporates’ financial conditions interacts closely with households’ ability to repay debts, which in turn could reinforce growth of banks’ non-performing assets.</w:t>
      </w:r>
    </w:p>
  </w:footnote>
  <w:footnote w:id="122">
    <w:p w:rsidR="00704A93" w:rsidRDefault="005D0BB9">
      <w:pPr>
        <w:pStyle w:val="FootnoteText"/>
      </w:pPr>
      <w:r>
        <w:rPr>
          <w:rStyle w:val="FootnoteReference"/>
        </w:rPr>
        <w:footnoteRef/>
      </w:r>
      <w:r>
        <w:t xml:space="preserve"> Indeed, according to the 2020Q2 ECB Bank Lending Survey, banks expect their credit standards for non-financial corporations to tighten considerably in the third quarter, closely connected to their expectations of expiring state guarantee schemes for loans in some large euro area countries.</w:t>
      </w:r>
    </w:p>
  </w:footnote>
  <w:footnote w:id="123">
    <w:p w:rsidR="00704A93" w:rsidRDefault="005D0BB9">
      <w:pPr>
        <w:pStyle w:val="FootnoteText"/>
        <w:rPr>
          <w:lang w:val="en-US"/>
        </w:rPr>
      </w:pPr>
      <w:r>
        <w:rPr>
          <w:rStyle w:val="FootnoteReference"/>
        </w:rPr>
        <w:footnoteRef/>
      </w:r>
      <w:r>
        <w:t xml:space="preserve"> According to the ECB, at the end of 2019, euro area non-bank financial institutions (including MMFs) held around EUR 330 billion of high-yield and non-rated and around EUR 280 billion of BBB-rated debt securities issued by euro area NFCs, whereas euro area banks held around EUR 40 billion and EUR 30 billion, respectively. Euro area non-banks also held around EUR 240 billion of debt issued by NFCs belonging to sectors particularly badly hit by the coronavirus-related restrictions. </w:t>
      </w:r>
    </w:p>
  </w:footnote>
  <w:footnote w:id="124">
    <w:p w:rsidR="00704A93" w:rsidRDefault="005D0BB9">
      <w:pPr>
        <w:pStyle w:val="FootnoteText"/>
        <w:rPr>
          <w:lang w:val="en-US"/>
        </w:rPr>
      </w:pPr>
      <w:r>
        <w:rPr>
          <w:rStyle w:val="FootnoteReference"/>
        </w:rPr>
        <w:footnoteRef/>
      </w:r>
      <w:r>
        <w:rPr>
          <w:lang w:val="en-US"/>
        </w:rPr>
        <w:t xml:space="preserve">See </w:t>
      </w:r>
      <w:hyperlink r:id="rId17" w:history="1">
        <w:r>
          <w:rPr>
            <w:rStyle w:val="Hyperlink"/>
            <w:lang w:val="en-US"/>
          </w:rPr>
          <w:t>https://ec.europa.eu/info/sites/info/files/business_economy_euro/banking_and_finance/documents/</w:t>
        </w:r>
      </w:hyperlink>
      <w:r>
        <w:rPr>
          <w:lang w:val="en-US"/>
        </w:rPr>
        <w:t>00714 -best-practices-mitigate-impact-pandemic_en.pdf.</w:t>
      </w:r>
    </w:p>
  </w:footnote>
  <w:footnote w:id="125">
    <w:p w:rsidR="00704A93" w:rsidRDefault="005D0BB9">
      <w:pPr>
        <w:pStyle w:val="FootnoteText"/>
        <w:rPr>
          <w:lang w:val="en-IE"/>
        </w:rPr>
      </w:pPr>
      <w:r>
        <w:rPr>
          <w:rStyle w:val="FootnoteReference"/>
        </w:rPr>
        <w:footnoteRef/>
      </w:r>
      <w:r>
        <w:t xml:space="preserve"> European Central Bank. “The international role of the euro”, June 2020, </w:t>
      </w:r>
      <w:hyperlink r:id="rId18" w:history="1">
        <w:r>
          <w:rPr>
            <w:rStyle w:val="Hyperlink"/>
          </w:rPr>
          <w:t>https://www.ecb.europa.eu/pub /ire/html/ecb.ire202006~81495c263a.en.html</w:t>
        </w:r>
      </w:hyperlink>
      <w:r>
        <w:t>.</w:t>
      </w:r>
    </w:p>
  </w:footnote>
  <w:footnote w:id="126">
    <w:p w:rsidR="00704A93" w:rsidRDefault="005D0BB9">
      <w:pPr>
        <w:pStyle w:val="FootnoteText"/>
      </w:pPr>
      <w:r>
        <w:rPr>
          <w:rStyle w:val="FootnoteReference"/>
        </w:rPr>
        <w:footnoteRef/>
      </w:r>
      <w:r>
        <w:t xml:space="preserve"> See, for example, Political guidelines for the next European Commission 2019-2020. </w:t>
      </w:r>
      <w:hyperlink r:id="rId19" w:history="1">
        <w:r>
          <w:rPr>
            <w:rStyle w:val="Hyperlink"/>
          </w:rPr>
          <w:t>https://ec.europa.eu/commission/sites/beta-political/files/political-guidelines-next-commission_en.pdf</w:t>
        </w:r>
      </w:hyperlink>
      <w:r>
        <w:t xml:space="preserve"> .</w:t>
      </w:r>
    </w:p>
  </w:footnote>
  <w:footnote w:id="127">
    <w:p w:rsidR="00704A93" w:rsidRDefault="005D0BB9">
      <w:pPr>
        <w:pStyle w:val="FootnoteText"/>
        <w:rPr>
          <w:lang w:val="en-US"/>
        </w:rPr>
      </w:pPr>
      <w:r>
        <w:rPr>
          <w:rStyle w:val="FootnoteReference"/>
        </w:rPr>
        <w:footnoteRef/>
      </w:r>
      <w:r>
        <w:t xml:space="preserve"> See, for example, Fitch ratings. ‘EU Recovery Fund Is a Step Towards a More Resilient Eurozone’, 5 August July 2020. https://www.fitchratings.com/research/sovereigns/correct-fitch-ratings-eu-recovery-fund-is-step-towards-more-resilient-eurozone-05-08-2020</w:t>
      </w:r>
      <w:r>
        <w:rPr>
          <w:lang w:val="en-US"/>
        </w:rPr>
        <w:t xml:space="preserve"> and S&amp;P Global ratings. ‘What The EU Recovery Fund Breakthrough Could Mean For Eurozone Sovereign Ratings’. </w:t>
      </w:r>
      <w:hyperlink r:id="rId20" w:history="1">
        <w:r>
          <w:rPr>
            <w:rStyle w:val="Hyperlink"/>
            <w:lang w:val="en-US"/>
          </w:rPr>
          <w:t>https://www.spglobal.com/ratings/en/research/ articles/200722-what-the-eu-recovery-fund-breakthrough-could-mean-for-eurozone-sovereign-ratings-11584176</w:t>
        </w:r>
      </w:hyperlink>
    </w:p>
  </w:footnote>
  <w:footnote w:id="128">
    <w:p w:rsidR="00704A93" w:rsidRDefault="005D0BB9">
      <w:pPr>
        <w:pStyle w:val="FootnoteText"/>
      </w:pPr>
      <w:r>
        <w:rPr>
          <w:rStyle w:val="FootnoteReference"/>
        </w:rPr>
        <w:footnoteRef/>
      </w:r>
      <w:r>
        <w:t xml:space="preserve"> 28% of outstanding EU benchmark issuances are currently held by banks. See European Commission investor presentation of 28 September, </w:t>
      </w:r>
      <w:hyperlink r:id="rId21" w:history="1">
        <w:r>
          <w:rPr>
            <w:rStyle w:val="Hyperlink"/>
          </w:rPr>
          <w:t>https://ec.europa.eu/info/sites/info/files/economy-finance/eu_ investor_ presentation_en.pdf</w:t>
        </w:r>
      </w:hyperlink>
      <w:r>
        <w:t xml:space="preserve">. </w:t>
      </w:r>
    </w:p>
  </w:footnote>
  <w:footnote w:id="129">
    <w:p w:rsidR="00704A93" w:rsidRDefault="005D0BB9">
      <w:pPr>
        <w:pStyle w:val="FootnoteText"/>
      </w:pPr>
      <w:r>
        <w:rPr>
          <w:rStyle w:val="FootnoteReference"/>
        </w:rPr>
        <w:footnoteRef/>
      </w:r>
      <w:r>
        <w:t xml:space="preserve"> See, for instance, ECB (2020). “Financial Integration and Structure in the Euro Area”, March 2020.</w:t>
      </w:r>
    </w:p>
  </w:footnote>
  <w:footnote w:id="130">
    <w:p w:rsidR="00704A93" w:rsidRDefault="005D0BB9">
      <w:pPr>
        <w:pStyle w:val="FootnoteText"/>
        <w:rPr>
          <w:lang w:val="en-IE"/>
        </w:rPr>
      </w:pPr>
      <w:r>
        <w:rPr>
          <w:rStyle w:val="FootnoteReference"/>
        </w:rPr>
        <w:footnoteRef/>
      </w:r>
      <w:r>
        <w:t xml:space="preserve"> See </w:t>
      </w:r>
      <w:r>
        <w:rPr>
          <w:lang w:val="en-IE"/>
        </w:rPr>
        <w:t>COM(2020) 591 final, “</w:t>
      </w:r>
      <w:r>
        <w:t xml:space="preserve">Communication on a </w:t>
      </w:r>
      <w:r>
        <w:rPr>
          <w:lang w:val="en-IE"/>
        </w:rPr>
        <w:t xml:space="preserve">Digital Finance Strategy for the EU”, 24 September 2020. </w:t>
      </w:r>
      <w:hyperlink r:id="rId22" w:history="1">
        <w:r>
          <w:rPr>
            <w:rStyle w:val="Hyperlink"/>
            <w:lang w:val="en-IE"/>
          </w:rPr>
          <w:t>https://eur-lex.europa.eu/legal-content/EN/TXT/PDF/?uri=CELEX:52020DC0591&amp;from=EN</w:t>
        </w:r>
      </w:hyperlink>
      <w:r>
        <w:rPr>
          <w:rStyle w:val="Hyperlink"/>
          <w:lang w:val="en-IE"/>
        </w:rPr>
        <w:t>.</w:t>
      </w:r>
      <w:r>
        <w:rPr>
          <w:lang w:val="en-IE"/>
        </w:rPr>
        <w:t xml:space="preserve"> </w:t>
      </w:r>
    </w:p>
  </w:footnote>
  <w:footnote w:id="131">
    <w:p w:rsidR="00704A93" w:rsidRDefault="005D0BB9">
      <w:pPr>
        <w:pStyle w:val="FootnoteText"/>
        <w:rPr>
          <w:lang w:val="en-IE"/>
        </w:rPr>
      </w:pPr>
      <w:r>
        <w:rPr>
          <w:rStyle w:val="FootnoteReference"/>
        </w:rPr>
        <w:footnoteRef/>
      </w:r>
      <w:r>
        <w:t xml:space="preserve"> See COM(2020) 592 final, “Communication on a Retail Payment Strategy for the EU”, 24 September 2020. </w:t>
      </w:r>
      <w:hyperlink r:id="rId23" w:history="1">
        <w:r>
          <w:rPr>
            <w:rStyle w:val="Hyperlink"/>
          </w:rPr>
          <w:t>https://eur-lex.europa.eu/legal-content/EN/TXT/PDF/?uri=CELEX:52020DC0592&amp;from=EN</w:t>
        </w:r>
      </w:hyperlink>
      <w:r>
        <w:t>.</w:t>
      </w:r>
    </w:p>
  </w:footnote>
  <w:footnote w:id="132">
    <w:p w:rsidR="00704A93" w:rsidRDefault="005D0BB9">
      <w:pPr>
        <w:pStyle w:val="FootnoteText"/>
        <w:rPr>
          <w:lang w:val="de-DE"/>
        </w:rPr>
      </w:pPr>
      <w:r>
        <w:rPr>
          <w:rStyle w:val="FootnoteReference"/>
        </w:rPr>
        <w:footnoteRef/>
      </w:r>
      <w:r>
        <w:t xml:space="preserve"> See ECB, “Report on a digital euro”, October 2020. </w:t>
      </w:r>
      <w:hyperlink r:id="rId24" w:history="1">
        <w:r>
          <w:rPr>
            <w:rStyle w:val="Hyperlink"/>
            <w:lang w:val="de-DE"/>
          </w:rPr>
          <w:t>https://www.ecb.europa.eu/pub/pdf/other/Report_on_a_ digital_euro~4d7268b458.en.pdf</w:t>
        </w:r>
      </w:hyperlink>
      <w:r>
        <w:rPr>
          <w:rStyle w:val="Hyperlink"/>
          <w:lang w:val="de-DE"/>
        </w:rPr>
        <w:t>.</w:t>
      </w:r>
      <w:r>
        <w:rPr>
          <w:lang w:val="de-DE"/>
        </w:rPr>
        <w:t xml:space="preserve"> </w:t>
      </w:r>
    </w:p>
  </w:footnote>
  <w:footnote w:id="133">
    <w:p w:rsidR="00704A93" w:rsidRDefault="005D0BB9">
      <w:pPr>
        <w:pStyle w:val="FootnoteText"/>
        <w:rPr>
          <w:color w:val="0563C1" w:themeColor="hyperlink"/>
          <w:u w:val="single"/>
        </w:rPr>
      </w:pPr>
      <w:r>
        <w:rPr>
          <w:rStyle w:val="FootnoteReference"/>
        </w:rPr>
        <w:footnoteRef/>
      </w:r>
      <w:r>
        <w:t xml:space="preserve"> See “A new vision for Europe’s capital markets”, Final report of the High Level Forum on the Capital Markets Union, June 2020,  </w:t>
      </w:r>
      <w:hyperlink r:id="rId25" w:history="1">
        <w:r>
          <w:rPr>
            <w:rStyle w:val="Hyperlink"/>
          </w:rPr>
          <w:t>https://ec.europa.eu/info/sites/info/files /business_economy_euro/ growth_ and_ investment/ documents/200610-cmu-high-level-forum-final-report_en.pdf</w:t>
        </w:r>
      </w:hyperlink>
      <w:r>
        <w:rPr>
          <w:rStyle w:val="Hyperlink"/>
        </w:rPr>
        <w:t>.</w:t>
      </w:r>
    </w:p>
  </w:footnote>
  <w:footnote w:id="134">
    <w:p w:rsidR="00704A93" w:rsidRDefault="005D0BB9">
      <w:pPr>
        <w:pStyle w:val="FootnoteText"/>
        <w:rPr>
          <w:lang w:val="en-IE"/>
        </w:rPr>
      </w:pPr>
      <w:r>
        <w:rPr>
          <w:rStyle w:val="FootnoteReference"/>
        </w:rPr>
        <w:footnoteRef/>
      </w:r>
      <w:r>
        <w:t xml:space="preserve"> The Single Resolution Fund (SRF) may be used to ensure the efficient application of resolution tools and it is financed by the banking sector. A common backstop to the SRF is an essential element to ensure that the EU's single resolution mechanism is sufficiently robust and maintains real credibility. If the Single Resolution Fund were to lack the resources needed to deal with a bank crisis, a reserve of additional funds would be available from which it can borrow as a last resort.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A93" w:rsidRDefault="00704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4101"/>
    <w:multiLevelType w:val="hybridMultilevel"/>
    <w:tmpl w:val="FE244A88"/>
    <w:lvl w:ilvl="0" w:tplc="0242127C">
      <w:start w:val="1"/>
      <w:numFmt w:val="bullet"/>
      <w:lvlText w:val=""/>
      <w:lvlJc w:val="left"/>
      <w:pPr>
        <w:ind w:left="720" w:hanging="360"/>
      </w:pPr>
      <w:rPr>
        <w:rFonts w:ascii="Symbol" w:hAnsi="Symbol" w:hint="default"/>
        <w:lang w:val="en-I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6EE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437376"/>
    <w:multiLevelType w:val="hybridMultilevel"/>
    <w:tmpl w:val="6FCA2C50"/>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64FBE"/>
    <w:multiLevelType w:val="multilevel"/>
    <w:tmpl w:val="EAFC6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C6549"/>
    <w:multiLevelType w:val="hybridMultilevel"/>
    <w:tmpl w:val="8AA929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386051"/>
    <w:multiLevelType w:val="hybridMultilevel"/>
    <w:tmpl w:val="B75C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A5318"/>
    <w:multiLevelType w:val="multilevel"/>
    <w:tmpl w:val="895C0B5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AE5833"/>
    <w:multiLevelType w:val="hybridMultilevel"/>
    <w:tmpl w:val="452C2556"/>
    <w:lvl w:ilvl="0" w:tplc="08090001">
      <w:start w:val="1"/>
      <w:numFmt w:val="bullet"/>
      <w:lvlText w:val=""/>
      <w:lvlJc w:val="left"/>
      <w:pPr>
        <w:ind w:left="720" w:hanging="360"/>
      </w:pPr>
      <w:rPr>
        <w:rFonts w:ascii="Symbol" w:hAnsi="Symbol" w:hint="default"/>
      </w:rPr>
    </w:lvl>
    <w:lvl w:ilvl="1" w:tplc="AD202E56">
      <w:start w:val="1"/>
      <w:numFmt w:val="bullet"/>
      <w:lvlText w:val="o"/>
      <w:lvlJc w:val="left"/>
      <w:pPr>
        <w:ind w:left="1440" w:hanging="360"/>
      </w:pPr>
      <w:rPr>
        <w:rFonts w:ascii="Courier New" w:hAnsi="Courier New" w:cs="Courier New" w:hint="default"/>
        <w:lang w:val="en-G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E7C25"/>
    <w:multiLevelType w:val="hybridMultilevel"/>
    <w:tmpl w:val="CD0C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152A1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A17CDB"/>
    <w:multiLevelType w:val="hybridMultilevel"/>
    <w:tmpl w:val="5F70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F6EE1"/>
    <w:multiLevelType w:val="hybridMultilevel"/>
    <w:tmpl w:val="C2E8E6CE"/>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B1C5E"/>
    <w:multiLevelType w:val="hybridMultilevel"/>
    <w:tmpl w:val="F556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83277"/>
    <w:multiLevelType w:val="hybridMultilevel"/>
    <w:tmpl w:val="E4949398"/>
    <w:lvl w:ilvl="0" w:tplc="958A460C">
      <w:start w:val="1"/>
      <w:numFmt w:val="decimal"/>
      <w:pStyle w:val="Heading1"/>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901653C"/>
    <w:multiLevelType w:val="hybridMultilevel"/>
    <w:tmpl w:val="A38CB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A65D0"/>
    <w:multiLevelType w:val="hybridMultilevel"/>
    <w:tmpl w:val="C94CDEA6"/>
    <w:lvl w:ilvl="0" w:tplc="54281A9A">
      <w:start w:val="1"/>
      <w:numFmt w:val="decimal"/>
      <w:lvlText w:val="(%1)"/>
      <w:lvlJc w:val="left"/>
      <w:pPr>
        <w:ind w:left="992" w:hanging="85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D74DD2"/>
    <w:multiLevelType w:val="hybridMultilevel"/>
    <w:tmpl w:val="966E7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394C87"/>
    <w:multiLevelType w:val="hybridMultilevel"/>
    <w:tmpl w:val="1E86754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250B408B"/>
    <w:multiLevelType w:val="hybridMultilevel"/>
    <w:tmpl w:val="947C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76913"/>
    <w:multiLevelType w:val="hybridMultilevel"/>
    <w:tmpl w:val="65B2E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C51A1"/>
    <w:multiLevelType w:val="hybridMultilevel"/>
    <w:tmpl w:val="A6F0AF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0CF369C"/>
    <w:multiLevelType w:val="multilevel"/>
    <w:tmpl w:val="89E6A0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31B53204"/>
    <w:multiLevelType w:val="hybridMultilevel"/>
    <w:tmpl w:val="E69A516C"/>
    <w:lvl w:ilvl="0" w:tplc="1BF84476">
      <w:start w:val="5"/>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2FD44AA"/>
    <w:multiLevelType w:val="multilevel"/>
    <w:tmpl w:val="6DA0076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7CB2927"/>
    <w:multiLevelType w:val="hybridMultilevel"/>
    <w:tmpl w:val="D1E0FF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FC7956"/>
    <w:multiLevelType w:val="hybridMultilevel"/>
    <w:tmpl w:val="61C08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71245D"/>
    <w:multiLevelType w:val="hybridMultilevel"/>
    <w:tmpl w:val="7172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353B7"/>
    <w:multiLevelType w:val="hybridMultilevel"/>
    <w:tmpl w:val="E96453C4"/>
    <w:lvl w:ilvl="0" w:tplc="86DC0D4E">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D161B03"/>
    <w:multiLevelType w:val="hybridMultilevel"/>
    <w:tmpl w:val="048CCFE2"/>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222AA4"/>
    <w:multiLevelType w:val="hybridMultilevel"/>
    <w:tmpl w:val="3CD66CF0"/>
    <w:lvl w:ilvl="0" w:tplc="A6988956">
      <w:start w:val="12"/>
      <w:numFmt w:val="bullet"/>
      <w:lvlText w:val="-"/>
      <w:lvlJc w:val="left"/>
      <w:pPr>
        <w:ind w:left="720" w:hanging="360"/>
      </w:pPr>
      <w:rPr>
        <w:rFonts w:ascii="Times New Roman" w:eastAsia="Times New Roman" w:hAnsi="Times New Roman" w:cs="Times New Roman" w:hint="default"/>
        <w:i/>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E64AA2"/>
    <w:multiLevelType w:val="multilevel"/>
    <w:tmpl w:val="C11AA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1826AB"/>
    <w:multiLevelType w:val="multilevel"/>
    <w:tmpl w:val="30E06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D8347D"/>
    <w:multiLevelType w:val="hybridMultilevel"/>
    <w:tmpl w:val="5E2C356E"/>
    <w:lvl w:ilvl="0" w:tplc="915A9F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103E06"/>
    <w:multiLevelType w:val="hybridMultilevel"/>
    <w:tmpl w:val="7FB4AB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2436682"/>
    <w:multiLevelType w:val="hybridMultilevel"/>
    <w:tmpl w:val="672692AC"/>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5" w15:restartNumberingAfterBreak="0">
    <w:nsid w:val="641372FB"/>
    <w:multiLevelType w:val="hybridMultilevel"/>
    <w:tmpl w:val="C892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F9595F"/>
    <w:multiLevelType w:val="hybridMultilevel"/>
    <w:tmpl w:val="716A8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F0653"/>
    <w:multiLevelType w:val="hybridMultilevel"/>
    <w:tmpl w:val="60C25CF4"/>
    <w:lvl w:ilvl="0" w:tplc="FE2EC1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92256C"/>
    <w:multiLevelType w:val="hybridMultilevel"/>
    <w:tmpl w:val="965CB840"/>
    <w:lvl w:ilvl="0" w:tplc="E5F0B5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C817FB"/>
    <w:multiLevelType w:val="hybridMultilevel"/>
    <w:tmpl w:val="27A43E8E"/>
    <w:lvl w:ilvl="0" w:tplc="105638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2355A"/>
    <w:multiLevelType w:val="hybridMultilevel"/>
    <w:tmpl w:val="98822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9A0337"/>
    <w:multiLevelType w:val="hybridMultilevel"/>
    <w:tmpl w:val="F3B0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46485"/>
    <w:multiLevelType w:val="multilevel"/>
    <w:tmpl w:val="30C6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AC3BF8"/>
    <w:multiLevelType w:val="hybridMultilevel"/>
    <w:tmpl w:val="5E2C356E"/>
    <w:lvl w:ilvl="0" w:tplc="915A9F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lvlOverride w:ilvl="0">
      <w:startOverride w:val="1"/>
    </w:lvlOverride>
  </w:num>
  <w:num w:numId="3">
    <w:abstractNumId w:val="42"/>
    <w:lvlOverride w:ilvl="0">
      <w:startOverride w:val="1"/>
    </w:lvlOverride>
  </w:num>
  <w:num w:numId="4">
    <w:abstractNumId w:val="8"/>
  </w:num>
  <w:num w:numId="5">
    <w:abstractNumId w:val="7"/>
  </w:num>
  <w:num w:numId="6">
    <w:abstractNumId w:val="35"/>
  </w:num>
  <w:num w:numId="7">
    <w:abstractNumId w:val="41"/>
  </w:num>
  <w:num w:numId="8">
    <w:abstractNumId w:val="4"/>
  </w:num>
  <w:num w:numId="9">
    <w:abstractNumId w:val="18"/>
  </w:num>
  <w:num w:numId="10">
    <w:abstractNumId w:val="0"/>
  </w:num>
  <w:num w:numId="11">
    <w:abstractNumId w:val="19"/>
  </w:num>
  <w:num w:numId="12">
    <w:abstractNumId w:val="39"/>
  </w:num>
  <w:num w:numId="13">
    <w:abstractNumId w:val="36"/>
  </w:num>
  <w:num w:numId="14">
    <w:abstractNumId w:val="27"/>
  </w:num>
  <w:num w:numId="15">
    <w:abstractNumId w:val="10"/>
  </w:num>
  <w:num w:numId="16">
    <w:abstractNumId w:val="14"/>
  </w:num>
  <w:num w:numId="17">
    <w:abstractNumId w:val="25"/>
  </w:num>
  <w:num w:numId="18">
    <w:abstractNumId w:val="26"/>
  </w:num>
  <w:num w:numId="19">
    <w:abstractNumId w:val="32"/>
  </w:num>
  <w:num w:numId="20">
    <w:abstractNumId w:val="31"/>
  </w:num>
  <w:num w:numId="21">
    <w:abstractNumId w:val="6"/>
  </w:num>
  <w:num w:numId="22">
    <w:abstractNumId w:val="38"/>
  </w:num>
  <w:num w:numId="23">
    <w:abstractNumId w:val="11"/>
  </w:num>
  <w:num w:numId="24">
    <w:abstractNumId w:val="21"/>
  </w:num>
  <w:num w:numId="25">
    <w:abstractNumId w:val="28"/>
  </w:num>
  <w:num w:numId="26">
    <w:abstractNumId w:val="30"/>
  </w:num>
  <w:num w:numId="27">
    <w:abstractNumId w:val="13"/>
  </w:num>
  <w:num w:numId="28">
    <w:abstractNumId w:val="20"/>
  </w:num>
  <w:num w:numId="29">
    <w:abstractNumId w:val="1"/>
  </w:num>
  <w:num w:numId="30">
    <w:abstractNumId w:val="9"/>
  </w:num>
  <w:num w:numId="31">
    <w:abstractNumId w:val="5"/>
  </w:num>
  <w:num w:numId="32">
    <w:abstractNumId w:val="24"/>
  </w:num>
  <w:num w:numId="33">
    <w:abstractNumId w:val="29"/>
  </w:num>
  <w:num w:numId="34">
    <w:abstractNumId w:val="16"/>
  </w:num>
  <w:num w:numId="35">
    <w:abstractNumId w:val="17"/>
  </w:num>
  <w:num w:numId="36">
    <w:abstractNumId w:val="43"/>
  </w:num>
  <w:num w:numId="37">
    <w:abstractNumId w:val="40"/>
  </w:num>
  <w:num w:numId="38">
    <w:abstractNumId w:val="2"/>
  </w:num>
  <w:num w:numId="39">
    <w:abstractNumId w:val="12"/>
  </w:num>
  <w:num w:numId="40">
    <w:abstractNumId w:val="37"/>
  </w:num>
  <w:num w:numId="41">
    <w:abstractNumId w:val="34"/>
  </w:num>
  <w:num w:numId="42">
    <w:abstractNumId w:val="15"/>
  </w:num>
  <w:num w:numId="43">
    <w:abstractNumId w:val="22"/>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es-ES_tradnl"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da-DK" w:vendorID="64" w:dllVersion="131078" w:nlCheck="1" w:checkStyle="0"/>
  <w:defaultTabStop w:val="720"/>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CBBFC2C-D6D9-4B09-A104-307F42BD253D"/>
    <w:docVar w:name="LW_COVERPAGE_TYPE" w:val="1"/>
    <w:docVar w:name="LW_CROSSREFERENCE" w:val="{COM(2020) 746 final}"/>
    <w:docVar w:name="LW_DocType" w:val="NORMAL"/>
    <w:docVar w:name="LW_EMISSION" w:val="18.11.2020"/>
    <w:docVar w:name="LW_EMISSION_ISODATE" w:val="2020-11-1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economic policy of the euro area"/>
    <w:docVar w:name="LW_PART_NBR" w:val="1"/>
    <w:docVar w:name="LW_PART_NBR_TOTAL" w:val="1"/>
    <w:docVar w:name="LW_REF.INST.NEW" w:val="SWD"/>
    <w:docVar w:name="LW_REF.INST.NEW_ADOPTED" w:val="final"/>
    <w:docVar w:name="LW_REF.INST.NEW_TEXT" w:val="(2020) 27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nalysis of the euro area economy"/>
    <w:docVar w:name="LW_TYPE.DOC.CP" w:val="COMMISSION STAFF WORKING DOCUMENT"/>
    <w:docVar w:name="LW_TYPEACTEPRINCIPAL.CP" w:val="Recommendation for a COUNCIL RECOMMENDATION"/>
  </w:docVars>
  <w:rsids>
    <w:rsidRoot w:val="00704A93"/>
    <w:rsid w:val="0018270F"/>
    <w:rsid w:val="005D0BB9"/>
    <w:rsid w:val="00704A93"/>
    <w:rsid w:val="00A75720"/>
    <w:rsid w:val="00EE6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11BA17B-4E40-4300-9599-E23CA5C1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9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link w:val="Heading1Char"/>
    <w:uiPriority w:val="9"/>
    <w:qFormat/>
    <w:pPr>
      <w:numPr>
        <w:numId w:val="27"/>
      </w:numPr>
      <w:spacing w:before="100" w:beforeAutospacing="1" w:after="100" w:afterAutospacing="1"/>
      <w:jc w:val="left"/>
      <w:outlineLvl w:val="0"/>
    </w:pPr>
    <w:rPr>
      <w:b/>
      <w:bCs/>
      <w:kern w:val="36"/>
      <w:szCs w:val="24"/>
      <w:u w:val="single"/>
      <w:lang w:val="en-US"/>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paragraph" w:styleId="ListParagraph">
    <w:name w:val="List Paragraph"/>
    <w:aliases w:val="1st level - Bullet List Paragraph,List Paragraph1,Lettre d'introduction,Paragrafo elenco,Medium Grid 1 - Accent 21,2,H&amp;P List Paragraph,Heading 2_sj,Számozott lista 1,LISTA,Listaszerű bekezdés1,Dot pt,No Spacing1,Indicator Text,Bullet 1,L"/>
    <w:basedOn w:val="Normal"/>
    <w:link w:val="ListParagraphChar"/>
    <w:uiPriority w:val="34"/>
    <w:qFormat/>
    <w:pPr>
      <w:ind w:left="720"/>
      <w:contextualSpacing/>
    </w:p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uiPriority w:val="99"/>
    <w:unhideWhenUsed/>
    <w:qFormat/>
    <w:pPr>
      <w:spacing w:after="0"/>
    </w:pPr>
    <w:rPr>
      <w:sz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number,Times 10 Point,Exposant 3 Point,Footnote symbol,EN Footnote Reference,note TESI,Footnote Reference_LVL6,Footnote Reference_LVL61,Footnote Reference_LVL62,Footnote Reference_LVL63,E...,E FNZ, Exposant 3 Point"/>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A12">
    <w:name w:val="A12"/>
    <w:uiPriority w:val="99"/>
    <w:rPr>
      <w:rFonts w:cs="Adobe Garamond Pro"/>
      <w:color w:val="000000"/>
      <w:sz w:val="14"/>
      <w:szCs w:val="14"/>
    </w:rPr>
  </w:style>
  <w:style w:type="character" w:styleId="Strong">
    <w:name w:val="Strong"/>
    <w:basedOn w:val="DefaultParagraphFont"/>
    <w:uiPriority w:val="22"/>
    <w:qFormat/>
    <w:rPr>
      <w:b/>
      <w:bCs/>
    </w:rPr>
  </w:style>
  <w:style w:type="character" w:customStyle="1" w:styleId="A11">
    <w:name w:val="A11"/>
    <w:uiPriority w:val="99"/>
    <w:rPr>
      <w:rFonts w:cs="Myriad Pro Light"/>
      <w:i/>
      <w:iCs/>
      <w:color w:val="000000"/>
      <w:sz w:val="28"/>
      <w:szCs w:val="28"/>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jc w:val="left"/>
    </w:pPr>
    <w:rPr>
      <w:szCs w:val="24"/>
      <w:lang w:val="en-US"/>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24"/>
      <w:szCs w:val="24"/>
      <w:u w:val="single"/>
      <w:lang w:val="en-US"/>
    </w:rPr>
  </w:style>
  <w:style w:type="character" w:customStyle="1" w:styleId="webback-to-top">
    <w:name w:val="web_back-to-top"/>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customStyle="1" w:styleId="ListParagraphChar">
    <w:name w:val="List Paragraph Char"/>
    <w:aliases w:val="1st level - Bullet List Paragraph Char,List Paragraph1 Char,Lettre d'introduction Char,Paragrafo elenco Char,Medium Grid 1 - Accent 21 Char,2 Char,H&amp;P List Paragraph Char,Heading 2_sj Char,Számozott lista 1 Char,LISTA Char,L Char"/>
    <w:link w:val="ListParagraph"/>
    <w:uiPriority w:val="34"/>
    <w:qFormat/>
    <w:rPr>
      <w:rFonts w:ascii="Times New Roman" w:eastAsia="Times New Roman" w:hAnsi="Times New Roman" w:cs="Times New Roman"/>
      <w:sz w:val="24"/>
      <w:szCs w:val="20"/>
    </w:rPr>
  </w:style>
  <w:style w:type="paragraph" w:styleId="Caption">
    <w:name w:val="caption"/>
    <w:basedOn w:val="Normal"/>
    <w:next w:val="Normal"/>
    <w:uiPriority w:val="35"/>
    <w:qFormat/>
    <w:pPr>
      <w:spacing w:before="160"/>
    </w:pPr>
    <w:rPr>
      <w:i/>
      <w:sz w:val="22"/>
      <w:lang w:eastAsia="en-IE"/>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4"/>
    </w:rPr>
  </w:style>
  <w:style w:type="paragraph" w:styleId="TOCHeading">
    <w:name w:val="TOC Heading"/>
    <w:basedOn w:val="Heading1"/>
    <w:next w:val="Normal"/>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pPr>
      <w:tabs>
        <w:tab w:val="left" w:pos="440"/>
        <w:tab w:val="right" w:leader="dot" w:pos="9016"/>
      </w:tabs>
      <w:spacing w:after="100"/>
    </w:pPr>
  </w:style>
  <w:style w:type="paragraph" w:styleId="TOC2">
    <w:name w:val="toc 2"/>
    <w:basedOn w:val="Normal"/>
    <w:next w:val="Normal"/>
    <w:autoRedefine/>
    <w:uiPriority w:val="39"/>
    <w:unhideWhenUsed/>
    <w:pPr>
      <w:tabs>
        <w:tab w:val="right" w:leader="dot" w:pos="9016"/>
      </w:tabs>
      <w:spacing w:after="100"/>
      <w:ind w:left="240"/>
    </w:p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paragraph" w:customStyle="1" w:styleId="ManualNumPar1">
    <w:name w:val="Manual NumPar 1"/>
    <w:basedOn w:val="Normal"/>
    <w:next w:val="Normal"/>
    <w:pPr>
      <w:spacing w:before="120" w:after="120"/>
      <w:ind w:left="850" w:hanging="850"/>
    </w:pPr>
    <w:rPr>
      <w:rFonts w:eastAsiaTheme="minorHAnsi"/>
      <w:szCs w:val="22"/>
    </w:rPr>
  </w:style>
  <w:style w:type="character" w:customStyle="1" w:styleId="websearch-marked">
    <w:name w:val="web_search-marked"/>
    <w:basedOn w:val="DefaultParagraphFont"/>
  </w:style>
  <w:style w:type="character" w:customStyle="1" w:styleId="footnotereference0">
    <w:name w:val="footnotereference"/>
    <w:basedOn w:val="DefaultParagraphFont"/>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jc w:val="left"/>
    </w:pPr>
    <w:rPr>
      <w:szCs w:val="24"/>
      <w:lang w:val="en-US"/>
    </w:rPr>
  </w:style>
  <w:style w:type="character" w:customStyle="1" w:styleId="eop">
    <w:name w:val="eop"/>
    <w:basedOn w:val="DefaultParagraphFont"/>
  </w:style>
  <w:style w:type="paragraph" w:customStyle="1" w:styleId="Point0">
    <w:name w:val="Point 0"/>
    <w:basedOn w:val="Normal"/>
    <w:pPr>
      <w:spacing w:before="120" w:after="120"/>
      <w:ind w:left="850" w:hanging="850"/>
    </w:pPr>
    <w:rPr>
      <w:rFonts w:eastAsiaTheme="minorHAnsi"/>
      <w:szCs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360"/>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bCs w:val="0"/>
      <w:kern w:val="36"/>
      <w:sz w:val="24"/>
      <w:szCs w:val="20"/>
      <w:u w:val="single"/>
      <w:lang w:val="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360"/>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bCs w:val="0"/>
      <w:kern w:val="36"/>
      <w:sz w:val="32"/>
      <w:szCs w:val="20"/>
      <w:u w:val="single"/>
      <w:lang w:val="en-US"/>
    </w:rPr>
  </w:style>
  <w:style w:type="paragraph" w:customStyle="1" w:styleId="HeaderCoverPage">
    <w:name w:val="Header Cover Page"/>
    <w:basedOn w:val="Normal"/>
    <w:link w:val="HeaderCoverPageChar"/>
    <w:pPr>
      <w:tabs>
        <w:tab w:val="center" w:pos="4535"/>
        <w:tab w:val="right" w:pos="9071"/>
      </w:tabs>
      <w:spacing w:after="120"/>
      <w:ind w:hanging="360"/>
    </w:pPr>
  </w:style>
  <w:style w:type="character" w:customStyle="1" w:styleId="HeaderCoverPageChar">
    <w:name w:val="Header Cover Page Char"/>
    <w:basedOn w:val="Heading1Char"/>
    <w:link w:val="HeaderCoverPage"/>
    <w:rPr>
      <w:rFonts w:ascii="Times New Roman" w:eastAsia="Times New Roman" w:hAnsi="Times New Roman" w:cs="Times New Roman"/>
      <w:b w:val="0"/>
      <w:bCs w:val="0"/>
      <w:kern w:val="36"/>
      <w:sz w:val="24"/>
      <w:szCs w:val="20"/>
      <w:u w:val="single"/>
      <w:lang w:val="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360"/>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bCs w:val="0"/>
      <w:kern w:val="36"/>
      <w:sz w:val="32"/>
      <w:szCs w:val="20"/>
      <w:u w:val="single"/>
      <w:lang w:val="en-US"/>
    </w:rPr>
  </w:style>
  <w:style w:type="paragraph" w:customStyle="1" w:styleId="HeaderSensitivityRight">
    <w:name w:val="Header Sensitivity Right"/>
    <w:basedOn w:val="Normal"/>
    <w:link w:val="HeaderSensitivityRightChar"/>
    <w:pPr>
      <w:spacing w:after="120"/>
      <w:ind w:hanging="360"/>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bCs w:val="0"/>
      <w:kern w:val="36"/>
      <w:sz w:val="28"/>
      <w:szCs w:val="2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7502">
      <w:bodyDiv w:val="1"/>
      <w:marLeft w:val="0"/>
      <w:marRight w:val="0"/>
      <w:marTop w:val="0"/>
      <w:marBottom w:val="0"/>
      <w:divBdr>
        <w:top w:val="none" w:sz="0" w:space="0" w:color="auto"/>
        <w:left w:val="none" w:sz="0" w:space="0" w:color="auto"/>
        <w:bottom w:val="none" w:sz="0" w:space="0" w:color="auto"/>
        <w:right w:val="none" w:sz="0" w:space="0" w:color="auto"/>
      </w:divBdr>
    </w:div>
    <w:div w:id="23405691">
      <w:bodyDiv w:val="1"/>
      <w:marLeft w:val="0"/>
      <w:marRight w:val="0"/>
      <w:marTop w:val="0"/>
      <w:marBottom w:val="0"/>
      <w:divBdr>
        <w:top w:val="none" w:sz="0" w:space="0" w:color="auto"/>
        <w:left w:val="none" w:sz="0" w:space="0" w:color="auto"/>
        <w:bottom w:val="none" w:sz="0" w:space="0" w:color="auto"/>
        <w:right w:val="none" w:sz="0" w:space="0" w:color="auto"/>
      </w:divBdr>
    </w:div>
    <w:div w:id="42146056">
      <w:bodyDiv w:val="1"/>
      <w:marLeft w:val="0"/>
      <w:marRight w:val="0"/>
      <w:marTop w:val="0"/>
      <w:marBottom w:val="0"/>
      <w:divBdr>
        <w:top w:val="none" w:sz="0" w:space="0" w:color="auto"/>
        <w:left w:val="none" w:sz="0" w:space="0" w:color="auto"/>
        <w:bottom w:val="none" w:sz="0" w:space="0" w:color="auto"/>
        <w:right w:val="none" w:sz="0" w:space="0" w:color="auto"/>
      </w:divBdr>
    </w:div>
    <w:div w:id="48120035">
      <w:bodyDiv w:val="1"/>
      <w:marLeft w:val="0"/>
      <w:marRight w:val="0"/>
      <w:marTop w:val="0"/>
      <w:marBottom w:val="0"/>
      <w:divBdr>
        <w:top w:val="none" w:sz="0" w:space="0" w:color="auto"/>
        <w:left w:val="none" w:sz="0" w:space="0" w:color="auto"/>
        <w:bottom w:val="none" w:sz="0" w:space="0" w:color="auto"/>
        <w:right w:val="none" w:sz="0" w:space="0" w:color="auto"/>
      </w:divBdr>
    </w:div>
    <w:div w:id="96412768">
      <w:bodyDiv w:val="1"/>
      <w:marLeft w:val="0"/>
      <w:marRight w:val="0"/>
      <w:marTop w:val="0"/>
      <w:marBottom w:val="0"/>
      <w:divBdr>
        <w:top w:val="none" w:sz="0" w:space="0" w:color="auto"/>
        <w:left w:val="none" w:sz="0" w:space="0" w:color="auto"/>
        <w:bottom w:val="none" w:sz="0" w:space="0" w:color="auto"/>
        <w:right w:val="none" w:sz="0" w:space="0" w:color="auto"/>
      </w:divBdr>
    </w:div>
    <w:div w:id="106973816">
      <w:bodyDiv w:val="1"/>
      <w:marLeft w:val="0"/>
      <w:marRight w:val="0"/>
      <w:marTop w:val="0"/>
      <w:marBottom w:val="0"/>
      <w:divBdr>
        <w:top w:val="none" w:sz="0" w:space="0" w:color="auto"/>
        <w:left w:val="none" w:sz="0" w:space="0" w:color="auto"/>
        <w:bottom w:val="none" w:sz="0" w:space="0" w:color="auto"/>
        <w:right w:val="none" w:sz="0" w:space="0" w:color="auto"/>
      </w:divBdr>
    </w:div>
    <w:div w:id="141167236">
      <w:bodyDiv w:val="1"/>
      <w:marLeft w:val="0"/>
      <w:marRight w:val="0"/>
      <w:marTop w:val="0"/>
      <w:marBottom w:val="0"/>
      <w:divBdr>
        <w:top w:val="none" w:sz="0" w:space="0" w:color="auto"/>
        <w:left w:val="none" w:sz="0" w:space="0" w:color="auto"/>
        <w:bottom w:val="none" w:sz="0" w:space="0" w:color="auto"/>
        <w:right w:val="none" w:sz="0" w:space="0" w:color="auto"/>
      </w:divBdr>
    </w:div>
    <w:div w:id="202834829">
      <w:bodyDiv w:val="1"/>
      <w:marLeft w:val="0"/>
      <w:marRight w:val="0"/>
      <w:marTop w:val="0"/>
      <w:marBottom w:val="0"/>
      <w:divBdr>
        <w:top w:val="none" w:sz="0" w:space="0" w:color="auto"/>
        <w:left w:val="none" w:sz="0" w:space="0" w:color="auto"/>
        <w:bottom w:val="none" w:sz="0" w:space="0" w:color="auto"/>
        <w:right w:val="none" w:sz="0" w:space="0" w:color="auto"/>
      </w:divBdr>
      <w:divsChild>
        <w:div w:id="1015111062">
          <w:marLeft w:val="0"/>
          <w:marRight w:val="0"/>
          <w:marTop w:val="0"/>
          <w:marBottom w:val="0"/>
          <w:divBdr>
            <w:top w:val="none" w:sz="0" w:space="0" w:color="auto"/>
            <w:left w:val="none" w:sz="0" w:space="0" w:color="auto"/>
            <w:bottom w:val="none" w:sz="0" w:space="0" w:color="auto"/>
            <w:right w:val="none" w:sz="0" w:space="0" w:color="auto"/>
          </w:divBdr>
          <w:divsChild>
            <w:div w:id="950556483">
              <w:marLeft w:val="0"/>
              <w:marRight w:val="0"/>
              <w:marTop w:val="0"/>
              <w:marBottom w:val="0"/>
              <w:divBdr>
                <w:top w:val="none" w:sz="0" w:space="0" w:color="auto"/>
                <w:left w:val="none" w:sz="0" w:space="0" w:color="auto"/>
                <w:bottom w:val="none" w:sz="0" w:space="0" w:color="auto"/>
                <w:right w:val="none" w:sz="0" w:space="0" w:color="auto"/>
              </w:divBdr>
              <w:divsChild>
                <w:div w:id="1084456900">
                  <w:marLeft w:val="0"/>
                  <w:marRight w:val="0"/>
                  <w:marTop w:val="0"/>
                  <w:marBottom w:val="0"/>
                  <w:divBdr>
                    <w:top w:val="none" w:sz="0" w:space="0" w:color="auto"/>
                    <w:left w:val="none" w:sz="0" w:space="0" w:color="auto"/>
                    <w:bottom w:val="none" w:sz="0" w:space="0" w:color="auto"/>
                    <w:right w:val="none" w:sz="0" w:space="0" w:color="auto"/>
                  </w:divBdr>
                  <w:divsChild>
                    <w:div w:id="12600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2514">
      <w:bodyDiv w:val="1"/>
      <w:marLeft w:val="0"/>
      <w:marRight w:val="0"/>
      <w:marTop w:val="0"/>
      <w:marBottom w:val="0"/>
      <w:divBdr>
        <w:top w:val="none" w:sz="0" w:space="0" w:color="auto"/>
        <w:left w:val="none" w:sz="0" w:space="0" w:color="auto"/>
        <w:bottom w:val="none" w:sz="0" w:space="0" w:color="auto"/>
        <w:right w:val="none" w:sz="0" w:space="0" w:color="auto"/>
      </w:divBdr>
    </w:div>
    <w:div w:id="256669843">
      <w:bodyDiv w:val="1"/>
      <w:marLeft w:val="0"/>
      <w:marRight w:val="0"/>
      <w:marTop w:val="0"/>
      <w:marBottom w:val="0"/>
      <w:divBdr>
        <w:top w:val="none" w:sz="0" w:space="0" w:color="auto"/>
        <w:left w:val="none" w:sz="0" w:space="0" w:color="auto"/>
        <w:bottom w:val="none" w:sz="0" w:space="0" w:color="auto"/>
        <w:right w:val="none" w:sz="0" w:space="0" w:color="auto"/>
      </w:divBdr>
    </w:div>
    <w:div w:id="340011674">
      <w:bodyDiv w:val="1"/>
      <w:marLeft w:val="0"/>
      <w:marRight w:val="0"/>
      <w:marTop w:val="0"/>
      <w:marBottom w:val="0"/>
      <w:divBdr>
        <w:top w:val="none" w:sz="0" w:space="0" w:color="auto"/>
        <w:left w:val="none" w:sz="0" w:space="0" w:color="auto"/>
        <w:bottom w:val="none" w:sz="0" w:space="0" w:color="auto"/>
        <w:right w:val="none" w:sz="0" w:space="0" w:color="auto"/>
      </w:divBdr>
    </w:div>
    <w:div w:id="346252279">
      <w:bodyDiv w:val="1"/>
      <w:marLeft w:val="0"/>
      <w:marRight w:val="0"/>
      <w:marTop w:val="0"/>
      <w:marBottom w:val="0"/>
      <w:divBdr>
        <w:top w:val="none" w:sz="0" w:space="0" w:color="auto"/>
        <w:left w:val="none" w:sz="0" w:space="0" w:color="auto"/>
        <w:bottom w:val="none" w:sz="0" w:space="0" w:color="auto"/>
        <w:right w:val="none" w:sz="0" w:space="0" w:color="auto"/>
      </w:divBdr>
    </w:div>
    <w:div w:id="524245455">
      <w:bodyDiv w:val="1"/>
      <w:marLeft w:val="0"/>
      <w:marRight w:val="0"/>
      <w:marTop w:val="0"/>
      <w:marBottom w:val="0"/>
      <w:divBdr>
        <w:top w:val="none" w:sz="0" w:space="0" w:color="auto"/>
        <w:left w:val="none" w:sz="0" w:space="0" w:color="auto"/>
        <w:bottom w:val="none" w:sz="0" w:space="0" w:color="auto"/>
        <w:right w:val="none" w:sz="0" w:space="0" w:color="auto"/>
      </w:divBdr>
    </w:div>
    <w:div w:id="564338858">
      <w:bodyDiv w:val="1"/>
      <w:marLeft w:val="0"/>
      <w:marRight w:val="0"/>
      <w:marTop w:val="0"/>
      <w:marBottom w:val="0"/>
      <w:divBdr>
        <w:top w:val="none" w:sz="0" w:space="0" w:color="auto"/>
        <w:left w:val="none" w:sz="0" w:space="0" w:color="auto"/>
        <w:bottom w:val="none" w:sz="0" w:space="0" w:color="auto"/>
        <w:right w:val="none" w:sz="0" w:space="0" w:color="auto"/>
      </w:divBdr>
    </w:div>
    <w:div w:id="617221242">
      <w:bodyDiv w:val="1"/>
      <w:marLeft w:val="0"/>
      <w:marRight w:val="0"/>
      <w:marTop w:val="0"/>
      <w:marBottom w:val="0"/>
      <w:divBdr>
        <w:top w:val="none" w:sz="0" w:space="0" w:color="auto"/>
        <w:left w:val="none" w:sz="0" w:space="0" w:color="auto"/>
        <w:bottom w:val="none" w:sz="0" w:space="0" w:color="auto"/>
        <w:right w:val="none" w:sz="0" w:space="0" w:color="auto"/>
      </w:divBdr>
    </w:div>
    <w:div w:id="685137102">
      <w:bodyDiv w:val="1"/>
      <w:marLeft w:val="0"/>
      <w:marRight w:val="0"/>
      <w:marTop w:val="0"/>
      <w:marBottom w:val="0"/>
      <w:divBdr>
        <w:top w:val="none" w:sz="0" w:space="0" w:color="auto"/>
        <w:left w:val="none" w:sz="0" w:space="0" w:color="auto"/>
        <w:bottom w:val="none" w:sz="0" w:space="0" w:color="auto"/>
        <w:right w:val="none" w:sz="0" w:space="0" w:color="auto"/>
      </w:divBdr>
    </w:div>
    <w:div w:id="719940577">
      <w:bodyDiv w:val="1"/>
      <w:marLeft w:val="0"/>
      <w:marRight w:val="0"/>
      <w:marTop w:val="0"/>
      <w:marBottom w:val="0"/>
      <w:divBdr>
        <w:top w:val="none" w:sz="0" w:space="0" w:color="auto"/>
        <w:left w:val="none" w:sz="0" w:space="0" w:color="auto"/>
        <w:bottom w:val="none" w:sz="0" w:space="0" w:color="auto"/>
        <w:right w:val="none" w:sz="0" w:space="0" w:color="auto"/>
      </w:divBdr>
    </w:div>
    <w:div w:id="816841392">
      <w:bodyDiv w:val="1"/>
      <w:marLeft w:val="0"/>
      <w:marRight w:val="0"/>
      <w:marTop w:val="0"/>
      <w:marBottom w:val="0"/>
      <w:divBdr>
        <w:top w:val="none" w:sz="0" w:space="0" w:color="auto"/>
        <w:left w:val="none" w:sz="0" w:space="0" w:color="auto"/>
        <w:bottom w:val="none" w:sz="0" w:space="0" w:color="auto"/>
        <w:right w:val="none" w:sz="0" w:space="0" w:color="auto"/>
      </w:divBdr>
    </w:div>
    <w:div w:id="875971256">
      <w:bodyDiv w:val="1"/>
      <w:marLeft w:val="0"/>
      <w:marRight w:val="0"/>
      <w:marTop w:val="0"/>
      <w:marBottom w:val="0"/>
      <w:divBdr>
        <w:top w:val="none" w:sz="0" w:space="0" w:color="auto"/>
        <w:left w:val="none" w:sz="0" w:space="0" w:color="auto"/>
        <w:bottom w:val="none" w:sz="0" w:space="0" w:color="auto"/>
        <w:right w:val="none" w:sz="0" w:space="0" w:color="auto"/>
      </w:divBdr>
    </w:div>
    <w:div w:id="1049375997">
      <w:bodyDiv w:val="1"/>
      <w:marLeft w:val="0"/>
      <w:marRight w:val="0"/>
      <w:marTop w:val="0"/>
      <w:marBottom w:val="0"/>
      <w:divBdr>
        <w:top w:val="none" w:sz="0" w:space="0" w:color="auto"/>
        <w:left w:val="none" w:sz="0" w:space="0" w:color="auto"/>
        <w:bottom w:val="none" w:sz="0" w:space="0" w:color="auto"/>
        <w:right w:val="none" w:sz="0" w:space="0" w:color="auto"/>
      </w:divBdr>
    </w:div>
    <w:div w:id="1055279055">
      <w:bodyDiv w:val="1"/>
      <w:marLeft w:val="0"/>
      <w:marRight w:val="0"/>
      <w:marTop w:val="0"/>
      <w:marBottom w:val="0"/>
      <w:divBdr>
        <w:top w:val="none" w:sz="0" w:space="0" w:color="auto"/>
        <w:left w:val="none" w:sz="0" w:space="0" w:color="auto"/>
        <w:bottom w:val="none" w:sz="0" w:space="0" w:color="auto"/>
        <w:right w:val="none" w:sz="0" w:space="0" w:color="auto"/>
      </w:divBdr>
    </w:div>
    <w:div w:id="1084036632">
      <w:bodyDiv w:val="1"/>
      <w:marLeft w:val="0"/>
      <w:marRight w:val="0"/>
      <w:marTop w:val="0"/>
      <w:marBottom w:val="0"/>
      <w:divBdr>
        <w:top w:val="none" w:sz="0" w:space="0" w:color="auto"/>
        <w:left w:val="none" w:sz="0" w:space="0" w:color="auto"/>
        <w:bottom w:val="none" w:sz="0" w:space="0" w:color="auto"/>
        <w:right w:val="none" w:sz="0" w:space="0" w:color="auto"/>
      </w:divBdr>
    </w:div>
    <w:div w:id="1100369552">
      <w:bodyDiv w:val="1"/>
      <w:marLeft w:val="0"/>
      <w:marRight w:val="0"/>
      <w:marTop w:val="0"/>
      <w:marBottom w:val="0"/>
      <w:divBdr>
        <w:top w:val="none" w:sz="0" w:space="0" w:color="auto"/>
        <w:left w:val="none" w:sz="0" w:space="0" w:color="auto"/>
        <w:bottom w:val="none" w:sz="0" w:space="0" w:color="auto"/>
        <w:right w:val="none" w:sz="0" w:space="0" w:color="auto"/>
      </w:divBdr>
    </w:div>
    <w:div w:id="1104425031">
      <w:bodyDiv w:val="1"/>
      <w:marLeft w:val="0"/>
      <w:marRight w:val="0"/>
      <w:marTop w:val="0"/>
      <w:marBottom w:val="0"/>
      <w:divBdr>
        <w:top w:val="none" w:sz="0" w:space="0" w:color="auto"/>
        <w:left w:val="none" w:sz="0" w:space="0" w:color="auto"/>
        <w:bottom w:val="none" w:sz="0" w:space="0" w:color="auto"/>
        <w:right w:val="none" w:sz="0" w:space="0" w:color="auto"/>
      </w:divBdr>
    </w:div>
    <w:div w:id="1155997524">
      <w:bodyDiv w:val="1"/>
      <w:marLeft w:val="0"/>
      <w:marRight w:val="0"/>
      <w:marTop w:val="0"/>
      <w:marBottom w:val="0"/>
      <w:divBdr>
        <w:top w:val="none" w:sz="0" w:space="0" w:color="auto"/>
        <w:left w:val="none" w:sz="0" w:space="0" w:color="auto"/>
        <w:bottom w:val="none" w:sz="0" w:space="0" w:color="auto"/>
        <w:right w:val="none" w:sz="0" w:space="0" w:color="auto"/>
      </w:divBdr>
    </w:div>
    <w:div w:id="1219711402">
      <w:bodyDiv w:val="1"/>
      <w:marLeft w:val="0"/>
      <w:marRight w:val="0"/>
      <w:marTop w:val="0"/>
      <w:marBottom w:val="0"/>
      <w:divBdr>
        <w:top w:val="none" w:sz="0" w:space="0" w:color="auto"/>
        <w:left w:val="none" w:sz="0" w:space="0" w:color="auto"/>
        <w:bottom w:val="none" w:sz="0" w:space="0" w:color="auto"/>
        <w:right w:val="none" w:sz="0" w:space="0" w:color="auto"/>
      </w:divBdr>
    </w:div>
    <w:div w:id="1228414121">
      <w:bodyDiv w:val="1"/>
      <w:marLeft w:val="0"/>
      <w:marRight w:val="0"/>
      <w:marTop w:val="0"/>
      <w:marBottom w:val="0"/>
      <w:divBdr>
        <w:top w:val="none" w:sz="0" w:space="0" w:color="auto"/>
        <w:left w:val="none" w:sz="0" w:space="0" w:color="auto"/>
        <w:bottom w:val="none" w:sz="0" w:space="0" w:color="auto"/>
        <w:right w:val="none" w:sz="0" w:space="0" w:color="auto"/>
      </w:divBdr>
    </w:div>
    <w:div w:id="1244488221">
      <w:bodyDiv w:val="1"/>
      <w:marLeft w:val="0"/>
      <w:marRight w:val="0"/>
      <w:marTop w:val="0"/>
      <w:marBottom w:val="0"/>
      <w:divBdr>
        <w:top w:val="none" w:sz="0" w:space="0" w:color="auto"/>
        <w:left w:val="none" w:sz="0" w:space="0" w:color="auto"/>
        <w:bottom w:val="none" w:sz="0" w:space="0" w:color="auto"/>
        <w:right w:val="none" w:sz="0" w:space="0" w:color="auto"/>
      </w:divBdr>
    </w:div>
    <w:div w:id="1245804018">
      <w:bodyDiv w:val="1"/>
      <w:marLeft w:val="0"/>
      <w:marRight w:val="0"/>
      <w:marTop w:val="0"/>
      <w:marBottom w:val="0"/>
      <w:divBdr>
        <w:top w:val="none" w:sz="0" w:space="0" w:color="auto"/>
        <w:left w:val="none" w:sz="0" w:space="0" w:color="auto"/>
        <w:bottom w:val="none" w:sz="0" w:space="0" w:color="auto"/>
        <w:right w:val="none" w:sz="0" w:space="0" w:color="auto"/>
      </w:divBdr>
    </w:div>
    <w:div w:id="1252927734">
      <w:bodyDiv w:val="1"/>
      <w:marLeft w:val="0"/>
      <w:marRight w:val="0"/>
      <w:marTop w:val="0"/>
      <w:marBottom w:val="0"/>
      <w:divBdr>
        <w:top w:val="none" w:sz="0" w:space="0" w:color="auto"/>
        <w:left w:val="none" w:sz="0" w:space="0" w:color="auto"/>
        <w:bottom w:val="none" w:sz="0" w:space="0" w:color="auto"/>
        <w:right w:val="none" w:sz="0" w:space="0" w:color="auto"/>
      </w:divBdr>
    </w:div>
    <w:div w:id="1288245723">
      <w:bodyDiv w:val="1"/>
      <w:marLeft w:val="0"/>
      <w:marRight w:val="0"/>
      <w:marTop w:val="0"/>
      <w:marBottom w:val="0"/>
      <w:divBdr>
        <w:top w:val="none" w:sz="0" w:space="0" w:color="auto"/>
        <w:left w:val="none" w:sz="0" w:space="0" w:color="auto"/>
        <w:bottom w:val="none" w:sz="0" w:space="0" w:color="auto"/>
        <w:right w:val="none" w:sz="0" w:space="0" w:color="auto"/>
      </w:divBdr>
    </w:div>
    <w:div w:id="1382367184">
      <w:bodyDiv w:val="1"/>
      <w:marLeft w:val="0"/>
      <w:marRight w:val="0"/>
      <w:marTop w:val="0"/>
      <w:marBottom w:val="0"/>
      <w:divBdr>
        <w:top w:val="none" w:sz="0" w:space="0" w:color="auto"/>
        <w:left w:val="none" w:sz="0" w:space="0" w:color="auto"/>
        <w:bottom w:val="none" w:sz="0" w:space="0" w:color="auto"/>
        <w:right w:val="none" w:sz="0" w:space="0" w:color="auto"/>
      </w:divBdr>
    </w:div>
    <w:div w:id="1454053340">
      <w:bodyDiv w:val="1"/>
      <w:marLeft w:val="0"/>
      <w:marRight w:val="0"/>
      <w:marTop w:val="0"/>
      <w:marBottom w:val="0"/>
      <w:divBdr>
        <w:top w:val="none" w:sz="0" w:space="0" w:color="auto"/>
        <w:left w:val="none" w:sz="0" w:space="0" w:color="auto"/>
        <w:bottom w:val="none" w:sz="0" w:space="0" w:color="auto"/>
        <w:right w:val="none" w:sz="0" w:space="0" w:color="auto"/>
      </w:divBdr>
    </w:div>
    <w:div w:id="1597250179">
      <w:bodyDiv w:val="1"/>
      <w:marLeft w:val="0"/>
      <w:marRight w:val="0"/>
      <w:marTop w:val="0"/>
      <w:marBottom w:val="0"/>
      <w:divBdr>
        <w:top w:val="none" w:sz="0" w:space="0" w:color="auto"/>
        <w:left w:val="none" w:sz="0" w:space="0" w:color="auto"/>
        <w:bottom w:val="none" w:sz="0" w:space="0" w:color="auto"/>
        <w:right w:val="none" w:sz="0" w:space="0" w:color="auto"/>
      </w:divBdr>
    </w:div>
    <w:div w:id="1644693327">
      <w:bodyDiv w:val="1"/>
      <w:marLeft w:val="0"/>
      <w:marRight w:val="0"/>
      <w:marTop w:val="0"/>
      <w:marBottom w:val="0"/>
      <w:divBdr>
        <w:top w:val="none" w:sz="0" w:space="0" w:color="auto"/>
        <w:left w:val="none" w:sz="0" w:space="0" w:color="auto"/>
        <w:bottom w:val="none" w:sz="0" w:space="0" w:color="auto"/>
        <w:right w:val="none" w:sz="0" w:space="0" w:color="auto"/>
      </w:divBdr>
    </w:div>
    <w:div w:id="1651784356">
      <w:bodyDiv w:val="1"/>
      <w:marLeft w:val="0"/>
      <w:marRight w:val="0"/>
      <w:marTop w:val="0"/>
      <w:marBottom w:val="0"/>
      <w:divBdr>
        <w:top w:val="none" w:sz="0" w:space="0" w:color="auto"/>
        <w:left w:val="none" w:sz="0" w:space="0" w:color="auto"/>
        <w:bottom w:val="none" w:sz="0" w:space="0" w:color="auto"/>
        <w:right w:val="none" w:sz="0" w:space="0" w:color="auto"/>
      </w:divBdr>
    </w:div>
    <w:div w:id="1660772848">
      <w:bodyDiv w:val="1"/>
      <w:marLeft w:val="0"/>
      <w:marRight w:val="0"/>
      <w:marTop w:val="0"/>
      <w:marBottom w:val="0"/>
      <w:divBdr>
        <w:top w:val="none" w:sz="0" w:space="0" w:color="auto"/>
        <w:left w:val="none" w:sz="0" w:space="0" w:color="auto"/>
        <w:bottom w:val="none" w:sz="0" w:space="0" w:color="auto"/>
        <w:right w:val="none" w:sz="0" w:space="0" w:color="auto"/>
      </w:divBdr>
    </w:div>
    <w:div w:id="1744445485">
      <w:bodyDiv w:val="1"/>
      <w:marLeft w:val="0"/>
      <w:marRight w:val="0"/>
      <w:marTop w:val="0"/>
      <w:marBottom w:val="0"/>
      <w:divBdr>
        <w:top w:val="none" w:sz="0" w:space="0" w:color="auto"/>
        <w:left w:val="none" w:sz="0" w:space="0" w:color="auto"/>
        <w:bottom w:val="none" w:sz="0" w:space="0" w:color="auto"/>
        <w:right w:val="none" w:sz="0" w:space="0" w:color="auto"/>
      </w:divBdr>
    </w:div>
    <w:div w:id="1773821373">
      <w:bodyDiv w:val="1"/>
      <w:marLeft w:val="0"/>
      <w:marRight w:val="0"/>
      <w:marTop w:val="0"/>
      <w:marBottom w:val="0"/>
      <w:divBdr>
        <w:top w:val="none" w:sz="0" w:space="0" w:color="auto"/>
        <w:left w:val="none" w:sz="0" w:space="0" w:color="auto"/>
        <w:bottom w:val="none" w:sz="0" w:space="0" w:color="auto"/>
        <w:right w:val="none" w:sz="0" w:space="0" w:color="auto"/>
      </w:divBdr>
    </w:div>
    <w:div w:id="1794984191">
      <w:bodyDiv w:val="1"/>
      <w:marLeft w:val="0"/>
      <w:marRight w:val="0"/>
      <w:marTop w:val="0"/>
      <w:marBottom w:val="0"/>
      <w:divBdr>
        <w:top w:val="none" w:sz="0" w:space="0" w:color="auto"/>
        <w:left w:val="none" w:sz="0" w:space="0" w:color="auto"/>
        <w:bottom w:val="none" w:sz="0" w:space="0" w:color="auto"/>
        <w:right w:val="none" w:sz="0" w:space="0" w:color="auto"/>
      </w:divBdr>
    </w:div>
    <w:div w:id="1823959325">
      <w:bodyDiv w:val="1"/>
      <w:marLeft w:val="0"/>
      <w:marRight w:val="0"/>
      <w:marTop w:val="0"/>
      <w:marBottom w:val="0"/>
      <w:divBdr>
        <w:top w:val="none" w:sz="0" w:space="0" w:color="auto"/>
        <w:left w:val="none" w:sz="0" w:space="0" w:color="auto"/>
        <w:bottom w:val="none" w:sz="0" w:space="0" w:color="auto"/>
        <w:right w:val="none" w:sz="0" w:space="0" w:color="auto"/>
      </w:divBdr>
    </w:div>
    <w:div w:id="1885174043">
      <w:bodyDiv w:val="1"/>
      <w:marLeft w:val="0"/>
      <w:marRight w:val="0"/>
      <w:marTop w:val="0"/>
      <w:marBottom w:val="0"/>
      <w:divBdr>
        <w:top w:val="none" w:sz="0" w:space="0" w:color="auto"/>
        <w:left w:val="none" w:sz="0" w:space="0" w:color="auto"/>
        <w:bottom w:val="none" w:sz="0" w:space="0" w:color="auto"/>
        <w:right w:val="none" w:sz="0" w:space="0" w:color="auto"/>
      </w:divBdr>
    </w:div>
    <w:div w:id="1916551334">
      <w:bodyDiv w:val="1"/>
      <w:marLeft w:val="0"/>
      <w:marRight w:val="0"/>
      <w:marTop w:val="0"/>
      <w:marBottom w:val="0"/>
      <w:divBdr>
        <w:top w:val="none" w:sz="0" w:space="0" w:color="auto"/>
        <w:left w:val="none" w:sz="0" w:space="0" w:color="auto"/>
        <w:bottom w:val="none" w:sz="0" w:space="0" w:color="auto"/>
        <w:right w:val="none" w:sz="0" w:space="0" w:color="auto"/>
      </w:divBdr>
    </w:div>
    <w:div w:id="1975792185">
      <w:bodyDiv w:val="1"/>
      <w:marLeft w:val="0"/>
      <w:marRight w:val="0"/>
      <w:marTop w:val="0"/>
      <w:marBottom w:val="0"/>
      <w:divBdr>
        <w:top w:val="none" w:sz="0" w:space="0" w:color="auto"/>
        <w:left w:val="none" w:sz="0" w:space="0" w:color="auto"/>
        <w:bottom w:val="none" w:sz="0" w:space="0" w:color="auto"/>
        <w:right w:val="none" w:sz="0" w:space="0" w:color="auto"/>
      </w:divBdr>
    </w:div>
    <w:div w:id="2102486709">
      <w:bodyDiv w:val="1"/>
      <w:marLeft w:val="0"/>
      <w:marRight w:val="0"/>
      <w:marTop w:val="0"/>
      <w:marBottom w:val="0"/>
      <w:divBdr>
        <w:top w:val="none" w:sz="0" w:space="0" w:color="auto"/>
        <w:left w:val="none" w:sz="0" w:space="0" w:color="auto"/>
        <w:bottom w:val="none" w:sz="0" w:space="0" w:color="auto"/>
        <w:right w:val="none" w:sz="0" w:space="0" w:color="auto"/>
      </w:divBdr>
    </w:div>
    <w:div w:id="2122797389">
      <w:bodyDiv w:val="1"/>
      <w:marLeft w:val="0"/>
      <w:marRight w:val="0"/>
      <w:marTop w:val="0"/>
      <w:marBottom w:val="0"/>
      <w:divBdr>
        <w:top w:val="none" w:sz="0" w:space="0" w:color="auto"/>
        <w:left w:val="none" w:sz="0" w:space="0" w:color="auto"/>
        <w:bottom w:val="none" w:sz="0" w:space="0" w:color="auto"/>
        <w:right w:val="none" w:sz="0" w:space="0" w:color="auto"/>
      </w:divBdr>
    </w:div>
    <w:div w:id="21355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3.png"/><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image" Target="media/image8.png"/><Relationship Id="rId50" Type="http://schemas.openxmlformats.org/officeDocument/2006/relationships/image" Target="media/image11.emf"/><Relationship Id="rId55" Type="http://schemas.openxmlformats.org/officeDocument/2006/relationships/chart" Target="charts/chart28.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chart" Target="charts/chart19.xml"/><Relationship Id="rId54" Type="http://schemas.openxmlformats.org/officeDocument/2006/relationships/chart" Target="charts/chart27.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7.xml"/><Relationship Id="rId32" Type="http://schemas.openxmlformats.org/officeDocument/2006/relationships/image" Target="media/image4.emf"/><Relationship Id="rId37" Type="http://schemas.openxmlformats.org/officeDocument/2006/relationships/chart" Target="charts/chart16.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26.xml"/><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image" Target="media/image10.emf"/><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22.xml"/><Relationship Id="rId52" Type="http://schemas.openxmlformats.org/officeDocument/2006/relationships/chart" Target="charts/chart25.xm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image" Target="media/image9.png"/><Relationship Id="rId56" Type="http://schemas.openxmlformats.org/officeDocument/2006/relationships/chart" Target="charts/chart29.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5.emf"/><Relationship Id="rId38" Type="http://schemas.openxmlformats.org/officeDocument/2006/relationships/image" Target="media/image6.png"/><Relationship Id="rId46" Type="http://schemas.openxmlformats.org/officeDocument/2006/relationships/image" Target="media/image7.png"/><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ternal_market/scoreboard/performance_per_policy_area/public_procurement/index_en.htm" TargetMode="External"/><Relationship Id="rId13" Type="http://schemas.openxmlformats.org/officeDocument/2006/relationships/hyperlink" Target="https://ec.europa.eu/info/sites/info/files/factsheet_-_a_%20modern_and_streamlined_approach_to_business_insolvency.pdf" TargetMode="External"/><Relationship Id="rId18" Type="http://schemas.openxmlformats.org/officeDocument/2006/relationships/hyperlink" Target="https://www.ecb.europa.eu/pub/ire/html/ecb.ire202006~81495c263a.en.html" TargetMode="External"/><Relationship Id="rId3" Type="http://schemas.openxmlformats.org/officeDocument/2006/relationships/hyperlink" Target="https://www.ecb.europa.eu/pub/pdf/other/ebbox201707_01.en.pdf" TargetMode="External"/><Relationship Id="rId21" Type="http://schemas.openxmlformats.org/officeDocument/2006/relationships/hyperlink" Target="https://ec.europa.eu/info/sites/info/files/economy-finance/eu_%20investor_%20presentation_en.pdf" TargetMode="External"/><Relationship Id="rId7" Type="http://schemas.openxmlformats.org/officeDocument/2006/relationships/hyperlink" Target="https://ec.europa.eu/docsroom/documents/25612/attachments/1/translations/en/renditions/native" TargetMode="External"/><Relationship Id="rId12" Type="http://schemas.openxmlformats.org/officeDocument/2006/relationships/hyperlink" Target="https://www.consilium.europa.eu/en/meetings/eurogroup/2016/04/22/" TargetMode="External"/><Relationship Id="rId17" Type="http://schemas.openxmlformats.org/officeDocument/2006/relationships/hyperlink" Target="https://ec.europa.eu/info/sites/info/files/business_economy_euro/banking_and_finance/documents/" TargetMode="External"/><Relationship Id="rId25" Type="http://schemas.openxmlformats.org/officeDocument/2006/relationships/hyperlink" Target="https://ec.europa.eu/info/sites/info/files%20/business_economy_euro/%20growth_%20and_%20investment/%20documents/200610-cmu-high-level-forum-final-report_en.pdf" TargetMode="External"/><Relationship Id="rId2" Type="http://schemas.openxmlformats.org/officeDocument/2006/relationships/hyperlink" Target="http://www.oecd.org/coronavirus/policy-responses/from-pandemic-to-recovery-local-employment-and-economic-development-879d2913/" TargetMode="External"/><Relationship Id="rId16" Type="http://schemas.openxmlformats.org/officeDocument/2006/relationships/hyperlink" Target="https://www.bankingsupervision.europa.eu/press/pr/date/2020/html/ssm.pr200728_annex~d36d893ca2.en.pdf" TargetMode="External"/><Relationship Id="rId20" Type="http://schemas.openxmlformats.org/officeDocument/2006/relationships/hyperlink" Target="https://www.spglobal.com/ratings/en/research/%20articles/200722-what-the-eu-recovery-fund-breakthrough-could-mean-for-eurozone-sovereign-ratings-11584176" TargetMode="External"/><Relationship Id="rId1" Type="http://schemas.openxmlformats.org/officeDocument/2006/relationships/hyperlink" Target="https://ec.europa.eu/info/business-economy-euro/economic-and-fiscal-policy-coordination/financial-assistance-eu/funding-mechanisms-and-facilities/sure_en" TargetMode="External"/><Relationship Id="rId6" Type="http://schemas.openxmlformats.org/officeDocument/2006/relationships/hyperlink" Target="https://eur-lex.europa.eu/legal-content/EN/TXT/PDF/?%20uri=CELEX%20:52020%20PC%200113&amp;from=EN" TargetMode="External"/><Relationship Id="rId11" Type="http://schemas.openxmlformats.org/officeDocument/2006/relationships/hyperlink" Target="https://www.ecb.europa.eu/pub/economic-research/resbull/2020/html/ecb.rb200527~3fe177d27d.en.html" TargetMode="External"/><Relationship Id="rId24" Type="http://schemas.openxmlformats.org/officeDocument/2006/relationships/hyperlink" Target="https://www.ecb.europa.eu/pub/pdf/other/Report_on_a_%20digital_euro~4d7268b458.en.pdf" TargetMode="External"/><Relationship Id="rId5" Type="http://schemas.openxmlformats.org/officeDocument/2006/relationships/hyperlink" Target="https://voxeu.org/article/resilience-versus-robustness-global-value-chains" TargetMode="External"/><Relationship Id="rId15" Type="http://schemas.openxmlformats.org/officeDocument/2006/relationships/hyperlink" Target="https://www.eib.org/en/publications/investment-report-2019" TargetMode="External"/><Relationship Id="rId23" Type="http://schemas.openxmlformats.org/officeDocument/2006/relationships/hyperlink" Target="https://eur-lex.europa.eu/legal-content/EN/TXT/PDF/?uri=CELEX:52020DC0592&amp;from=EN" TargetMode="External"/><Relationship Id="rId10" Type="http://schemas.openxmlformats.org/officeDocument/2006/relationships/hyperlink" Target="https://ec.europa.eu/%20social/main.jsp?catId=%20738&amp;langId%20=en&amp;pubId%20=8342%20&amp;furtherPubs=yes" TargetMode="External"/><Relationship Id="rId19" Type="http://schemas.openxmlformats.org/officeDocument/2006/relationships/hyperlink" Target="https://ec.europa.eu/commission/sites/beta-political/files/political-guidelines-next-commission_en.pdf" TargetMode="External"/><Relationship Id="rId4" Type="http://schemas.openxmlformats.org/officeDocument/2006/relationships/hyperlink" Target="http://www.oecd.org/coronavirus/policy-responses/COVID-19-and-global-value-chains-policy-options-to-build-more-resilient-production-networks-04934ef4/" TargetMode="External"/><Relationship Id="rId9" Type="http://schemas.openxmlformats.org/officeDocument/2006/relationships/hyperlink" Target="http://www.ec.europa.eu/taxation_customs/sites/taxation/files/vat-gap-full-report-2020_en.pdf" TargetMode="External"/><Relationship Id="rId14" Type="http://schemas.openxmlformats.org/officeDocument/2006/relationships/hyperlink" Target="https://www.consilium.europa.eu/en/press/press-releases/2020/07/22/council-agrees-its-position-on-an-instrument-to-support-implementation-of-reforms-for-a-sustainable-recovery/" TargetMode="External"/><Relationship Id="rId22" Type="http://schemas.openxmlformats.org/officeDocument/2006/relationships/hyperlink" Target="https://eur-lex.europa.eu/legal-content/EN/TXT/PDF/?uri=CELEX:52020DC0591&amp;from=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Homes\00\mattogi\Desktop\Book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All%20charts.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12.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v7-20201105/EAR%20SWD%20%20Graphs_auto.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ttogi\AppData\Local\Microsoft\Windows\INetCache\Content.Outlook\5ZGTYC27\For%20Graph%20EA.XLS"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ttogi\AppData\Local\Microsoft\Windows\INetCache\Content.Outlook\5ZGTYC27\Fancharts%20all%20countries%20Autumn%202020%20final%20storage.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https://myintracomm-collab.ec.europa.eu/dg/ECFIN/projects/p_emu_deepening/A2/10%20-EAR/Semester%202021/SWD-DATA/v7-20201105/EAR%20SWD%20%20Graphs_auto.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ttogi\AppData\Local\Microsoft\Windows\INetCache\Content.Outlook\5ZGTYC27\EAR%20chart.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FP-PMR-LMR-simul-29Sep2020.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All%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All%20char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yintracomm-collab.ec.europa.eu/dg/ECFIN/projects/p_emu_deepening/A2/10%20-EAR/Semester%202021/SWD-DATA/v7-20201105/EAR%20SWD%20%20Graphs_auto.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yintracomm-collab.ec.europa.eu/dg/ECFIN/projects/p_emu_deepening/A2/10%20-EAR/Semester%202021/SWD-DATA/Charts%20files/All%20chart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Chart%2022.xlsx"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attogi\AppData\Local\Microsoft\Windows\INetCache\Content.Outlook\5ZGTYC27\wgidataset.xlsx" TargetMode="External"/><Relationship Id="rId2" Type="http://schemas.microsoft.com/office/2011/relationships/chartColorStyle" Target="colors17.xml"/><Relationship Id="rId1" Type="http://schemas.microsoft.com/office/2011/relationships/chartStyle" Target="style17.xml"/></Relationships>
</file>

<file path=word/charts/_rels/chart24.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Chart%2025,%2026,%2027,%2028,%2030.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7.xml"/></Relationships>
</file>

<file path=word/charts/_rels/chart25.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Chart%2025,%2026,%2027,%2028,%2030.xlsx" TargetMode="External"/><Relationship Id="rId2" Type="http://schemas.microsoft.com/office/2011/relationships/chartColorStyle" Target="colors19.xml"/><Relationship Id="rId1" Type="http://schemas.microsoft.com/office/2011/relationships/chartStyle" Target="style1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attogi\Music\Chart%2025,%2026,%2027,%2028,%2030.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8.xml"/></Relationships>
</file>

<file path=word/charts/_rels/chart27.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Chart%2025,%2026,%2027,%2028,%2030.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9.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2.xml"/><Relationship Id="rId1" Type="http://schemas.microsoft.com/office/2011/relationships/chartStyle" Target="style22.xml"/></Relationships>
</file>

<file path=word/charts/_rels/chart29.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Chart%2025,%2026,%2027,%2028,%2030.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0.xml"/></Relationships>
</file>

<file path=word/charts/_rels/chart3.xml.rels><?xml version="1.0" encoding="UTF-8" standalone="yes"?>
<Relationships xmlns="http://schemas.openxmlformats.org/package/2006/relationships"><Relationship Id="rId2" Type="http://schemas.openxmlformats.org/officeDocument/2006/relationships/oleObject" Target="https://myintracomm-collab.ec.europa.eu/dg/ECFIN/projects/p_emu_deepening/A2/10%20-EAR/Semester%202021/SWD-DATA/ESTAT_Hours%20worked%20Persons%20GVA%20by%20sector_namq_10_a10_e_ML.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yintracomm-collab.ec.europa.eu/dg/ECFIN/projects/p_emu_deepening/A2/10%20-EAR/Semester%202021/SWD-DATA/Charts%20files/All%20chart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attogi\AppData\Local\Microsoft\Windows\INetCache\Content.Outlook\5ZGTYC27\Copy%20of%20Saving%20rate_ECB.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All%20chart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All%20charts.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https://myintracomm-collab.ec.europa.eu/dg/ECFIN/projects/p_emu_deepening/A2/10%20-EAR/Semester%202021/SWD-DATA/Charts%20files/All%20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6277046844359"/>
          <c:y val="0.27597763720729684"/>
          <c:w val="0.835754584031565"/>
          <c:h val="0.60520802199040602"/>
        </c:manualLayout>
      </c:layout>
      <c:lineChart>
        <c:grouping val="standard"/>
        <c:varyColors val="0"/>
        <c:ser>
          <c:idx val="0"/>
          <c:order val="0"/>
          <c:tx>
            <c:strRef>
              <c:f>'Chart GDP Q'!$H$1</c:f>
              <c:strCache>
                <c:ptCount val="1"/>
                <c:pt idx="0">
                  <c:v>Autumn 2019</c:v>
                </c:pt>
              </c:strCache>
            </c:strRef>
          </c:tx>
          <c:spPr>
            <a:ln w="28575" cap="rnd">
              <a:solidFill>
                <a:schemeClr val="accent1"/>
              </a:solidFill>
              <a:round/>
            </a:ln>
            <a:effectLst/>
          </c:spPr>
          <c:marker>
            <c:symbol val="none"/>
          </c:marker>
          <c:cat>
            <c:numRef>
              <c:f>'Chart GDP Q'!$A$2:$A$14</c:f>
              <c:numCache>
                <c:formatCode>mmm\-yy</c:formatCode>
                <c:ptCount val="13"/>
                <c:pt idx="0">
                  <c:v>43800</c:v>
                </c:pt>
                <c:pt idx="1">
                  <c:v>43891</c:v>
                </c:pt>
                <c:pt idx="2">
                  <c:v>43983</c:v>
                </c:pt>
                <c:pt idx="3">
                  <c:v>44075</c:v>
                </c:pt>
                <c:pt idx="4">
                  <c:v>44166</c:v>
                </c:pt>
                <c:pt idx="5">
                  <c:v>44256</c:v>
                </c:pt>
                <c:pt idx="6">
                  <c:v>44348</c:v>
                </c:pt>
                <c:pt idx="7">
                  <c:v>44440</c:v>
                </c:pt>
                <c:pt idx="8">
                  <c:v>44531</c:v>
                </c:pt>
                <c:pt idx="9">
                  <c:v>44621</c:v>
                </c:pt>
                <c:pt idx="10">
                  <c:v>44713</c:v>
                </c:pt>
                <c:pt idx="11">
                  <c:v>44805</c:v>
                </c:pt>
                <c:pt idx="12">
                  <c:v>44896</c:v>
                </c:pt>
              </c:numCache>
            </c:numRef>
          </c:cat>
          <c:val>
            <c:numRef>
              <c:f>'Chart GDP Q'!$H$2:$H$14</c:f>
              <c:numCache>
                <c:formatCode>General</c:formatCode>
                <c:ptCount val="13"/>
                <c:pt idx="0">
                  <c:v>100</c:v>
                </c:pt>
                <c:pt idx="1">
                  <c:v>100</c:v>
                </c:pt>
                <c:pt idx="2">
                  <c:v>100.29999999999998</c:v>
                </c:pt>
                <c:pt idx="3">
                  <c:v>100.60089999999997</c:v>
                </c:pt>
                <c:pt idx="4">
                  <c:v>100.90270269999996</c:v>
                </c:pt>
                <c:pt idx="5">
                  <c:v>101.20541080809996</c:v>
                </c:pt>
                <c:pt idx="6">
                  <c:v>101.50902704052424</c:v>
                </c:pt>
                <c:pt idx="7">
                  <c:v>101.81355412164581</c:v>
                </c:pt>
                <c:pt idx="8">
                  <c:v>102.11899478401074</c:v>
                </c:pt>
              </c:numCache>
            </c:numRef>
          </c:val>
          <c:smooth val="0"/>
          <c:extLst>
            <c:ext xmlns:c16="http://schemas.microsoft.com/office/drawing/2014/chart" uri="{C3380CC4-5D6E-409C-BE32-E72D297353CC}">
              <c16:uniqueId val="{00000000-849F-4968-9799-AD38C8929424}"/>
            </c:ext>
          </c:extLst>
        </c:ser>
        <c:ser>
          <c:idx val="1"/>
          <c:order val="1"/>
          <c:tx>
            <c:strRef>
              <c:f>'Chart GDP Q'!$I$1</c:f>
              <c:strCache>
                <c:ptCount val="1"/>
                <c:pt idx="0">
                  <c:v>Spring 2020</c:v>
                </c:pt>
              </c:strCache>
            </c:strRef>
          </c:tx>
          <c:spPr>
            <a:ln w="28575" cap="rnd">
              <a:solidFill>
                <a:srgbClr val="7030A0"/>
              </a:solidFill>
              <a:round/>
            </a:ln>
            <a:effectLst/>
          </c:spPr>
          <c:marker>
            <c:symbol val="none"/>
          </c:marker>
          <c:cat>
            <c:numRef>
              <c:f>'Chart GDP Q'!$A$2:$A$14</c:f>
              <c:numCache>
                <c:formatCode>mmm\-yy</c:formatCode>
                <c:ptCount val="13"/>
                <c:pt idx="0">
                  <c:v>43800</c:v>
                </c:pt>
                <c:pt idx="1">
                  <c:v>43891</c:v>
                </c:pt>
                <c:pt idx="2">
                  <c:v>43983</c:v>
                </c:pt>
                <c:pt idx="3">
                  <c:v>44075</c:v>
                </c:pt>
                <c:pt idx="4">
                  <c:v>44166</c:v>
                </c:pt>
                <c:pt idx="5">
                  <c:v>44256</c:v>
                </c:pt>
                <c:pt idx="6">
                  <c:v>44348</c:v>
                </c:pt>
                <c:pt idx="7">
                  <c:v>44440</c:v>
                </c:pt>
                <c:pt idx="8">
                  <c:v>44531</c:v>
                </c:pt>
                <c:pt idx="9">
                  <c:v>44621</c:v>
                </c:pt>
                <c:pt idx="10">
                  <c:v>44713</c:v>
                </c:pt>
                <c:pt idx="11">
                  <c:v>44805</c:v>
                </c:pt>
                <c:pt idx="12">
                  <c:v>44896</c:v>
                </c:pt>
              </c:numCache>
            </c:numRef>
          </c:cat>
          <c:val>
            <c:numRef>
              <c:f>'Chart GDP Q'!$I$2:$I$14</c:f>
              <c:numCache>
                <c:formatCode>General</c:formatCode>
                <c:ptCount val="13"/>
                <c:pt idx="0">
                  <c:v>100</c:v>
                </c:pt>
                <c:pt idx="1">
                  <c:v>96.5</c:v>
                </c:pt>
                <c:pt idx="2">
                  <c:v>84.727000000000004</c:v>
                </c:pt>
                <c:pt idx="3">
                  <c:v>91.759341000000006</c:v>
                </c:pt>
                <c:pt idx="4">
                  <c:v>94.787399253000004</c:v>
                </c:pt>
                <c:pt idx="5">
                  <c:v>96.114422842541998</c:v>
                </c:pt>
                <c:pt idx="6">
                  <c:v>97.363910339495035</c:v>
                </c:pt>
                <c:pt idx="7">
                  <c:v>98.434913353229476</c:v>
                </c:pt>
                <c:pt idx="8">
                  <c:v>99.419262486761767</c:v>
                </c:pt>
              </c:numCache>
            </c:numRef>
          </c:val>
          <c:smooth val="0"/>
          <c:extLst>
            <c:ext xmlns:c16="http://schemas.microsoft.com/office/drawing/2014/chart" uri="{C3380CC4-5D6E-409C-BE32-E72D297353CC}">
              <c16:uniqueId val="{00000001-849F-4968-9799-AD38C8929424}"/>
            </c:ext>
          </c:extLst>
        </c:ser>
        <c:ser>
          <c:idx val="2"/>
          <c:order val="2"/>
          <c:tx>
            <c:strRef>
              <c:f>'Chart GDP Q'!$J$1</c:f>
              <c:strCache>
                <c:ptCount val="1"/>
                <c:pt idx="0">
                  <c:v>Summer 2020</c:v>
                </c:pt>
              </c:strCache>
            </c:strRef>
          </c:tx>
          <c:spPr>
            <a:ln w="28575" cap="rnd">
              <a:solidFill>
                <a:schemeClr val="accent2">
                  <a:lumMod val="60000"/>
                  <a:lumOff val="40000"/>
                </a:schemeClr>
              </a:solidFill>
              <a:round/>
            </a:ln>
            <a:effectLst/>
          </c:spPr>
          <c:marker>
            <c:symbol val="none"/>
          </c:marker>
          <c:cat>
            <c:numRef>
              <c:f>'Chart GDP Q'!$A$2:$A$14</c:f>
              <c:numCache>
                <c:formatCode>mmm\-yy</c:formatCode>
                <c:ptCount val="13"/>
                <c:pt idx="0">
                  <c:v>43800</c:v>
                </c:pt>
                <c:pt idx="1">
                  <c:v>43891</c:v>
                </c:pt>
                <c:pt idx="2">
                  <c:v>43983</c:v>
                </c:pt>
                <c:pt idx="3">
                  <c:v>44075</c:v>
                </c:pt>
                <c:pt idx="4">
                  <c:v>44166</c:v>
                </c:pt>
                <c:pt idx="5">
                  <c:v>44256</c:v>
                </c:pt>
                <c:pt idx="6">
                  <c:v>44348</c:v>
                </c:pt>
                <c:pt idx="7">
                  <c:v>44440</c:v>
                </c:pt>
                <c:pt idx="8">
                  <c:v>44531</c:v>
                </c:pt>
                <c:pt idx="9">
                  <c:v>44621</c:v>
                </c:pt>
                <c:pt idx="10">
                  <c:v>44713</c:v>
                </c:pt>
                <c:pt idx="11">
                  <c:v>44805</c:v>
                </c:pt>
                <c:pt idx="12">
                  <c:v>44896</c:v>
                </c:pt>
              </c:numCache>
            </c:numRef>
          </c:cat>
          <c:val>
            <c:numRef>
              <c:f>'Chart GDP Q'!$J$2:$J$14</c:f>
              <c:numCache>
                <c:formatCode>General</c:formatCode>
                <c:ptCount val="13"/>
                <c:pt idx="0">
                  <c:v>100</c:v>
                </c:pt>
                <c:pt idx="1">
                  <c:v>96.399999999999991</c:v>
                </c:pt>
                <c:pt idx="2">
                  <c:v>83.289599999999993</c:v>
                </c:pt>
                <c:pt idx="3">
                  <c:v>90.619084799999996</c:v>
                </c:pt>
                <c:pt idx="4">
                  <c:v>93.700133683199994</c:v>
                </c:pt>
                <c:pt idx="5">
                  <c:v>95.199335822131189</c:v>
                </c:pt>
                <c:pt idx="6">
                  <c:v>96.341727851996765</c:v>
                </c:pt>
                <c:pt idx="7">
                  <c:v>97.305145130516735</c:v>
                </c:pt>
                <c:pt idx="8">
                  <c:v>98.083586291560863</c:v>
                </c:pt>
              </c:numCache>
            </c:numRef>
          </c:val>
          <c:smooth val="0"/>
          <c:extLst>
            <c:ext xmlns:c16="http://schemas.microsoft.com/office/drawing/2014/chart" uri="{C3380CC4-5D6E-409C-BE32-E72D297353CC}">
              <c16:uniqueId val="{00000002-849F-4968-9799-AD38C8929424}"/>
            </c:ext>
          </c:extLst>
        </c:ser>
        <c:ser>
          <c:idx val="3"/>
          <c:order val="3"/>
          <c:tx>
            <c:strRef>
              <c:f>'Chart GDP Q'!$K$1</c:f>
              <c:strCache>
                <c:ptCount val="1"/>
                <c:pt idx="0">
                  <c:v>Autumn 2020</c:v>
                </c:pt>
              </c:strCache>
            </c:strRef>
          </c:tx>
          <c:spPr>
            <a:ln w="28575" cap="rnd">
              <a:solidFill>
                <a:schemeClr val="accent6">
                  <a:lumMod val="60000"/>
                  <a:lumOff val="40000"/>
                </a:schemeClr>
              </a:solidFill>
              <a:round/>
            </a:ln>
            <a:effectLst/>
          </c:spPr>
          <c:marker>
            <c:symbol val="none"/>
          </c:marker>
          <c:cat>
            <c:numRef>
              <c:f>'Chart GDP Q'!$A$2:$A$14</c:f>
              <c:numCache>
                <c:formatCode>mmm\-yy</c:formatCode>
                <c:ptCount val="13"/>
                <c:pt idx="0">
                  <c:v>43800</c:v>
                </c:pt>
                <c:pt idx="1">
                  <c:v>43891</c:v>
                </c:pt>
                <c:pt idx="2">
                  <c:v>43983</c:v>
                </c:pt>
                <c:pt idx="3">
                  <c:v>44075</c:v>
                </c:pt>
                <c:pt idx="4">
                  <c:v>44166</c:v>
                </c:pt>
                <c:pt idx="5">
                  <c:v>44256</c:v>
                </c:pt>
                <c:pt idx="6">
                  <c:v>44348</c:v>
                </c:pt>
                <c:pt idx="7">
                  <c:v>44440</c:v>
                </c:pt>
                <c:pt idx="8">
                  <c:v>44531</c:v>
                </c:pt>
                <c:pt idx="9">
                  <c:v>44621</c:v>
                </c:pt>
                <c:pt idx="10">
                  <c:v>44713</c:v>
                </c:pt>
                <c:pt idx="11">
                  <c:v>44805</c:v>
                </c:pt>
                <c:pt idx="12">
                  <c:v>44896</c:v>
                </c:pt>
              </c:numCache>
            </c:numRef>
          </c:cat>
          <c:val>
            <c:numRef>
              <c:f>'Chart GDP Q'!$K$2:$K$14</c:f>
              <c:numCache>
                <c:formatCode>General</c:formatCode>
                <c:ptCount val="13"/>
                <c:pt idx="0">
                  <c:v>100</c:v>
                </c:pt>
                <c:pt idx="1">
                  <c:v>96.3</c:v>
                </c:pt>
                <c:pt idx="2">
                  <c:v>84.936599999999999</c:v>
                </c:pt>
                <c:pt idx="3">
                  <c:v>93.430260000000004</c:v>
                </c:pt>
                <c:pt idx="4">
                  <c:v>93.336829739999999</c:v>
                </c:pt>
                <c:pt idx="5">
                  <c:v>93.803513888699996</c:v>
                </c:pt>
                <c:pt idx="6">
                  <c:v>95.491977138696598</c:v>
                </c:pt>
                <c:pt idx="7">
                  <c:v>96.828864818638351</c:v>
                </c:pt>
                <c:pt idx="8">
                  <c:v>97.700324602006091</c:v>
                </c:pt>
                <c:pt idx="9">
                  <c:v>98.188826225016115</c:v>
                </c:pt>
                <c:pt idx="10">
                  <c:v>98.679770356141191</c:v>
                </c:pt>
                <c:pt idx="11">
                  <c:v>99.074489437565759</c:v>
                </c:pt>
                <c:pt idx="12">
                  <c:v>99.470787395316023</c:v>
                </c:pt>
              </c:numCache>
            </c:numRef>
          </c:val>
          <c:smooth val="0"/>
          <c:extLst>
            <c:ext xmlns:c16="http://schemas.microsoft.com/office/drawing/2014/chart" uri="{C3380CC4-5D6E-409C-BE32-E72D297353CC}">
              <c16:uniqueId val="{00000003-849F-4968-9799-AD38C8929424}"/>
            </c:ext>
          </c:extLst>
        </c:ser>
        <c:ser>
          <c:idx val="4"/>
          <c:order val="4"/>
          <c:spPr>
            <a:ln w="28575" cap="rnd">
              <a:solidFill>
                <a:schemeClr val="accent1"/>
              </a:solidFill>
              <a:prstDash val="sysDot"/>
              <a:round/>
            </a:ln>
            <a:effectLst/>
          </c:spPr>
          <c:marker>
            <c:symbol val="none"/>
          </c:marker>
          <c:val>
            <c:numRef>
              <c:f>'Chart GDP Q'!$L$2:$L$14</c:f>
              <c:numCache>
                <c:formatCode>General</c:formatCode>
                <c:ptCount val="13"/>
                <c:pt idx="8">
                  <c:v>102.11899478401074</c:v>
                </c:pt>
                <c:pt idx="9">
                  <c:v>102.42535176836276</c:v>
                </c:pt>
                <c:pt idx="10">
                  <c:v>102.73262782366784</c:v>
                </c:pt>
                <c:pt idx="11">
                  <c:v>103.04082570713884</c:v>
                </c:pt>
                <c:pt idx="12">
                  <c:v>103.34994818426024</c:v>
                </c:pt>
              </c:numCache>
            </c:numRef>
          </c:val>
          <c:smooth val="0"/>
          <c:extLst>
            <c:ext xmlns:c16="http://schemas.microsoft.com/office/drawing/2014/chart" uri="{C3380CC4-5D6E-409C-BE32-E72D297353CC}">
              <c16:uniqueId val="{00000004-849F-4968-9799-AD38C8929424}"/>
            </c:ext>
          </c:extLst>
        </c:ser>
        <c:dLbls>
          <c:showLegendKey val="0"/>
          <c:showVal val="0"/>
          <c:showCatName val="0"/>
          <c:showSerName val="0"/>
          <c:showPercent val="0"/>
          <c:showBubbleSize val="0"/>
        </c:dLbls>
        <c:smooth val="0"/>
        <c:axId val="58342784"/>
        <c:axId val="58356864"/>
      </c:lineChart>
      <c:dateAx>
        <c:axId val="58342784"/>
        <c:scaling>
          <c:orientation val="minMax"/>
        </c:scaling>
        <c:delete val="0"/>
        <c:axPos val="b"/>
        <c:numFmt formatCode="[$-409]mmm/yy;@" sourceLinked="0"/>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58356864"/>
        <c:crosses val="autoZero"/>
        <c:auto val="1"/>
        <c:lblOffset val="100"/>
        <c:baseTimeUnit val="months"/>
        <c:majorUnit val="6"/>
        <c:majorTimeUnit val="months"/>
      </c:dateAx>
      <c:valAx>
        <c:axId val="58356864"/>
        <c:scaling>
          <c:orientation val="minMax"/>
          <c:min val="80"/>
        </c:scaling>
        <c:delete val="0"/>
        <c:axPos val="l"/>
        <c:title>
          <c:tx>
            <c:rich>
              <a:bodyPr rot="0" spcFirstLastPara="1" vertOverflow="ellipsis" wrap="square" anchor="ctr" anchorCtr="1"/>
              <a:lstStyle/>
              <a:p>
                <a:pPr>
                  <a:defRPr sz="5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500" i="1"/>
                  <a:t>Dec-2019</a:t>
                </a:r>
                <a:r>
                  <a:rPr lang="it-IT" sz="500" i="1" baseline="0"/>
                  <a:t> =100</a:t>
                </a:r>
                <a:endParaRPr lang="it-IT" sz="500" i="1"/>
              </a:p>
            </c:rich>
          </c:tx>
          <c:layout>
            <c:manualLayout>
              <c:xMode val="edge"/>
              <c:yMode val="edge"/>
              <c:x val="0.11945052757316345"/>
              <c:y val="0.24407635884344575"/>
            </c:manualLayout>
          </c:layout>
          <c:overlay val="0"/>
          <c:spPr>
            <a:noFill/>
            <a:ln>
              <a:noFill/>
            </a:ln>
            <a:effectLst/>
          </c:spPr>
          <c:txPr>
            <a:bodyPr rot="0" spcFirstLastPara="1" vertOverflow="ellipsis" wrap="square" anchor="ctr" anchorCtr="1"/>
            <a:lstStyle/>
            <a:p>
              <a:pPr>
                <a:defRPr sz="5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58342784"/>
        <c:crosses val="autoZero"/>
        <c:crossBetween val="between"/>
      </c:valAx>
      <c:spPr>
        <a:noFill/>
        <a:ln>
          <a:noFill/>
        </a:ln>
        <a:effectLst/>
      </c:spPr>
    </c:plotArea>
    <c:legend>
      <c:legendPos val="t"/>
      <c:legendEntry>
        <c:idx val="4"/>
        <c:delete val="1"/>
      </c:legendEntry>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58839887909811E-2"/>
          <c:y val="0.24748629018337295"/>
          <c:w val="0.88890507436570432"/>
          <c:h val="0.623831312822828"/>
        </c:manualLayout>
      </c:layout>
      <c:lineChart>
        <c:grouping val="standard"/>
        <c:varyColors val="0"/>
        <c:ser>
          <c:idx val="0"/>
          <c:order val="0"/>
          <c:tx>
            <c:strRef>
              <c:f>'[All charts.xlsx]10'!$A$12</c:f>
              <c:strCache>
                <c:ptCount val="1"/>
                <c:pt idx="0">
                  <c:v>GDP per Capita</c:v>
                </c:pt>
              </c:strCache>
            </c:strRef>
          </c:tx>
          <c:spPr>
            <a:ln w="15875" cap="rnd">
              <a:solidFill>
                <a:srgbClr val="002060"/>
              </a:solidFill>
              <a:round/>
            </a:ln>
            <a:effectLst/>
          </c:spPr>
          <c:marker>
            <c:symbol val="none"/>
          </c:marker>
          <c:cat>
            <c:numRef>
              <c:f>'[All charts.xlsx]10'!$B$11:$Y$11</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'[All charts.xlsx]10'!$B$12:$Y$12</c:f>
              <c:numCache>
                <c:formatCode>0.0</c:formatCode>
                <c:ptCount val="24"/>
                <c:pt idx="0">
                  <c:v>2.3992189794335372</c:v>
                </c:pt>
                <c:pt idx="1">
                  <c:v>2.245593607673757</c:v>
                </c:pt>
                <c:pt idx="2">
                  <c:v>3.0363265931376393</c:v>
                </c:pt>
                <c:pt idx="3">
                  <c:v>2.8652432823589313</c:v>
                </c:pt>
                <c:pt idx="4">
                  <c:v>2.0593649494525135</c:v>
                </c:pt>
                <c:pt idx="5">
                  <c:v>1.1940531936145415</c:v>
                </c:pt>
                <c:pt idx="6">
                  <c:v>2.5706410152380732</c:v>
                </c:pt>
                <c:pt idx="7">
                  <c:v>2.8487821709838546</c:v>
                </c:pt>
                <c:pt idx="8">
                  <c:v>2.7025175016379688</c:v>
                </c:pt>
                <c:pt idx="9">
                  <c:v>2.1684908623771371</c:v>
                </c:pt>
                <c:pt idx="10">
                  <c:v>1.1224462195120966</c:v>
                </c:pt>
                <c:pt idx="11">
                  <c:v>1.0030119049041275</c:v>
                </c:pt>
                <c:pt idx="12">
                  <c:v>0.47689024961297122</c:v>
                </c:pt>
                <c:pt idx="13">
                  <c:v>1.8479704550283582</c:v>
                </c:pt>
                <c:pt idx="14">
                  <c:v>3.2593427515241302</c:v>
                </c:pt>
                <c:pt idx="15">
                  <c:v>0.63821521671687531</c:v>
                </c:pt>
                <c:pt idx="16">
                  <c:v>0.35803242643124289</c:v>
                </c:pt>
                <c:pt idx="17">
                  <c:v>0.37267804319762732</c:v>
                </c:pt>
                <c:pt idx="18">
                  <c:v>0.70699113492886934</c:v>
                </c:pt>
                <c:pt idx="19">
                  <c:v>0.90635365720774796</c:v>
                </c:pt>
                <c:pt idx="20">
                  <c:v>0.12504331069098651</c:v>
                </c:pt>
                <c:pt idx="21">
                  <c:v>1.1813928300231868</c:v>
                </c:pt>
                <c:pt idx="22">
                  <c:v>1.2460284020201939</c:v>
                </c:pt>
                <c:pt idx="23">
                  <c:v>1.1843688660551077</c:v>
                </c:pt>
              </c:numCache>
            </c:numRef>
          </c:val>
          <c:smooth val="0"/>
          <c:extLst>
            <c:ext xmlns:c16="http://schemas.microsoft.com/office/drawing/2014/chart" uri="{C3380CC4-5D6E-409C-BE32-E72D297353CC}">
              <c16:uniqueId val="{00000000-EE9D-4FC7-BF71-6CC5C4FB030C}"/>
            </c:ext>
          </c:extLst>
        </c:ser>
        <c:ser>
          <c:idx val="1"/>
          <c:order val="1"/>
          <c:tx>
            <c:strRef>
              <c:f>'[All charts.xlsx]10'!$A$13</c:f>
              <c:strCache>
                <c:ptCount val="1"/>
                <c:pt idx="0">
                  <c:v>Labour productivity </c:v>
                </c:pt>
              </c:strCache>
            </c:strRef>
          </c:tx>
          <c:spPr>
            <a:ln w="15875" cap="rnd">
              <a:solidFill>
                <a:srgbClr val="9BBB59"/>
              </a:solidFill>
              <a:round/>
            </a:ln>
            <a:effectLst/>
          </c:spPr>
          <c:marker>
            <c:symbol val="none"/>
          </c:marker>
          <c:cat>
            <c:numRef>
              <c:f>'[All charts.xlsx]10'!$B$11:$Y$11</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'[All charts.xlsx]10'!$B$13:$Y$13</c:f>
              <c:numCache>
                <c:formatCode>0.0</c:formatCode>
                <c:ptCount val="24"/>
                <c:pt idx="0">
                  <c:v>2.5704398853153343</c:v>
                </c:pt>
                <c:pt idx="1">
                  <c:v>3.2050935123122848</c:v>
                </c:pt>
                <c:pt idx="2">
                  <c:v>3.272704268914417</c:v>
                </c:pt>
                <c:pt idx="3">
                  <c:v>3.5628541569219241</c:v>
                </c:pt>
                <c:pt idx="4">
                  <c:v>2.9955236643208094</c:v>
                </c:pt>
                <c:pt idx="5">
                  <c:v>-2.6422310120732817E-3</c:v>
                </c:pt>
                <c:pt idx="6">
                  <c:v>0.77722734883172162</c:v>
                </c:pt>
                <c:pt idx="7">
                  <c:v>1.9153793273634756</c:v>
                </c:pt>
                <c:pt idx="8">
                  <c:v>2.8662331178074707</c:v>
                </c:pt>
                <c:pt idx="9">
                  <c:v>2.5579518937874024</c:v>
                </c:pt>
                <c:pt idx="10">
                  <c:v>1.8829372281132573</c:v>
                </c:pt>
                <c:pt idx="11">
                  <c:v>0.90386336561125713</c:v>
                </c:pt>
                <c:pt idx="12">
                  <c:v>-1.069880334625084</c:v>
                </c:pt>
                <c:pt idx="13">
                  <c:v>-3.3926008627184867</c:v>
                </c:pt>
                <c:pt idx="14">
                  <c:v>1.7253127445829852</c:v>
                </c:pt>
                <c:pt idx="15">
                  <c:v>0.82300319152144308</c:v>
                </c:pt>
                <c:pt idx="16">
                  <c:v>1.5327056584204524</c:v>
                </c:pt>
                <c:pt idx="17">
                  <c:v>1.1517935285089598</c:v>
                </c:pt>
                <c:pt idx="18">
                  <c:v>1.7938500554294246</c:v>
                </c:pt>
                <c:pt idx="19">
                  <c:v>2.1746275974216411</c:v>
                </c:pt>
                <c:pt idx="20">
                  <c:v>0.92488900159481968</c:v>
                </c:pt>
                <c:pt idx="21">
                  <c:v>1.7296033989252946</c:v>
                </c:pt>
                <c:pt idx="22">
                  <c:v>2.3831095342981001</c:v>
                </c:pt>
                <c:pt idx="23">
                  <c:v>1.8418461890788551</c:v>
                </c:pt>
              </c:numCache>
            </c:numRef>
          </c:val>
          <c:smooth val="0"/>
          <c:extLst>
            <c:ext xmlns:c16="http://schemas.microsoft.com/office/drawing/2014/chart" uri="{C3380CC4-5D6E-409C-BE32-E72D297353CC}">
              <c16:uniqueId val="{00000001-EE9D-4FC7-BF71-6CC5C4FB030C}"/>
            </c:ext>
          </c:extLst>
        </c:ser>
        <c:ser>
          <c:idx val="2"/>
          <c:order val="2"/>
          <c:tx>
            <c:strRef>
              <c:f>'[All charts.xlsx]10'!$A$14</c:f>
              <c:strCache>
                <c:ptCount val="1"/>
                <c:pt idx="0">
                  <c:v>Total factor productivity</c:v>
                </c:pt>
              </c:strCache>
            </c:strRef>
          </c:tx>
          <c:spPr>
            <a:ln w="15875" cap="rnd">
              <a:solidFill>
                <a:schemeClr val="accent1"/>
              </a:solidFill>
              <a:round/>
            </a:ln>
            <a:effectLst/>
          </c:spPr>
          <c:marker>
            <c:symbol val="none"/>
          </c:marker>
          <c:cat>
            <c:numRef>
              <c:f>'[All charts.xlsx]10'!$B$11:$Y$11</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'[All charts.xlsx]10'!$B$14:$Y$14</c:f>
              <c:numCache>
                <c:formatCode>0.0</c:formatCode>
                <c:ptCount val="24"/>
                <c:pt idx="0">
                  <c:v>1.8454205960234393</c:v>
                </c:pt>
                <c:pt idx="1">
                  <c:v>1.9235040900760225</c:v>
                </c:pt>
                <c:pt idx="2">
                  <c:v>2.2604421519858864</c:v>
                </c:pt>
                <c:pt idx="3">
                  <c:v>2.1541347346774709</c:v>
                </c:pt>
                <c:pt idx="4">
                  <c:v>1.3898938568267516</c:v>
                </c:pt>
                <c:pt idx="5">
                  <c:v>-0.16722019381205655</c:v>
                </c:pt>
                <c:pt idx="6">
                  <c:v>1.1250221866506926</c:v>
                </c:pt>
                <c:pt idx="7">
                  <c:v>1.6798973946612117</c:v>
                </c:pt>
                <c:pt idx="8">
                  <c:v>1.8515903768278941</c:v>
                </c:pt>
                <c:pt idx="9">
                  <c:v>1.3281950723711633</c:v>
                </c:pt>
                <c:pt idx="10">
                  <c:v>0.49024111594571096</c:v>
                </c:pt>
                <c:pt idx="11">
                  <c:v>0.19486699604718272</c:v>
                </c:pt>
                <c:pt idx="12">
                  <c:v>-0.64590469021214014</c:v>
                </c:pt>
                <c:pt idx="13">
                  <c:v>-0.32716807221055966</c:v>
                </c:pt>
                <c:pt idx="14">
                  <c:v>2.5597972549413095</c:v>
                </c:pt>
                <c:pt idx="15">
                  <c:v>0.50987417987813366</c:v>
                </c:pt>
                <c:pt idx="16">
                  <c:v>0.47565685535055913</c:v>
                </c:pt>
                <c:pt idx="17">
                  <c:v>0.29415819994627057</c:v>
                </c:pt>
                <c:pt idx="18">
                  <c:v>0.68122512434911631</c:v>
                </c:pt>
                <c:pt idx="19">
                  <c:v>0.9121845267836548</c:v>
                </c:pt>
                <c:pt idx="20">
                  <c:v>-3.9739210826950089E-2</c:v>
                </c:pt>
                <c:pt idx="21">
                  <c:v>0.83862099581692995</c:v>
                </c:pt>
                <c:pt idx="22">
                  <c:v>1.0234286405579551</c:v>
                </c:pt>
                <c:pt idx="23">
                  <c:v>0.77400177767703582</c:v>
                </c:pt>
              </c:numCache>
            </c:numRef>
          </c:val>
          <c:smooth val="0"/>
          <c:extLst>
            <c:ext xmlns:c16="http://schemas.microsoft.com/office/drawing/2014/chart" uri="{C3380CC4-5D6E-409C-BE32-E72D297353CC}">
              <c16:uniqueId val="{00000002-EE9D-4FC7-BF71-6CC5C4FB030C}"/>
            </c:ext>
          </c:extLst>
        </c:ser>
        <c:ser>
          <c:idx val="3"/>
          <c:order val="3"/>
          <c:tx>
            <c:strRef>
              <c:f>'[All charts.xlsx]10'!$A$15</c:f>
              <c:strCache>
                <c:ptCount val="1"/>
                <c:pt idx="0">
                  <c:v>Average value of Labour Productivity (1996-2019)</c:v>
                </c:pt>
              </c:strCache>
            </c:strRef>
          </c:tx>
          <c:spPr>
            <a:ln w="22225" cap="rnd">
              <a:solidFill>
                <a:srgbClr val="FF0000"/>
              </a:solidFill>
              <a:prstDash val="sysDash"/>
              <a:round/>
            </a:ln>
            <a:effectLst/>
          </c:spPr>
          <c:marker>
            <c:symbol val="none"/>
          </c:marker>
          <c:val>
            <c:numRef>
              <c:f>'[All charts.xlsx]10'!$B$15:$Y$15</c:f>
              <c:numCache>
                <c:formatCode>General</c:formatCode>
                <c:ptCount val="24"/>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pt idx="20">
                  <c:v>1.6</c:v>
                </c:pt>
                <c:pt idx="21">
                  <c:v>1.6</c:v>
                </c:pt>
                <c:pt idx="22">
                  <c:v>1.6</c:v>
                </c:pt>
                <c:pt idx="23">
                  <c:v>1.6</c:v>
                </c:pt>
              </c:numCache>
            </c:numRef>
          </c:val>
          <c:smooth val="0"/>
          <c:extLst>
            <c:ext xmlns:c16="http://schemas.microsoft.com/office/drawing/2014/chart" uri="{C3380CC4-5D6E-409C-BE32-E72D297353CC}">
              <c16:uniqueId val="{00000003-EE9D-4FC7-BF71-6CC5C4FB030C}"/>
            </c:ext>
          </c:extLst>
        </c:ser>
        <c:ser>
          <c:idx val="4"/>
          <c:order val="4"/>
          <c:tx>
            <c:strRef>
              <c:f>'[All charts.xlsx]10'!$A$16</c:f>
              <c:strCache>
                <c:ptCount val="1"/>
                <c:pt idx="0">
                  <c:v>Average value of Labour Productivity (2008-2019)</c:v>
                </c:pt>
              </c:strCache>
            </c:strRef>
          </c:tx>
          <c:spPr>
            <a:ln w="25400" cap="rnd" cmpd="thickThin">
              <a:solidFill>
                <a:srgbClr val="9B01AB"/>
              </a:solidFill>
              <a:prstDash val="sysDot"/>
              <a:round/>
            </a:ln>
            <a:effectLst/>
          </c:spPr>
          <c:marker>
            <c:symbol val="none"/>
          </c:marker>
          <c:val>
            <c:numRef>
              <c:f>'[All charts.xlsx]10'!$B$16:$Y$16</c:f>
              <c:numCache>
                <c:formatCode>General</c:formatCode>
                <c:ptCount val="24"/>
                <c:pt idx="12">
                  <c:v>1</c:v>
                </c:pt>
                <c:pt idx="13">
                  <c:v>1</c:v>
                </c:pt>
                <c:pt idx="14">
                  <c:v>1</c:v>
                </c:pt>
                <c:pt idx="15">
                  <c:v>1</c:v>
                </c:pt>
                <c:pt idx="16">
                  <c:v>1</c:v>
                </c:pt>
                <c:pt idx="17">
                  <c:v>1</c:v>
                </c:pt>
                <c:pt idx="18">
                  <c:v>1</c:v>
                </c:pt>
                <c:pt idx="19">
                  <c:v>1</c:v>
                </c:pt>
                <c:pt idx="20">
                  <c:v>1</c:v>
                </c:pt>
                <c:pt idx="21">
                  <c:v>1</c:v>
                </c:pt>
                <c:pt idx="22">
                  <c:v>1</c:v>
                </c:pt>
                <c:pt idx="23">
                  <c:v>1</c:v>
                </c:pt>
              </c:numCache>
            </c:numRef>
          </c:val>
          <c:smooth val="0"/>
          <c:extLst>
            <c:ext xmlns:c16="http://schemas.microsoft.com/office/drawing/2014/chart" uri="{C3380CC4-5D6E-409C-BE32-E72D297353CC}">
              <c16:uniqueId val="{00000004-EE9D-4FC7-BF71-6CC5C4FB030C}"/>
            </c:ext>
          </c:extLst>
        </c:ser>
        <c:dLbls>
          <c:showLegendKey val="0"/>
          <c:showVal val="0"/>
          <c:showCatName val="0"/>
          <c:showSerName val="0"/>
          <c:showPercent val="0"/>
          <c:showBubbleSize val="0"/>
        </c:dLbls>
        <c:smooth val="0"/>
        <c:axId val="108665472"/>
        <c:axId val="108667264"/>
      </c:lineChart>
      <c:catAx>
        <c:axId val="108665472"/>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8667264"/>
        <c:crossesAt val="0"/>
        <c:auto val="1"/>
        <c:lblAlgn val="ctr"/>
        <c:lblOffset val="100"/>
        <c:noMultiLvlLbl val="0"/>
      </c:catAx>
      <c:valAx>
        <c:axId val="108667264"/>
        <c:scaling>
          <c:orientation val="minMax"/>
          <c:max val="4"/>
          <c:min val="-5"/>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600" i="1"/>
                  <a:t>%</a:t>
                </a:r>
              </a:p>
            </c:rich>
          </c:tx>
          <c:layout>
            <c:manualLayout>
              <c:xMode val="edge"/>
              <c:yMode val="edge"/>
              <c:x val="8.044530631235372E-2"/>
              <c:y val="0.19841669875582585"/>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8665472"/>
        <c:crosses val="autoZero"/>
        <c:crossBetween val="between"/>
        <c:majorUnit val="1"/>
      </c:valAx>
      <c:spPr>
        <a:noFill/>
        <a:ln>
          <a:noFill/>
        </a:ln>
        <a:effectLst/>
      </c:spPr>
    </c:plotArea>
    <c:legend>
      <c:legendPos val="b"/>
      <c:layout>
        <c:manualLayout>
          <c:xMode val="edge"/>
          <c:yMode val="edge"/>
          <c:x val="0.10479331152618103"/>
          <c:y val="0"/>
          <c:w val="0.89069608856403093"/>
          <c:h val="0.2401667751058942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21805555555556"/>
          <c:y val="2.6690277777777778E-2"/>
          <c:w val="0.8159914271662333"/>
          <c:h val="0.82941922528140355"/>
        </c:manualLayout>
      </c:layout>
      <c:lineChart>
        <c:grouping val="standard"/>
        <c:varyColors val="0"/>
        <c:ser>
          <c:idx val="0"/>
          <c:order val="0"/>
          <c:tx>
            <c:v>ECB deposit facility rate</c:v>
          </c:tx>
          <c:spPr>
            <a:ln w="28575" cap="rnd">
              <a:solidFill>
                <a:srgbClr val="002060"/>
              </a:solidFill>
              <a:round/>
            </a:ln>
            <a:effectLst/>
          </c:spPr>
          <c:marker>
            <c:symbol val="none"/>
          </c:marker>
          <c:cat>
            <c:numRef>
              <c:f>'12 - Data'!$B$4:$B$120</c:f>
              <c:numCache>
                <c:formatCode>[$-80C]dd/mmm/yy;@</c:formatCode>
                <c:ptCount val="117"/>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43983</c:v>
                </c:pt>
                <c:pt idx="114">
                  <c:v>44013</c:v>
                </c:pt>
                <c:pt idx="115">
                  <c:v>44044</c:v>
                </c:pt>
                <c:pt idx="116">
                  <c:v>44075</c:v>
                </c:pt>
              </c:numCache>
            </c:numRef>
          </c:cat>
          <c:val>
            <c:numRef>
              <c:f>'12 - Data'!$C$4:$C$120</c:f>
              <c:numCache>
                <c:formatCode>0.00</c:formatCode>
                <c:ptCount val="117"/>
                <c:pt idx="0">
                  <c:v>0.25</c:v>
                </c:pt>
                <c:pt idx="1">
                  <c:v>0.25</c:v>
                </c:pt>
                <c:pt idx="2">
                  <c:v>0.25</c:v>
                </c:pt>
                <c:pt idx="3">
                  <c:v>0.4</c:v>
                </c:pt>
                <c:pt idx="4">
                  <c:v>0.5</c:v>
                </c:pt>
                <c:pt idx="5">
                  <c:v>0.5</c:v>
                </c:pt>
                <c:pt idx="6">
                  <c:v>0.65322580645161288</c:v>
                </c:pt>
                <c:pt idx="7">
                  <c:v>0.75</c:v>
                </c:pt>
                <c:pt idx="8">
                  <c:v>0.75</c:v>
                </c:pt>
                <c:pt idx="9">
                  <c:v>0.75</c:v>
                </c:pt>
                <c:pt idx="10">
                  <c:v>0.56666666666666665</c:v>
                </c:pt>
                <c:pt idx="11">
                  <c:v>0.35483870967741937</c:v>
                </c:pt>
                <c:pt idx="12">
                  <c:v>0.25</c:v>
                </c:pt>
                <c:pt idx="13">
                  <c:v>0.25</c:v>
                </c:pt>
                <c:pt idx="14">
                  <c:v>0.25</c:v>
                </c:pt>
                <c:pt idx="15">
                  <c:v>0.25</c:v>
                </c:pt>
                <c:pt idx="16">
                  <c:v>0.25</c:v>
                </c:pt>
                <c:pt idx="17">
                  <c:v>0.25</c:v>
                </c:pt>
                <c:pt idx="18">
                  <c:v>8.0645161290322578E-2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-6.6666666666666666E-2</c:v>
                </c:pt>
                <c:pt idx="42">
                  <c:v>-0.1</c:v>
                </c:pt>
                <c:pt idx="43">
                  <c:v>-0.1</c:v>
                </c:pt>
                <c:pt idx="44">
                  <c:v>-0.17</c:v>
                </c:pt>
                <c:pt idx="45">
                  <c:v>-0.2</c:v>
                </c:pt>
                <c:pt idx="46">
                  <c:v>-0.2</c:v>
                </c:pt>
                <c:pt idx="47">
                  <c:v>-0.2</c:v>
                </c:pt>
                <c:pt idx="48">
                  <c:v>-0.2</c:v>
                </c:pt>
                <c:pt idx="49">
                  <c:v>-0.2</c:v>
                </c:pt>
                <c:pt idx="50">
                  <c:v>-0.2</c:v>
                </c:pt>
                <c:pt idx="51">
                  <c:v>-0.2</c:v>
                </c:pt>
                <c:pt idx="52">
                  <c:v>-0.2</c:v>
                </c:pt>
                <c:pt idx="53">
                  <c:v>-0.2</c:v>
                </c:pt>
                <c:pt idx="54">
                  <c:v>-0.2</c:v>
                </c:pt>
                <c:pt idx="55">
                  <c:v>-0.2</c:v>
                </c:pt>
                <c:pt idx="56">
                  <c:v>-0.2</c:v>
                </c:pt>
                <c:pt idx="57">
                  <c:v>-0.2</c:v>
                </c:pt>
                <c:pt idx="58">
                  <c:v>-0.2</c:v>
                </c:pt>
                <c:pt idx="59">
                  <c:v>-0.27419354838709675</c:v>
                </c:pt>
                <c:pt idx="60">
                  <c:v>-0.3</c:v>
                </c:pt>
                <c:pt idx="61">
                  <c:v>-0.3</c:v>
                </c:pt>
                <c:pt idx="62">
                  <c:v>-0.35161290322580646</c:v>
                </c:pt>
                <c:pt idx="63">
                  <c:v>-0.4</c:v>
                </c:pt>
                <c:pt idx="64">
                  <c:v>-0.4</c:v>
                </c:pt>
                <c:pt idx="65">
                  <c:v>-0.4</c:v>
                </c:pt>
                <c:pt idx="66">
                  <c:v>-0.4</c:v>
                </c:pt>
                <c:pt idx="67">
                  <c:v>-0.4</c:v>
                </c:pt>
                <c:pt idx="68">
                  <c:v>-0.4</c:v>
                </c:pt>
                <c:pt idx="69">
                  <c:v>-0.4</c:v>
                </c:pt>
                <c:pt idx="70">
                  <c:v>-0.4</c:v>
                </c:pt>
                <c:pt idx="71">
                  <c:v>-0.4</c:v>
                </c:pt>
                <c:pt idx="72">
                  <c:v>-0.4</c:v>
                </c:pt>
                <c:pt idx="73">
                  <c:v>-0.4</c:v>
                </c:pt>
                <c:pt idx="74">
                  <c:v>-0.4</c:v>
                </c:pt>
                <c:pt idx="75">
                  <c:v>-0.4</c:v>
                </c:pt>
                <c:pt idx="76">
                  <c:v>-0.4</c:v>
                </c:pt>
                <c:pt idx="77">
                  <c:v>-0.4</c:v>
                </c:pt>
                <c:pt idx="78">
                  <c:v>-0.4</c:v>
                </c:pt>
                <c:pt idx="79">
                  <c:v>-0.4</c:v>
                </c:pt>
                <c:pt idx="80">
                  <c:v>-0.4</c:v>
                </c:pt>
                <c:pt idx="81">
                  <c:v>-0.4</c:v>
                </c:pt>
                <c:pt idx="82">
                  <c:v>-0.4</c:v>
                </c:pt>
                <c:pt idx="83">
                  <c:v>-0.4</c:v>
                </c:pt>
                <c:pt idx="84">
                  <c:v>-0.4</c:v>
                </c:pt>
                <c:pt idx="85">
                  <c:v>-0.4</c:v>
                </c:pt>
                <c:pt idx="86">
                  <c:v>-0.4</c:v>
                </c:pt>
                <c:pt idx="87">
                  <c:v>-0.4</c:v>
                </c:pt>
                <c:pt idx="88">
                  <c:v>-0.4</c:v>
                </c:pt>
                <c:pt idx="89">
                  <c:v>-0.4</c:v>
                </c:pt>
                <c:pt idx="90">
                  <c:v>-0.4</c:v>
                </c:pt>
                <c:pt idx="91">
                  <c:v>-0.4</c:v>
                </c:pt>
                <c:pt idx="92">
                  <c:v>-0.4</c:v>
                </c:pt>
                <c:pt idx="93">
                  <c:v>-0.4</c:v>
                </c:pt>
                <c:pt idx="94">
                  <c:v>-0.4</c:v>
                </c:pt>
                <c:pt idx="95">
                  <c:v>-0.4</c:v>
                </c:pt>
                <c:pt idx="96">
                  <c:v>-0.4</c:v>
                </c:pt>
                <c:pt idx="97">
                  <c:v>-0.4</c:v>
                </c:pt>
                <c:pt idx="98">
                  <c:v>-0.4</c:v>
                </c:pt>
                <c:pt idx="99">
                  <c:v>-0.4</c:v>
                </c:pt>
                <c:pt idx="100">
                  <c:v>-0.4</c:v>
                </c:pt>
                <c:pt idx="101">
                  <c:v>-0.4</c:v>
                </c:pt>
                <c:pt idx="102">
                  <c:v>-0.4</c:v>
                </c:pt>
                <c:pt idx="103">
                  <c:v>-0.4</c:v>
                </c:pt>
                <c:pt idx="104">
                  <c:v>-0.44333333333333336</c:v>
                </c:pt>
                <c:pt idx="105">
                  <c:v>-0.5</c:v>
                </c:pt>
                <c:pt idx="106">
                  <c:v>-0.5</c:v>
                </c:pt>
                <c:pt idx="107">
                  <c:v>-0.5</c:v>
                </c:pt>
                <c:pt idx="108">
                  <c:v>-0.5</c:v>
                </c:pt>
                <c:pt idx="109">
                  <c:v>-0.5</c:v>
                </c:pt>
                <c:pt idx="110">
                  <c:v>-0.5</c:v>
                </c:pt>
                <c:pt idx="111">
                  <c:v>-0.5</c:v>
                </c:pt>
                <c:pt idx="112">
                  <c:v>-0.5</c:v>
                </c:pt>
                <c:pt idx="113">
                  <c:v>-0.5</c:v>
                </c:pt>
                <c:pt idx="114">
                  <c:v>-0.5</c:v>
                </c:pt>
                <c:pt idx="115">
                  <c:v>-0.5</c:v>
                </c:pt>
                <c:pt idx="116">
                  <c:v>-0.5</c:v>
                </c:pt>
              </c:numCache>
            </c:numRef>
          </c:val>
          <c:smooth val="0"/>
          <c:extLst>
            <c:ext xmlns:c16="http://schemas.microsoft.com/office/drawing/2014/chart" uri="{C3380CC4-5D6E-409C-BE32-E72D297353CC}">
              <c16:uniqueId val="{00000000-471F-4753-B30A-A94B3239F951}"/>
            </c:ext>
          </c:extLst>
        </c:ser>
        <c:ser>
          <c:idx val="1"/>
          <c:order val="1"/>
          <c:tx>
            <c:v>EONIA</c:v>
          </c:tx>
          <c:spPr>
            <a:ln w="28575" cap="rnd">
              <a:solidFill>
                <a:srgbClr val="7030A0"/>
              </a:solidFill>
              <a:round/>
            </a:ln>
            <a:effectLst/>
          </c:spPr>
          <c:marker>
            <c:symbol val="none"/>
          </c:marker>
          <c:cat>
            <c:numRef>
              <c:f>'12 - Data'!$B$4:$B$120</c:f>
              <c:numCache>
                <c:formatCode>[$-80C]dd/mmm/yy;@</c:formatCode>
                <c:ptCount val="117"/>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43983</c:v>
                </c:pt>
                <c:pt idx="114">
                  <c:v>44013</c:v>
                </c:pt>
                <c:pt idx="115">
                  <c:v>44044</c:v>
                </c:pt>
                <c:pt idx="116">
                  <c:v>44075</c:v>
                </c:pt>
              </c:numCache>
            </c:numRef>
          </c:cat>
          <c:val>
            <c:numRef>
              <c:f>'12 - Data'!$D$4:$D$120</c:f>
              <c:numCache>
                <c:formatCode>0.000</c:formatCode>
                <c:ptCount val="117"/>
                <c:pt idx="0">
                  <c:v>0.65895238095238096</c:v>
                </c:pt>
                <c:pt idx="1">
                  <c:v>0.70709999999999995</c:v>
                </c:pt>
                <c:pt idx="2">
                  <c:v>0.65869565217391302</c:v>
                </c:pt>
                <c:pt idx="3">
                  <c:v>0.96610526315789469</c:v>
                </c:pt>
                <c:pt idx="4">
                  <c:v>1.0333636363636363</c:v>
                </c:pt>
                <c:pt idx="5">
                  <c:v>1.1240454545454546</c:v>
                </c:pt>
                <c:pt idx="6">
                  <c:v>1.0118095238095237</c:v>
                </c:pt>
                <c:pt idx="7">
                  <c:v>0.90578260869565219</c:v>
                </c:pt>
                <c:pt idx="8">
                  <c:v>1.0054545454545454</c:v>
                </c:pt>
                <c:pt idx="9">
                  <c:v>0.95957142857142863</c:v>
                </c:pt>
                <c:pt idx="10">
                  <c:v>0.79</c:v>
                </c:pt>
                <c:pt idx="11">
                  <c:v>0.62704761904761908</c:v>
                </c:pt>
                <c:pt idx="12">
                  <c:v>0.38004545454545458</c:v>
                </c:pt>
                <c:pt idx="13">
                  <c:v>0.36561904761904762</c:v>
                </c:pt>
                <c:pt idx="14">
                  <c:v>0.35672727272727273</c:v>
                </c:pt>
                <c:pt idx="15">
                  <c:v>0.34510526315789475</c:v>
                </c:pt>
                <c:pt idx="16">
                  <c:v>0.33700000000000002</c:v>
                </c:pt>
                <c:pt idx="17">
                  <c:v>0.33204761904761904</c:v>
                </c:pt>
                <c:pt idx="18">
                  <c:v>0.18422727272727274</c:v>
                </c:pt>
                <c:pt idx="19">
                  <c:v>0.11008695652173912</c:v>
                </c:pt>
                <c:pt idx="20">
                  <c:v>9.9299999999999999E-2</c:v>
                </c:pt>
                <c:pt idx="21">
                  <c:v>9.0695652173913038E-2</c:v>
                </c:pt>
                <c:pt idx="22">
                  <c:v>7.85E-2</c:v>
                </c:pt>
                <c:pt idx="23">
                  <c:v>7.3421052631578942E-2</c:v>
                </c:pt>
                <c:pt idx="24">
                  <c:v>6.9000000000000006E-2</c:v>
                </c:pt>
                <c:pt idx="25">
                  <c:v>6.7650000000000002E-2</c:v>
                </c:pt>
                <c:pt idx="26">
                  <c:v>6.6949999999999996E-2</c:v>
                </c:pt>
                <c:pt idx="27">
                  <c:v>8.1000000000000003E-2</c:v>
                </c:pt>
                <c:pt idx="28">
                  <c:v>7.8727272727272729E-2</c:v>
                </c:pt>
                <c:pt idx="29">
                  <c:v>8.6150000000000004E-2</c:v>
                </c:pt>
                <c:pt idx="30">
                  <c:v>9.3130434782608698E-2</c:v>
                </c:pt>
                <c:pt idx="31">
                  <c:v>8.2000000000000003E-2</c:v>
                </c:pt>
                <c:pt idx="32">
                  <c:v>8.0333333333333326E-2</c:v>
                </c:pt>
                <c:pt idx="33">
                  <c:v>9.334782608695652E-2</c:v>
                </c:pt>
                <c:pt idx="34">
                  <c:v>0.1030952380952381</c:v>
                </c:pt>
                <c:pt idx="35">
                  <c:v>0.16864999999999999</c:v>
                </c:pt>
                <c:pt idx="36">
                  <c:v>0.19609090909090909</c:v>
                </c:pt>
                <c:pt idx="37">
                  <c:v>0.15670000000000001</c:v>
                </c:pt>
                <c:pt idx="38">
                  <c:v>0.19185714285714286</c:v>
                </c:pt>
                <c:pt idx="39">
                  <c:v>0.25385000000000002</c:v>
                </c:pt>
                <c:pt idx="40">
                  <c:v>0.24804761904761904</c:v>
                </c:pt>
                <c:pt idx="41">
                  <c:v>7.5761904761904766E-2</c:v>
                </c:pt>
                <c:pt idx="42">
                  <c:v>4.3260869565217394E-2</c:v>
                </c:pt>
                <c:pt idx="43">
                  <c:v>1.7904761904761906E-2</c:v>
                </c:pt>
                <c:pt idx="44">
                  <c:v>6.5909090909090908E-3</c:v>
                </c:pt>
                <c:pt idx="45">
                  <c:v>-4.4782608695652171E-3</c:v>
                </c:pt>
                <c:pt idx="46">
                  <c:v>-1.155E-2</c:v>
                </c:pt>
                <c:pt idx="47">
                  <c:v>-3.0142857142857145E-2</c:v>
                </c:pt>
                <c:pt idx="48">
                  <c:v>-5.0619047619047619E-2</c:v>
                </c:pt>
                <c:pt idx="49">
                  <c:v>-3.5999999999999997E-2</c:v>
                </c:pt>
                <c:pt idx="50">
                  <c:v>-5.0363636363636367E-2</c:v>
                </c:pt>
                <c:pt idx="51">
                  <c:v>-7.4499999999999997E-2</c:v>
                </c:pt>
                <c:pt idx="52">
                  <c:v>-0.10575</c:v>
                </c:pt>
                <c:pt idx="53">
                  <c:v>-0.11849999999999999</c:v>
                </c:pt>
                <c:pt idx="54">
                  <c:v>-0.11769565217391305</c:v>
                </c:pt>
                <c:pt idx="55">
                  <c:v>-0.12128571428571429</c:v>
                </c:pt>
                <c:pt idx="56">
                  <c:v>-0.13568181818181818</c:v>
                </c:pt>
                <c:pt idx="57">
                  <c:v>-0.1389090909090909</c:v>
                </c:pt>
                <c:pt idx="58">
                  <c:v>-0.13466666666666668</c:v>
                </c:pt>
                <c:pt idx="59">
                  <c:v>-0.19895454545454547</c:v>
                </c:pt>
                <c:pt idx="60">
                  <c:v>-0.2387</c:v>
                </c:pt>
                <c:pt idx="61">
                  <c:v>-0.24038095238095239</c:v>
                </c:pt>
                <c:pt idx="62">
                  <c:v>-0.2877142857142857</c:v>
                </c:pt>
                <c:pt idx="63">
                  <c:v>-0.33780952380952384</c:v>
                </c:pt>
                <c:pt idx="64">
                  <c:v>-0.33800000000000002</c:v>
                </c:pt>
                <c:pt idx="65">
                  <c:v>-0.33254545454545459</c:v>
                </c:pt>
                <c:pt idx="66">
                  <c:v>-0.32876190476190476</c:v>
                </c:pt>
                <c:pt idx="67">
                  <c:v>-0.33882608695652178</c:v>
                </c:pt>
                <c:pt idx="68">
                  <c:v>-0.34299999999999997</c:v>
                </c:pt>
                <c:pt idx="69">
                  <c:v>-0.3466190476190476</c:v>
                </c:pt>
                <c:pt idx="70">
                  <c:v>-0.34872727272727272</c:v>
                </c:pt>
                <c:pt idx="71">
                  <c:v>-0.35042857142857142</c:v>
                </c:pt>
                <c:pt idx="72">
                  <c:v>-0.35154545454545455</c:v>
                </c:pt>
                <c:pt idx="73">
                  <c:v>-0.35285</c:v>
                </c:pt>
                <c:pt idx="74">
                  <c:v>-0.35347826086956519</c:v>
                </c:pt>
                <c:pt idx="75">
                  <c:v>-0.35688888888888887</c:v>
                </c:pt>
                <c:pt idx="76">
                  <c:v>-0.35886363636363633</c:v>
                </c:pt>
                <c:pt idx="77">
                  <c:v>-0.35868181818181816</c:v>
                </c:pt>
                <c:pt idx="78">
                  <c:v>-0.35947619047619045</c:v>
                </c:pt>
                <c:pt idx="79">
                  <c:v>-0.35582608695652174</c:v>
                </c:pt>
                <c:pt idx="80">
                  <c:v>-0.35814285714285715</c:v>
                </c:pt>
                <c:pt idx="81">
                  <c:v>-0.35899999999999999</c:v>
                </c:pt>
                <c:pt idx="82">
                  <c:v>-0.34918181818181815</c:v>
                </c:pt>
                <c:pt idx="83">
                  <c:v>-0.34226315789473682</c:v>
                </c:pt>
                <c:pt idx="84">
                  <c:v>-0.36236363636363633</c:v>
                </c:pt>
                <c:pt idx="85">
                  <c:v>-0.36469999999999997</c:v>
                </c:pt>
                <c:pt idx="86">
                  <c:v>-0.3639047619047619</c:v>
                </c:pt>
                <c:pt idx="87">
                  <c:v>-0.36569999999999997</c:v>
                </c:pt>
                <c:pt idx="88">
                  <c:v>-0.36249999999999999</c:v>
                </c:pt>
                <c:pt idx="89">
                  <c:v>-0.36176190476190473</c:v>
                </c:pt>
                <c:pt idx="90">
                  <c:v>-0.36359090909090908</c:v>
                </c:pt>
                <c:pt idx="91">
                  <c:v>-0.3591304347826087</c:v>
                </c:pt>
                <c:pt idx="92">
                  <c:v>-0.36269999999999997</c:v>
                </c:pt>
                <c:pt idx="93">
                  <c:v>-0.36604347826086958</c:v>
                </c:pt>
                <c:pt idx="94">
                  <c:v>-0.36131818181818182</c:v>
                </c:pt>
                <c:pt idx="95">
                  <c:v>-0.36047368421052628</c:v>
                </c:pt>
                <c:pt idx="96">
                  <c:v>-0.36699999999999999</c:v>
                </c:pt>
                <c:pt idx="97">
                  <c:v>-0.36704999999999999</c:v>
                </c:pt>
                <c:pt idx="98">
                  <c:v>-0.36785714285714283</c:v>
                </c:pt>
                <c:pt idx="99">
                  <c:v>-0.36699999999999999</c:v>
                </c:pt>
                <c:pt idx="100">
                  <c:v>-0.36659090909090908</c:v>
                </c:pt>
                <c:pt idx="101">
                  <c:v>-0.36154999999999998</c:v>
                </c:pt>
                <c:pt idx="102">
                  <c:v>-0.36682608695652175</c:v>
                </c:pt>
                <c:pt idx="103">
                  <c:v>-0.36122727272727273</c:v>
                </c:pt>
                <c:pt idx="104">
                  <c:v>-0.40323809523809523</c:v>
                </c:pt>
                <c:pt idx="105">
                  <c:v>-0.46421739130434786</c:v>
                </c:pt>
                <c:pt idx="106">
                  <c:v>-0.45128571428571429</c:v>
                </c:pt>
                <c:pt idx="107">
                  <c:v>-0.45619999999999999</c:v>
                </c:pt>
                <c:pt idx="108">
                  <c:v>-0.45268181818181819</c:v>
                </c:pt>
                <c:pt idx="109">
                  <c:v>-0.45330000000000004</c:v>
                </c:pt>
                <c:pt idx="110">
                  <c:v>-0.44881818181818184</c:v>
                </c:pt>
                <c:pt idx="111">
                  <c:v>-0.45155000000000001</c:v>
                </c:pt>
                <c:pt idx="112">
                  <c:v>-0.45674999999999999</c:v>
                </c:pt>
                <c:pt idx="113">
                  <c:v>-0.46072727272727276</c:v>
                </c:pt>
                <c:pt idx="114">
                  <c:v>-0.46486956521739131</c:v>
                </c:pt>
                <c:pt idx="115">
                  <c:v>-0.46771428571428575</c:v>
                </c:pt>
                <c:pt idx="116">
                  <c:v>-0.46766666666666667</c:v>
                </c:pt>
              </c:numCache>
            </c:numRef>
          </c:val>
          <c:smooth val="0"/>
          <c:extLst>
            <c:ext xmlns:c16="http://schemas.microsoft.com/office/drawing/2014/chart" uri="{C3380CC4-5D6E-409C-BE32-E72D297353CC}">
              <c16:uniqueId val="{00000001-471F-4753-B30A-A94B3239F951}"/>
            </c:ext>
          </c:extLst>
        </c:ser>
        <c:dLbls>
          <c:showLegendKey val="0"/>
          <c:showVal val="0"/>
          <c:showCatName val="0"/>
          <c:showSerName val="0"/>
          <c:showPercent val="0"/>
          <c:showBubbleSize val="0"/>
        </c:dLbls>
        <c:marker val="1"/>
        <c:smooth val="0"/>
        <c:axId val="108708608"/>
        <c:axId val="108710144"/>
      </c:lineChart>
      <c:lineChart>
        <c:grouping val="standard"/>
        <c:varyColors val="0"/>
        <c:ser>
          <c:idx val="2"/>
          <c:order val="2"/>
          <c:tx>
            <c:v>Balance sheet total (rhs)</c:v>
          </c:tx>
          <c:spPr>
            <a:ln w="28575" cap="rnd">
              <a:solidFill>
                <a:schemeClr val="accent1"/>
              </a:solidFill>
              <a:prstDash val="sysDot"/>
              <a:round/>
            </a:ln>
            <a:effectLst/>
          </c:spPr>
          <c:marker>
            <c:symbol val="none"/>
          </c:marker>
          <c:cat>
            <c:numRef>
              <c:f>'12 - Data'!$B$4:$B$120</c:f>
              <c:numCache>
                <c:formatCode>[$-80C]dd/mmm/yy;@</c:formatCode>
                <c:ptCount val="117"/>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43983</c:v>
                </c:pt>
                <c:pt idx="114">
                  <c:v>44013</c:v>
                </c:pt>
                <c:pt idx="115">
                  <c:v>44044</c:v>
                </c:pt>
                <c:pt idx="116">
                  <c:v>44075</c:v>
                </c:pt>
              </c:numCache>
            </c:numRef>
          </c:cat>
          <c:val>
            <c:numRef>
              <c:f>'12 - Data'!$M$19:$M$135</c:f>
              <c:numCache>
                <c:formatCode>0.0</c:formatCode>
                <c:ptCount val="117"/>
                <c:pt idx="0">
                  <c:v>171.19465434769734</c:v>
                </c:pt>
                <c:pt idx="1">
                  <c:v>170.03713806930816</c:v>
                </c:pt>
                <c:pt idx="2">
                  <c:v>164.48193090089433</c:v>
                </c:pt>
                <c:pt idx="3">
                  <c:v>164.97010838323982</c:v>
                </c:pt>
                <c:pt idx="4">
                  <c:v>165.53702135961566</c:v>
                </c:pt>
                <c:pt idx="5">
                  <c:v>169.36692830541011</c:v>
                </c:pt>
                <c:pt idx="6">
                  <c:v>174.23459344962498</c:v>
                </c:pt>
                <c:pt idx="7">
                  <c:v>180.4325748945258</c:v>
                </c:pt>
                <c:pt idx="8">
                  <c:v>199.32717733253901</c:v>
                </c:pt>
                <c:pt idx="9">
                  <c:v>203.22928751345648</c:v>
                </c:pt>
                <c:pt idx="10">
                  <c:v>210.73485299804554</c:v>
                </c:pt>
                <c:pt idx="11">
                  <c:v>238.26440493734262</c:v>
                </c:pt>
                <c:pt idx="12">
                  <c:v>233.64374627661246</c:v>
                </c:pt>
                <c:pt idx="13">
                  <c:v>234.51663026021038</c:v>
                </c:pt>
                <c:pt idx="14">
                  <c:v>258.19206234736288</c:v>
                </c:pt>
                <c:pt idx="15">
                  <c:v>257.98964941801927</c:v>
                </c:pt>
                <c:pt idx="16">
                  <c:v>261.51619826015462</c:v>
                </c:pt>
                <c:pt idx="17">
                  <c:v>270.19399937987089</c:v>
                </c:pt>
                <c:pt idx="18">
                  <c:v>269.48999606322531</c:v>
                </c:pt>
                <c:pt idx="19">
                  <c:v>268.6734636998018</c:v>
                </c:pt>
                <c:pt idx="20">
                  <c:v>268.46991851224755</c:v>
                </c:pt>
                <c:pt idx="21">
                  <c:v>265.34410197988416</c:v>
                </c:pt>
                <c:pt idx="22">
                  <c:v>264.19015666969761</c:v>
                </c:pt>
                <c:pt idx="23">
                  <c:v>262.87534359681854</c:v>
                </c:pt>
                <c:pt idx="24">
                  <c:v>241.2315311266492</c:v>
                </c:pt>
                <c:pt idx="25">
                  <c:v>233.47329786752232</c:v>
                </c:pt>
                <c:pt idx="26">
                  <c:v>230.64326201848547</c:v>
                </c:pt>
                <c:pt idx="27">
                  <c:v>227.43165515247165</c:v>
                </c:pt>
                <c:pt idx="28">
                  <c:v>222.04881252242745</c:v>
                </c:pt>
                <c:pt idx="29">
                  <c:v>211.68203053961685</c:v>
                </c:pt>
                <c:pt idx="30">
                  <c:v>208.69966241285968</c:v>
                </c:pt>
                <c:pt idx="31">
                  <c:v>205.60406846504114</c:v>
                </c:pt>
                <c:pt idx="32">
                  <c:v>203.63611659820862</c:v>
                </c:pt>
                <c:pt idx="33">
                  <c:v>201.5761905259601</c:v>
                </c:pt>
                <c:pt idx="34">
                  <c:v>199.53490316579399</c:v>
                </c:pt>
                <c:pt idx="35">
                  <c:v>199.0509063291492</c:v>
                </c:pt>
                <c:pt idx="36">
                  <c:v>193.09888620630792</c:v>
                </c:pt>
                <c:pt idx="37">
                  <c:v>189.96496967289934</c:v>
                </c:pt>
                <c:pt idx="38">
                  <c:v>187.44125321822625</c:v>
                </c:pt>
                <c:pt idx="39">
                  <c:v>188.91824050557943</c:v>
                </c:pt>
                <c:pt idx="40">
                  <c:v>191.35991178837571</c:v>
                </c:pt>
                <c:pt idx="41">
                  <c:v>181.86671056344653</c:v>
                </c:pt>
                <c:pt idx="42">
                  <c:v>179.39176830861527</c:v>
                </c:pt>
                <c:pt idx="43">
                  <c:v>177.5656100084658</c:v>
                </c:pt>
                <c:pt idx="44">
                  <c:v>177.52371645467309</c:v>
                </c:pt>
                <c:pt idx="45">
                  <c:v>178.72870048112267</c:v>
                </c:pt>
                <c:pt idx="46">
                  <c:v>178.88739082417945</c:v>
                </c:pt>
                <c:pt idx="47">
                  <c:v>187.27960158446473</c:v>
                </c:pt>
                <c:pt idx="48">
                  <c:v>190.0411793601522</c:v>
                </c:pt>
                <c:pt idx="49">
                  <c:v>187.76638551824328</c:v>
                </c:pt>
                <c:pt idx="50">
                  <c:v>196.03753174677828</c:v>
                </c:pt>
                <c:pt idx="51">
                  <c:v>205.6172200796413</c:v>
                </c:pt>
                <c:pt idx="52">
                  <c:v>210.48384006243103</c:v>
                </c:pt>
                <c:pt idx="53">
                  <c:v>221.18611886272501</c:v>
                </c:pt>
                <c:pt idx="54">
                  <c:v>220.92900915213022</c:v>
                </c:pt>
                <c:pt idx="55">
                  <c:v>222.86151262729197</c:v>
                </c:pt>
                <c:pt idx="56">
                  <c:v>228.2485359030369</c:v>
                </c:pt>
                <c:pt idx="57">
                  <c:v>232.11258478872065</c:v>
                </c:pt>
                <c:pt idx="58">
                  <c:v>235.74835299978747</c:v>
                </c:pt>
                <c:pt idx="59">
                  <c:v>242.22878931984383</c:v>
                </c:pt>
                <c:pt idx="60">
                  <c:v>244.59660252859391</c:v>
                </c:pt>
                <c:pt idx="61">
                  <c:v>248.25188041959748</c:v>
                </c:pt>
                <c:pt idx="62">
                  <c:v>256.21792660876474</c:v>
                </c:pt>
                <c:pt idx="63">
                  <c:v>261.35646275567262</c:v>
                </c:pt>
                <c:pt idx="64">
                  <c:v>267.16773447325608</c:v>
                </c:pt>
                <c:pt idx="65">
                  <c:v>281.55063632911441</c:v>
                </c:pt>
                <c:pt idx="66">
                  <c:v>286.05275626487179</c:v>
                </c:pt>
                <c:pt idx="67">
                  <c:v>290.07471162254348</c:v>
                </c:pt>
                <c:pt idx="68">
                  <c:v>299.45137734856485</c:v>
                </c:pt>
                <c:pt idx="69">
                  <c:v>305.48335232043257</c:v>
                </c:pt>
                <c:pt idx="70">
                  <c:v>310.60716911060251</c:v>
                </c:pt>
                <c:pt idx="71">
                  <c:v>319.02690245508421</c:v>
                </c:pt>
                <c:pt idx="72">
                  <c:v>325.80869365273469</c:v>
                </c:pt>
                <c:pt idx="73">
                  <c:v>331.68563634653378</c:v>
                </c:pt>
                <c:pt idx="74">
                  <c:v>357.16040092392268</c:v>
                </c:pt>
                <c:pt idx="75">
                  <c:v>361.28025306841977</c:v>
                </c:pt>
                <c:pt idx="76">
                  <c:v>365.43067618460344</c:v>
                </c:pt>
                <c:pt idx="77">
                  <c:v>366.63478924319867</c:v>
                </c:pt>
                <c:pt idx="78">
                  <c:v>370.01153161439117</c:v>
                </c:pt>
                <c:pt idx="79">
                  <c:v>372.67678034539108</c:v>
                </c:pt>
                <c:pt idx="80">
                  <c:v>376.1382678888088</c:v>
                </c:pt>
                <c:pt idx="81">
                  <c:v>380.71938460895285</c:v>
                </c:pt>
                <c:pt idx="82">
                  <c:v>385.61875298306495</c:v>
                </c:pt>
                <c:pt idx="83">
                  <c:v>389.45876315596945</c:v>
                </c:pt>
                <c:pt idx="84">
                  <c:v>391.33090855882693</c:v>
                </c:pt>
                <c:pt idx="85">
                  <c:v>392.94063134717823</c:v>
                </c:pt>
                <c:pt idx="86">
                  <c:v>394.51177025958327</c:v>
                </c:pt>
                <c:pt idx="87">
                  <c:v>396.66872215080292</c:v>
                </c:pt>
                <c:pt idx="88">
                  <c:v>397.39223514738518</c:v>
                </c:pt>
                <c:pt idx="89">
                  <c:v>399.99355483787809</c:v>
                </c:pt>
                <c:pt idx="90">
                  <c:v>401.69089699237384</c:v>
                </c:pt>
                <c:pt idx="91">
                  <c:v>402.33811320491782</c:v>
                </c:pt>
                <c:pt idx="92">
                  <c:v>402.82655197761966</c:v>
                </c:pt>
                <c:pt idx="93">
                  <c:v>402.575539042005</c:v>
                </c:pt>
                <c:pt idx="94">
                  <c:v>405.89706205123389</c:v>
                </c:pt>
                <c:pt idx="95">
                  <c:v>406.65515247163262</c:v>
                </c:pt>
                <c:pt idx="96">
                  <c:v>408.96339147914728</c:v>
                </c:pt>
                <c:pt idx="97">
                  <c:v>408.16157847246177</c:v>
                </c:pt>
                <c:pt idx="98">
                  <c:v>409.32045961073402</c:v>
                </c:pt>
                <c:pt idx="99">
                  <c:v>407.95420102634853</c:v>
                </c:pt>
                <c:pt idx="100">
                  <c:v>408.13213975898577</c:v>
                </c:pt>
                <c:pt idx="101">
                  <c:v>407.39199127638602</c:v>
                </c:pt>
                <c:pt idx="102">
                  <c:v>407.54153645697249</c:v>
                </c:pt>
                <c:pt idx="103">
                  <c:v>407.93643328212045</c:v>
                </c:pt>
                <c:pt idx="104">
                  <c:v>408.92907534568712</c:v>
                </c:pt>
                <c:pt idx="105">
                  <c:v>407.2870396499406</c:v>
                </c:pt>
                <c:pt idx="106">
                  <c:v>409.20604312336042</c:v>
                </c:pt>
                <c:pt idx="107">
                  <c:v>408.65794305263785</c:v>
                </c:pt>
                <c:pt idx="108">
                  <c:v>406.86087507882257</c:v>
                </c:pt>
                <c:pt idx="109">
                  <c:v>408.64522692196476</c:v>
                </c:pt>
                <c:pt idx="110">
                  <c:v>452.88778101777825</c:v>
                </c:pt>
                <c:pt idx="111">
                  <c:v>469.90318321331398</c:v>
                </c:pt>
                <c:pt idx="112">
                  <c:v>#N/A</c:v>
                </c:pt>
                <c:pt idx="113">
                  <c:v>#N/A</c:v>
                </c:pt>
                <c:pt idx="114">
                  <c:v>#N/A</c:v>
                </c:pt>
                <c:pt idx="115">
                  <c:v>#N/A</c:v>
                </c:pt>
                <c:pt idx="116">
                  <c:v>#N/A</c:v>
                </c:pt>
              </c:numCache>
            </c:numRef>
          </c:val>
          <c:smooth val="0"/>
          <c:extLst>
            <c:ext xmlns:c16="http://schemas.microsoft.com/office/drawing/2014/chart" uri="{C3380CC4-5D6E-409C-BE32-E72D297353CC}">
              <c16:uniqueId val="{00000002-471F-4753-B30A-A94B3239F951}"/>
            </c:ext>
          </c:extLst>
        </c:ser>
        <c:dLbls>
          <c:showLegendKey val="0"/>
          <c:showVal val="0"/>
          <c:showCatName val="0"/>
          <c:showSerName val="0"/>
          <c:showPercent val="0"/>
          <c:showBubbleSize val="0"/>
        </c:dLbls>
        <c:marker val="1"/>
        <c:smooth val="0"/>
        <c:axId val="108730240"/>
        <c:axId val="108728320"/>
      </c:lineChart>
      <c:dateAx>
        <c:axId val="108708608"/>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10144"/>
        <c:crosses val="autoZero"/>
        <c:auto val="1"/>
        <c:lblOffset val="100"/>
        <c:baseTimeUnit val="months"/>
        <c:majorUnit val="12"/>
      </c:dateAx>
      <c:valAx>
        <c:axId val="108710144"/>
        <c:scaling>
          <c:orientation val="minMax"/>
          <c:max val="2"/>
          <c:min val="-0.5"/>
        </c:scaling>
        <c:delete val="0"/>
        <c:axPos val="l"/>
        <c:majorGridlines>
          <c:spPr>
            <a:ln w="9525" cap="flat" cmpd="sng" algn="ctr">
              <a:no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08608"/>
        <c:crosses val="autoZero"/>
        <c:crossBetween val="between"/>
      </c:valAx>
      <c:valAx>
        <c:axId val="108728320"/>
        <c:scaling>
          <c:orientation val="minMax"/>
          <c:max val="420"/>
          <c:min val="0"/>
        </c:scaling>
        <c:delete val="0"/>
        <c:axPos val="r"/>
        <c:title>
          <c:tx>
            <c:rich>
              <a:bodyPr rot="0" spcFirstLastPara="1" vertOverflow="ellipsis" wrap="square" anchor="ctr" anchorCtr="1"/>
              <a:lstStyle/>
              <a:p>
                <a:pPr>
                  <a:defRPr sz="700" b="0" i="1"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i="1"/>
                  <a:t>EUR</a:t>
                </a:r>
                <a:r>
                  <a:rPr lang="en-US" i="1" baseline="0"/>
                  <a:t> bn</a:t>
                </a:r>
                <a:endParaRPr lang="en-US" i="1"/>
              </a:p>
            </c:rich>
          </c:tx>
          <c:layout>
            <c:manualLayout>
              <c:xMode val="edge"/>
              <c:yMode val="edge"/>
              <c:x val="0.75485994307422344"/>
              <c:y val="0.37752998995930875"/>
            </c:manualLayout>
          </c:layout>
          <c:overlay val="0"/>
          <c:spPr>
            <a:noFill/>
            <a:ln>
              <a:noFill/>
            </a:ln>
            <a:effectLst/>
          </c:spPr>
          <c:txPr>
            <a:bodyPr rot="0" spcFirstLastPara="1" vertOverflow="ellipsis" wrap="square" anchor="ctr" anchorCtr="1"/>
            <a:lstStyle/>
            <a:p>
              <a:pPr>
                <a:defRPr sz="700" b="0" i="1"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30240"/>
        <c:crosses val="max"/>
        <c:crossBetween val="between"/>
        <c:majorUnit val="100"/>
        <c:minorUnit val="50"/>
      </c:valAx>
      <c:dateAx>
        <c:axId val="108730240"/>
        <c:scaling>
          <c:orientation val="minMax"/>
        </c:scaling>
        <c:delete val="1"/>
        <c:axPos val="b"/>
        <c:numFmt formatCode="[$-80C]dd/mmm/yy;@" sourceLinked="1"/>
        <c:majorTickMark val="out"/>
        <c:minorTickMark val="none"/>
        <c:tickLblPos val="nextTo"/>
        <c:crossAx val="108728320"/>
        <c:crosses val="autoZero"/>
        <c:auto val="1"/>
        <c:lblOffset val="100"/>
        <c:baseTimeUnit val="months"/>
      </c:dateAx>
      <c:spPr>
        <a:noFill/>
        <a:ln>
          <a:noFill/>
        </a:ln>
        <a:effectLst/>
      </c:spPr>
    </c:plotArea>
    <c:legend>
      <c:legendPos val="r"/>
      <c:layout>
        <c:manualLayout>
          <c:xMode val="edge"/>
          <c:yMode val="edge"/>
          <c:x val="0.15034821970505108"/>
          <c:y val="0.10764773988364328"/>
          <c:w val="0.61387090318814108"/>
          <c:h val="0.1969802235043785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25050519127589"/>
          <c:y val="0.157773803282554"/>
          <c:w val="0.91247900262467196"/>
          <c:h val="0.739119986554723"/>
        </c:manualLayout>
      </c:layout>
      <c:barChart>
        <c:barDir val="col"/>
        <c:grouping val="clustered"/>
        <c:varyColors val="0"/>
        <c:ser>
          <c:idx val="1"/>
          <c:order val="1"/>
          <c:tx>
            <c:strRef>
              <c:f>'[EAR SWD  Graphs_auto.xlsx]G5 - data'!$C$11:$F$11</c:f>
              <c:strCache>
                <c:ptCount val="4"/>
                <c:pt idx="0">
                  <c:v>Structural budget balance</c:v>
                </c:pt>
              </c:strCache>
            </c:strRef>
          </c:tx>
          <c:spPr>
            <a:solidFill>
              <a:srgbClr val="8064A2"/>
            </a:solidFill>
            <a:ln w="25400" cap="flat" cmpd="sng" algn="ctr">
              <a:solidFill>
                <a:srgbClr val="8064A2"/>
              </a:solidFill>
              <a:prstDash val="solid"/>
              <a:round/>
              <a:headEnd type="none" w="med" len="med"/>
              <a:tailEnd type="none" w="med" len="med"/>
            </a:ln>
            <a:effectLst/>
          </c:spPr>
          <c:invertIfNegative val="0"/>
          <c:cat>
            <c:numRef>
              <c:f>'[EAR SWD  Graphs_auto.xlsx]G5 - Gov deficit EA'!$I$2:$I$13</c:f>
              <c:numCache>
                <c:formatCode>General</c:formatCode>
                <c:ptCount val="12"/>
                <c:pt idx="0">
                  <c:v>10</c:v>
                </c:pt>
                <c:pt idx="1">
                  <c:v>11</c:v>
                </c:pt>
                <c:pt idx="2">
                  <c:v>12</c:v>
                </c:pt>
                <c:pt idx="3">
                  <c:v>13</c:v>
                </c:pt>
                <c:pt idx="4">
                  <c:v>14</c:v>
                </c:pt>
                <c:pt idx="5">
                  <c:v>15</c:v>
                </c:pt>
                <c:pt idx="6">
                  <c:v>16</c:v>
                </c:pt>
                <c:pt idx="7">
                  <c:v>17</c:v>
                </c:pt>
                <c:pt idx="8">
                  <c:v>18</c:v>
                </c:pt>
                <c:pt idx="9">
                  <c:v>19</c:v>
                </c:pt>
                <c:pt idx="10">
                  <c:v>20</c:v>
                </c:pt>
                <c:pt idx="11">
                  <c:v>21</c:v>
                </c:pt>
              </c:numCache>
            </c:numRef>
          </c:cat>
          <c:val>
            <c:numRef>
              <c:f>'[EAR SWD  Graphs_auto.xlsx]G5 - data'!$H$13:$S$13</c:f>
              <c:numCache>
                <c:formatCode>0.0</c:formatCode>
                <c:ptCount val="12"/>
                <c:pt idx="0">
                  <c:v>-4.2916964720302211</c:v>
                </c:pt>
                <c:pt idx="1">
                  <c:v>-3.5242333934959449</c:v>
                </c:pt>
                <c:pt idx="2">
                  <c:v>-2.0432656218973158</c:v>
                </c:pt>
                <c:pt idx="3">
                  <c:v>-1.2392888851356585</c:v>
                </c:pt>
                <c:pt idx="4">
                  <c:v>-0.83705886449603084</c:v>
                </c:pt>
                <c:pt idx="5">
                  <c:v>-0.86994075058491227</c:v>
                </c:pt>
                <c:pt idx="6">
                  <c:v>-1.0549881761716113</c:v>
                </c:pt>
                <c:pt idx="7">
                  <c:v>-1.1694874566500475</c:v>
                </c:pt>
                <c:pt idx="8">
                  <c:v>-1.1231981127363073</c:v>
                </c:pt>
                <c:pt idx="9">
                  <c:v>-1.3229869966516501</c:v>
                </c:pt>
                <c:pt idx="10">
                  <c:v>-4.7999504872058125</c:v>
                </c:pt>
                <c:pt idx="11">
                  <c:v>-4.3392849747239541</c:v>
                </c:pt>
              </c:numCache>
            </c:numRef>
          </c:val>
          <c:extLst>
            <c:ext xmlns:c16="http://schemas.microsoft.com/office/drawing/2014/chart" uri="{C3380CC4-5D6E-409C-BE32-E72D297353CC}">
              <c16:uniqueId val="{00000000-8CE8-4BAB-B1FB-22DE1B872981}"/>
            </c:ext>
          </c:extLst>
        </c:ser>
        <c:dLbls>
          <c:showLegendKey val="0"/>
          <c:showVal val="0"/>
          <c:showCatName val="0"/>
          <c:showSerName val="0"/>
          <c:showPercent val="0"/>
          <c:showBubbleSize val="0"/>
        </c:dLbls>
        <c:gapWidth val="219"/>
        <c:axId val="108412928"/>
        <c:axId val="108414464"/>
      </c:barChart>
      <c:lineChart>
        <c:grouping val="standard"/>
        <c:varyColors val="0"/>
        <c:ser>
          <c:idx val="0"/>
          <c:order val="0"/>
          <c:tx>
            <c:strRef>
              <c:f>'[EAR SWD  Graphs_auto.xlsx]G5 - data'!$C$1</c:f>
              <c:strCache>
                <c:ptCount val="1"/>
                <c:pt idx="0">
                  <c:v>Headline budget balance</c:v>
                </c:pt>
              </c:strCache>
            </c:strRef>
          </c:tx>
          <c:spPr>
            <a:ln w="31750" cap="rnd" cmpd="sng" algn="ctr">
              <a:solidFill>
                <a:srgbClr val="002060"/>
              </a:solidFill>
              <a:prstDash val="solid"/>
              <a:round/>
              <a:headEnd type="none" w="med" len="med"/>
              <a:tailEnd type="none" w="med" len="med"/>
            </a:ln>
            <a:effectLst/>
          </c:spPr>
          <c:marker>
            <c:symbol val="none"/>
          </c:marker>
          <c:cat>
            <c:numRef>
              <c:f>'[EAR SWD  Graphs_auto.xlsx]G5 - Gov deficit EA'!$I$2:$I$13</c:f>
              <c:numCache>
                <c:formatCode>General</c:formatCode>
                <c:ptCount val="12"/>
                <c:pt idx="0">
                  <c:v>10</c:v>
                </c:pt>
                <c:pt idx="1">
                  <c:v>11</c:v>
                </c:pt>
                <c:pt idx="2">
                  <c:v>12</c:v>
                </c:pt>
                <c:pt idx="3">
                  <c:v>13</c:v>
                </c:pt>
                <c:pt idx="4">
                  <c:v>14</c:v>
                </c:pt>
                <c:pt idx="5">
                  <c:v>15</c:v>
                </c:pt>
                <c:pt idx="6">
                  <c:v>16</c:v>
                </c:pt>
                <c:pt idx="7">
                  <c:v>17</c:v>
                </c:pt>
                <c:pt idx="8">
                  <c:v>18</c:v>
                </c:pt>
                <c:pt idx="9">
                  <c:v>19</c:v>
                </c:pt>
                <c:pt idx="10">
                  <c:v>20</c:v>
                </c:pt>
                <c:pt idx="11">
                  <c:v>21</c:v>
                </c:pt>
              </c:numCache>
            </c:numRef>
          </c:cat>
          <c:val>
            <c:numRef>
              <c:f>'[EAR SWD  Graphs_auto.xlsx]G5 - data'!$H$7:$S$7</c:f>
              <c:numCache>
                <c:formatCode>0.0</c:formatCode>
                <c:ptCount val="12"/>
                <c:pt idx="0">
                  <c:v>-6.271155125646664</c:v>
                </c:pt>
                <c:pt idx="1">
                  <c:v>-4.2300206449897786</c:v>
                </c:pt>
                <c:pt idx="2">
                  <c:v>-3.7077808096532689</c:v>
                </c:pt>
                <c:pt idx="3">
                  <c:v>-3.01281607151784</c:v>
                </c:pt>
                <c:pt idx="4">
                  <c:v>-2.4611277317617222</c:v>
                </c:pt>
                <c:pt idx="5">
                  <c:v>-1.9740126040299848</c:v>
                </c:pt>
                <c:pt idx="6">
                  <c:v>-1.4691262877928486</c:v>
                </c:pt>
                <c:pt idx="7">
                  <c:v>-0.92937826546883806</c:v>
                </c:pt>
                <c:pt idx="8">
                  <c:v>-0.46180940136717369</c:v>
                </c:pt>
                <c:pt idx="9">
                  <c:v>-0.62075902547836725</c:v>
                </c:pt>
                <c:pt idx="10">
                  <c:v>-8.7528674857152051</c:v>
                </c:pt>
                <c:pt idx="11">
                  <c:v>-6.438220001741314</c:v>
                </c:pt>
              </c:numCache>
            </c:numRef>
          </c:val>
          <c:smooth val="0"/>
          <c:extLst>
            <c:ext xmlns:c16="http://schemas.microsoft.com/office/drawing/2014/chart" uri="{C3380CC4-5D6E-409C-BE32-E72D297353CC}">
              <c16:uniqueId val="{00000001-8CE8-4BAB-B1FB-22DE1B872981}"/>
            </c:ext>
          </c:extLst>
        </c:ser>
        <c:dLbls>
          <c:showLegendKey val="0"/>
          <c:showVal val="0"/>
          <c:showCatName val="0"/>
          <c:showSerName val="0"/>
          <c:showPercent val="0"/>
          <c:showBubbleSize val="0"/>
        </c:dLbls>
        <c:marker val="1"/>
        <c:smooth val="0"/>
        <c:axId val="108412928"/>
        <c:axId val="108414464"/>
      </c:lineChart>
      <c:catAx>
        <c:axId val="108412928"/>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a:defRPr>
            </a:pPr>
            <a:endParaRPr lang="en-US"/>
          </a:p>
        </c:txPr>
        <c:crossAx val="108414464"/>
        <c:crosses val="autoZero"/>
        <c:auto val="1"/>
        <c:lblAlgn val="ctr"/>
        <c:lblOffset val="100"/>
        <c:noMultiLvlLbl val="0"/>
      </c:catAx>
      <c:valAx>
        <c:axId val="108414464"/>
        <c:scaling>
          <c:orientation val="minMax"/>
        </c:scaling>
        <c:delete val="0"/>
        <c:axPos val="l"/>
        <c:numFmt formatCode="0.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a:defRPr>
            </a:pPr>
            <a:endParaRPr lang="en-US"/>
          </a:p>
        </c:txPr>
        <c:crossAx val="108412928"/>
        <c:crosses val="autoZero"/>
        <c:crossBetween val="between"/>
      </c:valAx>
      <c:spPr>
        <a:noFill/>
        <a:ln>
          <a:noFill/>
        </a:ln>
        <a:effectLst/>
        <a:extLst>
          <a:ext uri="{91240B29-F687-4F45-9708-019B960494DF}">
            <a14:hiddenLine xmlns:a14="http://schemas.microsoft.com/office/drawing/2010/main">
              <a:noFill/>
            </a14:hiddenLine>
          </a:ext>
        </a:extLst>
      </c:spPr>
    </c:plotArea>
    <c:legend>
      <c:legendPos val="t"/>
      <c:layout>
        <c:manualLayout>
          <c:xMode val="edge"/>
          <c:yMode val="edge"/>
          <c:x val="0.2318577102640931"/>
          <c:y val="5.1799434596002027E-3"/>
          <c:w val="0.59823148212668109"/>
          <c:h val="9.47506561679790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600" b="0" i="1" u="none" strike="noStrike" kern="1200" spc="0" baseline="0">
                <a:solidFill>
                  <a:sysClr val="windowText" lastClr="000000"/>
                </a:solidFill>
                <a:latin typeface="Verdana" panose="020B0604030504040204" pitchFamily="34" charset="0"/>
                <a:ea typeface="Verdana" panose="020B0604030504040204" pitchFamily="34" charset="0"/>
                <a:cs typeface="Times New Roman"/>
              </a:defRPr>
            </a:pPr>
            <a:r>
              <a:rPr lang="en-GB" sz="600" i="1"/>
              <a:t>% of GDP</a:t>
            </a:r>
          </a:p>
        </c:rich>
      </c:tx>
      <c:layout>
        <c:manualLayout>
          <c:xMode val="edge"/>
          <c:yMode val="edge"/>
          <c:x val="0.12112423544909716"/>
          <c:y val="9.7694489933427386E-2"/>
        </c:manualLayout>
      </c:layout>
      <c:overlay val="0"/>
      <c:spPr>
        <a:noFill/>
        <a:ln>
          <a:noFill/>
        </a:ln>
        <a:effectLst/>
      </c:spPr>
      <c:txPr>
        <a:bodyPr rot="0" spcFirstLastPara="1" vertOverflow="ellipsis" vert="horz" wrap="square" anchor="ctr" anchorCtr="1"/>
        <a:lstStyle/>
        <a:p>
          <a:pPr algn="l">
            <a:defRPr sz="600" b="0" i="1" u="none" strike="noStrike" kern="1200" spc="0" baseline="0">
              <a:solidFill>
                <a:sysClr val="windowText" lastClr="000000"/>
              </a:solidFill>
              <a:latin typeface="Verdana" panose="020B0604030504040204" pitchFamily="34" charset="0"/>
              <a:ea typeface="Verdana" panose="020B0604030504040204" pitchFamily="34" charset="0"/>
              <a:cs typeface="Times New Roman"/>
            </a:defRPr>
          </a:pPr>
          <a:endParaRPr lang="en-US"/>
        </a:p>
      </c:txPr>
    </c:title>
    <c:autoTitleDeleted val="0"/>
    <c:plotArea>
      <c:layout>
        <c:manualLayout>
          <c:layoutTarget val="inner"/>
          <c:xMode val="edge"/>
          <c:yMode val="edge"/>
          <c:x val="0.11264403848422995"/>
          <c:y val="0.14068919998396207"/>
          <c:w val="0.8734388296301957"/>
          <c:h val="0.73076972898951664"/>
        </c:manualLayout>
      </c:layout>
      <c:barChart>
        <c:barDir val="col"/>
        <c:grouping val="clustered"/>
        <c:varyColors val="0"/>
        <c:ser>
          <c:idx val="0"/>
          <c:order val="0"/>
          <c:tx>
            <c:strRef>
              <c:f>'1 0 319 0 UDGG'!$X$70</c:f>
              <c:strCache>
                <c:ptCount val="1"/>
                <c:pt idx="0">
                  <c:v>Change 2020</c:v>
                </c:pt>
              </c:strCache>
            </c:strRef>
          </c:tx>
          <c:spPr>
            <a:solidFill>
              <a:srgbClr val="002060"/>
            </a:solidFill>
            <a:ln w="41275" cap="sq">
              <a:noFill/>
              <a:bevel/>
            </a:ln>
            <a:effectLst/>
          </c:spPr>
          <c:invertIfNegative val="0"/>
          <c:cat>
            <c:strRef>
              <c:f>'1 0 319 0 UDGG'!$W$71:$W$93</c:f>
              <c:strCache>
                <c:ptCount val="23"/>
                <c:pt idx="0">
                  <c:v>EL</c:v>
                </c:pt>
                <c:pt idx="1">
                  <c:v>IT</c:v>
                </c:pt>
                <c:pt idx="2">
                  <c:v>ES</c:v>
                </c:pt>
                <c:pt idx="3">
                  <c:v>BE</c:v>
                </c:pt>
                <c:pt idx="4">
                  <c:v>CY</c:v>
                </c:pt>
                <c:pt idx="5">
                  <c:v>PT</c:v>
                </c:pt>
                <c:pt idx="6">
                  <c:v>FR</c:v>
                </c:pt>
                <c:pt idx="7">
                  <c:v>SI</c:v>
                </c:pt>
                <c:pt idx="8">
                  <c:v>SK</c:v>
                </c:pt>
                <c:pt idx="9">
                  <c:v>AT</c:v>
                </c:pt>
                <c:pt idx="10">
                  <c:v>MT</c:v>
                </c:pt>
                <c:pt idx="11">
                  <c:v>DE</c:v>
                </c:pt>
                <c:pt idx="12">
                  <c:v>LT</c:v>
                </c:pt>
                <c:pt idx="13">
                  <c:v>NL</c:v>
                </c:pt>
                <c:pt idx="14">
                  <c:v>LV</c:v>
                </c:pt>
                <c:pt idx="15">
                  <c:v>FI</c:v>
                </c:pt>
                <c:pt idx="16">
                  <c:v>EE</c:v>
                </c:pt>
                <c:pt idx="17">
                  <c:v>IE</c:v>
                </c:pt>
                <c:pt idx="18">
                  <c:v>LU</c:v>
                </c:pt>
                <c:pt idx="20">
                  <c:v>JP</c:v>
                </c:pt>
                <c:pt idx="21">
                  <c:v>US</c:v>
                </c:pt>
                <c:pt idx="22">
                  <c:v>EA</c:v>
                </c:pt>
              </c:strCache>
            </c:strRef>
          </c:cat>
          <c:val>
            <c:numRef>
              <c:f>'1 0 319 0 UDGG'!$X$71:$X$93</c:f>
              <c:numCache>
                <c:formatCode>General</c:formatCode>
                <c:ptCount val="23"/>
                <c:pt idx="0">
                  <c:v>26.607227928513367</c:v>
                </c:pt>
                <c:pt idx="1">
                  <c:v>24.924861457265848</c:v>
                </c:pt>
                <c:pt idx="2">
                  <c:v>24.798316352055593</c:v>
                </c:pt>
                <c:pt idx="3">
                  <c:v>19.663911132891528</c:v>
                </c:pt>
                <c:pt idx="4">
                  <c:v>18.525085135789723</c:v>
                </c:pt>
                <c:pt idx="5">
                  <c:v>17.949957306326354</c:v>
                </c:pt>
                <c:pt idx="6">
                  <c:v>17.75741213344233</c:v>
                </c:pt>
                <c:pt idx="7">
                  <c:v>16.633752048110253</c:v>
                </c:pt>
                <c:pt idx="8">
                  <c:v>14.964056262174665</c:v>
                </c:pt>
                <c:pt idx="9">
                  <c:v>13.710757625931507</c:v>
                </c:pt>
                <c:pt idx="10">
                  <c:v>12.62736183249141</c:v>
                </c:pt>
                <c:pt idx="11">
                  <c:v>11.536616722154172</c:v>
                </c:pt>
                <c:pt idx="12">
                  <c:v>11.286480305383336</c:v>
                </c:pt>
                <c:pt idx="13">
                  <c:v>11.259449180604555</c:v>
                </c:pt>
                <c:pt idx="14">
                  <c:v>10.596981846241754</c:v>
                </c:pt>
                <c:pt idx="15">
                  <c:v>10.540246444983765</c:v>
                </c:pt>
                <c:pt idx="16">
                  <c:v>8.7903478125545789</c:v>
                </c:pt>
                <c:pt idx="17">
                  <c:v>5.7020039243499383</c:v>
                </c:pt>
                <c:pt idx="18">
                  <c:v>3.4300916526396747</c:v>
                </c:pt>
                <c:pt idx="20">
                  <c:v>27.506274146232442</c:v>
                </c:pt>
                <c:pt idx="21">
                  <c:v>19.175439262227442</c:v>
                </c:pt>
                <c:pt idx="22">
                  <c:v>15.795970643381324</c:v>
                </c:pt>
              </c:numCache>
            </c:numRef>
          </c:val>
          <c:extLst>
            <c:ext xmlns:c16="http://schemas.microsoft.com/office/drawing/2014/chart" uri="{C3380CC4-5D6E-409C-BE32-E72D297353CC}">
              <c16:uniqueId val="{00000000-1596-47C9-8A99-6A1CB53DD123}"/>
            </c:ext>
          </c:extLst>
        </c:ser>
        <c:ser>
          <c:idx val="1"/>
          <c:order val="1"/>
          <c:tx>
            <c:strRef>
              <c:f>'1 0 319 0 UDGG'!$Y$70</c:f>
              <c:strCache>
                <c:ptCount val="1"/>
                <c:pt idx="0">
                  <c:v>Change 2021-22</c:v>
                </c:pt>
              </c:strCache>
            </c:strRef>
          </c:tx>
          <c:spPr>
            <a:solidFill>
              <a:schemeClr val="accent6">
                <a:lumMod val="60000"/>
                <a:lumOff val="40000"/>
              </a:schemeClr>
            </a:solidFill>
            <a:ln>
              <a:noFill/>
            </a:ln>
            <a:effectLst/>
          </c:spPr>
          <c:invertIfNegative val="0"/>
          <c:cat>
            <c:strRef>
              <c:f>'1 0 319 0 UDGG'!$W$71:$W$93</c:f>
              <c:strCache>
                <c:ptCount val="23"/>
                <c:pt idx="0">
                  <c:v>EL</c:v>
                </c:pt>
                <c:pt idx="1">
                  <c:v>IT</c:v>
                </c:pt>
                <c:pt idx="2">
                  <c:v>ES</c:v>
                </c:pt>
                <c:pt idx="3">
                  <c:v>BE</c:v>
                </c:pt>
                <c:pt idx="4">
                  <c:v>CY</c:v>
                </c:pt>
                <c:pt idx="5">
                  <c:v>PT</c:v>
                </c:pt>
                <c:pt idx="6">
                  <c:v>FR</c:v>
                </c:pt>
                <c:pt idx="7">
                  <c:v>SI</c:v>
                </c:pt>
                <c:pt idx="8">
                  <c:v>SK</c:v>
                </c:pt>
                <c:pt idx="9">
                  <c:v>AT</c:v>
                </c:pt>
                <c:pt idx="10">
                  <c:v>MT</c:v>
                </c:pt>
                <c:pt idx="11">
                  <c:v>DE</c:v>
                </c:pt>
                <c:pt idx="12">
                  <c:v>LT</c:v>
                </c:pt>
                <c:pt idx="13">
                  <c:v>NL</c:v>
                </c:pt>
                <c:pt idx="14">
                  <c:v>LV</c:v>
                </c:pt>
                <c:pt idx="15">
                  <c:v>FI</c:v>
                </c:pt>
                <c:pt idx="16">
                  <c:v>EE</c:v>
                </c:pt>
                <c:pt idx="17">
                  <c:v>IE</c:v>
                </c:pt>
                <c:pt idx="18">
                  <c:v>LU</c:v>
                </c:pt>
                <c:pt idx="20">
                  <c:v>JP</c:v>
                </c:pt>
                <c:pt idx="21">
                  <c:v>US</c:v>
                </c:pt>
                <c:pt idx="22">
                  <c:v>EA</c:v>
                </c:pt>
              </c:strCache>
            </c:strRef>
          </c:cat>
          <c:val>
            <c:numRef>
              <c:f>'1 0 319 0 UDGG'!$Y$71:$Y$93</c:f>
              <c:numCache>
                <c:formatCode>General</c:formatCode>
                <c:ptCount val="23"/>
                <c:pt idx="0">
                  <c:v>-12.308750589226548</c:v>
                </c:pt>
                <c:pt idx="1">
                  <c:v>-0.4314471330659444</c:v>
                </c:pt>
                <c:pt idx="2">
                  <c:v>3.612877750524305</c:v>
                </c:pt>
                <c:pt idx="3">
                  <c:v>0.9195034660711201</c:v>
                </c:pt>
                <c:pt idx="4">
                  <c:v>-9.7568243955770271</c:v>
                </c:pt>
                <c:pt idx="5">
                  <c:v>-7.9661814551459571</c:v>
                </c:pt>
                <c:pt idx="6">
                  <c:v>3.5696090523149309</c:v>
                </c:pt>
                <c:pt idx="7">
                  <c:v>-2.4157384672492839</c:v>
                </c:pt>
                <c:pt idx="8">
                  <c:v>4.1563049644358827</c:v>
                </c:pt>
                <c:pt idx="9">
                  <c:v>0.92150607645960747</c:v>
                </c:pt>
                <c:pt idx="10">
                  <c:v>4.046915322216698</c:v>
                </c:pt>
                <c:pt idx="11">
                  <c:v>-2.2066372220320147</c:v>
                </c:pt>
                <c:pt idx="12">
                  <c:v>2.2765558441060847</c:v>
                </c:pt>
                <c:pt idx="13">
                  <c:v>5.9490435823418721</c:v>
                </c:pt>
                <c:pt idx="14">
                  <c:v>-1.9899579980477142</c:v>
                </c:pt>
                <c:pt idx="15">
                  <c:v>2.7300941169561241</c:v>
                </c:pt>
                <c:pt idx="16">
                  <c:v>9.1855175669171878</c:v>
                </c:pt>
                <c:pt idx="17">
                  <c:v>2.9891127659809769</c:v>
                </c:pt>
                <c:pt idx="18">
                  <c:v>3.4571332217657229</c:v>
                </c:pt>
                <c:pt idx="20">
                  <c:v>-1.9863121561164689</c:v>
                </c:pt>
                <c:pt idx="21">
                  <c:v>0.88100190211063989</c:v>
                </c:pt>
                <c:pt idx="22">
                  <c:v>0.90908317741981648</c:v>
                </c:pt>
              </c:numCache>
            </c:numRef>
          </c:val>
          <c:extLst>
            <c:ext xmlns:c16="http://schemas.microsoft.com/office/drawing/2014/chart" uri="{C3380CC4-5D6E-409C-BE32-E72D297353CC}">
              <c16:uniqueId val="{00000001-1596-47C9-8A99-6A1CB53DD123}"/>
            </c:ext>
          </c:extLst>
        </c:ser>
        <c:dLbls>
          <c:showLegendKey val="0"/>
          <c:showVal val="0"/>
          <c:showCatName val="0"/>
          <c:showSerName val="0"/>
          <c:showPercent val="0"/>
          <c:showBubbleSize val="0"/>
        </c:dLbls>
        <c:gapWidth val="90"/>
        <c:axId val="108454656"/>
        <c:axId val="108456192"/>
      </c:barChart>
      <c:catAx>
        <c:axId val="108454656"/>
        <c:scaling>
          <c:orientation val="minMax"/>
        </c:scaling>
        <c:delete val="0"/>
        <c:axPos val="b"/>
        <c:numFmt formatCode="General" sourceLinked="1"/>
        <c:majorTickMark val="none"/>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Times New Roman"/>
              </a:defRPr>
            </a:pPr>
            <a:endParaRPr lang="en-US"/>
          </a:p>
        </c:txPr>
        <c:crossAx val="108456192"/>
        <c:crosses val="autoZero"/>
        <c:auto val="1"/>
        <c:lblAlgn val="ctr"/>
        <c:lblOffset val="100"/>
        <c:noMultiLvlLbl val="0"/>
      </c:catAx>
      <c:valAx>
        <c:axId val="108456192"/>
        <c:scaling>
          <c:orientation val="minMax"/>
        </c:scaling>
        <c:delete val="0"/>
        <c:axPos val="l"/>
        <c:numFmt formatCode="General" sourceLinked="1"/>
        <c:majorTickMark val="none"/>
        <c:minorTickMark val="none"/>
        <c:tickLblPos val="nextTo"/>
        <c:spPr>
          <a:noFill/>
          <a:ln w="3175" cmpd="sng">
            <a:solidFill>
              <a:srgbClr val="000000"/>
            </a:solidFill>
            <a:prstDash val="soli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Times New Roman"/>
              </a:defRPr>
            </a:pPr>
            <a:endParaRPr lang="en-US"/>
          </a:p>
        </c:txPr>
        <c:crossAx val="108454656"/>
        <c:crosses val="autoZero"/>
        <c:crossBetween val="between"/>
      </c:valAx>
      <c:spPr>
        <a:noFill/>
        <a:ln>
          <a:noFill/>
        </a:ln>
        <a:effectLst/>
        <a:extLst/>
      </c:spPr>
    </c:plotArea>
    <c:legend>
      <c:legendPos val="t"/>
      <c:layout>
        <c:manualLayout>
          <c:xMode val="edge"/>
          <c:yMode val="edge"/>
          <c:x val="0.26376355028845921"/>
          <c:y val="1.6062032677928502E-3"/>
          <c:w val="0.55295145341062624"/>
          <c:h val="0.113002766546073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a:solidFill>
            <a:sysClr val="windowText" lastClr="000000"/>
          </a:solidFill>
          <a:latin typeface="Verdana" panose="020B0604030504040204" pitchFamily="34" charset="0"/>
          <a:ea typeface="Verdana" panose="020B0604030504040204" pitchFamily="34" charset="0"/>
          <a:cs typeface="Times New Roman"/>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64826816615407E-2"/>
          <c:y val="0.2060351112558601"/>
          <c:w val="0.89692218996061057"/>
          <c:h val="0.66279629137173235"/>
        </c:manualLayout>
      </c:layout>
      <c:areaChart>
        <c:grouping val="stacked"/>
        <c:varyColors val="0"/>
        <c:ser>
          <c:idx val="1"/>
          <c:order val="0"/>
          <c:tx>
            <c:strRef>
              <c:f>'EA19'!$B$1</c:f>
              <c:strCache>
                <c:ptCount val="1"/>
                <c:pt idx="0">
                  <c:v>p10</c:v>
                </c:pt>
              </c:strCache>
            </c:strRef>
          </c:tx>
          <c:spPr>
            <a:noFill/>
            <a:ln w="25400">
              <a:noFill/>
            </a:ln>
          </c:spPr>
          <c:cat>
            <c:numRef>
              <c:f>'EA19'!$A$3:$A$9</c:f>
              <c:numCache>
                <c:formatCode>General</c:formatCode>
                <c:ptCount val="7"/>
                <c:pt idx="0">
                  <c:v>2019</c:v>
                </c:pt>
                <c:pt idx="1">
                  <c:v>2020</c:v>
                </c:pt>
                <c:pt idx="2">
                  <c:v>2021</c:v>
                </c:pt>
                <c:pt idx="3">
                  <c:v>2022</c:v>
                </c:pt>
                <c:pt idx="4">
                  <c:v>2023</c:v>
                </c:pt>
                <c:pt idx="5">
                  <c:v>2024</c:v>
                </c:pt>
                <c:pt idx="6">
                  <c:v>2025</c:v>
                </c:pt>
              </c:numCache>
            </c:numRef>
          </c:cat>
          <c:val>
            <c:numRef>
              <c:f>'EA19'!$B$3:$B$9</c:f>
              <c:numCache>
                <c:formatCode>General</c:formatCode>
                <c:ptCount val="7"/>
                <c:pt idx="0">
                  <c:v>85.9</c:v>
                </c:pt>
                <c:pt idx="1">
                  <c:v>101.7</c:v>
                </c:pt>
                <c:pt idx="2">
                  <c:v>98.946150000000003</c:v>
                </c:pt>
                <c:pt idx="3">
                  <c:v>97.664900000000003</c:v>
                </c:pt>
                <c:pt idx="4">
                  <c:v>97.702550000000002</c:v>
                </c:pt>
                <c:pt idx="5">
                  <c:v>97.385490000000004</c:v>
                </c:pt>
                <c:pt idx="6">
                  <c:v>96.519270000000006</c:v>
                </c:pt>
              </c:numCache>
            </c:numRef>
          </c:val>
          <c:extLst>
            <c:ext xmlns:c16="http://schemas.microsoft.com/office/drawing/2014/chart" uri="{C3380CC4-5D6E-409C-BE32-E72D297353CC}">
              <c16:uniqueId val="{00000000-1D3E-49D5-9627-2120409F913E}"/>
            </c:ext>
          </c:extLst>
        </c:ser>
        <c:ser>
          <c:idx val="2"/>
          <c:order val="1"/>
          <c:tx>
            <c:strRef>
              <c:f>'EA19'!$C$1</c:f>
              <c:strCache>
                <c:ptCount val="1"/>
                <c:pt idx="0">
                  <c:v>p10_p20</c:v>
                </c:pt>
              </c:strCache>
            </c:strRef>
          </c:tx>
          <c:spPr>
            <a:pattFill prst="ltDnDiag">
              <a:fgClr>
                <a:srgbClr val="4F81BD"/>
              </a:fgClr>
              <a:bgClr>
                <a:srgbClr val="FFFFFF"/>
              </a:bgClr>
            </a:pattFill>
            <a:ln w="12700">
              <a:solidFill>
                <a:srgbClr val="000000"/>
              </a:solidFill>
              <a:prstDash val="solid"/>
            </a:ln>
          </c:spPr>
          <c:cat>
            <c:numRef>
              <c:f>'EA19'!$A$3:$A$9</c:f>
              <c:numCache>
                <c:formatCode>General</c:formatCode>
                <c:ptCount val="7"/>
                <c:pt idx="0">
                  <c:v>2019</c:v>
                </c:pt>
                <c:pt idx="1">
                  <c:v>2020</c:v>
                </c:pt>
                <c:pt idx="2">
                  <c:v>2021</c:v>
                </c:pt>
                <c:pt idx="3">
                  <c:v>2022</c:v>
                </c:pt>
                <c:pt idx="4">
                  <c:v>2023</c:v>
                </c:pt>
                <c:pt idx="5">
                  <c:v>2024</c:v>
                </c:pt>
                <c:pt idx="6">
                  <c:v>2025</c:v>
                </c:pt>
              </c:numCache>
            </c:numRef>
          </c:cat>
          <c:val>
            <c:numRef>
              <c:f>'EA19'!$C$3:$C$9</c:f>
              <c:numCache>
                <c:formatCode>General</c:formatCode>
                <c:ptCount val="7"/>
                <c:pt idx="0">
                  <c:v>0</c:v>
                </c:pt>
                <c:pt idx="1">
                  <c:v>0</c:v>
                </c:pt>
                <c:pt idx="2">
                  <c:v>1.039474</c:v>
                </c:pt>
                <c:pt idx="3">
                  <c:v>1.561569</c:v>
                </c:pt>
                <c:pt idx="4">
                  <c:v>1.8717269999999999</c:v>
                </c:pt>
                <c:pt idx="5">
                  <c:v>2.0273970000000001</c:v>
                </c:pt>
                <c:pt idx="6">
                  <c:v>2.29731</c:v>
                </c:pt>
              </c:numCache>
            </c:numRef>
          </c:val>
          <c:extLst>
            <c:ext xmlns:c16="http://schemas.microsoft.com/office/drawing/2014/chart" uri="{C3380CC4-5D6E-409C-BE32-E72D297353CC}">
              <c16:uniqueId val="{00000001-1D3E-49D5-9627-2120409F913E}"/>
            </c:ext>
          </c:extLst>
        </c:ser>
        <c:ser>
          <c:idx val="3"/>
          <c:order val="2"/>
          <c:tx>
            <c:strRef>
              <c:f>'EA19'!$D$1</c:f>
              <c:strCache>
                <c:ptCount val="1"/>
                <c:pt idx="0">
                  <c:v>p20_p40</c:v>
                </c:pt>
              </c:strCache>
            </c:strRef>
          </c:tx>
          <c:spPr>
            <a:pattFill prst="pct60">
              <a:fgClr>
                <a:srgbClr val="4F81BD"/>
              </a:fgClr>
              <a:bgClr>
                <a:srgbClr val="FFFFFF"/>
              </a:bgClr>
            </a:pattFill>
            <a:ln w="12700">
              <a:solidFill>
                <a:srgbClr val="000000"/>
              </a:solidFill>
              <a:prstDash val="solid"/>
            </a:ln>
          </c:spPr>
          <c:cat>
            <c:numRef>
              <c:f>'EA19'!$A$3:$A$9</c:f>
              <c:numCache>
                <c:formatCode>General</c:formatCode>
                <c:ptCount val="7"/>
                <c:pt idx="0">
                  <c:v>2019</c:v>
                </c:pt>
                <c:pt idx="1">
                  <c:v>2020</c:v>
                </c:pt>
                <c:pt idx="2">
                  <c:v>2021</c:v>
                </c:pt>
                <c:pt idx="3">
                  <c:v>2022</c:v>
                </c:pt>
                <c:pt idx="4">
                  <c:v>2023</c:v>
                </c:pt>
                <c:pt idx="5">
                  <c:v>2024</c:v>
                </c:pt>
                <c:pt idx="6">
                  <c:v>2025</c:v>
                </c:pt>
              </c:numCache>
            </c:numRef>
          </c:cat>
          <c:val>
            <c:numRef>
              <c:f>'EA19'!$D$3:$D$9</c:f>
              <c:numCache>
                <c:formatCode>General</c:formatCode>
                <c:ptCount val="7"/>
                <c:pt idx="0">
                  <c:v>0</c:v>
                </c:pt>
                <c:pt idx="1">
                  <c:v>0</c:v>
                </c:pt>
                <c:pt idx="2">
                  <c:v>1.5393829999999999</c:v>
                </c:pt>
                <c:pt idx="3">
                  <c:v>2.1160890000000001</c:v>
                </c:pt>
                <c:pt idx="4">
                  <c:v>2.714798</c:v>
                </c:pt>
                <c:pt idx="5">
                  <c:v>3.0932620000000002</c:v>
                </c:pt>
                <c:pt idx="6">
                  <c:v>3.3861690000000002</c:v>
                </c:pt>
              </c:numCache>
            </c:numRef>
          </c:val>
          <c:extLst>
            <c:ext xmlns:c16="http://schemas.microsoft.com/office/drawing/2014/chart" uri="{C3380CC4-5D6E-409C-BE32-E72D297353CC}">
              <c16:uniqueId val="{00000002-1D3E-49D5-9627-2120409F913E}"/>
            </c:ext>
          </c:extLst>
        </c:ser>
        <c:ser>
          <c:idx val="4"/>
          <c:order val="3"/>
          <c:tx>
            <c:strRef>
              <c:f>'EA19'!$E$1</c:f>
              <c:strCache>
                <c:ptCount val="1"/>
                <c:pt idx="0">
                  <c:v>p40_p60</c:v>
                </c:pt>
              </c:strCache>
            </c:strRef>
          </c:tx>
          <c:spPr>
            <a:solidFill>
              <a:srgbClr val="4F81BD"/>
            </a:solidFill>
            <a:ln w="12700">
              <a:solidFill>
                <a:srgbClr val="000000"/>
              </a:solidFill>
              <a:prstDash val="solid"/>
            </a:ln>
          </c:spPr>
          <c:cat>
            <c:numRef>
              <c:f>'EA19'!$A$3:$A$9</c:f>
              <c:numCache>
                <c:formatCode>General</c:formatCode>
                <c:ptCount val="7"/>
                <c:pt idx="0">
                  <c:v>2019</c:v>
                </c:pt>
                <c:pt idx="1">
                  <c:v>2020</c:v>
                </c:pt>
                <c:pt idx="2">
                  <c:v>2021</c:v>
                </c:pt>
                <c:pt idx="3">
                  <c:v>2022</c:v>
                </c:pt>
                <c:pt idx="4">
                  <c:v>2023</c:v>
                </c:pt>
                <c:pt idx="5">
                  <c:v>2024</c:v>
                </c:pt>
                <c:pt idx="6">
                  <c:v>2025</c:v>
                </c:pt>
              </c:numCache>
            </c:numRef>
          </c:cat>
          <c:val>
            <c:numRef>
              <c:f>'EA19'!$E$3:$E$9</c:f>
              <c:numCache>
                <c:formatCode>General</c:formatCode>
                <c:ptCount val="7"/>
                <c:pt idx="0">
                  <c:v>0</c:v>
                </c:pt>
                <c:pt idx="1">
                  <c:v>0</c:v>
                </c:pt>
                <c:pt idx="2">
                  <c:v>1.4115979999999999</c:v>
                </c:pt>
                <c:pt idx="3">
                  <c:v>1.811485</c:v>
                </c:pt>
                <c:pt idx="4">
                  <c:v>2.0033189999999998</c:v>
                </c:pt>
                <c:pt idx="5">
                  <c:v>2.6633610000000001</c:v>
                </c:pt>
                <c:pt idx="6">
                  <c:v>3.052238</c:v>
                </c:pt>
              </c:numCache>
            </c:numRef>
          </c:val>
          <c:extLst>
            <c:ext xmlns:c16="http://schemas.microsoft.com/office/drawing/2014/chart" uri="{C3380CC4-5D6E-409C-BE32-E72D297353CC}">
              <c16:uniqueId val="{00000003-1D3E-49D5-9627-2120409F913E}"/>
            </c:ext>
          </c:extLst>
        </c:ser>
        <c:ser>
          <c:idx val="5"/>
          <c:order val="4"/>
          <c:tx>
            <c:strRef>
              <c:f>'EA19'!$F$1</c:f>
              <c:strCache>
                <c:ptCount val="1"/>
                <c:pt idx="0">
                  <c:v>p60_p80</c:v>
                </c:pt>
              </c:strCache>
            </c:strRef>
          </c:tx>
          <c:spPr>
            <a:pattFill prst="pct60">
              <a:fgClr>
                <a:srgbClr val="4F81BD"/>
              </a:fgClr>
              <a:bgClr>
                <a:srgbClr val="FFFFFF"/>
              </a:bgClr>
            </a:pattFill>
            <a:ln w="12700">
              <a:solidFill>
                <a:srgbClr val="000000"/>
              </a:solidFill>
              <a:prstDash val="solid"/>
            </a:ln>
          </c:spPr>
          <c:cat>
            <c:numRef>
              <c:f>'EA19'!$A$3:$A$9</c:f>
              <c:numCache>
                <c:formatCode>General</c:formatCode>
                <c:ptCount val="7"/>
                <c:pt idx="0">
                  <c:v>2019</c:v>
                </c:pt>
                <c:pt idx="1">
                  <c:v>2020</c:v>
                </c:pt>
                <c:pt idx="2">
                  <c:v>2021</c:v>
                </c:pt>
                <c:pt idx="3">
                  <c:v>2022</c:v>
                </c:pt>
                <c:pt idx="4">
                  <c:v>2023</c:v>
                </c:pt>
                <c:pt idx="5">
                  <c:v>2024</c:v>
                </c:pt>
                <c:pt idx="6">
                  <c:v>2025</c:v>
                </c:pt>
              </c:numCache>
            </c:numRef>
          </c:cat>
          <c:val>
            <c:numRef>
              <c:f>'EA19'!$F$3:$F$9</c:f>
              <c:numCache>
                <c:formatCode>General</c:formatCode>
                <c:ptCount val="7"/>
                <c:pt idx="0">
                  <c:v>0</c:v>
                </c:pt>
                <c:pt idx="1">
                  <c:v>0</c:v>
                </c:pt>
                <c:pt idx="2">
                  <c:v>1.57</c:v>
                </c:pt>
                <c:pt idx="3">
                  <c:v>2.214226</c:v>
                </c:pt>
                <c:pt idx="4">
                  <c:v>2.9225159999999999</c:v>
                </c:pt>
                <c:pt idx="5">
                  <c:v>3.1112820000000001</c:v>
                </c:pt>
                <c:pt idx="6">
                  <c:v>3.4809190000000001</c:v>
                </c:pt>
              </c:numCache>
            </c:numRef>
          </c:val>
          <c:extLst>
            <c:ext xmlns:c16="http://schemas.microsoft.com/office/drawing/2014/chart" uri="{C3380CC4-5D6E-409C-BE32-E72D297353CC}">
              <c16:uniqueId val="{00000004-1D3E-49D5-9627-2120409F913E}"/>
            </c:ext>
          </c:extLst>
        </c:ser>
        <c:ser>
          <c:idx val="6"/>
          <c:order val="5"/>
          <c:tx>
            <c:strRef>
              <c:f>'EA19'!$G$1</c:f>
              <c:strCache>
                <c:ptCount val="1"/>
                <c:pt idx="0">
                  <c:v>p80_p90</c:v>
                </c:pt>
              </c:strCache>
            </c:strRef>
          </c:tx>
          <c:spPr>
            <a:pattFill prst="ltDnDiag">
              <a:fgClr>
                <a:srgbClr val="4F81BD"/>
              </a:fgClr>
              <a:bgClr>
                <a:srgbClr val="FFFFFF"/>
              </a:bgClr>
            </a:pattFill>
            <a:ln w="12700">
              <a:solidFill>
                <a:srgbClr val="000000"/>
              </a:solidFill>
              <a:prstDash val="solid"/>
            </a:ln>
          </c:spPr>
          <c:cat>
            <c:numRef>
              <c:f>'EA19'!$A$3:$A$9</c:f>
              <c:numCache>
                <c:formatCode>General</c:formatCode>
                <c:ptCount val="7"/>
                <c:pt idx="0">
                  <c:v>2019</c:v>
                </c:pt>
                <c:pt idx="1">
                  <c:v>2020</c:v>
                </c:pt>
                <c:pt idx="2">
                  <c:v>2021</c:v>
                </c:pt>
                <c:pt idx="3">
                  <c:v>2022</c:v>
                </c:pt>
                <c:pt idx="4">
                  <c:v>2023</c:v>
                </c:pt>
                <c:pt idx="5">
                  <c:v>2024</c:v>
                </c:pt>
                <c:pt idx="6">
                  <c:v>2025</c:v>
                </c:pt>
              </c:numCache>
            </c:numRef>
          </c:cat>
          <c:val>
            <c:numRef>
              <c:f>'EA19'!$G$3:$G$9</c:f>
              <c:numCache>
                <c:formatCode>General</c:formatCode>
                <c:ptCount val="7"/>
                <c:pt idx="0">
                  <c:v>0</c:v>
                </c:pt>
                <c:pt idx="1">
                  <c:v>0</c:v>
                </c:pt>
                <c:pt idx="2">
                  <c:v>1.210129</c:v>
                </c:pt>
                <c:pt idx="3">
                  <c:v>1.8552550000000001</c:v>
                </c:pt>
                <c:pt idx="4">
                  <c:v>1.9955290000000001</c:v>
                </c:pt>
                <c:pt idx="5">
                  <c:v>2.2507169999999999</c:v>
                </c:pt>
                <c:pt idx="6">
                  <c:v>2.8166199999999999</c:v>
                </c:pt>
              </c:numCache>
            </c:numRef>
          </c:val>
          <c:extLst>
            <c:ext xmlns:c16="http://schemas.microsoft.com/office/drawing/2014/chart" uri="{C3380CC4-5D6E-409C-BE32-E72D297353CC}">
              <c16:uniqueId val="{00000005-1D3E-49D5-9627-2120409F913E}"/>
            </c:ext>
          </c:extLst>
        </c:ser>
        <c:dLbls>
          <c:showLegendKey val="0"/>
          <c:showVal val="0"/>
          <c:showCatName val="0"/>
          <c:showSerName val="0"/>
          <c:showPercent val="0"/>
          <c:showBubbleSize val="0"/>
        </c:dLbls>
        <c:axId val="110332928"/>
        <c:axId val="110334720"/>
      </c:areaChart>
      <c:lineChart>
        <c:grouping val="standard"/>
        <c:varyColors val="0"/>
        <c:ser>
          <c:idx val="7"/>
          <c:order val="6"/>
          <c:tx>
            <c:strRef>
              <c:f>'EA19'!$H$1</c:f>
              <c:strCache>
                <c:ptCount val="1"/>
                <c:pt idx="0">
                  <c:v>p50</c:v>
                </c:pt>
              </c:strCache>
            </c:strRef>
          </c:tx>
          <c:spPr>
            <a:ln w="25400">
              <a:solidFill>
                <a:srgbClr val="000000"/>
              </a:solidFill>
              <a:prstDash val="solid"/>
            </a:ln>
          </c:spPr>
          <c:marker>
            <c:symbol val="none"/>
          </c:marker>
          <c:cat>
            <c:numRef>
              <c:f>'EA19'!$A$3:$A$9</c:f>
              <c:numCache>
                <c:formatCode>General</c:formatCode>
                <c:ptCount val="7"/>
                <c:pt idx="0">
                  <c:v>2019</c:v>
                </c:pt>
                <c:pt idx="1">
                  <c:v>2020</c:v>
                </c:pt>
                <c:pt idx="2">
                  <c:v>2021</c:v>
                </c:pt>
                <c:pt idx="3">
                  <c:v>2022</c:v>
                </c:pt>
                <c:pt idx="4">
                  <c:v>2023</c:v>
                </c:pt>
                <c:pt idx="5">
                  <c:v>2024</c:v>
                </c:pt>
                <c:pt idx="6">
                  <c:v>2025</c:v>
                </c:pt>
              </c:numCache>
            </c:numRef>
          </c:cat>
          <c:val>
            <c:numRef>
              <c:f>'EA19'!$H$3:$H$9</c:f>
              <c:numCache>
                <c:formatCode>General</c:formatCode>
                <c:ptCount val="7"/>
                <c:pt idx="0">
                  <c:v>85.9</c:v>
                </c:pt>
                <c:pt idx="1">
                  <c:v>101.7</c:v>
                </c:pt>
                <c:pt idx="2">
                  <c:v>102.16849999999999</c:v>
                </c:pt>
                <c:pt idx="3">
                  <c:v>102.27549999999999</c:v>
                </c:pt>
                <c:pt idx="4">
                  <c:v>103.30629999999999</c:v>
                </c:pt>
                <c:pt idx="5">
                  <c:v>103.8077</c:v>
                </c:pt>
                <c:pt idx="6">
                  <c:v>103.6574</c:v>
                </c:pt>
              </c:numCache>
            </c:numRef>
          </c:val>
          <c:smooth val="0"/>
          <c:extLst>
            <c:ext xmlns:c16="http://schemas.microsoft.com/office/drawing/2014/chart" uri="{C3380CC4-5D6E-409C-BE32-E72D297353CC}">
              <c16:uniqueId val="{00000006-1D3E-49D5-9627-2120409F913E}"/>
            </c:ext>
          </c:extLst>
        </c:ser>
        <c:ser>
          <c:idx val="8"/>
          <c:order val="7"/>
          <c:tx>
            <c:v>Baseline</c:v>
          </c:tx>
          <c:spPr>
            <a:ln w="12700">
              <a:solidFill>
                <a:srgbClr val="000000"/>
              </a:solidFill>
              <a:prstDash val="sysDash"/>
            </a:ln>
          </c:spPr>
          <c:marker>
            <c:symbol val="none"/>
          </c:marker>
          <c:cat>
            <c:numRef>
              <c:f>'EA19'!$A$3:$A$9</c:f>
              <c:numCache>
                <c:formatCode>General</c:formatCode>
                <c:ptCount val="7"/>
                <c:pt idx="0">
                  <c:v>2019</c:v>
                </c:pt>
                <c:pt idx="1">
                  <c:v>2020</c:v>
                </c:pt>
                <c:pt idx="2">
                  <c:v>2021</c:v>
                </c:pt>
                <c:pt idx="3">
                  <c:v>2022</c:v>
                </c:pt>
                <c:pt idx="4">
                  <c:v>2023</c:v>
                </c:pt>
                <c:pt idx="5">
                  <c:v>2024</c:v>
                </c:pt>
                <c:pt idx="6">
                  <c:v>2025</c:v>
                </c:pt>
              </c:numCache>
            </c:numRef>
          </c:cat>
          <c:val>
            <c:numRef>
              <c:f>'EA19'!$I$3:$I$9</c:f>
              <c:numCache>
                <c:formatCode>General</c:formatCode>
                <c:ptCount val="7"/>
                <c:pt idx="0">
                  <c:v>85.9</c:v>
                </c:pt>
                <c:pt idx="1">
                  <c:v>101.7</c:v>
                </c:pt>
                <c:pt idx="2">
                  <c:v>102.3</c:v>
                </c:pt>
                <c:pt idx="3">
                  <c:v>102.6</c:v>
                </c:pt>
                <c:pt idx="4">
                  <c:v>103.9</c:v>
                </c:pt>
                <c:pt idx="5">
                  <c:v>104.5</c:v>
                </c:pt>
                <c:pt idx="6">
                  <c:v>104.4</c:v>
                </c:pt>
              </c:numCache>
            </c:numRef>
          </c:val>
          <c:smooth val="0"/>
          <c:extLst>
            <c:ext xmlns:c16="http://schemas.microsoft.com/office/drawing/2014/chart" uri="{C3380CC4-5D6E-409C-BE32-E72D297353CC}">
              <c16:uniqueId val="{00000007-1D3E-49D5-9627-2120409F913E}"/>
            </c:ext>
          </c:extLst>
        </c:ser>
        <c:dLbls>
          <c:showLegendKey val="0"/>
          <c:showVal val="0"/>
          <c:showCatName val="0"/>
          <c:showSerName val="0"/>
          <c:showPercent val="0"/>
          <c:showBubbleSize val="0"/>
        </c:dLbls>
        <c:marker val="1"/>
        <c:smooth val="0"/>
        <c:axId val="110332928"/>
        <c:axId val="110334720"/>
      </c:lineChart>
      <c:catAx>
        <c:axId val="110332928"/>
        <c:scaling>
          <c:orientation val="minMax"/>
        </c:scaling>
        <c:delete val="0"/>
        <c:axPos val="b"/>
        <c:numFmt formatCode="General" sourceLinked="1"/>
        <c:majorTickMark val="none"/>
        <c:minorTickMark val="none"/>
        <c:tickLblPos val="low"/>
        <c:spPr>
          <a:ln w="6350" cmpd="sng">
            <a:solidFill>
              <a:srgbClr val="000000"/>
            </a:solidFill>
            <a:prstDash val="solid"/>
          </a:ln>
        </c:spPr>
        <c:txPr>
          <a:bodyPr rot="0" vert="horz"/>
          <a:lstStyle/>
          <a:p>
            <a:pPr>
              <a:defRPr sz="700"/>
            </a:pPr>
            <a:endParaRPr lang="en-US"/>
          </a:p>
        </c:txPr>
        <c:crossAx val="110334720"/>
        <c:crosses val="autoZero"/>
        <c:auto val="1"/>
        <c:lblAlgn val="ctr"/>
        <c:lblOffset val="100"/>
        <c:tickLblSkip val="1"/>
        <c:tickMarkSkip val="1"/>
        <c:noMultiLvlLbl val="0"/>
      </c:catAx>
      <c:valAx>
        <c:axId val="110334720"/>
        <c:scaling>
          <c:orientation val="minMax"/>
          <c:min val="85"/>
        </c:scaling>
        <c:delete val="0"/>
        <c:axPos val="l"/>
        <c:title>
          <c:tx>
            <c:rich>
              <a:bodyPr rot="0" vert="horz"/>
              <a:lstStyle/>
              <a:p>
                <a:pPr>
                  <a:defRPr i="1"/>
                </a:pPr>
                <a:r>
                  <a:rPr lang="en-GB" i="1"/>
                  <a:t>% of GDP</a:t>
                </a:r>
              </a:p>
            </c:rich>
          </c:tx>
          <c:layout>
            <c:manualLayout>
              <c:xMode val="edge"/>
              <c:yMode val="edge"/>
              <c:x val="9.772545124112475E-2"/>
              <c:y val="0.22927342319057964"/>
            </c:manualLayout>
          </c:layout>
          <c:overlay val="0"/>
        </c:title>
        <c:numFmt formatCode="General" sourceLinked="1"/>
        <c:majorTickMark val="none"/>
        <c:minorTickMark val="none"/>
        <c:tickLblPos val="nextTo"/>
        <c:spPr>
          <a:ln w="6350" cmpd="sng">
            <a:solidFill>
              <a:srgbClr val="000000"/>
            </a:solidFill>
            <a:prstDash val="solid"/>
          </a:ln>
        </c:spPr>
        <c:txPr>
          <a:bodyPr rot="0" vert="horz"/>
          <a:lstStyle/>
          <a:p>
            <a:pPr>
              <a:defRPr sz="700"/>
            </a:pPr>
            <a:endParaRPr lang="en-US"/>
          </a:p>
        </c:txPr>
        <c:crossAx val="110332928"/>
        <c:crosses val="autoZero"/>
        <c:crossBetween val="midCat"/>
        <c:majorUnit val="5"/>
      </c:valAx>
      <c:spPr>
        <a:noFill/>
        <a:ln w="12700">
          <a:noFill/>
          <a:prstDash val="solid"/>
        </a:ln>
        <a:effectLst/>
        <a:extLst>
          <a:ext uri="{91240B29-F687-4F45-9708-019B960494DF}">
            <a14:hiddenLine xmlns:a14="http://schemas.microsoft.com/office/drawing/2010/main" w="12700">
              <a:solidFill>
                <a:srgbClr val="808080"/>
              </a:solidFill>
              <a:prstDash val="solid"/>
            </a14:hiddenLine>
          </a:ext>
        </a:extLst>
      </c:spPr>
    </c:plotArea>
    <c:legend>
      <c:legendPos val="t"/>
      <c:layout>
        <c:manualLayout>
          <c:xMode val="edge"/>
          <c:yMode val="edge"/>
          <c:x val="0.10799599434305775"/>
          <c:y val="2.8460106549858224E-2"/>
          <c:w val="0.78810397292150103"/>
          <c:h val="0.15071717974536797"/>
        </c:manualLayout>
      </c:layout>
      <c:overlay val="0"/>
      <c:spPr>
        <a:noFill/>
        <a:ln w="3175">
          <a:noFill/>
          <a:prstDash val="solid"/>
        </a:ln>
      </c:spPr>
      <c:txPr>
        <a:bodyPr/>
        <a:lstStyle/>
        <a:p>
          <a:pPr>
            <a:defRPr sz="600"/>
          </a:pPr>
          <a:endParaRPr lang="en-US"/>
        </a:p>
      </c:txPr>
    </c:legend>
    <c:plotVisOnly val="1"/>
    <c:dispBlanksAs val="gap"/>
    <c:showDLblsOverMax val="0"/>
  </c:chart>
  <c:spPr>
    <a:noFill/>
    <a:ln w="3175" cap="flat" cmpd="sng" algn="ctr">
      <a:noFill/>
      <a:prstDash val="solid"/>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lgn="ctr">
          <a:solidFill>
            <a:srgbClr val="000000"/>
          </a:solidFill>
          <a:prstDash val="solid"/>
          <a:round/>
        </a14:hiddenLine>
      </a:ext>
    </a:extLst>
  </c:spPr>
  <c:txPr>
    <a:bodyPr/>
    <a:lstStyle/>
    <a:p>
      <a:pPr>
        <a:defRPr sz="7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4895833333333E-2"/>
          <c:y val="9.6096661209094117E-2"/>
          <c:w val="0.86967881944444447"/>
          <c:h val="0.82650349215560304"/>
        </c:manualLayout>
      </c:layout>
      <c:lineChart>
        <c:grouping val="standard"/>
        <c:varyColors val="0"/>
        <c:ser>
          <c:idx val="1"/>
          <c:order val="0"/>
          <c:tx>
            <c:strRef>
              <c:f>'G9 - data'!$C$2</c:f>
              <c:strCache>
                <c:ptCount val="1"/>
                <c:pt idx="0">
                  <c:v>Government investment expenditure</c:v>
                </c:pt>
              </c:strCache>
            </c:strRef>
          </c:tx>
          <c:spPr>
            <a:ln w="31750" cap="rnd" cmpd="sng" algn="ctr">
              <a:solidFill>
                <a:srgbClr val="002060"/>
              </a:solidFill>
              <a:prstDash val="solid"/>
              <a:round/>
              <a:headEnd type="none" w="med" len="med"/>
              <a:tailEnd type="none" w="med" len="med"/>
            </a:ln>
          </c:spPr>
          <c:marker>
            <c:symbol val="none"/>
          </c:marker>
          <c:cat>
            <c:numRef>
              <c:f>'G9 - Gov invest exp'!$I$5:$I$22</c:f>
              <c:numCache>
                <c:formatCode>00</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'G9 - data'!$D$8:$D$25</c:f>
              <c:numCache>
                <c:formatCode>0.00</c:formatCode>
                <c:ptCount val="17"/>
                <c:pt idx="0">
                  <c:v>3.199983946031848</c:v>
                </c:pt>
                <c:pt idx="1">
                  <c:v>3.2605062397943536</c:v>
                </c:pt>
                <c:pt idx="2">
                  <c:v>3.2868883326188718</c:v>
                </c:pt>
                <c:pt idx="3">
                  <c:v>3.3807409411613505</c:v>
                </c:pt>
                <c:pt idx="4">
                  <c:v>3.6919596499248311</c:v>
                </c:pt>
                <c:pt idx="5">
                  <c:v>3.4530239118242783</c:v>
                </c:pt>
                <c:pt idx="6">
                  <c:v>3.1690729849193486</c:v>
                </c:pt>
                <c:pt idx="7">
                  <c:v>2.9460887803682558</c:v>
                </c:pt>
                <c:pt idx="8">
                  <c:v>2.8645259298890706</c:v>
                </c:pt>
                <c:pt idx="9">
                  <c:v>2.7433984298414504</c:v>
                </c:pt>
                <c:pt idx="10">
                  <c:v>2.7452229205576177</c:v>
                </c:pt>
                <c:pt idx="11">
                  <c:v>2.6224461811777808</c:v>
                </c:pt>
                <c:pt idx="12">
                  <c:v>2.6365820438117678</c:v>
                </c:pt>
                <c:pt idx="13">
                  <c:v>2.7053231687090062</c:v>
                </c:pt>
                <c:pt idx="14">
                  <c:v>2.7944940408767955</c:v>
                </c:pt>
                <c:pt idx="15">
                  <c:v>3.1360794539779921</c:v>
                </c:pt>
                <c:pt idx="16">
                  <c:v>3.1602557400605762</c:v>
                </c:pt>
              </c:numCache>
            </c:numRef>
          </c:val>
          <c:smooth val="0"/>
          <c:extLst>
            <c:ext xmlns:c16="http://schemas.microsoft.com/office/drawing/2014/chart" uri="{C3380CC4-5D6E-409C-BE32-E72D297353CC}">
              <c16:uniqueId val="{00000000-4CBB-4FB6-8841-683754D4994F}"/>
            </c:ext>
          </c:extLst>
        </c:ser>
        <c:dLbls>
          <c:showLegendKey val="0"/>
          <c:showVal val="0"/>
          <c:showCatName val="0"/>
          <c:showSerName val="0"/>
          <c:showPercent val="0"/>
          <c:showBubbleSize val="0"/>
        </c:dLbls>
        <c:marker val="1"/>
        <c:smooth val="0"/>
        <c:axId val="110252032"/>
        <c:axId val="110253568"/>
      </c:lineChart>
      <c:lineChart>
        <c:grouping val="standard"/>
        <c:varyColors val="0"/>
        <c:ser>
          <c:idx val="0"/>
          <c:order val="1"/>
          <c:tx>
            <c:strRef>
              <c:f>'G9 - data'!$J$2</c:f>
              <c:strCache>
                <c:ptCount val="1"/>
                <c:pt idx="0">
                  <c:v>Compensation of employees (rhs)</c:v>
                </c:pt>
              </c:strCache>
            </c:strRef>
          </c:tx>
          <c:spPr>
            <a:ln w="25400" cap="rnd" cmpd="sng" algn="ctr">
              <a:solidFill>
                <a:srgbClr val="8064A2"/>
              </a:solidFill>
              <a:prstDash val="solid"/>
              <a:round/>
              <a:headEnd type="none" w="med" len="med"/>
              <a:tailEnd type="none" w="med" len="med"/>
            </a:ln>
          </c:spPr>
          <c:marker>
            <c:symbol val="none"/>
          </c:marker>
          <c:cat>
            <c:numRef>
              <c:f>'G9 - Gov invest exp'!$I$5:$I$21</c:f>
              <c:numCache>
                <c:formatCode>00</c:formatCode>
                <c:ptCount val="16"/>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numCache>
            </c:numRef>
          </c:cat>
          <c:val>
            <c:numRef>
              <c:f>'G9 - data'!$K$8:$K$25</c:f>
              <c:numCache>
                <c:formatCode>0.00</c:formatCode>
                <c:ptCount val="17"/>
                <c:pt idx="0">
                  <c:v>10.33520072088025</c:v>
                </c:pt>
                <c:pt idx="1">
                  <c:v>10.157906194919995</c:v>
                </c:pt>
                <c:pt idx="2">
                  <c:v>9.9370912814017487</c:v>
                </c:pt>
                <c:pt idx="3">
                  <c:v>10.14372334556408</c:v>
                </c:pt>
                <c:pt idx="4">
                  <c:v>10.916473580013713</c:v>
                </c:pt>
                <c:pt idx="5">
                  <c:v>10.742429520047878</c:v>
                </c:pt>
                <c:pt idx="6">
                  <c:v>10.491552879369499</c:v>
                </c:pt>
                <c:pt idx="7">
                  <c:v>10.415081703979515</c:v>
                </c:pt>
                <c:pt idx="8">
                  <c:v>10.430652143202154</c:v>
                </c:pt>
                <c:pt idx="9">
                  <c:v>10.325847518114493</c:v>
                </c:pt>
                <c:pt idx="10">
                  <c:v>10.111154036405487</c:v>
                </c:pt>
                <c:pt idx="11">
                  <c:v>10.031032012514391</c:v>
                </c:pt>
                <c:pt idx="12">
                  <c:v>9.906409830385277</c:v>
                </c:pt>
                <c:pt idx="13">
                  <c:v>9.8628888959603493</c:v>
                </c:pt>
                <c:pt idx="14">
                  <c:v>9.8708769121377653</c:v>
                </c:pt>
                <c:pt idx="15">
                  <c:v>10.864900181498358</c:v>
                </c:pt>
                <c:pt idx="16">
                  <c:v>10.579538290272508</c:v>
                </c:pt>
              </c:numCache>
            </c:numRef>
          </c:val>
          <c:smooth val="0"/>
          <c:extLst>
            <c:ext xmlns:c16="http://schemas.microsoft.com/office/drawing/2014/chart" uri="{C3380CC4-5D6E-409C-BE32-E72D297353CC}">
              <c16:uniqueId val="{00000001-4CBB-4FB6-8841-683754D4994F}"/>
            </c:ext>
          </c:extLst>
        </c:ser>
        <c:ser>
          <c:idx val="2"/>
          <c:order val="2"/>
          <c:tx>
            <c:strRef>
              <c:f>'G9 - data'!$Q$2</c:f>
              <c:strCache>
                <c:ptCount val="1"/>
                <c:pt idx="0">
                  <c:v>Social benefits (rhs)</c:v>
                </c:pt>
              </c:strCache>
            </c:strRef>
          </c:tx>
          <c:spPr>
            <a:ln w="25400" cap="rnd" cmpd="sng" algn="ctr">
              <a:solidFill>
                <a:srgbClr val="4F81BD"/>
              </a:solidFill>
              <a:prstDash val="dash"/>
              <a:round/>
              <a:headEnd type="none" w="med" len="med"/>
              <a:tailEnd type="none" w="med" len="med"/>
            </a:ln>
          </c:spPr>
          <c:marker>
            <c:symbol val="none"/>
          </c:marker>
          <c:cat>
            <c:numRef>
              <c:f>'G9 - Gov invest exp'!$I$5:$I$21</c:f>
              <c:numCache>
                <c:formatCode>00</c:formatCode>
                <c:ptCount val="16"/>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numCache>
            </c:numRef>
          </c:cat>
          <c:val>
            <c:numRef>
              <c:f>'G9 - data'!$R$8:$R$25</c:f>
              <c:numCache>
                <c:formatCode>0.00</c:formatCode>
                <c:ptCount val="17"/>
                <c:pt idx="0">
                  <c:v>15.757968364302229</c:v>
                </c:pt>
                <c:pt idx="1">
                  <c:v>15.441296778634008</c:v>
                </c:pt>
                <c:pt idx="2">
                  <c:v>15.104064581536782</c:v>
                </c:pt>
                <c:pt idx="3">
                  <c:v>15.398280589668675</c:v>
                </c:pt>
                <c:pt idx="4">
                  <c:v>17.056046504834665</c:v>
                </c:pt>
                <c:pt idx="5">
                  <c:v>16.993867369498343</c:v>
                </c:pt>
                <c:pt idx="6">
                  <c:v>16.73988644731357</c:v>
                </c:pt>
                <c:pt idx="7">
                  <c:v>17.095200466007739</c:v>
                </c:pt>
                <c:pt idx="8">
                  <c:v>17.32399398100625</c:v>
                </c:pt>
                <c:pt idx="9">
                  <c:v>17.263805283162256</c:v>
                </c:pt>
                <c:pt idx="10">
                  <c:v>17.036086395653832</c:v>
                </c:pt>
                <c:pt idx="11">
                  <c:v>16.922588430680801</c:v>
                </c:pt>
                <c:pt idx="12">
                  <c:v>16.678441417097666</c:v>
                </c:pt>
                <c:pt idx="13">
                  <c:v>16.553890675616188</c:v>
                </c:pt>
                <c:pt idx="14">
                  <c:v>16.702636202680083</c:v>
                </c:pt>
                <c:pt idx="15">
                  <c:v>19.908506846758549</c:v>
                </c:pt>
                <c:pt idx="16">
                  <c:v>18.609686236054635</c:v>
                </c:pt>
              </c:numCache>
            </c:numRef>
          </c:val>
          <c:smooth val="0"/>
          <c:extLst>
            <c:ext xmlns:c16="http://schemas.microsoft.com/office/drawing/2014/chart" uri="{C3380CC4-5D6E-409C-BE32-E72D297353CC}">
              <c16:uniqueId val="{00000002-4CBB-4FB6-8841-683754D4994F}"/>
            </c:ext>
          </c:extLst>
        </c:ser>
        <c:dLbls>
          <c:showLegendKey val="0"/>
          <c:showVal val="0"/>
          <c:showCatName val="0"/>
          <c:showSerName val="0"/>
          <c:showPercent val="0"/>
          <c:showBubbleSize val="0"/>
        </c:dLbls>
        <c:marker val="1"/>
        <c:smooth val="0"/>
        <c:axId val="110256896"/>
        <c:axId val="110255104"/>
      </c:lineChart>
      <c:catAx>
        <c:axId val="110252032"/>
        <c:scaling>
          <c:orientation val="minMax"/>
        </c:scaling>
        <c:delete val="0"/>
        <c:axPos val="b"/>
        <c:numFmt formatCode="00" sourceLinked="1"/>
        <c:majorTickMark val="none"/>
        <c:minorTickMark val="none"/>
        <c:tickLblPos val="low"/>
        <c:spPr>
          <a:ln>
            <a:solidFill>
              <a:schemeClr val="tx1"/>
            </a:solidFill>
          </a:ln>
        </c:spPr>
        <c:txPr>
          <a:bodyPr rot="0" vert="horz"/>
          <a:lstStyle/>
          <a:p>
            <a:pPr>
              <a:defRPr/>
            </a:pPr>
            <a:endParaRPr lang="en-US"/>
          </a:p>
        </c:txPr>
        <c:crossAx val="110253568"/>
        <c:crosses val="autoZero"/>
        <c:auto val="1"/>
        <c:lblAlgn val="ctr"/>
        <c:lblOffset val="100"/>
        <c:tickLblSkip val="1"/>
        <c:noMultiLvlLbl val="0"/>
      </c:catAx>
      <c:valAx>
        <c:axId val="110253568"/>
        <c:scaling>
          <c:orientation val="minMax"/>
          <c:min val="2"/>
        </c:scaling>
        <c:delete val="0"/>
        <c:axPos val="l"/>
        <c:numFmt formatCode="0" sourceLinked="0"/>
        <c:majorTickMark val="none"/>
        <c:minorTickMark val="none"/>
        <c:tickLblPos val="nextTo"/>
        <c:spPr>
          <a:ln>
            <a:solidFill>
              <a:schemeClr val="tx1"/>
            </a:solidFill>
          </a:ln>
        </c:spPr>
        <c:crossAx val="110252032"/>
        <c:crosses val="autoZero"/>
        <c:crossBetween val="between"/>
        <c:majorUnit val="0.5"/>
      </c:valAx>
      <c:valAx>
        <c:axId val="110255104"/>
        <c:scaling>
          <c:orientation val="minMax"/>
          <c:min val="8"/>
        </c:scaling>
        <c:delete val="0"/>
        <c:axPos val="r"/>
        <c:numFmt formatCode="0" sourceLinked="0"/>
        <c:majorTickMark val="none"/>
        <c:minorTickMark val="none"/>
        <c:tickLblPos val="nextTo"/>
        <c:spPr>
          <a:ln>
            <a:solidFill>
              <a:schemeClr val="tx1"/>
            </a:solidFill>
          </a:ln>
        </c:spPr>
        <c:crossAx val="110256896"/>
        <c:crosses val="max"/>
        <c:crossBetween val="between"/>
      </c:valAx>
      <c:catAx>
        <c:axId val="110256896"/>
        <c:scaling>
          <c:orientation val="minMax"/>
        </c:scaling>
        <c:delete val="1"/>
        <c:axPos val="b"/>
        <c:numFmt formatCode="00" sourceLinked="1"/>
        <c:majorTickMark val="out"/>
        <c:minorTickMark val="none"/>
        <c:tickLblPos val="nextTo"/>
        <c:crossAx val="110255104"/>
        <c:crosses val="autoZero"/>
        <c:auto val="1"/>
        <c:lblAlgn val="ctr"/>
        <c:lblOffset val="100"/>
        <c:noMultiLvlLbl val="0"/>
      </c:catAx>
      <c:spPr>
        <a:solidFill>
          <a:sysClr val="window" lastClr="FFFFFF"/>
        </a:solidFill>
        <a:ln>
          <a:noFill/>
          <a:round/>
        </a:ln>
        <a:effectLst/>
        <a:extLst>
          <a:ext uri="{91240B29-F687-4F45-9708-019B960494DF}">
            <a14:hiddenLine xmlns:a14="http://schemas.microsoft.com/office/drawing/2010/main">
              <a:noFill/>
              <a:round/>
            </a14:hiddenLine>
          </a:ext>
        </a:extLst>
      </c:spPr>
    </c:plotArea>
    <c:legend>
      <c:legendPos val="t"/>
      <c:layout>
        <c:manualLayout>
          <c:xMode val="edge"/>
          <c:yMode val="edge"/>
          <c:x val="0.13393480724974527"/>
          <c:y val="4.0206420592319396E-4"/>
          <c:w val="0.65889306939159431"/>
          <c:h val="0.13781185882157881"/>
        </c:manualLayout>
      </c:layout>
      <c:overlay val="0"/>
      <c:txPr>
        <a:bodyPr/>
        <a:lstStyle/>
        <a:p>
          <a:pPr>
            <a:defRPr sz="600"/>
          </a:pPr>
          <a:endParaRPr lang="en-US"/>
        </a:p>
      </c:txPr>
    </c:legend>
    <c:plotVisOnly val="1"/>
    <c:dispBlanksAs val="gap"/>
    <c:showDLblsOverMax val="0"/>
  </c:chart>
  <c:spPr>
    <a:ln w="25400">
      <a:noFill/>
    </a:ln>
  </c:spPr>
  <c:txPr>
    <a:bodyPr/>
    <a:lstStyle/>
    <a:p>
      <a:pPr>
        <a:defRPr sz="700">
          <a:latin typeface="Verdana"/>
          <a:ea typeface="Verdana"/>
          <a:cs typeface="Verdana"/>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522900606010636E-2"/>
          <c:y val="5.1832067247100717E-2"/>
          <c:w val="0.94223280570736356"/>
          <c:h val="0.78673881623827846"/>
        </c:manualLayout>
      </c:layout>
      <c:barChart>
        <c:barDir val="col"/>
        <c:grouping val="stacked"/>
        <c:varyColors val="0"/>
        <c:ser>
          <c:idx val="1"/>
          <c:order val="0"/>
          <c:tx>
            <c:strRef>
              <c:f>'Option 1'!$C$4</c:f>
              <c:strCache>
                <c:ptCount val="1"/>
                <c:pt idx="0">
                  <c:v>Labour taxes (including social contributions)</c:v>
                </c:pt>
              </c:strCache>
            </c:strRef>
          </c:tx>
          <c:spPr>
            <a:solidFill>
              <a:srgbClr val="002060"/>
            </a:solidFill>
            <a:ln>
              <a:noFill/>
            </a:ln>
            <a:effectLst/>
          </c:spPr>
          <c:invertIfNegative val="0"/>
          <c:cat>
            <c:strRef>
              <c:f>'Option 1'!$A$5:$A$26</c:f>
              <c:strCache>
                <c:ptCount val="21"/>
                <c:pt idx="0">
                  <c:v>FR</c:v>
                </c:pt>
                <c:pt idx="1">
                  <c:v>BE</c:v>
                </c:pt>
                <c:pt idx="2">
                  <c:v>AT</c:v>
                </c:pt>
                <c:pt idx="3">
                  <c:v>FI</c:v>
                </c:pt>
                <c:pt idx="4">
                  <c:v>IT</c:v>
                </c:pt>
                <c:pt idx="5">
                  <c:v>DE</c:v>
                </c:pt>
                <c:pt idx="6">
                  <c:v>LU</c:v>
                </c:pt>
                <c:pt idx="7">
                  <c:v>EL</c:v>
                </c:pt>
                <c:pt idx="8">
                  <c:v>NL</c:v>
                </c:pt>
                <c:pt idx="9">
                  <c:v>SI</c:v>
                </c:pt>
                <c:pt idx="10">
                  <c:v>PT</c:v>
                </c:pt>
                <c:pt idx="11">
                  <c:v>ES</c:v>
                </c:pt>
                <c:pt idx="12">
                  <c:v>SK</c:v>
                </c:pt>
                <c:pt idx="13">
                  <c:v>CY</c:v>
                </c:pt>
                <c:pt idx="14">
                  <c:v>EE</c:v>
                </c:pt>
                <c:pt idx="15">
                  <c:v>MT</c:v>
                </c:pt>
                <c:pt idx="16">
                  <c:v>LV</c:v>
                </c:pt>
                <c:pt idx="17">
                  <c:v>LT</c:v>
                </c:pt>
                <c:pt idx="18">
                  <c:v>IE</c:v>
                </c:pt>
                <c:pt idx="20">
                  <c:v>EA-19</c:v>
                </c:pt>
              </c:strCache>
              <c:extLst/>
            </c:strRef>
          </c:cat>
          <c:val>
            <c:numRef>
              <c:f>'Option 1'!$C$5:$C$26</c:f>
              <c:numCache>
                <c:formatCode>General</c:formatCode>
                <c:ptCount val="21"/>
                <c:pt idx="0">
                  <c:v>23.908999999999999</c:v>
                </c:pt>
                <c:pt idx="1">
                  <c:v>22.44</c:v>
                </c:pt>
                <c:pt idx="2">
                  <c:v>23.437999999999999</c:v>
                </c:pt>
                <c:pt idx="3">
                  <c:v>20.949000000000002</c:v>
                </c:pt>
                <c:pt idx="4">
                  <c:v>21.012</c:v>
                </c:pt>
                <c:pt idx="5">
                  <c:v>22.812000000000001</c:v>
                </c:pt>
                <c:pt idx="6">
                  <c:v>17.015000000000001</c:v>
                </c:pt>
                <c:pt idx="7">
                  <c:v>16.135999999999999</c:v>
                </c:pt>
                <c:pt idx="8">
                  <c:v>20.003</c:v>
                </c:pt>
                <c:pt idx="9">
                  <c:v>18.981000000000002</c:v>
                </c:pt>
                <c:pt idx="10">
                  <c:v>14.717000000000001</c:v>
                </c:pt>
                <c:pt idx="11">
                  <c:v>16.812000000000001</c:v>
                </c:pt>
                <c:pt idx="12">
                  <c:v>18.218</c:v>
                </c:pt>
                <c:pt idx="13">
                  <c:v>11.864000000000001</c:v>
                </c:pt>
                <c:pt idx="14">
                  <c:v>16.600999999999999</c:v>
                </c:pt>
                <c:pt idx="15">
                  <c:v>11.688000000000001</c:v>
                </c:pt>
                <c:pt idx="16">
                  <c:v>14.448</c:v>
                </c:pt>
                <c:pt idx="17">
                  <c:v>15.6</c:v>
                </c:pt>
                <c:pt idx="18">
                  <c:v>9.6760000000000002</c:v>
                </c:pt>
                <c:pt idx="20">
                  <c:v>21.123000000000001</c:v>
                </c:pt>
              </c:numCache>
              <c:extLst/>
            </c:numRef>
          </c:val>
          <c:extLst>
            <c:ext xmlns:c16="http://schemas.microsoft.com/office/drawing/2014/chart" uri="{C3380CC4-5D6E-409C-BE32-E72D297353CC}">
              <c16:uniqueId val="{00000000-A2CD-415C-ABCE-1A144B5E73E4}"/>
            </c:ext>
          </c:extLst>
        </c:ser>
        <c:ser>
          <c:idx val="3"/>
          <c:order val="1"/>
          <c:tx>
            <c:strRef>
              <c:f>'Option 1'!$E$4</c:f>
              <c:strCache>
                <c:ptCount val="1"/>
                <c:pt idx="0">
                  <c:v>Environmental taxes</c:v>
                </c:pt>
              </c:strCache>
            </c:strRef>
          </c:tx>
          <c:spPr>
            <a:solidFill>
              <a:srgbClr val="BC14BC"/>
            </a:solidFill>
            <a:ln>
              <a:noFill/>
            </a:ln>
            <a:effectLst/>
          </c:spPr>
          <c:invertIfNegative val="0"/>
          <c:cat>
            <c:strRef>
              <c:f>'Option 1'!$A$5:$A$26</c:f>
              <c:strCache>
                <c:ptCount val="21"/>
                <c:pt idx="0">
                  <c:v>FR</c:v>
                </c:pt>
                <c:pt idx="1">
                  <c:v>BE</c:v>
                </c:pt>
                <c:pt idx="2">
                  <c:v>AT</c:v>
                </c:pt>
                <c:pt idx="3">
                  <c:v>FI</c:v>
                </c:pt>
                <c:pt idx="4">
                  <c:v>IT</c:v>
                </c:pt>
                <c:pt idx="5">
                  <c:v>DE</c:v>
                </c:pt>
                <c:pt idx="6">
                  <c:v>LU</c:v>
                </c:pt>
                <c:pt idx="7">
                  <c:v>EL</c:v>
                </c:pt>
                <c:pt idx="8">
                  <c:v>NL</c:v>
                </c:pt>
                <c:pt idx="9">
                  <c:v>SI</c:v>
                </c:pt>
                <c:pt idx="10">
                  <c:v>PT</c:v>
                </c:pt>
                <c:pt idx="11">
                  <c:v>ES</c:v>
                </c:pt>
                <c:pt idx="12">
                  <c:v>SK</c:v>
                </c:pt>
                <c:pt idx="13">
                  <c:v>CY</c:v>
                </c:pt>
                <c:pt idx="14">
                  <c:v>EE</c:v>
                </c:pt>
                <c:pt idx="15">
                  <c:v>MT</c:v>
                </c:pt>
                <c:pt idx="16">
                  <c:v>LV</c:v>
                </c:pt>
                <c:pt idx="17">
                  <c:v>LT</c:v>
                </c:pt>
                <c:pt idx="18">
                  <c:v>IE</c:v>
                </c:pt>
                <c:pt idx="20">
                  <c:v>EA-19</c:v>
                </c:pt>
              </c:strCache>
              <c:extLst/>
            </c:strRef>
          </c:cat>
          <c:val>
            <c:numRef>
              <c:f>'Option 1'!$E$5:$E$26</c:f>
              <c:numCache>
                <c:formatCode>General</c:formatCode>
                <c:ptCount val="21"/>
                <c:pt idx="0">
                  <c:v>2.3780000000000001</c:v>
                </c:pt>
                <c:pt idx="1">
                  <c:v>2.698</c:v>
                </c:pt>
                <c:pt idx="2">
                  <c:v>2.2959999999999998</c:v>
                </c:pt>
                <c:pt idx="3">
                  <c:v>2.9209999999999998</c:v>
                </c:pt>
                <c:pt idx="4">
                  <c:v>3.2730000000000001</c:v>
                </c:pt>
                <c:pt idx="5">
                  <c:v>1.786</c:v>
                </c:pt>
                <c:pt idx="6">
                  <c:v>1.714</c:v>
                </c:pt>
                <c:pt idx="7">
                  <c:v>3.694</c:v>
                </c:pt>
                <c:pt idx="8">
                  <c:v>3.3370000000000002</c:v>
                </c:pt>
                <c:pt idx="9">
                  <c:v>3.5179999999999998</c:v>
                </c:pt>
                <c:pt idx="10">
                  <c:v>2.585</c:v>
                </c:pt>
                <c:pt idx="11">
                  <c:v>1.835</c:v>
                </c:pt>
                <c:pt idx="12">
                  <c:v>2.488</c:v>
                </c:pt>
                <c:pt idx="13">
                  <c:v>2.7879999999999998</c:v>
                </c:pt>
                <c:pt idx="14">
                  <c:v>2.7229999999999999</c:v>
                </c:pt>
                <c:pt idx="15">
                  <c:v>2.6110000000000002</c:v>
                </c:pt>
                <c:pt idx="16">
                  <c:v>3.371</c:v>
                </c:pt>
                <c:pt idx="17">
                  <c:v>1.988</c:v>
                </c:pt>
                <c:pt idx="18">
                  <c:v>1.5640000000000001</c:v>
                </c:pt>
                <c:pt idx="20">
                  <c:v>2.379</c:v>
                </c:pt>
              </c:numCache>
              <c:extLst/>
            </c:numRef>
          </c:val>
          <c:extLst>
            <c:ext xmlns:c16="http://schemas.microsoft.com/office/drawing/2014/chart" uri="{C3380CC4-5D6E-409C-BE32-E72D297353CC}">
              <c16:uniqueId val="{00000001-A2CD-415C-ABCE-1A144B5E73E4}"/>
            </c:ext>
          </c:extLst>
        </c:ser>
        <c:ser>
          <c:idx val="4"/>
          <c:order val="2"/>
          <c:tx>
            <c:strRef>
              <c:f>'Option 1'!$F$4</c:f>
              <c:strCache>
                <c:ptCount val="1"/>
                <c:pt idx="0">
                  <c:v>Consumption taxes (other than environmental)</c:v>
                </c:pt>
              </c:strCache>
            </c:strRef>
          </c:tx>
          <c:spPr>
            <a:solidFill>
              <a:schemeClr val="accent6">
                <a:lumMod val="60000"/>
                <a:lumOff val="40000"/>
              </a:schemeClr>
            </a:solidFill>
            <a:ln>
              <a:noFill/>
            </a:ln>
            <a:effectLst/>
          </c:spPr>
          <c:invertIfNegative val="0"/>
          <c:cat>
            <c:strRef>
              <c:f>'Option 1'!$A$5:$A$26</c:f>
              <c:strCache>
                <c:ptCount val="21"/>
                <c:pt idx="0">
                  <c:v>FR</c:v>
                </c:pt>
                <c:pt idx="1">
                  <c:v>BE</c:v>
                </c:pt>
                <c:pt idx="2">
                  <c:v>AT</c:v>
                </c:pt>
                <c:pt idx="3">
                  <c:v>FI</c:v>
                </c:pt>
                <c:pt idx="4">
                  <c:v>IT</c:v>
                </c:pt>
                <c:pt idx="5">
                  <c:v>DE</c:v>
                </c:pt>
                <c:pt idx="6">
                  <c:v>LU</c:v>
                </c:pt>
                <c:pt idx="7">
                  <c:v>EL</c:v>
                </c:pt>
                <c:pt idx="8">
                  <c:v>NL</c:v>
                </c:pt>
                <c:pt idx="9">
                  <c:v>SI</c:v>
                </c:pt>
                <c:pt idx="10">
                  <c:v>PT</c:v>
                </c:pt>
                <c:pt idx="11">
                  <c:v>ES</c:v>
                </c:pt>
                <c:pt idx="12">
                  <c:v>SK</c:v>
                </c:pt>
                <c:pt idx="13">
                  <c:v>CY</c:v>
                </c:pt>
                <c:pt idx="14">
                  <c:v>EE</c:v>
                </c:pt>
                <c:pt idx="15">
                  <c:v>MT</c:v>
                </c:pt>
                <c:pt idx="16">
                  <c:v>LV</c:v>
                </c:pt>
                <c:pt idx="17">
                  <c:v>LT</c:v>
                </c:pt>
                <c:pt idx="18">
                  <c:v>IE</c:v>
                </c:pt>
                <c:pt idx="20">
                  <c:v>EA-19</c:v>
                </c:pt>
              </c:strCache>
              <c:extLst/>
            </c:strRef>
          </c:cat>
          <c:val>
            <c:numRef>
              <c:f>'Option 1'!$F$5:$F$26</c:f>
              <c:numCache>
                <c:formatCode>General</c:formatCode>
                <c:ptCount val="21"/>
                <c:pt idx="0">
                  <c:v>9.3469999999999995</c:v>
                </c:pt>
                <c:pt idx="1">
                  <c:v>8.2739999999999991</c:v>
                </c:pt>
                <c:pt idx="2">
                  <c:v>9.0660000000000007</c:v>
                </c:pt>
                <c:pt idx="3">
                  <c:v>11.246</c:v>
                </c:pt>
                <c:pt idx="4">
                  <c:v>7.8730000000000011</c:v>
                </c:pt>
                <c:pt idx="5">
                  <c:v>8.4340000000000011</c:v>
                </c:pt>
                <c:pt idx="6">
                  <c:v>7.3919999999999995</c:v>
                </c:pt>
                <c:pt idx="7">
                  <c:v>10.879000000000001</c:v>
                </c:pt>
                <c:pt idx="8">
                  <c:v>8.0730000000000004</c:v>
                </c:pt>
                <c:pt idx="9">
                  <c:v>10.231999999999999</c:v>
                </c:pt>
                <c:pt idx="10">
                  <c:v>10.305</c:v>
                </c:pt>
                <c:pt idx="11">
                  <c:v>7.7549999999999999</c:v>
                </c:pt>
                <c:pt idx="12">
                  <c:v>8.843</c:v>
                </c:pt>
                <c:pt idx="13">
                  <c:v>11.106999999999999</c:v>
                </c:pt>
                <c:pt idx="14">
                  <c:v>10.693999999999999</c:v>
                </c:pt>
                <c:pt idx="15">
                  <c:v>9.2469999999999999</c:v>
                </c:pt>
                <c:pt idx="16">
                  <c:v>10.151</c:v>
                </c:pt>
                <c:pt idx="17">
                  <c:v>9.3870000000000005</c:v>
                </c:pt>
                <c:pt idx="18">
                  <c:v>5.4329999999999998</c:v>
                </c:pt>
                <c:pt idx="20">
                  <c:v>8.5220000000000002</c:v>
                </c:pt>
              </c:numCache>
              <c:extLst/>
            </c:numRef>
          </c:val>
          <c:extLst>
            <c:ext xmlns:c16="http://schemas.microsoft.com/office/drawing/2014/chart" uri="{C3380CC4-5D6E-409C-BE32-E72D297353CC}">
              <c16:uniqueId val="{00000002-A2CD-415C-ABCE-1A144B5E73E4}"/>
            </c:ext>
          </c:extLst>
        </c:ser>
        <c:ser>
          <c:idx val="5"/>
          <c:order val="3"/>
          <c:tx>
            <c:strRef>
              <c:f>'Option 1'!$G$4</c:f>
              <c:strCache>
                <c:ptCount val="1"/>
                <c:pt idx="0">
                  <c:v>Recurrent taxes on immovable property</c:v>
                </c:pt>
              </c:strCache>
            </c:strRef>
          </c:tx>
          <c:spPr>
            <a:solidFill>
              <a:schemeClr val="accent1">
                <a:lumMod val="40000"/>
                <a:lumOff val="60000"/>
              </a:schemeClr>
            </a:solidFill>
            <a:ln>
              <a:noFill/>
            </a:ln>
            <a:effectLst/>
          </c:spPr>
          <c:invertIfNegative val="0"/>
          <c:cat>
            <c:strRef>
              <c:f>'Option 1'!$A$5:$A$26</c:f>
              <c:strCache>
                <c:ptCount val="21"/>
                <c:pt idx="0">
                  <c:v>FR</c:v>
                </c:pt>
                <c:pt idx="1">
                  <c:v>BE</c:v>
                </c:pt>
                <c:pt idx="2">
                  <c:v>AT</c:v>
                </c:pt>
                <c:pt idx="3">
                  <c:v>FI</c:v>
                </c:pt>
                <c:pt idx="4">
                  <c:v>IT</c:v>
                </c:pt>
                <c:pt idx="5">
                  <c:v>DE</c:v>
                </c:pt>
                <c:pt idx="6">
                  <c:v>LU</c:v>
                </c:pt>
                <c:pt idx="7">
                  <c:v>EL</c:v>
                </c:pt>
                <c:pt idx="8">
                  <c:v>NL</c:v>
                </c:pt>
                <c:pt idx="9">
                  <c:v>SI</c:v>
                </c:pt>
                <c:pt idx="10">
                  <c:v>PT</c:v>
                </c:pt>
                <c:pt idx="11">
                  <c:v>ES</c:v>
                </c:pt>
                <c:pt idx="12">
                  <c:v>SK</c:v>
                </c:pt>
                <c:pt idx="13">
                  <c:v>CY</c:v>
                </c:pt>
                <c:pt idx="14">
                  <c:v>EE</c:v>
                </c:pt>
                <c:pt idx="15">
                  <c:v>MT</c:v>
                </c:pt>
                <c:pt idx="16">
                  <c:v>LV</c:v>
                </c:pt>
                <c:pt idx="17">
                  <c:v>LT</c:v>
                </c:pt>
                <c:pt idx="18">
                  <c:v>IE</c:v>
                </c:pt>
                <c:pt idx="20">
                  <c:v>EA-19</c:v>
                </c:pt>
              </c:strCache>
              <c:extLst/>
            </c:strRef>
          </c:cat>
          <c:val>
            <c:numRef>
              <c:f>'Option 1'!$G$5:$G$26</c:f>
              <c:numCache>
                <c:formatCode>General</c:formatCode>
                <c:ptCount val="21"/>
                <c:pt idx="0">
                  <c:v>3.1339999999999999</c:v>
                </c:pt>
                <c:pt idx="1">
                  <c:v>1.226</c:v>
                </c:pt>
                <c:pt idx="2">
                  <c:v>0.188</c:v>
                </c:pt>
                <c:pt idx="3">
                  <c:v>0.77300000000000002</c:v>
                </c:pt>
                <c:pt idx="4">
                  <c:v>1.4139999999999999</c:v>
                </c:pt>
                <c:pt idx="5">
                  <c:v>0.42499999999999999</c:v>
                </c:pt>
                <c:pt idx="6">
                  <c:v>6.4000000000000001E-2</c:v>
                </c:pt>
                <c:pt idx="7">
                  <c:v>2.573</c:v>
                </c:pt>
                <c:pt idx="8">
                  <c:v>0.872</c:v>
                </c:pt>
                <c:pt idx="9">
                  <c:v>0.48799999999999999</c:v>
                </c:pt>
                <c:pt idx="10">
                  <c:v>0.80200000000000005</c:v>
                </c:pt>
                <c:pt idx="11">
                  <c:v>1.1679999999999999</c:v>
                </c:pt>
                <c:pt idx="12">
                  <c:v>0.41099999999999998</c:v>
                </c:pt>
                <c:pt idx="13">
                  <c:v>0.24299999999999999</c:v>
                </c:pt>
                <c:pt idx="14">
                  <c:v>0.223</c:v>
                </c:pt>
                <c:pt idx="15">
                  <c:v>0</c:v>
                </c:pt>
                <c:pt idx="16">
                  <c:v>0.76500000000000001</c:v>
                </c:pt>
                <c:pt idx="17">
                  <c:v>0.29799999999999999</c:v>
                </c:pt>
                <c:pt idx="18">
                  <c:v>0.57599999999999996</c:v>
                </c:pt>
                <c:pt idx="20">
                  <c:v>1.3080000000000001</c:v>
                </c:pt>
              </c:numCache>
              <c:extLst/>
            </c:numRef>
          </c:val>
          <c:extLst>
            <c:ext xmlns:c16="http://schemas.microsoft.com/office/drawing/2014/chart" uri="{C3380CC4-5D6E-409C-BE32-E72D297353CC}">
              <c16:uniqueId val="{00000003-A2CD-415C-ABCE-1A144B5E73E4}"/>
            </c:ext>
          </c:extLst>
        </c:ser>
        <c:ser>
          <c:idx val="6"/>
          <c:order val="4"/>
          <c:tx>
            <c:strRef>
              <c:f>'Option 1'!$H$4</c:f>
              <c:strCache>
                <c:ptCount val="1"/>
                <c:pt idx="0">
                  <c:v>Other taxes</c:v>
                </c:pt>
              </c:strCache>
            </c:strRef>
          </c:tx>
          <c:spPr>
            <a:solidFill>
              <a:schemeClr val="bg2">
                <a:lumMod val="75000"/>
              </a:schemeClr>
            </a:solidFill>
            <a:ln>
              <a:noFill/>
            </a:ln>
            <a:effectLst/>
          </c:spPr>
          <c:invertIfNegative val="0"/>
          <c:cat>
            <c:strRef>
              <c:f>'Option 1'!$A$5:$A$26</c:f>
              <c:strCache>
                <c:ptCount val="21"/>
                <c:pt idx="0">
                  <c:v>FR</c:v>
                </c:pt>
                <c:pt idx="1">
                  <c:v>BE</c:v>
                </c:pt>
                <c:pt idx="2">
                  <c:v>AT</c:v>
                </c:pt>
                <c:pt idx="3">
                  <c:v>FI</c:v>
                </c:pt>
                <c:pt idx="4">
                  <c:v>IT</c:v>
                </c:pt>
                <c:pt idx="5">
                  <c:v>DE</c:v>
                </c:pt>
                <c:pt idx="6">
                  <c:v>LU</c:v>
                </c:pt>
                <c:pt idx="7">
                  <c:v>EL</c:v>
                </c:pt>
                <c:pt idx="8">
                  <c:v>NL</c:v>
                </c:pt>
                <c:pt idx="9">
                  <c:v>SI</c:v>
                </c:pt>
                <c:pt idx="10">
                  <c:v>PT</c:v>
                </c:pt>
                <c:pt idx="11">
                  <c:v>ES</c:v>
                </c:pt>
                <c:pt idx="12">
                  <c:v>SK</c:v>
                </c:pt>
                <c:pt idx="13">
                  <c:v>CY</c:v>
                </c:pt>
                <c:pt idx="14">
                  <c:v>EE</c:v>
                </c:pt>
                <c:pt idx="15">
                  <c:v>MT</c:v>
                </c:pt>
                <c:pt idx="16">
                  <c:v>LV</c:v>
                </c:pt>
                <c:pt idx="17">
                  <c:v>LT</c:v>
                </c:pt>
                <c:pt idx="18">
                  <c:v>IE</c:v>
                </c:pt>
                <c:pt idx="20">
                  <c:v>EA-19</c:v>
                </c:pt>
              </c:strCache>
              <c:extLst/>
            </c:strRef>
          </c:cat>
          <c:val>
            <c:numRef>
              <c:f>'Option 1'!$H$5:$H$26</c:f>
              <c:numCache>
                <c:formatCode>General</c:formatCode>
                <c:ptCount val="21"/>
                <c:pt idx="0">
                  <c:v>7.7010000000000023</c:v>
                </c:pt>
                <c:pt idx="1">
                  <c:v>10.158999999999995</c:v>
                </c:pt>
                <c:pt idx="2">
                  <c:v>7.2869999999999999</c:v>
                </c:pt>
                <c:pt idx="3">
                  <c:v>6.3439999999999959</c:v>
                </c:pt>
                <c:pt idx="4">
                  <c:v>8.1800000000000015</c:v>
                </c:pt>
                <c:pt idx="5">
                  <c:v>6.6659999999999959</c:v>
                </c:pt>
                <c:pt idx="6">
                  <c:v>13.160999999999996</c:v>
                </c:pt>
                <c:pt idx="7">
                  <c:v>5.6369999999999969</c:v>
                </c:pt>
                <c:pt idx="8">
                  <c:v>6.4499999999999993</c:v>
                </c:pt>
                <c:pt idx="9">
                  <c:v>4.3990000000000009</c:v>
                </c:pt>
                <c:pt idx="10">
                  <c:v>6.4699999999999989</c:v>
                </c:pt>
                <c:pt idx="11">
                  <c:v>7.1709999999999985</c:v>
                </c:pt>
                <c:pt idx="12">
                  <c:v>4.1419999999999977</c:v>
                </c:pt>
                <c:pt idx="13">
                  <c:v>7.8170000000000019</c:v>
                </c:pt>
                <c:pt idx="14">
                  <c:v>2.5290000000000044</c:v>
                </c:pt>
                <c:pt idx="15">
                  <c:v>8.2959999999999958</c:v>
                </c:pt>
                <c:pt idx="16">
                  <c:v>2.2619999999999991</c:v>
                </c:pt>
                <c:pt idx="17">
                  <c:v>2.8940000000000019</c:v>
                </c:pt>
                <c:pt idx="18">
                  <c:v>5.3800000000000017</c:v>
                </c:pt>
                <c:pt idx="20">
                  <c:v>7.2179999999999964</c:v>
                </c:pt>
              </c:numCache>
              <c:extLst/>
            </c:numRef>
          </c:val>
          <c:extLst>
            <c:ext xmlns:c16="http://schemas.microsoft.com/office/drawing/2014/chart" uri="{C3380CC4-5D6E-409C-BE32-E72D297353CC}">
              <c16:uniqueId val="{00000004-A2CD-415C-ABCE-1A144B5E73E4}"/>
            </c:ext>
          </c:extLst>
        </c:ser>
        <c:dLbls>
          <c:showLegendKey val="0"/>
          <c:showVal val="0"/>
          <c:showCatName val="0"/>
          <c:showSerName val="0"/>
          <c:showPercent val="0"/>
          <c:showBubbleSize val="0"/>
        </c:dLbls>
        <c:gapWidth val="61"/>
        <c:overlap val="100"/>
        <c:axId val="110040192"/>
        <c:axId val="110041728"/>
      </c:barChart>
      <c:catAx>
        <c:axId val="11004019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0041728"/>
        <c:crosses val="autoZero"/>
        <c:auto val="1"/>
        <c:lblAlgn val="ctr"/>
        <c:lblOffset val="100"/>
        <c:noMultiLvlLbl val="0"/>
      </c:catAx>
      <c:valAx>
        <c:axId val="110041728"/>
        <c:scaling>
          <c:orientation val="minMax"/>
        </c:scaling>
        <c:delete val="0"/>
        <c:axPos val="l"/>
        <c:title>
          <c:tx>
            <c:rich>
              <a:bodyPr rot="0" spcFirstLastPara="1" vertOverflow="ellipsis" wrap="square" anchor="ctr" anchorCtr="1"/>
              <a:lstStyle/>
              <a:p>
                <a:pPr>
                  <a:defRPr sz="5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500" i="1">
                    <a:solidFill>
                      <a:sysClr val="windowText" lastClr="000000"/>
                    </a:solidFill>
                  </a:rPr>
                  <a:t>% of GDP</a:t>
                </a:r>
              </a:p>
            </c:rich>
          </c:tx>
          <c:layout>
            <c:manualLayout>
              <c:xMode val="edge"/>
              <c:yMode val="edge"/>
              <c:x val="7.6317333797648754E-2"/>
              <c:y val="3.6008186201394426E-2"/>
            </c:manualLayout>
          </c:layout>
          <c:overlay val="0"/>
          <c:spPr>
            <a:noFill/>
            <a:ln>
              <a:noFill/>
            </a:ln>
            <a:effectLst/>
          </c:spPr>
          <c:txPr>
            <a:bodyPr rot="0" spcFirstLastPara="1" vertOverflow="ellipsis" wrap="square" anchor="ctr" anchorCtr="1"/>
            <a:lstStyle/>
            <a:p>
              <a:pPr>
                <a:defRPr sz="5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0040192"/>
        <c:crosses val="autoZero"/>
        <c:crossBetween val="between"/>
        <c:majorUnit val="10"/>
      </c:valAx>
      <c:spPr>
        <a:noFill/>
        <a:ln>
          <a:noFill/>
        </a:ln>
        <a:effectLst/>
      </c:spPr>
    </c:plotArea>
    <c:legend>
      <c:legendPos val="t"/>
      <c:layout>
        <c:manualLayout>
          <c:xMode val="edge"/>
          <c:yMode val="edge"/>
          <c:x val="0.33215674514887111"/>
          <c:y val="4.0431509937909746E-3"/>
          <c:w val="0.66326265420753605"/>
          <c:h val="0.1881073456126354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67147856517936E-2"/>
          <c:y val="4.9217002237136466E-2"/>
          <c:w val="0.80798359580052492"/>
          <c:h val="0.84698761648082577"/>
        </c:manualLayout>
      </c:layout>
      <c:barChart>
        <c:barDir val="col"/>
        <c:grouping val="stacked"/>
        <c:varyColors val="0"/>
        <c:ser>
          <c:idx val="1"/>
          <c:order val="0"/>
          <c:tx>
            <c:v>Product market</c:v>
          </c:tx>
          <c:spPr>
            <a:solidFill>
              <a:srgbClr val="002060"/>
            </a:solidFill>
            <a:ln>
              <a:noFill/>
            </a:ln>
            <a:effectLst/>
          </c:spPr>
          <c:invertIfNegative val="0"/>
          <c:cat>
            <c:numRef>
              <c:f>Sheet1!$O$37:$O$46</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'product market'!$B$12:$K$12</c:f>
              <c:numCache>
                <c:formatCode>General</c:formatCode>
                <c:ptCount val="10"/>
                <c:pt idx="0">
                  <c:v>0</c:v>
                </c:pt>
                <c:pt idx="1">
                  <c:v>0.31</c:v>
                </c:pt>
                <c:pt idx="2">
                  <c:v>0.84</c:v>
                </c:pt>
                <c:pt idx="3">
                  <c:v>1.18</c:v>
                </c:pt>
                <c:pt idx="4">
                  <c:v>1.6</c:v>
                </c:pt>
                <c:pt idx="5">
                  <c:v>2.0099999999999998</c:v>
                </c:pt>
                <c:pt idx="6">
                  <c:v>2.3199999999999998</c:v>
                </c:pt>
                <c:pt idx="7">
                  <c:v>2.48</c:v>
                </c:pt>
                <c:pt idx="8">
                  <c:v>2.57</c:v>
                </c:pt>
                <c:pt idx="9">
                  <c:v>2.62</c:v>
                </c:pt>
              </c:numCache>
            </c:numRef>
          </c:val>
          <c:extLst>
            <c:ext xmlns:c16="http://schemas.microsoft.com/office/drawing/2014/chart" uri="{C3380CC4-5D6E-409C-BE32-E72D297353CC}">
              <c16:uniqueId val="{00000000-FF13-4BF0-93E2-ADE2929B61AB}"/>
            </c:ext>
          </c:extLst>
        </c:ser>
        <c:ser>
          <c:idx val="2"/>
          <c:order val="1"/>
          <c:tx>
            <c:v>Labour market</c:v>
          </c:tx>
          <c:spPr>
            <a:solidFill>
              <a:srgbClr val="8064A2"/>
            </a:solidFill>
            <a:ln>
              <a:noFill/>
            </a:ln>
            <a:effectLst/>
          </c:spPr>
          <c:invertIfNegative val="0"/>
          <c:cat>
            <c:numRef>
              <c:f>Sheet1!$O$37:$O$46</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'labour market'!$B$12:$K$12</c:f>
              <c:numCache>
                <c:formatCode>General</c:formatCode>
                <c:ptCount val="10"/>
                <c:pt idx="0">
                  <c:v>0</c:v>
                </c:pt>
                <c:pt idx="1">
                  <c:v>0.28000000000000003</c:v>
                </c:pt>
                <c:pt idx="2">
                  <c:v>0.85</c:v>
                </c:pt>
                <c:pt idx="3">
                  <c:v>0.88</c:v>
                </c:pt>
                <c:pt idx="4">
                  <c:v>0.93</c:v>
                </c:pt>
                <c:pt idx="5">
                  <c:v>1.07</c:v>
                </c:pt>
                <c:pt idx="6">
                  <c:v>1.26</c:v>
                </c:pt>
                <c:pt idx="7">
                  <c:v>1.48</c:v>
                </c:pt>
                <c:pt idx="8">
                  <c:v>1.71</c:v>
                </c:pt>
                <c:pt idx="9">
                  <c:v>1.95</c:v>
                </c:pt>
              </c:numCache>
            </c:numRef>
          </c:val>
          <c:extLst>
            <c:ext xmlns:c16="http://schemas.microsoft.com/office/drawing/2014/chart" uri="{C3380CC4-5D6E-409C-BE32-E72D297353CC}">
              <c16:uniqueId val="{00000001-FF13-4BF0-93E2-ADE2929B61AB}"/>
            </c:ext>
          </c:extLst>
        </c:ser>
        <c:dLbls>
          <c:showLegendKey val="0"/>
          <c:showVal val="0"/>
          <c:showCatName val="0"/>
          <c:showSerName val="0"/>
          <c:showPercent val="0"/>
          <c:showBubbleSize val="0"/>
        </c:dLbls>
        <c:gapWidth val="55"/>
        <c:overlap val="100"/>
        <c:axId val="111937024"/>
        <c:axId val="111938560"/>
      </c:barChart>
      <c:barChart>
        <c:barDir val="col"/>
        <c:grouping val="stacked"/>
        <c:varyColors val="0"/>
        <c:ser>
          <c:idx val="0"/>
          <c:order val="2"/>
          <c:spPr>
            <a:solidFill>
              <a:schemeClr val="bg1">
                <a:lumMod val="75000"/>
                <a:alpha val="34000"/>
              </a:schemeClr>
            </a:solidFill>
            <a:ln>
              <a:noFill/>
            </a:ln>
            <a:effectLst/>
          </c:spPr>
          <c:invertIfNegative val="0"/>
          <c:cat>
            <c:numRef>
              <c:f>Sheet1!$O$37:$O$38</c:f>
              <c:numCache>
                <c:formatCode>General</c:formatCode>
                <c:ptCount val="2"/>
                <c:pt idx="0">
                  <c:v>2020</c:v>
                </c:pt>
                <c:pt idx="1">
                  <c:v>2021</c:v>
                </c:pt>
              </c:numCache>
            </c:numRef>
          </c:cat>
          <c:val>
            <c:numRef>
              <c:f>Sheet1!$P$37:$P$38</c:f>
              <c:numCache>
                <c:formatCode>General</c:formatCode>
                <c:ptCount val="2"/>
                <c:pt idx="0">
                  <c:v>5</c:v>
                </c:pt>
                <c:pt idx="1">
                  <c:v>5</c:v>
                </c:pt>
              </c:numCache>
            </c:numRef>
          </c:val>
          <c:extLst>
            <c:ext xmlns:c16="http://schemas.microsoft.com/office/drawing/2014/chart" uri="{C3380CC4-5D6E-409C-BE32-E72D297353CC}">
              <c16:uniqueId val="{00000002-FF13-4BF0-93E2-ADE2929B61AB}"/>
            </c:ext>
          </c:extLst>
        </c:ser>
        <c:dLbls>
          <c:showLegendKey val="0"/>
          <c:showVal val="0"/>
          <c:showCatName val="0"/>
          <c:showSerName val="0"/>
          <c:showPercent val="0"/>
          <c:showBubbleSize val="0"/>
        </c:dLbls>
        <c:gapWidth val="0"/>
        <c:overlap val="-100"/>
        <c:axId val="111946368"/>
        <c:axId val="111944832"/>
      </c:barChart>
      <c:catAx>
        <c:axId val="111937024"/>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938560"/>
        <c:crosses val="autoZero"/>
        <c:auto val="1"/>
        <c:lblAlgn val="ctr"/>
        <c:lblOffset val="100"/>
        <c:noMultiLvlLbl val="0"/>
      </c:catAx>
      <c:valAx>
        <c:axId val="111938560"/>
        <c:scaling>
          <c:orientation val="minMax"/>
          <c:max val="5"/>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600" i="1"/>
                  <a:t>%</a:t>
                </a:r>
              </a:p>
            </c:rich>
          </c:tx>
          <c:layout>
            <c:manualLayout>
              <c:xMode val="edge"/>
              <c:yMode val="edge"/>
              <c:x val="6.7336572490025393E-2"/>
              <c:y val="3.125256019298165E-2"/>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937024"/>
        <c:crosses val="autoZero"/>
        <c:crossBetween val="between"/>
      </c:valAx>
      <c:valAx>
        <c:axId val="111944832"/>
        <c:scaling>
          <c:orientation val="minMax"/>
          <c:max val="5"/>
        </c:scaling>
        <c:delete val="1"/>
        <c:axPos val="r"/>
        <c:numFmt formatCode="General" sourceLinked="1"/>
        <c:majorTickMark val="out"/>
        <c:minorTickMark val="none"/>
        <c:tickLblPos val="nextTo"/>
        <c:crossAx val="111946368"/>
        <c:crosses val="max"/>
        <c:crossBetween val="between"/>
      </c:valAx>
      <c:catAx>
        <c:axId val="111946368"/>
        <c:scaling>
          <c:orientation val="minMax"/>
        </c:scaling>
        <c:delete val="1"/>
        <c:axPos val="b"/>
        <c:title>
          <c:tx>
            <c:rich>
              <a:bodyPr rot="0" spcFirstLastPara="1" vertOverflow="ellipsis" vert="horz" wrap="square" anchor="ctr"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500"/>
                  <a:t>Emergency</a:t>
                </a:r>
              </a:p>
              <a:p>
                <a:pPr>
                  <a:defRPr sz="500"/>
                </a:pPr>
                <a:r>
                  <a:rPr lang="it-IT" sz="500"/>
                  <a:t>fiscal</a:t>
                </a:r>
              </a:p>
              <a:p>
                <a:pPr>
                  <a:defRPr sz="500"/>
                </a:pPr>
                <a:r>
                  <a:rPr lang="it-IT" sz="500"/>
                  <a:t>measures</a:t>
                </a:r>
              </a:p>
            </c:rich>
          </c:tx>
          <c:layout>
            <c:manualLayout>
              <c:xMode val="edge"/>
              <c:yMode val="edge"/>
              <c:x val="7.6477228309559858E-2"/>
              <c:y val="0.39365645579081665"/>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crossAx val="111944832"/>
        <c:crosses val="autoZero"/>
        <c:auto val="1"/>
        <c:lblAlgn val="ctr"/>
        <c:lblOffset val="100"/>
        <c:noMultiLvlLbl val="0"/>
      </c:catAx>
      <c:spPr>
        <a:noFill/>
        <a:ln>
          <a:noFill/>
        </a:ln>
        <a:effectLst/>
      </c:spPr>
    </c:plotArea>
    <c:legend>
      <c:legendPos val="t"/>
      <c:legendEntry>
        <c:idx val="2"/>
        <c:delete val="1"/>
      </c:legendEntry>
      <c:layout>
        <c:manualLayout>
          <c:xMode val="edge"/>
          <c:yMode val="edge"/>
          <c:x val="0.34121307224712932"/>
          <c:y val="4.4094496937342069E-2"/>
          <c:w val="0.24465019504358387"/>
          <c:h val="0.151714581651776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99368061916472E-2"/>
          <c:y val="0.21043109577857952"/>
          <c:w val="0.8682422541365894"/>
          <c:h val="0.53382824638558979"/>
        </c:manualLayout>
      </c:layout>
      <c:barChart>
        <c:barDir val="col"/>
        <c:grouping val="clustered"/>
        <c:varyColors val="0"/>
        <c:ser>
          <c:idx val="0"/>
          <c:order val="0"/>
          <c:tx>
            <c:strRef>
              <c:f>'18 - Data'!$O$55</c:f>
              <c:strCache>
                <c:ptCount val="1"/>
                <c:pt idx="0">
                  <c:v>Barriers in Services sectors</c:v>
                </c:pt>
              </c:strCache>
            </c:strRef>
          </c:tx>
          <c:spPr>
            <a:solidFill>
              <a:srgbClr val="002060"/>
            </a:solidFill>
            <a:ln>
              <a:noFill/>
            </a:ln>
            <a:effectLst/>
          </c:spPr>
          <c:invertIfNegative val="0"/>
          <c:cat>
            <c:strRef>
              <c:f>'18 - Data'!$M$56:$M$58</c:f>
              <c:strCache>
                <c:ptCount val="3"/>
                <c:pt idx="0">
                  <c:v>OECD average</c:v>
                </c:pt>
                <c:pt idx="1">
                  <c:v> Top 5 best performing OECD countries average</c:v>
                </c:pt>
                <c:pt idx="2">
                  <c:v>EA average</c:v>
                </c:pt>
              </c:strCache>
            </c:strRef>
          </c:cat>
          <c:val>
            <c:numRef>
              <c:f>'18 - Data'!$O$56:$O$58</c:f>
              <c:numCache>
                <c:formatCode>General</c:formatCode>
                <c:ptCount val="3"/>
                <c:pt idx="0">
                  <c:v>2.1117113638255329</c:v>
                </c:pt>
                <c:pt idx="1">
                  <c:v>0.70415585637092593</c:v>
                </c:pt>
                <c:pt idx="2">
                  <c:v>2.9434274138902734</c:v>
                </c:pt>
              </c:numCache>
            </c:numRef>
          </c:val>
          <c:extLst>
            <c:ext xmlns:c16="http://schemas.microsoft.com/office/drawing/2014/chart" uri="{C3380CC4-5D6E-409C-BE32-E72D297353CC}">
              <c16:uniqueId val="{00000000-3D01-4B1B-974C-FFF778EF49B0}"/>
            </c:ext>
          </c:extLst>
        </c:ser>
        <c:ser>
          <c:idx val="1"/>
          <c:order val="1"/>
          <c:tx>
            <c:strRef>
              <c:f>'18 - Data'!$P$55</c:f>
              <c:strCache>
                <c:ptCount val="1"/>
                <c:pt idx="0">
                  <c:v>Barriers in Network sectors</c:v>
                </c:pt>
              </c:strCache>
            </c:strRef>
          </c:tx>
          <c:spPr>
            <a:solidFill>
              <a:srgbClr val="8064A2"/>
            </a:solidFill>
            <a:ln>
              <a:noFill/>
            </a:ln>
            <a:effectLst/>
          </c:spPr>
          <c:invertIfNegative val="0"/>
          <c:cat>
            <c:strRef>
              <c:f>'18 - Data'!$M$56:$M$58</c:f>
              <c:strCache>
                <c:ptCount val="3"/>
                <c:pt idx="0">
                  <c:v>OECD average</c:v>
                </c:pt>
                <c:pt idx="1">
                  <c:v> Top 5 best performing OECD countries average</c:v>
                </c:pt>
                <c:pt idx="2">
                  <c:v>EA average</c:v>
                </c:pt>
              </c:strCache>
            </c:strRef>
          </c:cat>
          <c:val>
            <c:numRef>
              <c:f>'18 - Data'!$P$56:$P$58</c:f>
              <c:numCache>
                <c:formatCode>General</c:formatCode>
                <c:ptCount val="3"/>
                <c:pt idx="0">
                  <c:v>1.3641898665163252</c:v>
                </c:pt>
                <c:pt idx="1">
                  <c:v>0.87336930036544802</c:v>
                </c:pt>
                <c:pt idx="2">
                  <c:v>1.1026841208632068</c:v>
                </c:pt>
              </c:numCache>
            </c:numRef>
          </c:val>
          <c:extLst>
            <c:ext xmlns:c16="http://schemas.microsoft.com/office/drawing/2014/chart" uri="{C3380CC4-5D6E-409C-BE32-E72D297353CC}">
              <c16:uniqueId val="{00000001-3D01-4B1B-974C-FFF778EF49B0}"/>
            </c:ext>
          </c:extLst>
        </c:ser>
        <c:dLbls>
          <c:showLegendKey val="0"/>
          <c:showVal val="0"/>
          <c:showCatName val="0"/>
          <c:showSerName val="0"/>
          <c:showPercent val="0"/>
          <c:showBubbleSize val="0"/>
        </c:dLbls>
        <c:gapWidth val="219"/>
        <c:overlap val="-27"/>
        <c:axId val="111981312"/>
        <c:axId val="111982848"/>
      </c:barChart>
      <c:catAx>
        <c:axId val="11198131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982848"/>
        <c:crosses val="autoZero"/>
        <c:auto val="1"/>
        <c:lblAlgn val="ctr"/>
        <c:lblOffset val="100"/>
        <c:noMultiLvlLbl val="0"/>
      </c:catAx>
      <c:valAx>
        <c:axId val="111982848"/>
        <c:scaling>
          <c:orientation val="minMax"/>
        </c:scaling>
        <c:delete val="0"/>
        <c:axPos val="l"/>
        <c:title>
          <c:tx>
            <c:rich>
              <a:bodyPr rot="0" spcFirstLastPara="1" vertOverflow="ellipsis" wrap="square" anchor="ctr" anchorCtr="1"/>
              <a:lstStyle/>
              <a:p>
                <a:pPr>
                  <a:defRPr sz="700" b="0" i="1" u="none" strike="noStrike" kern="1200" baseline="0">
                    <a:solidFill>
                      <a:sysClr val="windowText" lastClr="000000"/>
                    </a:solidFill>
                    <a:latin typeface="+mn-lt"/>
                    <a:ea typeface="+mn-ea"/>
                    <a:cs typeface="+mn-cs"/>
                  </a:defRPr>
                </a:pPr>
                <a:r>
                  <a:rPr lang="it-IT" i="1">
                    <a:solidFill>
                      <a:sysClr val="windowText" lastClr="000000"/>
                    </a:solidFill>
                  </a:rPr>
                  <a:t>%</a:t>
                </a:r>
              </a:p>
            </c:rich>
          </c:tx>
          <c:layout>
            <c:manualLayout>
              <c:xMode val="edge"/>
              <c:yMode val="edge"/>
              <c:x val="9.1316733754065141E-2"/>
              <c:y val="0.1485450188291681"/>
            </c:manualLayout>
          </c:layout>
          <c:overlay val="0"/>
          <c:spPr>
            <a:noFill/>
            <a:ln>
              <a:noFill/>
            </a:ln>
            <a:effectLst/>
          </c:spPr>
          <c:txPr>
            <a:bodyPr rot="0" spcFirstLastPara="1" vertOverflow="ellipsis" wrap="square" anchor="ctr" anchorCtr="1"/>
            <a:lstStyle/>
            <a:p>
              <a:pPr>
                <a:defRPr sz="700" b="0" i="1"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1981312"/>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Entry>
      <c:layout>
        <c:manualLayout>
          <c:xMode val="edge"/>
          <c:yMode val="edge"/>
          <c:x val="0.19183287254514744"/>
          <c:y val="7.3578595317725759E-2"/>
          <c:w val="0.58645165085420881"/>
          <c:h val="0.1301635372501514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8234236200017"/>
          <c:y val="0.26648204991325242"/>
          <c:w val="0.85098830063431952"/>
          <c:h val="0.4569059327166895"/>
        </c:manualLayout>
      </c:layout>
      <c:barChart>
        <c:barDir val="col"/>
        <c:grouping val="stacked"/>
        <c:varyColors val="0"/>
        <c:ser>
          <c:idx val="4"/>
          <c:order val="0"/>
          <c:tx>
            <c:strRef>
              <c:f>'19'!$Q$12</c:f>
              <c:strCache>
                <c:ptCount val="1"/>
                <c:pt idx="0">
                  <c:v>Unemployment rate 2020Q2</c:v>
                </c:pt>
              </c:strCache>
            </c:strRef>
          </c:tx>
          <c:spPr>
            <a:solidFill>
              <a:srgbClr val="002060"/>
            </a:solidFill>
            <a:ln w="25400">
              <a:noFill/>
            </a:ln>
            <a:effectLst/>
          </c:spPr>
          <c:invertIfNegative val="0"/>
          <c:cat>
            <c:strRef>
              <c:f>'19'!$A$13:$A$17</c:f>
              <c:strCache>
                <c:ptCount val="5"/>
                <c:pt idx="0">
                  <c:v>France</c:v>
                </c:pt>
                <c:pt idx="1">
                  <c:v>Italy</c:v>
                </c:pt>
                <c:pt idx="2">
                  <c:v>Spain</c:v>
                </c:pt>
                <c:pt idx="3">
                  <c:v>Germany</c:v>
                </c:pt>
                <c:pt idx="4">
                  <c:v>Netherlands</c:v>
                </c:pt>
              </c:strCache>
            </c:strRef>
          </c:cat>
          <c:val>
            <c:numRef>
              <c:f>'19'!$Q$13:$Q$17</c:f>
              <c:numCache>
                <c:formatCode>#,##0.0</c:formatCode>
                <c:ptCount val="5"/>
                <c:pt idx="0">
                  <c:v>6.776635471576836</c:v>
                </c:pt>
                <c:pt idx="1">
                  <c:v>7.7333452882632479</c:v>
                </c:pt>
                <c:pt idx="2">
                  <c:v>15.336976320582879</c:v>
                </c:pt>
                <c:pt idx="3">
                  <c:v>3.6050984237121964</c:v>
                </c:pt>
                <c:pt idx="4">
                  <c:v>3.7826595606395426</c:v>
                </c:pt>
              </c:numCache>
            </c:numRef>
          </c:val>
          <c:extLst>
            <c:ext xmlns:c16="http://schemas.microsoft.com/office/drawing/2014/chart" uri="{C3380CC4-5D6E-409C-BE32-E72D297353CC}">
              <c16:uniqueId val="{00000000-A8C1-48D7-93C0-6CD213D2A6EB}"/>
            </c:ext>
          </c:extLst>
        </c:ser>
        <c:ser>
          <c:idx val="5"/>
          <c:order val="2"/>
          <c:tx>
            <c:strRef>
              <c:f>'19'!$R$12</c:f>
              <c:strCache>
                <c:ptCount val="1"/>
                <c:pt idx="0">
                  <c:v>Assumed share of short time workers on zero hours</c:v>
                </c:pt>
              </c:strCache>
            </c:strRef>
          </c:tx>
          <c:spPr>
            <a:solidFill>
              <a:srgbClr val="8064A2"/>
            </a:solidFill>
            <a:ln w="25400">
              <a:noFill/>
            </a:ln>
            <a:effectLst/>
          </c:spPr>
          <c:invertIfNegative val="0"/>
          <c:cat>
            <c:strRef>
              <c:f>'19'!$A$13:$A$17</c:f>
              <c:strCache>
                <c:ptCount val="5"/>
                <c:pt idx="0">
                  <c:v>France</c:v>
                </c:pt>
                <c:pt idx="1">
                  <c:v>Italy</c:v>
                </c:pt>
                <c:pt idx="2">
                  <c:v>Spain</c:v>
                </c:pt>
                <c:pt idx="3">
                  <c:v>Germany</c:v>
                </c:pt>
                <c:pt idx="4">
                  <c:v>Netherlands</c:v>
                </c:pt>
              </c:strCache>
            </c:strRef>
          </c:cat>
          <c:val>
            <c:numRef>
              <c:f>'19'!$R$13:$R$17</c:f>
              <c:numCache>
                <c:formatCode>#,##0.0</c:formatCode>
                <c:ptCount val="5"/>
                <c:pt idx="0">
                  <c:v>19.73709490922683</c:v>
                </c:pt>
                <c:pt idx="1">
                  <c:v>16.913508799100121</c:v>
                </c:pt>
                <c:pt idx="2">
                  <c:v>9.1074681238615671</c:v>
                </c:pt>
                <c:pt idx="3">
                  <c:v>11.378144949305296</c:v>
                </c:pt>
                <c:pt idx="4">
                  <c:v>9.2075046579141198</c:v>
                </c:pt>
              </c:numCache>
            </c:numRef>
          </c:val>
          <c:extLst>
            <c:ext xmlns:c16="http://schemas.microsoft.com/office/drawing/2014/chart" uri="{C3380CC4-5D6E-409C-BE32-E72D297353CC}">
              <c16:uniqueId val="{00000001-A8C1-48D7-93C0-6CD213D2A6EB}"/>
            </c:ext>
          </c:extLst>
        </c:ser>
        <c:dLbls>
          <c:showLegendKey val="0"/>
          <c:showVal val="0"/>
          <c:showCatName val="0"/>
          <c:showSerName val="0"/>
          <c:showPercent val="0"/>
          <c:showBubbleSize val="0"/>
        </c:dLbls>
        <c:gapWidth val="150"/>
        <c:overlap val="100"/>
        <c:axId val="110188032"/>
        <c:axId val="110189952"/>
      </c:barChart>
      <c:scatterChart>
        <c:scatterStyle val="lineMarker"/>
        <c:varyColors val="0"/>
        <c:ser>
          <c:idx val="3"/>
          <c:order val="1"/>
          <c:tx>
            <c:strRef>
              <c:f>'19'!$P$12</c:f>
              <c:strCache>
                <c:ptCount val="1"/>
                <c:pt idx="0">
                  <c:v>Unemployment rate 2020Q1</c:v>
                </c:pt>
              </c:strCache>
            </c:strRef>
          </c:tx>
          <c:spPr>
            <a:ln w="25400" cap="rnd">
              <a:noFill/>
              <a:round/>
            </a:ln>
            <a:effectLst/>
          </c:spPr>
          <c:marker>
            <c:symbol val="triangle"/>
            <c:size val="5"/>
            <c:spPr>
              <a:solidFill>
                <a:srgbClr val="9BBB59"/>
              </a:solidFill>
              <a:ln w="9525">
                <a:solidFill>
                  <a:srgbClr val="9BBB59"/>
                </a:solidFill>
                <a:round/>
              </a:ln>
              <a:effectLst/>
            </c:spPr>
          </c:marker>
          <c:xVal>
            <c:strRef>
              <c:f>'19'!$A$13:$A$17</c:f>
              <c:strCache>
                <c:ptCount val="5"/>
                <c:pt idx="0">
                  <c:v>France</c:v>
                </c:pt>
                <c:pt idx="1">
                  <c:v>Italy</c:v>
                </c:pt>
                <c:pt idx="2">
                  <c:v>Spain</c:v>
                </c:pt>
                <c:pt idx="3">
                  <c:v>Germany</c:v>
                </c:pt>
                <c:pt idx="4">
                  <c:v>Netherlands</c:v>
                </c:pt>
              </c:strCache>
            </c:strRef>
          </c:xVal>
          <c:yVal>
            <c:numRef>
              <c:f>'19'!$P$13:$P$17</c:f>
              <c:numCache>
                <c:formatCode>#,##0.0</c:formatCode>
                <c:ptCount val="5"/>
                <c:pt idx="0">
                  <c:v>8.0919216281401596</c:v>
                </c:pt>
                <c:pt idx="1">
                  <c:v>9.4451533626352848</c:v>
                </c:pt>
                <c:pt idx="2">
                  <c:v>14.418829345995327</c:v>
                </c:pt>
                <c:pt idx="3">
                  <c:v>3.063104299177235</c:v>
                </c:pt>
                <c:pt idx="4">
                  <c:v>3.2554095826893352</c:v>
                </c:pt>
              </c:numCache>
            </c:numRef>
          </c:yVal>
          <c:smooth val="0"/>
          <c:extLst>
            <c:ext xmlns:c16="http://schemas.microsoft.com/office/drawing/2014/chart" uri="{C3380CC4-5D6E-409C-BE32-E72D297353CC}">
              <c16:uniqueId val="{00000002-A8C1-48D7-93C0-6CD213D2A6EB}"/>
            </c:ext>
          </c:extLst>
        </c:ser>
        <c:dLbls>
          <c:showLegendKey val="0"/>
          <c:showVal val="0"/>
          <c:showCatName val="0"/>
          <c:showSerName val="0"/>
          <c:showPercent val="0"/>
          <c:showBubbleSize val="0"/>
        </c:dLbls>
        <c:axId val="110188032"/>
        <c:axId val="110189952"/>
        <c:extLst>
          <c:ext xmlns:c15="http://schemas.microsoft.com/office/drawing/2012/chart" uri="{02D57815-91ED-43cb-92C2-25804820EDAC}">
            <c15:filteredScatterSeries>
              <c15:ser>
                <c:idx val="0"/>
                <c:order val="3"/>
                <c:tx>
                  <c:strRef>
                    <c:extLst>
                      <c:ext uri="{02D57815-91ED-43cb-92C2-25804820EDAC}">
                        <c15:formulaRef>
                          <c15:sqref>'19'!$M$12</c15:sqref>
                        </c15:formulaRef>
                      </c:ext>
                    </c:extLst>
                    <c:strCache>
                      <c:ptCount val="1"/>
                      <c:pt idx="0">
                        <c:v>Unemployment rate 2019Q2</c:v>
                      </c:pt>
                    </c:strCache>
                  </c:strRef>
                </c:tx>
                <c:spPr>
                  <a:ln w="25400" cap="rnd">
                    <a:noFill/>
                    <a:round/>
                  </a:ln>
                  <a:effectLst/>
                </c:spPr>
                <c:marker>
                  <c:symbol val="circle"/>
                  <c:size val="5"/>
                  <c:spPr>
                    <a:solidFill>
                      <a:schemeClr val="accent1"/>
                    </a:solidFill>
                    <a:ln w="9525">
                      <a:solidFill>
                        <a:schemeClr val="accent1"/>
                      </a:solidFill>
                    </a:ln>
                    <a:effectLst/>
                  </c:spPr>
                </c:marker>
                <c:xVal>
                  <c:strRef>
                    <c:extLst>
                      <c:ext uri="{02D57815-91ED-43cb-92C2-25804820EDAC}">
                        <c15:formulaRef>
                          <c15:sqref>'19'!$A$13:$A$17</c15:sqref>
                        </c15:formulaRef>
                      </c:ext>
                    </c:extLst>
                    <c:strCache>
                      <c:ptCount val="5"/>
                      <c:pt idx="0">
                        <c:v>France</c:v>
                      </c:pt>
                      <c:pt idx="1">
                        <c:v>Italy</c:v>
                      </c:pt>
                      <c:pt idx="2">
                        <c:v>Spain</c:v>
                      </c:pt>
                      <c:pt idx="3">
                        <c:v>Germany</c:v>
                      </c:pt>
                      <c:pt idx="4">
                        <c:v>Netherlands</c:v>
                      </c:pt>
                    </c:strCache>
                  </c:strRef>
                </c:xVal>
                <c:yVal>
                  <c:numRef>
                    <c:extLst>
                      <c:ext uri="{02D57815-91ED-43cb-92C2-25804820EDAC}">
                        <c15:formulaRef>
                          <c15:sqref>'19'!$M$13:$M$17</c15:sqref>
                        </c15:formulaRef>
                      </c:ext>
                    </c:extLst>
                    <c:numCache>
                      <c:formatCode>#,##0.0</c:formatCode>
                      <c:ptCount val="5"/>
                      <c:pt idx="0">
                        <c:v>8.0868496241109344</c:v>
                      </c:pt>
                      <c:pt idx="1">
                        <c:v>9.7823496398121037</c:v>
                      </c:pt>
                      <c:pt idx="2">
                        <c:v>14.03363972824104</c:v>
                      </c:pt>
                      <c:pt idx="3">
                        <c:v>3.0823758339510747</c:v>
                      </c:pt>
                      <c:pt idx="4">
                        <c:v>3.2999123917064153</c:v>
                      </c:pt>
                    </c:numCache>
                  </c:numRef>
                </c:yVal>
                <c:smooth val="0"/>
                <c:extLst>
                  <c:ext xmlns:c16="http://schemas.microsoft.com/office/drawing/2014/chart" uri="{C3380CC4-5D6E-409C-BE32-E72D297353CC}">
                    <c16:uniqueId val="{00000003-A8C1-48D7-93C0-6CD213D2A6EB}"/>
                  </c:ext>
                </c:extLst>
              </c15:ser>
            </c15:filteredScatterSeries>
            <c15:filteredScatterSeries>
              <c15:ser>
                <c:idx val="1"/>
                <c:order val="4"/>
                <c:tx>
                  <c:strRef>
                    <c:extLst xmlns:c15="http://schemas.microsoft.com/office/drawing/2012/chart">
                      <c:ext xmlns:c15="http://schemas.microsoft.com/office/drawing/2012/chart" uri="{02D57815-91ED-43cb-92C2-25804820EDAC}">
                        <c15:formulaRef>
                          <c15:sqref>'19'!$N$12</c15:sqref>
                        </c15:formulaRef>
                      </c:ext>
                    </c:extLst>
                    <c:strCache>
                      <c:ptCount val="1"/>
                      <c:pt idx="0">
                        <c:v>Unemployment rate 2019Q3</c:v>
                      </c:pt>
                    </c:strCache>
                  </c:strRef>
                </c:tx>
                <c:spPr>
                  <a:ln w="25400" cap="rnd">
                    <a:noFill/>
                    <a:round/>
                  </a:ln>
                  <a:effectLst/>
                </c:spPr>
                <c:marker>
                  <c:symbol val="circle"/>
                  <c:size val="5"/>
                  <c:spPr>
                    <a:solidFill>
                      <a:schemeClr val="tx1">
                        <a:lumMod val="85000"/>
                        <a:lumOff val="15000"/>
                      </a:schemeClr>
                    </a:solidFill>
                    <a:ln w="9525">
                      <a:solidFill>
                        <a:schemeClr val="accent2"/>
                      </a:solidFill>
                    </a:ln>
                    <a:effectLst/>
                  </c:spPr>
                </c:marker>
                <c:xVal>
                  <c:strRef>
                    <c:extLst xmlns:c15="http://schemas.microsoft.com/office/drawing/2012/chart">
                      <c:ext xmlns:c15="http://schemas.microsoft.com/office/drawing/2012/chart" uri="{02D57815-91ED-43cb-92C2-25804820EDAC}">
                        <c15:formulaRef>
                          <c15:sqref>'19'!$A$13:$A$17</c15:sqref>
                        </c15:formulaRef>
                      </c:ext>
                    </c:extLst>
                    <c:strCache>
                      <c:ptCount val="5"/>
                      <c:pt idx="0">
                        <c:v>France</c:v>
                      </c:pt>
                      <c:pt idx="1">
                        <c:v>Italy</c:v>
                      </c:pt>
                      <c:pt idx="2">
                        <c:v>Spain</c:v>
                      </c:pt>
                      <c:pt idx="3">
                        <c:v>Germany</c:v>
                      </c:pt>
                      <c:pt idx="4">
                        <c:v>Netherlands</c:v>
                      </c:pt>
                    </c:strCache>
                  </c:strRef>
                </c:xVal>
                <c:yVal>
                  <c:numRef>
                    <c:extLst xmlns:c15="http://schemas.microsoft.com/office/drawing/2012/chart">
                      <c:ext xmlns:c15="http://schemas.microsoft.com/office/drawing/2012/chart" uri="{02D57815-91ED-43cb-92C2-25804820EDAC}">
                        <c15:formulaRef>
                          <c15:sqref>'19'!$N$13:$N$17</c15:sqref>
                        </c15:formulaRef>
                      </c:ext>
                    </c:extLst>
                    <c:numCache>
                      <c:formatCode>#,##0.0</c:formatCode>
                      <c:ptCount val="5"/>
                      <c:pt idx="0">
                        <c:v>8.3036897773690033</c:v>
                      </c:pt>
                      <c:pt idx="1">
                        <c:v>9.1000854103579449</c:v>
                      </c:pt>
                      <c:pt idx="2">
                        <c:v>13.932461543129341</c:v>
                      </c:pt>
                      <c:pt idx="3">
                        <c:v>3.0998597006795245</c:v>
                      </c:pt>
                      <c:pt idx="4">
                        <c:v>3.2389622408023149</c:v>
                      </c:pt>
                    </c:numCache>
                  </c:numRef>
                </c:yVal>
                <c:smooth val="0"/>
                <c:extLst xmlns:c15="http://schemas.microsoft.com/office/drawing/2012/chart">
                  <c:ext xmlns:c16="http://schemas.microsoft.com/office/drawing/2014/chart" uri="{C3380CC4-5D6E-409C-BE32-E72D297353CC}">
                    <c16:uniqueId val="{00000004-A8C1-48D7-93C0-6CD213D2A6EB}"/>
                  </c:ext>
                </c:extLst>
              </c15:ser>
            </c15:filteredScatterSeries>
            <c15:filteredScatterSeries>
              <c15:ser>
                <c:idx val="2"/>
                <c:order val="5"/>
                <c:tx>
                  <c:strRef>
                    <c:extLst xmlns:c15="http://schemas.microsoft.com/office/drawing/2012/chart">
                      <c:ext xmlns:c15="http://schemas.microsoft.com/office/drawing/2012/chart" uri="{02D57815-91ED-43cb-92C2-25804820EDAC}">
                        <c15:formulaRef>
                          <c15:sqref>'19'!$O$12</c15:sqref>
                        </c15:formulaRef>
                      </c:ext>
                    </c:extLst>
                    <c:strCache>
                      <c:ptCount val="1"/>
                      <c:pt idx="0">
                        <c:v>Unemployment rate 2019Q4</c:v>
                      </c:pt>
                    </c:strCache>
                  </c:strRef>
                </c:tx>
                <c:spPr>
                  <a:ln w="25400" cap="rnd">
                    <a:noFill/>
                    <a:round/>
                  </a:ln>
                  <a:effectLst/>
                </c:spPr>
                <c:marker>
                  <c:symbol val="circle"/>
                  <c:size val="5"/>
                  <c:spPr>
                    <a:solidFill>
                      <a:srgbClr val="FFFF00"/>
                    </a:solidFill>
                    <a:ln w="9525">
                      <a:solidFill>
                        <a:schemeClr val="accent3"/>
                      </a:solidFill>
                    </a:ln>
                    <a:effectLst/>
                  </c:spPr>
                </c:marker>
                <c:xVal>
                  <c:strRef>
                    <c:extLst xmlns:c15="http://schemas.microsoft.com/office/drawing/2012/chart">
                      <c:ext xmlns:c15="http://schemas.microsoft.com/office/drawing/2012/chart" uri="{02D57815-91ED-43cb-92C2-25804820EDAC}">
                        <c15:formulaRef>
                          <c15:sqref>'19'!$A$13:$A$17</c15:sqref>
                        </c15:formulaRef>
                      </c:ext>
                    </c:extLst>
                    <c:strCache>
                      <c:ptCount val="5"/>
                      <c:pt idx="0">
                        <c:v>France</c:v>
                      </c:pt>
                      <c:pt idx="1">
                        <c:v>Italy</c:v>
                      </c:pt>
                      <c:pt idx="2">
                        <c:v>Spain</c:v>
                      </c:pt>
                      <c:pt idx="3">
                        <c:v>Germany</c:v>
                      </c:pt>
                      <c:pt idx="4">
                        <c:v>Netherlands</c:v>
                      </c:pt>
                    </c:strCache>
                  </c:strRef>
                </c:xVal>
                <c:yVal>
                  <c:numRef>
                    <c:extLst xmlns:c15="http://schemas.microsoft.com/office/drawing/2012/chart">
                      <c:ext xmlns:c15="http://schemas.microsoft.com/office/drawing/2012/chart" uri="{02D57815-91ED-43cb-92C2-25804820EDAC}">
                        <c15:formulaRef>
                          <c15:sqref>'19'!$O$13:$O$17</c15:sqref>
                        </c15:formulaRef>
                      </c:ext>
                    </c:extLst>
                    <c:numCache>
                      <c:formatCode>#,##0.0</c:formatCode>
                      <c:ptCount val="5"/>
                      <c:pt idx="0">
                        <c:v>8.3607377872429041</c:v>
                      </c:pt>
                      <c:pt idx="1">
                        <c:v>9.9442195962009023</c:v>
                      </c:pt>
                      <c:pt idx="2">
                        <c:v>13.793446179242633</c:v>
                      </c:pt>
                      <c:pt idx="3">
                        <c:v>3.063104299177235</c:v>
                      </c:pt>
                      <c:pt idx="4">
                        <c:v>3.3036835159175522</c:v>
                      </c:pt>
                    </c:numCache>
                  </c:numRef>
                </c:yVal>
                <c:smooth val="0"/>
                <c:extLst xmlns:c15="http://schemas.microsoft.com/office/drawing/2012/chart">
                  <c:ext xmlns:c16="http://schemas.microsoft.com/office/drawing/2014/chart" uri="{C3380CC4-5D6E-409C-BE32-E72D297353CC}">
                    <c16:uniqueId val="{00000005-A8C1-48D7-93C0-6CD213D2A6EB}"/>
                  </c:ext>
                </c:extLst>
              </c15:ser>
            </c15:filteredScatterSeries>
          </c:ext>
        </c:extLst>
      </c:scatterChart>
      <c:catAx>
        <c:axId val="11018803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21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0189952"/>
        <c:crosses val="autoZero"/>
        <c:auto val="1"/>
        <c:lblAlgn val="ctr"/>
        <c:lblOffset val="100"/>
        <c:noMultiLvlLbl val="0"/>
      </c:catAx>
      <c:valAx>
        <c:axId val="110189952"/>
        <c:scaling>
          <c:orientation val="minMax"/>
        </c:scaling>
        <c:delete val="0"/>
        <c:axPos val="l"/>
        <c:title>
          <c:tx>
            <c:rich>
              <a:bodyPr rot="0" spcFirstLastPara="1" vertOverflow="ellipsis" wrap="square" anchor="ctr" anchorCtr="1"/>
              <a:lstStyle/>
              <a:p>
                <a:pPr>
                  <a:defRPr sz="700" b="0" i="1" u="none" strike="noStrike" kern="1200" baseline="0">
                    <a:solidFill>
                      <a:sysClr val="windowText" lastClr="000000"/>
                    </a:solidFill>
                    <a:latin typeface="+mn-lt"/>
                    <a:ea typeface="+mn-ea"/>
                    <a:cs typeface="+mn-cs"/>
                  </a:defRPr>
                </a:pPr>
                <a:r>
                  <a:rPr lang="it-IT" i="1">
                    <a:solidFill>
                      <a:sysClr val="windowText" lastClr="000000"/>
                    </a:solidFill>
                  </a:rPr>
                  <a:t>%</a:t>
                </a:r>
              </a:p>
            </c:rich>
          </c:tx>
          <c:layout>
            <c:manualLayout>
              <c:xMode val="edge"/>
              <c:yMode val="edge"/>
              <c:x val="0.10645212431364461"/>
              <c:y val="0.24248170086952947"/>
            </c:manualLayout>
          </c:layout>
          <c:overlay val="0"/>
          <c:spPr>
            <a:noFill/>
            <a:ln>
              <a:noFill/>
            </a:ln>
            <a:effectLst/>
          </c:spPr>
          <c:txPr>
            <a:bodyPr rot="0" spcFirstLastPara="1" vertOverflow="ellipsis" wrap="square" anchor="ctr" anchorCtr="1"/>
            <a:lstStyle/>
            <a:p>
              <a:pPr>
                <a:defRPr sz="700" b="0" i="1"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0188032"/>
        <c:crosses val="autoZero"/>
        <c:crossBetween val="between"/>
      </c:valAx>
      <c:spPr>
        <a:noFill/>
        <a:ln>
          <a:noFill/>
        </a:ln>
        <a:effectLst/>
      </c:spPr>
    </c:plotArea>
    <c:legend>
      <c:legendPos val="t"/>
      <c:layout>
        <c:manualLayout>
          <c:xMode val="edge"/>
          <c:yMode val="edge"/>
          <c:x val="0.10694682865875797"/>
          <c:y val="4.0037368210329632E-2"/>
          <c:w val="0.88651257302514608"/>
          <c:h val="0.1900182848671020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1795540666703"/>
          <c:y val="0.29142956540249892"/>
          <c:w val="0.86496805555555556"/>
          <c:h val="0.63455092592592588"/>
        </c:manualLayout>
      </c:layout>
      <c:barChart>
        <c:barDir val="col"/>
        <c:grouping val="stacked"/>
        <c:varyColors val="0"/>
        <c:ser>
          <c:idx val="1"/>
          <c:order val="1"/>
          <c:tx>
            <c:strRef>
              <c:f>'[EAR SWD  Graphs_auto.xlsx]G2 data'!$U$4</c:f>
              <c:strCache>
                <c:ptCount val="1"/>
                <c:pt idx="0">
                  <c:v>Labour (persons)</c:v>
                </c:pt>
              </c:strCache>
            </c:strRef>
          </c:tx>
          <c:spPr>
            <a:solidFill>
              <a:schemeClr val="accent6">
                <a:lumMod val="75000"/>
              </a:schemeClr>
            </a:solidFill>
            <a:ln w="9525" cmpd="sng">
              <a:noFill/>
              <a:prstDash val="solid"/>
              <a:round/>
            </a:ln>
            <a:effectLst/>
            <a:extLst>
              <a:ext uri="{91240B29-F687-4F45-9708-019B960494DF}">
                <a14:hiddenLine xmlns:a14="http://schemas.microsoft.com/office/drawing/2010/main" w="9525" cmpd="sng">
                  <a:solidFill>
                    <a:sysClr val="windowText" lastClr="000000"/>
                  </a:solidFill>
                  <a:prstDash val="solid"/>
                  <a:round/>
                </a14:hiddenLine>
              </a:ext>
            </a:extLst>
          </c:spPr>
          <c:invertIfNegative val="0"/>
          <c:cat>
            <c:numRef>
              <c:f>'[EAR SWD  Graphs_auto.xlsx]G2 data'!$S$35:$S$46</c:f>
              <c:numCache>
                <c:formatCode>0</c:formatCode>
                <c:ptCount val="12"/>
                <c:pt idx="0">
                  <c:v>11</c:v>
                </c:pt>
                <c:pt idx="1">
                  <c:v>12</c:v>
                </c:pt>
                <c:pt idx="2">
                  <c:v>13</c:v>
                </c:pt>
                <c:pt idx="3">
                  <c:v>14</c:v>
                </c:pt>
                <c:pt idx="4">
                  <c:v>15</c:v>
                </c:pt>
                <c:pt idx="5">
                  <c:v>16</c:v>
                </c:pt>
                <c:pt idx="6">
                  <c:v>17</c:v>
                </c:pt>
                <c:pt idx="7">
                  <c:v>18</c:v>
                </c:pt>
                <c:pt idx="8">
                  <c:v>19</c:v>
                </c:pt>
                <c:pt idx="9">
                  <c:v>20</c:v>
                </c:pt>
                <c:pt idx="10">
                  <c:v>21</c:v>
                </c:pt>
                <c:pt idx="11">
                  <c:v>22</c:v>
                </c:pt>
              </c:numCache>
            </c:numRef>
          </c:cat>
          <c:val>
            <c:numRef>
              <c:f>'[EAR SWD  Graphs_auto.xlsx]G2 data'!$U$35:$U$46</c:f>
              <c:numCache>
                <c:formatCode>0.0</c:formatCode>
                <c:ptCount val="12"/>
                <c:pt idx="0">
                  <c:v>0.12091393337955947</c:v>
                </c:pt>
                <c:pt idx="1">
                  <c:v>-5.7858465894197186E-2</c:v>
                </c:pt>
                <c:pt idx="2">
                  <c:v>0.30538013640451278</c:v>
                </c:pt>
                <c:pt idx="3">
                  <c:v>0.406982984520734</c:v>
                </c:pt>
                <c:pt idx="4">
                  <c:v>0.44179325500421918</c:v>
                </c:pt>
                <c:pt idx="5">
                  <c:v>0.43441010707743866</c:v>
                </c:pt>
                <c:pt idx="6">
                  <c:v>0.42712600465381945</c:v>
                </c:pt>
                <c:pt idx="7">
                  <c:v>0.45469098858497037</c:v>
                </c:pt>
                <c:pt idx="8">
                  <c:v>0.50074598977042695</c:v>
                </c:pt>
                <c:pt idx="9">
                  <c:v>9.707659698835136E-2</c:v>
                </c:pt>
                <c:pt idx="10">
                  <c:v>0.50511251688708625</c:v>
                </c:pt>
                <c:pt idx="11">
                  <c:v>0.22112376242990561</c:v>
                </c:pt>
              </c:numCache>
            </c:numRef>
          </c:val>
          <c:extLst>
            <c:ext xmlns:c16="http://schemas.microsoft.com/office/drawing/2014/chart" uri="{C3380CC4-5D6E-409C-BE32-E72D297353CC}">
              <c16:uniqueId val="{00000000-2146-47EE-BDE5-4565D5956E08}"/>
            </c:ext>
          </c:extLst>
        </c:ser>
        <c:ser>
          <c:idx val="2"/>
          <c:order val="2"/>
          <c:tx>
            <c:strRef>
              <c:f>'[EAR SWD  Graphs_auto.xlsx]G2 data'!$V$4</c:f>
              <c:strCache>
                <c:ptCount val="1"/>
                <c:pt idx="0">
                  <c:v>Changes in hours per empl</c:v>
                </c:pt>
              </c:strCache>
            </c:strRef>
          </c:tx>
          <c:spPr>
            <a:solidFill>
              <a:schemeClr val="accent5">
                <a:lumMod val="60000"/>
                <a:lumOff val="40000"/>
              </a:schemeClr>
            </a:solidFill>
            <a:ln>
              <a:noFill/>
              <a:round/>
            </a:ln>
            <a:effectLst/>
            <a:extLst>
              <a:ext uri="{91240B29-F687-4F45-9708-019B960494DF}">
                <a14:hiddenLine xmlns:a14="http://schemas.microsoft.com/office/drawing/2010/main">
                  <a:noFill/>
                  <a:round/>
                </a14:hiddenLine>
              </a:ext>
            </a:extLst>
          </c:spPr>
          <c:invertIfNegative val="0"/>
          <c:cat>
            <c:numRef>
              <c:f>'[EAR SWD  Graphs_auto.xlsx]G2 data'!$S$35:$S$46</c:f>
              <c:numCache>
                <c:formatCode>0</c:formatCode>
                <c:ptCount val="12"/>
                <c:pt idx="0">
                  <c:v>11</c:v>
                </c:pt>
                <c:pt idx="1">
                  <c:v>12</c:v>
                </c:pt>
                <c:pt idx="2">
                  <c:v>13</c:v>
                </c:pt>
                <c:pt idx="3">
                  <c:v>14</c:v>
                </c:pt>
                <c:pt idx="4">
                  <c:v>15</c:v>
                </c:pt>
                <c:pt idx="5">
                  <c:v>16</c:v>
                </c:pt>
                <c:pt idx="6">
                  <c:v>17</c:v>
                </c:pt>
                <c:pt idx="7">
                  <c:v>18</c:v>
                </c:pt>
                <c:pt idx="8">
                  <c:v>19</c:v>
                </c:pt>
                <c:pt idx="9">
                  <c:v>20</c:v>
                </c:pt>
                <c:pt idx="10">
                  <c:v>21</c:v>
                </c:pt>
                <c:pt idx="11">
                  <c:v>22</c:v>
                </c:pt>
              </c:numCache>
            </c:numRef>
          </c:cat>
          <c:val>
            <c:numRef>
              <c:f>'[EAR SWD  Graphs_auto.xlsx]G2 data'!$V$35:$V$46</c:f>
              <c:numCache>
                <c:formatCode>0.0</c:formatCode>
                <c:ptCount val="12"/>
                <c:pt idx="0">
                  <c:v>-0.24121201183969598</c:v>
                </c:pt>
                <c:pt idx="1">
                  <c:v>-0.27198025987895946</c:v>
                </c:pt>
                <c:pt idx="2">
                  <c:v>-0.25530740725548229</c:v>
                </c:pt>
                <c:pt idx="3">
                  <c:v>-0.19809618925845651</c:v>
                </c:pt>
                <c:pt idx="4">
                  <c:v>-0.15957815003652787</c:v>
                </c:pt>
                <c:pt idx="5">
                  <c:v>-0.12899591996278048</c:v>
                </c:pt>
                <c:pt idx="6">
                  <c:v>-0.10217799365241531</c:v>
                </c:pt>
                <c:pt idx="7">
                  <c:v>-8.6659487761651666E-2</c:v>
                </c:pt>
                <c:pt idx="8">
                  <c:v>-6.7832835595598162E-2</c:v>
                </c:pt>
                <c:pt idx="9">
                  <c:v>-8.7248496400192388E-2</c:v>
                </c:pt>
                <c:pt idx="10">
                  <c:v>-5.3180732137182996E-2</c:v>
                </c:pt>
                <c:pt idx="11">
                  <c:v>-5.7637851196711276E-2</c:v>
                </c:pt>
              </c:numCache>
            </c:numRef>
          </c:val>
          <c:extLst>
            <c:ext xmlns:c16="http://schemas.microsoft.com/office/drawing/2014/chart" uri="{C3380CC4-5D6E-409C-BE32-E72D297353CC}">
              <c16:uniqueId val="{00000001-2146-47EE-BDE5-4565D5956E08}"/>
            </c:ext>
          </c:extLst>
        </c:ser>
        <c:ser>
          <c:idx val="3"/>
          <c:order val="3"/>
          <c:tx>
            <c:strRef>
              <c:f>'[EAR SWD  Graphs_auto.xlsx]G2 data'!$W$4</c:f>
              <c:strCache>
                <c:ptCount val="1"/>
                <c:pt idx="0">
                  <c:v>Capital accumulation</c:v>
                </c:pt>
              </c:strCache>
            </c:strRef>
          </c:tx>
          <c:spPr>
            <a:solidFill>
              <a:srgbClr val="0070C0"/>
            </a:solidFill>
            <a:ln>
              <a:noFill/>
              <a:round/>
            </a:ln>
            <a:effectLst/>
            <a:extLst>
              <a:ext uri="{91240B29-F687-4F45-9708-019B960494DF}">
                <a14:hiddenLine xmlns:a14="http://schemas.microsoft.com/office/drawing/2010/main">
                  <a:noFill/>
                  <a:round/>
                </a14:hiddenLine>
              </a:ext>
            </a:extLst>
          </c:spPr>
          <c:invertIfNegative val="0"/>
          <c:cat>
            <c:numRef>
              <c:f>'[EAR SWD  Graphs_auto.xlsx]G2 data'!$S$35:$S$46</c:f>
              <c:numCache>
                <c:formatCode>0</c:formatCode>
                <c:ptCount val="12"/>
                <c:pt idx="0">
                  <c:v>11</c:v>
                </c:pt>
                <c:pt idx="1">
                  <c:v>12</c:v>
                </c:pt>
                <c:pt idx="2">
                  <c:v>13</c:v>
                </c:pt>
                <c:pt idx="3">
                  <c:v>14</c:v>
                </c:pt>
                <c:pt idx="4">
                  <c:v>15</c:v>
                </c:pt>
                <c:pt idx="5">
                  <c:v>16</c:v>
                </c:pt>
                <c:pt idx="6">
                  <c:v>17</c:v>
                </c:pt>
                <c:pt idx="7">
                  <c:v>18</c:v>
                </c:pt>
                <c:pt idx="8">
                  <c:v>19</c:v>
                </c:pt>
                <c:pt idx="9">
                  <c:v>20</c:v>
                </c:pt>
                <c:pt idx="10">
                  <c:v>21</c:v>
                </c:pt>
                <c:pt idx="11">
                  <c:v>22</c:v>
                </c:pt>
              </c:numCache>
            </c:numRef>
          </c:cat>
          <c:val>
            <c:numRef>
              <c:f>'[EAR SWD  Graphs_auto.xlsx]G2 data'!$W$35:$W$46</c:f>
              <c:numCache>
                <c:formatCode>0.0</c:formatCode>
                <c:ptCount val="12"/>
                <c:pt idx="0">
                  <c:v>0.3677177311120583</c:v>
                </c:pt>
                <c:pt idx="1">
                  <c:v>0.2661892151494416</c:v>
                </c:pt>
                <c:pt idx="2">
                  <c:v>0.19323763326775545</c:v>
                </c:pt>
                <c:pt idx="3">
                  <c:v>0.20332061407442481</c:v>
                </c:pt>
                <c:pt idx="4">
                  <c:v>0.56115670689796171</c:v>
                </c:pt>
                <c:pt idx="5">
                  <c:v>0.30615748016245226</c:v>
                </c:pt>
                <c:pt idx="6">
                  <c:v>0.34334005645708987</c:v>
                </c:pt>
                <c:pt idx="7">
                  <c:v>0.35886277149499213</c:v>
                </c:pt>
                <c:pt idx="8">
                  <c:v>0.47162274058034298</c:v>
                </c:pt>
                <c:pt idx="9">
                  <c:v>0.102555807743413</c:v>
                </c:pt>
                <c:pt idx="10">
                  <c:v>0.31797444773002281</c:v>
                </c:pt>
                <c:pt idx="11">
                  <c:v>0.35548408449769475</c:v>
                </c:pt>
              </c:numCache>
            </c:numRef>
          </c:val>
          <c:extLst>
            <c:ext xmlns:c16="http://schemas.microsoft.com/office/drawing/2014/chart" uri="{C3380CC4-5D6E-409C-BE32-E72D297353CC}">
              <c16:uniqueId val="{00000002-2146-47EE-BDE5-4565D5956E08}"/>
            </c:ext>
          </c:extLst>
        </c:ser>
        <c:ser>
          <c:idx val="4"/>
          <c:order val="4"/>
          <c:tx>
            <c:strRef>
              <c:f>'[EAR SWD  Graphs_auto.xlsx]G2 data'!$X$4</c:f>
              <c:strCache>
                <c:ptCount val="1"/>
                <c:pt idx="0">
                  <c:v>TFP</c:v>
                </c:pt>
              </c:strCache>
            </c:strRef>
          </c:tx>
          <c:spPr>
            <a:solidFill>
              <a:srgbClr val="7030A0"/>
            </a:solidFill>
            <a:ln>
              <a:noFill/>
              <a:round/>
            </a:ln>
            <a:effectLst/>
            <a:extLst>
              <a:ext uri="{91240B29-F687-4F45-9708-019B960494DF}">
                <a14:hiddenLine xmlns:a14="http://schemas.microsoft.com/office/drawing/2010/main">
                  <a:noFill/>
                  <a:round/>
                </a14:hiddenLine>
              </a:ext>
            </a:extLst>
          </c:spPr>
          <c:invertIfNegative val="0"/>
          <c:cat>
            <c:numRef>
              <c:f>'[EAR SWD  Graphs_auto.xlsx]G2 data'!$S$35:$S$46</c:f>
              <c:numCache>
                <c:formatCode>0</c:formatCode>
                <c:ptCount val="12"/>
                <c:pt idx="0">
                  <c:v>11</c:v>
                </c:pt>
                <c:pt idx="1">
                  <c:v>12</c:v>
                </c:pt>
                <c:pt idx="2">
                  <c:v>13</c:v>
                </c:pt>
                <c:pt idx="3">
                  <c:v>14</c:v>
                </c:pt>
                <c:pt idx="4">
                  <c:v>15</c:v>
                </c:pt>
                <c:pt idx="5">
                  <c:v>16</c:v>
                </c:pt>
                <c:pt idx="6">
                  <c:v>17</c:v>
                </c:pt>
                <c:pt idx="7">
                  <c:v>18</c:v>
                </c:pt>
                <c:pt idx="8">
                  <c:v>19</c:v>
                </c:pt>
                <c:pt idx="9">
                  <c:v>20</c:v>
                </c:pt>
                <c:pt idx="10">
                  <c:v>21</c:v>
                </c:pt>
                <c:pt idx="11">
                  <c:v>22</c:v>
                </c:pt>
              </c:numCache>
            </c:numRef>
          </c:cat>
          <c:val>
            <c:numRef>
              <c:f>'[EAR SWD  Graphs_auto.xlsx]G2 data'!$X$35:$X$46</c:f>
              <c:numCache>
                <c:formatCode>0.0</c:formatCode>
                <c:ptCount val="12"/>
                <c:pt idx="0">
                  <c:v>0.36207226515006297</c:v>
                </c:pt>
                <c:pt idx="1">
                  <c:v>0.36861733819417042</c:v>
                </c:pt>
                <c:pt idx="2">
                  <c:v>0.38091421258566571</c:v>
                </c:pt>
                <c:pt idx="3">
                  <c:v>0.37106877618075185</c:v>
                </c:pt>
                <c:pt idx="4">
                  <c:v>0.47905967959701701</c:v>
                </c:pt>
                <c:pt idx="5">
                  <c:v>0.43663517697692722</c:v>
                </c:pt>
                <c:pt idx="6">
                  <c:v>0.53630772171017638</c:v>
                </c:pt>
                <c:pt idx="7">
                  <c:v>0.58736394003907844</c:v>
                </c:pt>
                <c:pt idx="8">
                  <c:v>0.45466096715746313</c:v>
                </c:pt>
                <c:pt idx="9">
                  <c:v>0.46798808808288239</c:v>
                </c:pt>
                <c:pt idx="10">
                  <c:v>0.47132542290516777</c:v>
                </c:pt>
                <c:pt idx="11">
                  <c:v>0.51492165135298196</c:v>
                </c:pt>
              </c:numCache>
            </c:numRef>
          </c:val>
          <c:extLst>
            <c:ext xmlns:c16="http://schemas.microsoft.com/office/drawing/2014/chart" uri="{C3380CC4-5D6E-409C-BE32-E72D297353CC}">
              <c16:uniqueId val="{00000003-2146-47EE-BDE5-4565D5956E08}"/>
            </c:ext>
          </c:extLst>
        </c:ser>
        <c:dLbls>
          <c:showLegendKey val="0"/>
          <c:showVal val="0"/>
          <c:showCatName val="0"/>
          <c:showSerName val="0"/>
          <c:showPercent val="0"/>
          <c:showBubbleSize val="0"/>
        </c:dLbls>
        <c:gapWidth val="150"/>
        <c:overlap val="100"/>
        <c:axId val="107766144"/>
        <c:axId val="107767680"/>
      </c:barChart>
      <c:lineChart>
        <c:grouping val="standard"/>
        <c:varyColors val="0"/>
        <c:ser>
          <c:idx val="0"/>
          <c:order val="0"/>
          <c:tx>
            <c:strRef>
              <c:f>'[EAR SWD  Graphs_auto.xlsx]G2 data'!$T$4</c:f>
              <c:strCache>
                <c:ptCount val="1"/>
                <c:pt idx="0">
                  <c:v>Potential GDP (y-o-y%)</c:v>
                </c:pt>
              </c:strCache>
            </c:strRef>
          </c:tx>
          <c:spPr>
            <a:ln w="19050" cmpd="sng">
              <a:solidFill>
                <a:srgbClr val="002060"/>
              </a:solidFill>
              <a:prstDash val="solid"/>
            </a:ln>
          </c:spPr>
          <c:marker>
            <c:symbol val="none"/>
          </c:marker>
          <c:cat>
            <c:numRef>
              <c:f>'[EAR SWD  Graphs_auto.xlsx]G2 data'!$S$35:$S$46</c:f>
              <c:numCache>
                <c:formatCode>0</c:formatCode>
                <c:ptCount val="12"/>
                <c:pt idx="0">
                  <c:v>11</c:v>
                </c:pt>
                <c:pt idx="1">
                  <c:v>12</c:v>
                </c:pt>
                <c:pt idx="2">
                  <c:v>13</c:v>
                </c:pt>
                <c:pt idx="3">
                  <c:v>14</c:v>
                </c:pt>
                <c:pt idx="4">
                  <c:v>15</c:v>
                </c:pt>
                <c:pt idx="5">
                  <c:v>16</c:v>
                </c:pt>
                <c:pt idx="6">
                  <c:v>17</c:v>
                </c:pt>
                <c:pt idx="7">
                  <c:v>18</c:v>
                </c:pt>
                <c:pt idx="8">
                  <c:v>19</c:v>
                </c:pt>
                <c:pt idx="9">
                  <c:v>20</c:v>
                </c:pt>
                <c:pt idx="10">
                  <c:v>21</c:v>
                </c:pt>
                <c:pt idx="11">
                  <c:v>22</c:v>
                </c:pt>
              </c:numCache>
            </c:numRef>
          </c:cat>
          <c:val>
            <c:numRef>
              <c:f>'[EAR SWD  Graphs_auto.xlsx]G2 data'!$T$35:$T$46</c:f>
              <c:numCache>
                <c:formatCode>0.0</c:formatCode>
                <c:ptCount val="12"/>
                <c:pt idx="0">
                  <c:v>0.60904321175383469</c:v>
                </c:pt>
                <c:pt idx="1">
                  <c:v>0.30520992542568681</c:v>
                </c:pt>
                <c:pt idx="2">
                  <c:v>0.62302510098932729</c:v>
                </c:pt>
                <c:pt idx="3">
                  <c:v>0.78203585046627833</c:v>
                </c:pt>
                <c:pt idx="4">
                  <c:v>1.321346867611406</c:v>
                </c:pt>
                <c:pt idx="5">
                  <c:v>1.0473447345401343</c:v>
                </c:pt>
                <c:pt idx="6">
                  <c:v>1.2039243602734118</c:v>
                </c:pt>
                <c:pt idx="7">
                  <c:v>1.3136520079241487</c:v>
                </c:pt>
                <c:pt idx="8">
                  <c:v>1.358674292368045</c:v>
                </c:pt>
                <c:pt idx="9">
                  <c:v>0.58024169199717424</c:v>
                </c:pt>
                <c:pt idx="10">
                  <c:v>1.2408183899472514</c:v>
                </c:pt>
                <c:pt idx="11">
                  <c:v>1.0336955686451654</c:v>
                </c:pt>
              </c:numCache>
            </c:numRef>
          </c:val>
          <c:smooth val="0"/>
          <c:extLst>
            <c:ext xmlns:c16="http://schemas.microsoft.com/office/drawing/2014/chart" uri="{C3380CC4-5D6E-409C-BE32-E72D297353CC}">
              <c16:uniqueId val="{00000004-2146-47EE-BDE5-4565D5956E08}"/>
            </c:ext>
          </c:extLst>
        </c:ser>
        <c:ser>
          <c:idx val="5"/>
          <c:order val="5"/>
          <c:tx>
            <c:strRef>
              <c:f>'[EAR SWD  Graphs_auto.xlsx]G2 data'!$Y$4</c:f>
              <c:strCache>
                <c:ptCount val="1"/>
                <c:pt idx="0">
                  <c:v>Pre-crisis ('02-'07) (y-o-y%)</c:v>
                </c:pt>
              </c:strCache>
            </c:strRef>
          </c:tx>
          <c:spPr>
            <a:ln w="19050" cap="rnd" cmpd="sng" algn="ctr">
              <a:solidFill>
                <a:srgbClr val="000000"/>
              </a:solidFill>
              <a:prstDash val="solid"/>
              <a:round/>
            </a:ln>
            <a:effectLst/>
          </c:spPr>
          <c:marker>
            <c:symbol val="none"/>
          </c:marker>
          <c:cat>
            <c:numRef>
              <c:f>'[EAR SWD  Graphs_auto.xlsx]G2 data'!$S$35:$S$46</c:f>
              <c:numCache>
                <c:formatCode>0</c:formatCode>
                <c:ptCount val="12"/>
                <c:pt idx="0">
                  <c:v>11</c:v>
                </c:pt>
                <c:pt idx="1">
                  <c:v>12</c:v>
                </c:pt>
                <c:pt idx="2">
                  <c:v>13</c:v>
                </c:pt>
                <c:pt idx="3">
                  <c:v>14</c:v>
                </c:pt>
                <c:pt idx="4">
                  <c:v>15</c:v>
                </c:pt>
                <c:pt idx="5">
                  <c:v>16</c:v>
                </c:pt>
                <c:pt idx="6">
                  <c:v>17</c:v>
                </c:pt>
                <c:pt idx="7">
                  <c:v>18</c:v>
                </c:pt>
                <c:pt idx="8">
                  <c:v>19</c:v>
                </c:pt>
                <c:pt idx="9">
                  <c:v>20</c:v>
                </c:pt>
                <c:pt idx="10">
                  <c:v>21</c:v>
                </c:pt>
                <c:pt idx="11">
                  <c:v>22</c:v>
                </c:pt>
              </c:numCache>
            </c:numRef>
          </c:cat>
          <c:val>
            <c:numRef>
              <c:f>'[EAR SWD  Graphs_auto.xlsx]G2 data'!$Y$35:$Y$46</c:f>
              <c:numCache>
                <c:formatCode>0.0</c:formatCode>
                <c:ptCount val="12"/>
                <c:pt idx="0">
                  <c:v>1.8414182488178685</c:v>
                </c:pt>
                <c:pt idx="1">
                  <c:v>1.8414182488178685</c:v>
                </c:pt>
                <c:pt idx="2">
                  <c:v>1.8414182488178685</c:v>
                </c:pt>
                <c:pt idx="3">
                  <c:v>1.8414182488178685</c:v>
                </c:pt>
                <c:pt idx="4">
                  <c:v>1.8414182488178685</c:v>
                </c:pt>
                <c:pt idx="5">
                  <c:v>1.8414182488178685</c:v>
                </c:pt>
                <c:pt idx="6">
                  <c:v>1.8414182488178685</c:v>
                </c:pt>
                <c:pt idx="7">
                  <c:v>1.8414182488178685</c:v>
                </c:pt>
                <c:pt idx="8">
                  <c:v>1.8414182488178685</c:v>
                </c:pt>
                <c:pt idx="9">
                  <c:v>1.8414182488178685</c:v>
                </c:pt>
                <c:pt idx="10">
                  <c:v>1.8414182488178685</c:v>
                </c:pt>
                <c:pt idx="11">
                  <c:v>1.8414182488178685</c:v>
                </c:pt>
              </c:numCache>
            </c:numRef>
          </c:val>
          <c:smooth val="0"/>
          <c:extLst>
            <c:ext xmlns:c16="http://schemas.microsoft.com/office/drawing/2014/chart" uri="{C3380CC4-5D6E-409C-BE32-E72D297353CC}">
              <c16:uniqueId val="{00000005-2146-47EE-BDE5-4565D5956E08}"/>
            </c:ext>
          </c:extLst>
        </c:ser>
        <c:dLbls>
          <c:showLegendKey val="0"/>
          <c:showVal val="0"/>
          <c:showCatName val="0"/>
          <c:showSerName val="0"/>
          <c:showPercent val="0"/>
          <c:showBubbleSize val="0"/>
        </c:dLbls>
        <c:marker val="1"/>
        <c:smooth val="0"/>
        <c:axId val="107766144"/>
        <c:axId val="107767680"/>
      </c:lineChart>
      <c:catAx>
        <c:axId val="107766144"/>
        <c:scaling>
          <c:orientation val="minMax"/>
        </c:scaling>
        <c:delete val="0"/>
        <c:axPos val="b"/>
        <c:numFmt formatCode="General" sourceLinked="0"/>
        <c:majorTickMark val="none"/>
        <c:minorTickMark val="none"/>
        <c:tickLblPos val="low"/>
        <c:spPr>
          <a:ln w="6350" cmpd="sng">
            <a:solidFill>
              <a:srgbClr val="000000"/>
            </a:solidFill>
            <a:prstDash val="solid"/>
          </a:ln>
        </c:spPr>
        <c:txPr>
          <a:bodyPr rot="0" vert="horz"/>
          <a:lstStyle/>
          <a:p>
            <a:pPr>
              <a:defRPr/>
            </a:pPr>
            <a:endParaRPr lang="en-US"/>
          </a:p>
        </c:txPr>
        <c:crossAx val="107767680"/>
        <c:crosses val="autoZero"/>
        <c:auto val="1"/>
        <c:lblAlgn val="ctr"/>
        <c:lblOffset val="0"/>
        <c:tickLblSkip val="1"/>
        <c:noMultiLvlLbl val="0"/>
      </c:catAx>
      <c:valAx>
        <c:axId val="107767680"/>
        <c:scaling>
          <c:orientation val="minMax"/>
          <c:max val="2.1"/>
          <c:min val="-0.5"/>
        </c:scaling>
        <c:delete val="0"/>
        <c:axPos val="l"/>
        <c:numFmt formatCode="0.0" sourceLinked="1"/>
        <c:majorTickMark val="none"/>
        <c:minorTickMark val="none"/>
        <c:tickLblPos val="nextTo"/>
        <c:spPr>
          <a:ln w="6350" cmpd="sng">
            <a:solidFill>
              <a:srgbClr val="000000"/>
            </a:solidFill>
            <a:prstDash val="solid"/>
          </a:ln>
        </c:spPr>
        <c:crossAx val="107766144"/>
        <c:crosses val="autoZero"/>
        <c:crossBetween val="between"/>
        <c:majorUnit val="0.5"/>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t"/>
      <c:layout>
        <c:manualLayout>
          <c:xMode val="edge"/>
          <c:yMode val="edge"/>
          <c:x val="0.17337649060403462"/>
          <c:y val="3.7548723156477434E-2"/>
          <c:w val="0.63155778972018506"/>
          <c:h val="0.24437116506978512"/>
        </c:manualLayout>
      </c:layout>
      <c:overlay val="1"/>
    </c:legend>
    <c:plotVisOnly val="0"/>
    <c:dispBlanksAs val="gap"/>
    <c:showDLblsOverMax val="0"/>
  </c:chart>
  <c:spPr>
    <a:solidFill>
      <a:schemeClr val="bg1"/>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5869610425044"/>
          <c:y val="0.31641055263102513"/>
          <c:w val="0.85215915726570524"/>
          <c:h val="0.54604510195061373"/>
        </c:manualLayout>
      </c:layout>
      <c:barChart>
        <c:barDir val="col"/>
        <c:grouping val="clustered"/>
        <c:varyColors val="0"/>
        <c:ser>
          <c:idx val="0"/>
          <c:order val="0"/>
          <c:tx>
            <c:strRef>
              <c:f>'21'!$B$2</c:f>
              <c:strCache>
                <c:ptCount val="1"/>
                <c:pt idx="0">
                  <c:v>Less than primary, primary and lower secondary education</c:v>
                </c:pt>
              </c:strCache>
            </c:strRef>
          </c:tx>
          <c:spPr>
            <a:solidFill>
              <a:srgbClr val="002060"/>
            </a:solidFill>
            <a:ln>
              <a:noFill/>
            </a:ln>
            <a:effectLst/>
          </c:spPr>
          <c:invertIfNegative val="0"/>
          <c:cat>
            <c:strRef>
              <c:f>'21'!$A$3:$A$5</c:f>
              <c:strCache>
                <c:ptCount val="3"/>
                <c:pt idx="0">
                  <c:v>Activity</c:v>
                </c:pt>
                <c:pt idx="1">
                  <c:v>Employment</c:v>
                </c:pt>
                <c:pt idx="2">
                  <c:v>Unemployment</c:v>
                </c:pt>
              </c:strCache>
            </c:strRef>
          </c:cat>
          <c:val>
            <c:numRef>
              <c:f>'21'!$B$3:$B$5</c:f>
              <c:numCache>
                <c:formatCode>#,##0.0</c:formatCode>
                <c:ptCount val="3"/>
                <c:pt idx="0">
                  <c:v>51.4</c:v>
                </c:pt>
                <c:pt idx="1">
                  <c:v>47.2</c:v>
                </c:pt>
                <c:pt idx="2">
                  <c:v>13.2</c:v>
                </c:pt>
              </c:numCache>
            </c:numRef>
          </c:val>
          <c:extLst>
            <c:ext xmlns:c16="http://schemas.microsoft.com/office/drawing/2014/chart" uri="{C3380CC4-5D6E-409C-BE32-E72D297353CC}">
              <c16:uniqueId val="{00000000-5D15-4765-A23B-F26CDB7F498C}"/>
            </c:ext>
          </c:extLst>
        </c:ser>
        <c:ser>
          <c:idx val="1"/>
          <c:order val="1"/>
          <c:tx>
            <c:strRef>
              <c:f>'21'!$C$2</c:f>
              <c:strCache>
                <c:ptCount val="1"/>
                <c:pt idx="0">
                  <c:v>Upper secondary and post-secondary non-tertiary education</c:v>
                </c:pt>
              </c:strCache>
            </c:strRef>
          </c:tx>
          <c:spPr>
            <a:solidFill>
              <a:srgbClr val="8064A2"/>
            </a:solidFill>
            <a:ln>
              <a:noFill/>
            </a:ln>
            <a:effectLst/>
          </c:spPr>
          <c:invertIfNegative val="0"/>
          <c:cat>
            <c:strRef>
              <c:f>'21'!$A$3:$A$5</c:f>
              <c:strCache>
                <c:ptCount val="3"/>
                <c:pt idx="0">
                  <c:v>Activity</c:v>
                </c:pt>
                <c:pt idx="1">
                  <c:v>Employment</c:v>
                </c:pt>
                <c:pt idx="2">
                  <c:v>Unemployment</c:v>
                </c:pt>
              </c:strCache>
            </c:strRef>
          </c:cat>
          <c:val>
            <c:numRef>
              <c:f>'21'!$C$3:$C$5</c:f>
              <c:numCache>
                <c:formatCode>#,##0.0</c:formatCode>
                <c:ptCount val="3"/>
                <c:pt idx="0">
                  <c:v>73.900000000000006</c:v>
                </c:pt>
                <c:pt idx="1">
                  <c:v>71.400000000000006</c:v>
                </c:pt>
                <c:pt idx="2">
                  <c:v>7</c:v>
                </c:pt>
              </c:numCache>
            </c:numRef>
          </c:val>
          <c:extLst>
            <c:ext xmlns:c16="http://schemas.microsoft.com/office/drawing/2014/chart" uri="{C3380CC4-5D6E-409C-BE32-E72D297353CC}">
              <c16:uniqueId val="{00000001-5D15-4765-A23B-F26CDB7F498C}"/>
            </c:ext>
          </c:extLst>
        </c:ser>
        <c:ser>
          <c:idx val="2"/>
          <c:order val="2"/>
          <c:tx>
            <c:strRef>
              <c:f>'21'!$D$2</c:f>
              <c:strCache>
                <c:ptCount val="1"/>
                <c:pt idx="0">
                  <c:v>Tertiary education</c:v>
                </c:pt>
              </c:strCache>
            </c:strRef>
          </c:tx>
          <c:spPr>
            <a:solidFill>
              <a:srgbClr val="9BBB59"/>
            </a:solidFill>
            <a:ln>
              <a:noFill/>
            </a:ln>
            <a:effectLst/>
          </c:spPr>
          <c:invertIfNegative val="0"/>
          <c:cat>
            <c:strRef>
              <c:f>'21'!$A$3:$A$5</c:f>
              <c:strCache>
                <c:ptCount val="3"/>
                <c:pt idx="0">
                  <c:v>Activity</c:v>
                </c:pt>
                <c:pt idx="1">
                  <c:v>Employment</c:v>
                </c:pt>
                <c:pt idx="2">
                  <c:v>Unemployment</c:v>
                </c:pt>
              </c:strCache>
            </c:strRef>
          </c:cat>
          <c:val>
            <c:numRef>
              <c:f>'21'!$D$3:$D$5</c:f>
              <c:numCache>
                <c:formatCode>#,##0.0</c:formatCode>
                <c:ptCount val="3"/>
                <c:pt idx="0">
                  <c:v>87</c:v>
                </c:pt>
                <c:pt idx="1">
                  <c:v>84.2</c:v>
                </c:pt>
                <c:pt idx="2">
                  <c:v>4.8</c:v>
                </c:pt>
              </c:numCache>
            </c:numRef>
          </c:val>
          <c:extLst>
            <c:ext xmlns:c16="http://schemas.microsoft.com/office/drawing/2014/chart" uri="{C3380CC4-5D6E-409C-BE32-E72D297353CC}">
              <c16:uniqueId val="{00000002-5D15-4765-A23B-F26CDB7F498C}"/>
            </c:ext>
          </c:extLst>
        </c:ser>
        <c:dLbls>
          <c:showLegendKey val="0"/>
          <c:showVal val="0"/>
          <c:showCatName val="0"/>
          <c:showSerName val="0"/>
          <c:showPercent val="0"/>
          <c:showBubbleSize val="0"/>
        </c:dLbls>
        <c:gapWidth val="306"/>
        <c:axId val="110229376"/>
        <c:axId val="110230912"/>
      </c:barChart>
      <c:catAx>
        <c:axId val="110229376"/>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0230912"/>
        <c:crosses val="autoZero"/>
        <c:auto val="1"/>
        <c:lblAlgn val="ctr"/>
        <c:lblOffset val="100"/>
        <c:noMultiLvlLbl val="0"/>
      </c:catAx>
      <c:valAx>
        <c:axId val="110230912"/>
        <c:scaling>
          <c:orientation val="minMax"/>
        </c:scaling>
        <c:delete val="0"/>
        <c:axPos val="l"/>
        <c:title>
          <c:tx>
            <c:rich>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a:t>%</a:t>
                </a:r>
              </a:p>
            </c:rich>
          </c:tx>
          <c:layout>
            <c:manualLayout>
              <c:xMode val="edge"/>
              <c:yMode val="edge"/>
              <c:x val="0.10876289946114648"/>
              <c:y val="0.28890224480775661"/>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0229376"/>
        <c:crosses val="autoZero"/>
        <c:crossBetween val="between"/>
      </c:valAx>
      <c:spPr>
        <a:noFill/>
        <a:ln>
          <a:noFill/>
        </a:ln>
        <a:effectLst/>
      </c:spPr>
    </c:plotArea>
    <c:legend>
      <c:legendPos val="t"/>
      <c:layout>
        <c:manualLayout>
          <c:xMode val="edge"/>
          <c:yMode val="edge"/>
          <c:x val="0.23484440699093215"/>
          <c:y val="2.8444209546571751E-2"/>
          <c:w val="0.68418859013860722"/>
          <c:h val="0.30691028486304078"/>
        </c:manualLayout>
      </c:layout>
      <c:overlay val="0"/>
      <c:spPr>
        <a:noFill/>
        <a:ln>
          <a:noFill/>
        </a:ln>
        <a:effectLst>
          <a:glow rad="63500">
            <a:schemeClr val="bg1">
              <a:alpha val="40000"/>
            </a:schemeClr>
          </a:glow>
          <a:softEdge rad="0"/>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67825896762906"/>
          <c:y val="0.15775203326170331"/>
          <c:w val="0.87132174103237092"/>
          <c:h val="0.71037895187572853"/>
        </c:manualLayout>
      </c:layout>
      <c:barChart>
        <c:barDir val="col"/>
        <c:grouping val="stacked"/>
        <c:varyColors val="0"/>
        <c:ser>
          <c:idx val="0"/>
          <c:order val="0"/>
          <c:tx>
            <c:strRef>
              <c:f>'20'!$B$3</c:f>
              <c:strCache>
                <c:ptCount val="1"/>
                <c:pt idx="0">
                  <c:v>1 Connectivity</c:v>
                </c:pt>
              </c:strCache>
            </c:strRef>
          </c:tx>
          <c:spPr>
            <a:solidFill>
              <a:srgbClr val="002060"/>
            </a:solidFill>
            <a:ln>
              <a:noFill/>
            </a:ln>
            <a:effectLst/>
          </c:spPr>
          <c:invertIfNegative val="0"/>
          <c:cat>
            <c:strRef>
              <c:f>'20'!$A$4:$A$22</c:f>
              <c:strCache>
                <c:ptCount val="19"/>
                <c:pt idx="0">
                  <c:v>FI</c:v>
                </c:pt>
                <c:pt idx="1">
                  <c:v>NL</c:v>
                </c:pt>
                <c:pt idx="2">
                  <c:v>MT</c:v>
                </c:pt>
                <c:pt idx="3">
                  <c:v>IE</c:v>
                </c:pt>
                <c:pt idx="4">
                  <c:v>EE</c:v>
                </c:pt>
                <c:pt idx="5">
                  <c:v>BE</c:v>
                </c:pt>
                <c:pt idx="6">
                  <c:v>LU</c:v>
                </c:pt>
                <c:pt idx="7">
                  <c:v>ES</c:v>
                </c:pt>
                <c:pt idx="8">
                  <c:v>DE</c:v>
                </c:pt>
                <c:pt idx="9">
                  <c:v>AT</c:v>
                </c:pt>
                <c:pt idx="10">
                  <c:v>LT</c:v>
                </c:pt>
                <c:pt idx="11">
                  <c:v>FR</c:v>
                </c:pt>
                <c:pt idx="12">
                  <c:v>SI</c:v>
                </c:pt>
                <c:pt idx="13">
                  <c:v>LV</c:v>
                </c:pt>
                <c:pt idx="14">
                  <c:v>PT</c:v>
                </c:pt>
                <c:pt idx="15">
                  <c:v>SK</c:v>
                </c:pt>
                <c:pt idx="16">
                  <c:v>CY</c:v>
                </c:pt>
                <c:pt idx="17">
                  <c:v>IT</c:v>
                </c:pt>
                <c:pt idx="18">
                  <c:v>EL</c:v>
                </c:pt>
              </c:strCache>
            </c:strRef>
          </c:cat>
          <c:val>
            <c:numRef>
              <c:f>'20'!$B$4:$B$22</c:f>
              <c:numCache>
                <c:formatCode>General</c:formatCode>
                <c:ptCount val="19"/>
                <c:pt idx="0">
                  <c:v>14.792899999999999</c:v>
                </c:pt>
                <c:pt idx="1">
                  <c:v>15.0807</c:v>
                </c:pt>
                <c:pt idx="2">
                  <c:v>14.679600000000001</c:v>
                </c:pt>
                <c:pt idx="3">
                  <c:v>11.422800000000001</c:v>
                </c:pt>
                <c:pt idx="4">
                  <c:v>12.964</c:v>
                </c:pt>
                <c:pt idx="5">
                  <c:v>13.0068</c:v>
                </c:pt>
                <c:pt idx="6">
                  <c:v>15.837199999999999</c:v>
                </c:pt>
                <c:pt idx="7">
                  <c:v>15.198499999999999</c:v>
                </c:pt>
                <c:pt idx="8">
                  <c:v>14.8489</c:v>
                </c:pt>
                <c:pt idx="9">
                  <c:v>11.788600000000001</c:v>
                </c:pt>
                <c:pt idx="10">
                  <c:v>12.220499999999999</c:v>
                </c:pt>
                <c:pt idx="11">
                  <c:v>12.461</c:v>
                </c:pt>
                <c:pt idx="12">
                  <c:v>12.5581</c:v>
                </c:pt>
                <c:pt idx="13">
                  <c:v>15.440300000000001</c:v>
                </c:pt>
                <c:pt idx="14">
                  <c:v>13.4802</c:v>
                </c:pt>
                <c:pt idx="15">
                  <c:v>11.8659</c:v>
                </c:pt>
                <c:pt idx="16">
                  <c:v>9.6143400000000003</c:v>
                </c:pt>
                <c:pt idx="17">
                  <c:v>12.496600000000001</c:v>
                </c:pt>
                <c:pt idx="18">
                  <c:v>8.3422300000000007</c:v>
                </c:pt>
              </c:numCache>
            </c:numRef>
          </c:val>
          <c:extLst>
            <c:ext xmlns:c16="http://schemas.microsoft.com/office/drawing/2014/chart" uri="{C3380CC4-5D6E-409C-BE32-E72D297353CC}">
              <c16:uniqueId val="{00000000-A16C-455C-87AF-77C3E22ACB81}"/>
            </c:ext>
          </c:extLst>
        </c:ser>
        <c:ser>
          <c:idx val="1"/>
          <c:order val="1"/>
          <c:tx>
            <c:strRef>
              <c:f>'20'!$C$3</c:f>
              <c:strCache>
                <c:ptCount val="1"/>
                <c:pt idx="0">
                  <c:v>2 Human Capital</c:v>
                </c:pt>
              </c:strCache>
            </c:strRef>
          </c:tx>
          <c:spPr>
            <a:solidFill>
              <a:srgbClr val="8064A2"/>
            </a:solidFill>
            <a:ln>
              <a:noFill/>
            </a:ln>
            <a:effectLst/>
          </c:spPr>
          <c:invertIfNegative val="0"/>
          <c:cat>
            <c:strRef>
              <c:f>'20'!$A$4:$A$22</c:f>
              <c:strCache>
                <c:ptCount val="19"/>
                <c:pt idx="0">
                  <c:v>FI</c:v>
                </c:pt>
                <c:pt idx="1">
                  <c:v>NL</c:v>
                </c:pt>
                <c:pt idx="2">
                  <c:v>MT</c:v>
                </c:pt>
                <c:pt idx="3">
                  <c:v>IE</c:v>
                </c:pt>
                <c:pt idx="4">
                  <c:v>EE</c:v>
                </c:pt>
                <c:pt idx="5">
                  <c:v>BE</c:v>
                </c:pt>
                <c:pt idx="6">
                  <c:v>LU</c:v>
                </c:pt>
                <c:pt idx="7">
                  <c:v>ES</c:v>
                </c:pt>
                <c:pt idx="8">
                  <c:v>DE</c:v>
                </c:pt>
                <c:pt idx="9">
                  <c:v>AT</c:v>
                </c:pt>
                <c:pt idx="10">
                  <c:v>LT</c:v>
                </c:pt>
                <c:pt idx="11">
                  <c:v>FR</c:v>
                </c:pt>
                <c:pt idx="12">
                  <c:v>SI</c:v>
                </c:pt>
                <c:pt idx="13">
                  <c:v>LV</c:v>
                </c:pt>
                <c:pt idx="14">
                  <c:v>PT</c:v>
                </c:pt>
                <c:pt idx="15">
                  <c:v>SK</c:v>
                </c:pt>
                <c:pt idx="16">
                  <c:v>CY</c:v>
                </c:pt>
                <c:pt idx="17">
                  <c:v>IT</c:v>
                </c:pt>
                <c:pt idx="18">
                  <c:v>EL</c:v>
                </c:pt>
              </c:strCache>
            </c:strRef>
          </c:cat>
          <c:val>
            <c:numRef>
              <c:f>'20'!$C$4:$C$22</c:f>
              <c:numCache>
                <c:formatCode>General</c:formatCode>
                <c:ptCount val="19"/>
                <c:pt idx="0">
                  <c:v>19.610499999999998</c:v>
                </c:pt>
                <c:pt idx="1">
                  <c:v>16.040400000000002</c:v>
                </c:pt>
                <c:pt idx="2">
                  <c:v>15.4398</c:v>
                </c:pt>
                <c:pt idx="3">
                  <c:v>14.0997</c:v>
                </c:pt>
                <c:pt idx="4">
                  <c:v>16.6647</c:v>
                </c:pt>
                <c:pt idx="5">
                  <c:v>12.5969</c:v>
                </c:pt>
                <c:pt idx="6">
                  <c:v>14.554600000000001</c:v>
                </c:pt>
                <c:pt idx="7">
                  <c:v>11.8895</c:v>
                </c:pt>
                <c:pt idx="8">
                  <c:v>14.104699999999999</c:v>
                </c:pt>
                <c:pt idx="9">
                  <c:v>14.182499999999999</c:v>
                </c:pt>
                <c:pt idx="10">
                  <c:v>10.957700000000001</c:v>
                </c:pt>
                <c:pt idx="11">
                  <c:v>11.857699999999999</c:v>
                </c:pt>
                <c:pt idx="12">
                  <c:v>12.087199999999999</c:v>
                </c:pt>
                <c:pt idx="13">
                  <c:v>8.7552199999999996</c:v>
                </c:pt>
                <c:pt idx="14">
                  <c:v>9.4412800000000008</c:v>
                </c:pt>
                <c:pt idx="15">
                  <c:v>10.451700000000001</c:v>
                </c:pt>
                <c:pt idx="16">
                  <c:v>8.9506599999999992</c:v>
                </c:pt>
                <c:pt idx="17">
                  <c:v>8.1140000000000008</c:v>
                </c:pt>
                <c:pt idx="18">
                  <c:v>8.6977799999999998</c:v>
                </c:pt>
              </c:numCache>
            </c:numRef>
          </c:val>
          <c:extLst>
            <c:ext xmlns:c16="http://schemas.microsoft.com/office/drawing/2014/chart" uri="{C3380CC4-5D6E-409C-BE32-E72D297353CC}">
              <c16:uniqueId val="{00000001-A16C-455C-87AF-77C3E22ACB81}"/>
            </c:ext>
          </c:extLst>
        </c:ser>
        <c:ser>
          <c:idx val="2"/>
          <c:order val="2"/>
          <c:tx>
            <c:strRef>
              <c:f>'20'!$D$3</c:f>
              <c:strCache>
                <c:ptCount val="1"/>
                <c:pt idx="0">
                  <c:v>3 Use of Internet</c:v>
                </c:pt>
              </c:strCache>
            </c:strRef>
          </c:tx>
          <c:spPr>
            <a:solidFill>
              <a:srgbClr val="9BBB59"/>
            </a:solidFill>
            <a:ln>
              <a:noFill/>
            </a:ln>
            <a:effectLst/>
          </c:spPr>
          <c:invertIfNegative val="0"/>
          <c:cat>
            <c:strRef>
              <c:f>'20'!$A$4:$A$22</c:f>
              <c:strCache>
                <c:ptCount val="19"/>
                <c:pt idx="0">
                  <c:v>FI</c:v>
                </c:pt>
                <c:pt idx="1">
                  <c:v>NL</c:v>
                </c:pt>
                <c:pt idx="2">
                  <c:v>MT</c:v>
                </c:pt>
                <c:pt idx="3">
                  <c:v>IE</c:v>
                </c:pt>
                <c:pt idx="4">
                  <c:v>EE</c:v>
                </c:pt>
                <c:pt idx="5">
                  <c:v>BE</c:v>
                </c:pt>
                <c:pt idx="6">
                  <c:v>LU</c:v>
                </c:pt>
                <c:pt idx="7">
                  <c:v>ES</c:v>
                </c:pt>
                <c:pt idx="8">
                  <c:v>DE</c:v>
                </c:pt>
                <c:pt idx="9">
                  <c:v>AT</c:v>
                </c:pt>
                <c:pt idx="10">
                  <c:v>LT</c:v>
                </c:pt>
                <c:pt idx="11">
                  <c:v>FR</c:v>
                </c:pt>
                <c:pt idx="12">
                  <c:v>SI</c:v>
                </c:pt>
                <c:pt idx="13">
                  <c:v>LV</c:v>
                </c:pt>
                <c:pt idx="14">
                  <c:v>PT</c:v>
                </c:pt>
                <c:pt idx="15">
                  <c:v>SK</c:v>
                </c:pt>
                <c:pt idx="16">
                  <c:v>CY</c:v>
                </c:pt>
                <c:pt idx="17">
                  <c:v>IT</c:v>
                </c:pt>
                <c:pt idx="18">
                  <c:v>EL</c:v>
                </c:pt>
              </c:strCache>
            </c:strRef>
          </c:cat>
          <c:val>
            <c:numRef>
              <c:f>'20'!$D$4:$D$22</c:f>
              <c:numCache>
                <c:formatCode>General</c:formatCode>
                <c:ptCount val="19"/>
                <c:pt idx="0">
                  <c:v>11.4512</c:v>
                </c:pt>
                <c:pt idx="1">
                  <c:v>11.2805</c:v>
                </c:pt>
                <c:pt idx="2">
                  <c:v>9.88537</c:v>
                </c:pt>
                <c:pt idx="3">
                  <c:v>9.3132900000000003</c:v>
                </c:pt>
                <c:pt idx="4">
                  <c:v>9.8122900000000008</c:v>
                </c:pt>
                <c:pt idx="5">
                  <c:v>9.17408</c:v>
                </c:pt>
                <c:pt idx="6">
                  <c:v>8.8276299999999992</c:v>
                </c:pt>
                <c:pt idx="7">
                  <c:v>9.1163799999999995</c:v>
                </c:pt>
                <c:pt idx="8">
                  <c:v>9.2347800000000007</c:v>
                </c:pt>
                <c:pt idx="9">
                  <c:v>8.1029599999999995</c:v>
                </c:pt>
                <c:pt idx="10">
                  <c:v>8.5982199999999995</c:v>
                </c:pt>
                <c:pt idx="11">
                  <c:v>7.95892</c:v>
                </c:pt>
                <c:pt idx="12">
                  <c:v>7.7571399999999997</c:v>
                </c:pt>
                <c:pt idx="13">
                  <c:v>8.0976199999999992</c:v>
                </c:pt>
                <c:pt idx="14">
                  <c:v>7.2132399999999999</c:v>
                </c:pt>
                <c:pt idx="15">
                  <c:v>8.0046800000000005</c:v>
                </c:pt>
                <c:pt idx="16">
                  <c:v>8.1717200000000005</c:v>
                </c:pt>
                <c:pt idx="17">
                  <c:v>6.6721199999999996</c:v>
                </c:pt>
                <c:pt idx="18">
                  <c:v>6.9133500000000003</c:v>
                </c:pt>
              </c:numCache>
            </c:numRef>
          </c:val>
          <c:extLst>
            <c:ext xmlns:c16="http://schemas.microsoft.com/office/drawing/2014/chart" uri="{C3380CC4-5D6E-409C-BE32-E72D297353CC}">
              <c16:uniqueId val="{00000002-A16C-455C-87AF-77C3E22ACB81}"/>
            </c:ext>
          </c:extLst>
        </c:ser>
        <c:ser>
          <c:idx val="3"/>
          <c:order val="3"/>
          <c:tx>
            <c:strRef>
              <c:f>'20'!$E$3</c:f>
              <c:strCache>
                <c:ptCount val="1"/>
                <c:pt idx="0">
                  <c:v>4 Integration of Digital Technology</c:v>
                </c:pt>
              </c:strCache>
            </c:strRef>
          </c:tx>
          <c:spPr>
            <a:solidFill>
              <a:schemeClr val="accent1"/>
            </a:solidFill>
            <a:ln>
              <a:noFill/>
            </a:ln>
            <a:effectLst/>
          </c:spPr>
          <c:invertIfNegative val="0"/>
          <c:cat>
            <c:strRef>
              <c:f>'20'!$A$4:$A$22</c:f>
              <c:strCache>
                <c:ptCount val="19"/>
                <c:pt idx="0">
                  <c:v>FI</c:v>
                </c:pt>
                <c:pt idx="1">
                  <c:v>NL</c:v>
                </c:pt>
                <c:pt idx="2">
                  <c:v>MT</c:v>
                </c:pt>
                <c:pt idx="3">
                  <c:v>IE</c:v>
                </c:pt>
                <c:pt idx="4">
                  <c:v>EE</c:v>
                </c:pt>
                <c:pt idx="5">
                  <c:v>BE</c:v>
                </c:pt>
                <c:pt idx="6">
                  <c:v>LU</c:v>
                </c:pt>
                <c:pt idx="7">
                  <c:v>ES</c:v>
                </c:pt>
                <c:pt idx="8">
                  <c:v>DE</c:v>
                </c:pt>
                <c:pt idx="9">
                  <c:v>AT</c:v>
                </c:pt>
                <c:pt idx="10">
                  <c:v>LT</c:v>
                </c:pt>
                <c:pt idx="11">
                  <c:v>FR</c:v>
                </c:pt>
                <c:pt idx="12">
                  <c:v>SI</c:v>
                </c:pt>
                <c:pt idx="13">
                  <c:v>LV</c:v>
                </c:pt>
                <c:pt idx="14">
                  <c:v>PT</c:v>
                </c:pt>
                <c:pt idx="15">
                  <c:v>SK</c:v>
                </c:pt>
                <c:pt idx="16">
                  <c:v>CY</c:v>
                </c:pt>
                <c:pt idx="17">
                  <c:v>IT</c:v>
                </c:pt>
                <c:pt idx="18">
                  <c:v>EL</c:v>
                </c:pt>
              </c:strCache>
            </c:strRef>
          </c:cat>
          <c:val>
            <c:numRef>
              <c:f>'20'!$E$4:$E$22</c:f>
              <c:numCache>
                <c:formatCode>General</c:formatCode>
                <c:ptCount val="19"/>
                <c:pt idx="0">
                  <c:v>13.409000000000001</c:v>
                </c:pt>
                <c:pt idx="1">
                  <c:v>13.1492</c:v>
                </c:pt>
                <c:pt idx="2">
                  <c:v>10.980700000000001</c:v>
                </c:pt>
                <c:pt idx="3">
                  <c:v>14.864100000000001</c:v>
                </c:pt>
                <c:pt idx="4">
                  <c:v>8.2298899999999993</c:v>
                </c:pt>
                <c:pt idx="5">
                  <c:v>13.1739</c:v>
                </c:pt>
                <c:pt idx="6">
                  <c:v>7.64194</c:v>
                </c:pt>
                <c:pt idx="7">
                  <c:v>8.2431099999999997</c:v>
                </c:pt>
                <c:pt idx="8">
                  <c:v>7.9063100000000004</c:v>
                </c:pt>
                <c:pt idx="9">
                  <c:v>8.1151599999999995</c:v>
                </c:pt>
                <c:pt idx="10">
                  <c:v>9.8938400000000009</c:v>
                </c:pt>
                <c:pt idx="11">
                  <c:v>8.4095399999999998</c:v>
                </c:pt>
                <c:pt idx="12">
                  <c:v>8.1892800000000001</c:v>
                </c:pt>
                <c:pt idx="13">
                  <c:v>5.6610800000000001</c:v>
                </c:pt>
                <c:pt idx="14">
                  <c:v>8.1743600000000001</c:v>
                </c:pt>
                <c:pt idx="15">
                  <c:v>6.5140900000000004</c:v>
                </c:pt>
                <c:pt idx="16">
                  <c:v>6.8968699999999998</c:v>
                </c:pt>
                <c:pt idx="17">
                  <c:v>6.2450799999999997</c:v>
                </c:pt>
                <c:pt idx="18">
                  <c:v>5.63917</c:v>
                </c:pt>
              </c:numCache>
            </c:numRef>
          </c:val>
          <c:extLst>
            <c:ext xmlns:c16="http://schemas.microsoft.com/office/drawing/2014/chart" uri="{C3380CC4-5D6E-409C-BE32-E72D297353CC}">
              <c16:uniqueId val="{00000003-A16C-455C-87AF-77C3E22ACB81}"/>
            </c:ext>
          </c:extLst>
        </c:ser>
        <c:ser>
          <c:idx val="4"/>
          <c:order val="4"/>
          <c:tx>
            <c:strRef>
              <c:f>'20'!$F$3</c:f>
              <c:strCache>
                <c:ptCount val="1"/>
                <c:pt idx="0">
                  <c:v>5 Digital Public Services</c:v>
                </c:pt>
              </c:strCache>
            </c:strRef>
          </c:tx>
          <c:spPr>
            <a:solidFill>
              <a:schemeClr val="bg1">
                <a:lumMod val="75000"/>
              </a:schemeClr>
            </a:solidFill>
            <a:ln>
              <a:noFill/>
            </a:ln>
            <a:effectLst/>
          </c:spPr>
          <c:invertIfNegative val="0"/>
          <c:cat>
            <c:strRef>
              <c:f>'20'!$A$4:$A$22</c:f>
              <c:strCache>
                <c:ptCount val="19"/>
                <c:pt idx="0">
                  <c:v>FI</c:v>
                </c:pt>
                <c:pt idx="1">
                  <c:v>NL</c:v>
                </c:pt>
                <c:pt idx="2">
                  <c:v>MT</c:v>
                </c:pt>
                <c:pt idx="3">
                  <c:v>IE</c:v>
                </c:pt>
                <c:pt idx="4">
                  <c:v>EE</c:v>
                </c:pt>
                <c:pt idx="5">
                  <c:v>BE</c:v>
                </c:pt>
                <c:pt idx="6">
                  <c:v>LU</c:v>
                </c:pt>
                <c:pt idx="7">
                  <c:v>ES</c:v>
                </c:pt>
                <c:pt idx="8">
                  <c:v>DE</c:v>
                </c:pt>
                <c:pt idx="9">
                  <c:v>AT</c:v>
                </c:pt>
                <c:pt idx="10">
                  <c:v>LT</c:v>
                </c:pt>
                <c:pt idx="11">
                  <c:v>FR</c:v>
                </c:pt>
                <c:pt idx="12">
                  <c:v>SI</c:v>
                </c:pt>
                <c:pt idx="13">
                  <c:v>LV</c:v>
                </c:pt>
                <c:pt idx="14">
                  <c:v>PT</c:v>
                </c:pt>
                <c:pt idx="15">
                  <c:v>SK</c:v>
                </c:pt>
                <c:pt idx="16">
                  <c:v>CY</c:v>
                </c:pt>
                <c:pt idx="17">
                  <c:v>IT</c:v>
                </c:pt>
                <c:pt idx="18">
                  <c:v>EL</c:v>
                </c:pt>
              </c:strCache>
            </c:strRef>
          </c:cat>
          <c:val>
            <c:numRef>
              <c:f>'20'!$F$4:$F$22</c:f>
              <c:numCache>
                <c:formatCode>General</c:formatCode>
                <c:ptCount val="19"/>
                <c:pt idx="0">
                  <c:v>13.049200000000001</c:v>
                </c:pt>
                <c:pt idx="1">
                  <c:v>12.1441</c:v>
                </c:pt>
                <c:pt idx="2">
                  <c:v>11.7193</c:v>
                </c:pt>
                <c:pt idx="3">
                  <c:v>12.0943</c:v>
                </c:pt>
                <c:pt idx="4">
                  <c:v>13.4001</c:v>
                </c:pt>
                <c:pt idx="5">
                  <c:v>10.7597</c:v>
                </c:pt>
                <c:pt idx="6">
                  <c:v>11.061199999999999</c:v>
                </c:pt>
                <c:pt idx="7">
                  <c:v>13.0913</c:v>
                </c:pt>
                <c:pt idx="8">
                  <c:v>9.9557500000000001</c:v>
                </c:pt>
                <c:pt idx="9">
                  <c:v>12.125299999999999</c:v>
                </c:pt>
                <c:pt idx="10">
                  <c:v>12.216900000000001</c:v>
                </c:pt>
                <c:pt idx="11">
                  <c:v>11.5063</c:v>
                </c:pt>
                <c:pt idx="12">
                  <c:v>10.613200000000001</c:v>
                </c:pt>
                <c:pt idx="13">
                  <c:v>12.759499999999999</c:v>
                </c:pt>
                <c:pt idx="14">
                  <c:v>11.2681</c:v>
                </c:pt>
                <c:pt idx="15">
                  <c:v>8.3418299999999999</c:v>
                </c:pt>
                <c:pt idx="16">
                  <c:v>10.343299999999999</c:v>
                </c:pt>
                <c:pt idx="17">
                  <c:v>10.1218</c:v>
                </c:pt>
                <c:pt idx="18">
                  <c:v>7.7250100000000002</c:v>
                </c:pt>
              </c:numCache>
            </c:numRef>
          </c:val>
          <c:extLst>
            <c:ext xmlns:c16="http://schemas.microsoft.com/office/drawing/2014/chart" uri="{C3380CC4-5D6E-409C-BE32-E72D297353CC}">
              <c16:uniqueId val="{00000004-A16C-455C-87AF-77C3E22ACB81}"/>
            </c:ext>
          </c:extLst>
        </c:ser>
        <c:dLbls>
          <c:showLegendKey val="0"/>
          <c:showVal val="0"/>
          <c:showCatName val="0"/>
          <c:showSerName val="0"/>
          <c:showPercent val="0"/>
          <c:showBubbleSize val="0"/>
        </c:dLbls>
        <c:gapWidth val="150"/>
        <c:overlap val="100"/>
        <c:axId val="112177920"/>
        <c:axId val="112179456"/>
      </c:barChart>
      <c:catAx>
        <c:axId val="112177920"/>
        <c:scaling>
          <c:orientation val="minMax"/>
        </c:scaling>
        <c:delete val="0"/>
        <c:axPos val="b"/>
        <c:numFmt formatCode="General" sourceLinked="1"/>
        <c:majorTickMark val="none"/>
        <c:minorTickMark val="none"/>
        <c:tickLblPos val="nextTo"/>
        <c:spPr>
          <a:noFill/>
          <a:ln w="317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2179456"/>
        <c:crosses val="autoZero"/>
        <c:auto val="1"/>
        <c:lblAlgn val="ctr"/>
        <c:lblOffset val="100"/>
        <c:noMultiLvlLbl val="0"/>
      </c:catAx>
      <c:valAx>
        <c:axId val="112179456"/>
        <c:scaling>
          <c:orientation val="minMax"/>
          <c:max val="80"/>
          <c:min val="0"/>
        </c:scaling>
        <c:delete val="0"/>
        <c:axPos val="l"/>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0.12075163398692811"/>
              <c:y val="0.12141007201063456"/>
            </c:manualLayout>
          </c:layout>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3175">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2177920"/>
        <c:crosses val="autoZero"/>
        <c:crossBetween val="between"/>
        <c:majorUnit val="10"/>
      </c:valAx>
      <c:spPr>
        <a:noFill/>
        <a:ln>
          <a:noFill/>
        </a:ln>
        <a:effectLst/>
      </c:spPr>
    </c:plotArea>
    <c:legend>
      <c:legendPos val="t"/>
      <c:layout>
        <c:manualLayout>
          <c:xMode val="edge"/>
          <c:yMode val="edge"/>
          <c:x val="0.22933749342293527"/>
          <c:y val="1.9107710873889107E-2"/>
          <c:w val="0.76197579640176849"/>
          <c:h val="0.2211235185005847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665086183132263E-2"/>
          <c:y val="0.11090957278548648"/>
          <c:w val="0.80659853546314364"/>
          <c:h val="0.66536920669932542"/>
        </c:manualLayout>
      </c:layout>
      <c:barChart>
        <c:barDir val="col"/>
        <c:grouping val="clustered"/>
        <c:varyColors val="0"/>
        <c:ser>
          <c:idx val="0"/>
          <c:order val="0"/>
          <c:tx>
            <c:strRef>
              <c:f>'[Chart 22.xlsx]graph'!$C$11</c:f>
              <c:strCache>
                <c:ptCount val="1"/>
                <c:pt idx="0">
                  <c:v>Recovery rate (LHS)</c:v>
                </c:pt>
              </c:strCache>
            </c:strRef>
          </c:tx>
          <c:spPr>
            <a:solidFill>
              <a:srgbClr val="002060"/>
            </a:solidFill>
            <a:ln>
              <a:solidFill>
                <a:srgbClr val="002060"/>
              </a:solidFill>
            </a:ln>
            <a:effectLst/>
          </c:spPr>
          <c:invertIfNegative val="0"/>
          <c:cat>
            <c:strRef>
              <c:f>'[Chart 22.xlsx]graph'!$B$12:$B$30</c:f>
              <c:strCache>
                <c:ptCount val="19"/>
                <c:pt idx="0">
                  <c:v>Ireland</c:v>
                </c:pt>
                <c:pt idx="1">
                  <c:v>Slovenia</c:v>
                </c:pt>
                <c:pt idx="2">
                  <c:v>Belgium</c:v>
                </c:pt>
                <c:pt idx="3">
                  <c:v>Finland</c:v>
                </c:pt>
                <c:pt idx="4">
                  <c:v>Austria</c:v>
                </c:pt>
                <c:pt idx="5">
                  <c:v>Netherlands</c:v>
                </c:pt>
                <c:pt idx="6">
                  <c:v>Germany</c:v>
                </c:pt>
                <c:pt idx="7">
                  <c:v>Cyprus</c:v>
                </c:pt>
                <c:pt idx="8">
                  <c:v>Latvia</c:v>
                </c:pt>
                <c:pt idx="9">
                  <c:v>Spain</c:v>
                </c:pt>
                <c:pt idx="10">
                  <c:v>Italy</c:v>
                </c:pt>
                <c:pt idx="11">
                  <c:v>France</c:v>
                </c:pt>
                <c:pt idx="12">
                  <c:v>Luxembourg</c:v>
                </c:pt>
                <c:pt idx="13">
                  <c:v>Lithuania</c:v>
                </c:pt>
                <c:pt idx="14">
                  <c:v>Estonia</c:v>
                </c:pt>
                <c:pt idx="15">
                  <c:v>Malta</c:v>
                </c:pt>
                <c:pt idx="16">
                  <c:v>Portugal</c:v>
                </c:pt>
                <c:pt idx="17">
                  <c:v>Greece</c:v>
                </c:pt>
                <c:pt idx="18">
                  <c:v>Slovak Republic</c:v>
                </c:pt>
              </c:strCache>
            </c:strRef>
          </c:cat>
          <c:val>
            <c:numRef>
              <c:f>'[Chart 22.xlsx]graph'!$C$12:$C$30</c:f>
              <c:numCache>
                <c:formatCode>0.0</c:formatCode>
                <c:ptCount val="19"/>
                <c:pt idx="0">
                  <c:v>86.1</c:v>
                </c:pt>
                <c:pt idx="1">
                  <c:v>90</c:v>
                </c:pt>
                <c:pt idx="2">
                  <c:v>89.4</c:v>
                </c:pt>
                <c:pt idx="3">
                  <c:v>88</c:v>
                </c:pt>
                <c:pt idx="4">
                  <c:v>79.900000000000006</c:v>
                </c:pt>
                <c:pt idx="5">
                  <c:v>90.1</c:v>
                </c:pt>
                <c:pt idx="6">
                  <c:v>79.8</c:v>
                </c:pt>
                <c:pt idx="7">
                  <c:v>73.8</c:v>
                </c:pt>
                <c:pt idx="8">
                  <c:v>41.4</c:v>
                </c:pt>
                <c:pt idx="9">
                  <c:v>77.5</c:v>
                </c:pt>
                <c:pt idx="10">
                  <c:v>65.599999999999994</c:v>
                </c:pt>
                <c:pt idx="11">
                  <c:v>74.8</c:v>
                </c:pt>
                <c:pt idx="12">
                  <c:v>43.9</c:v>
                </c:pt>
                <c:pt idx="13">
                  <c:v>40.299999999999997</c:v>
                </c:pt>
                <c:pt idx="14">
                  <c:v>36.1</c:v>
                </c:pt>
                <c:pt idx="15">
                  <c:v>39.200000000000003</c:v>
                </c:pt>
                <c:pt idx="16">
                  <c:v>64.8</c:v>
                </c:pt>
                <c:pt idx="17">
                  <c:v>32</c:v>
                </c:pt>
                <c:pt idx="18">
                  <c:v>46.1</c:v>
                </c:pt>
              </c:numCache>
            </c:numRef>
          </c:val>
          <c:extLst>
            <c:ext xmlns:c16="http://schemas.microsoft.com/office/drawing/2014/chart" uri="{C3380CC4-5D6E-409C-BE32-E72D297353CC}">
              <c16:uniqueId val="{00000000-0089-4DDB-AE59-2EEC17291243}"/>
            </c:ext>
          </c:extLst>
        </c:ser>
        <c:dLbls>
          <c:showLegendKey val="0"/>
          <c:showVal val="0"/>
          <c:showCatName val="0"/>
          <c:showSerName val="0"/>
          <c:showPercent val="0"/>
          <c:showBubbleSize val="0"/>
        </c:dLbls>
        <c:gapWidth val="247"/>
        <c:axId val="111692800"/>
        <c:axId val="111690496"/>
      </c:barChart>
      <c:lineChart>
        <c:grouping val="stacked"/>
        <c:varyColors val="0"/>
        <c:ser>
          <c:idx val="1"/>
          <c:order val="1"/>
          <c:tx>
            <c:strRef>
              <c:f>'[Chart 22.xlsx]graph'!$D$11</c:f>
              <c:strCache>
                <c:ptCount val="1"/>
                <c:pt idx="0">
                  <c:v>Time (RHS)</c:v>
                </c:pt>
              </c:strCache>
            </c:strRef>
          </c:tx>
          <c:spPr>
            <a:ln w="28575" cap="rnd">
              <a:noFill/>
              <a:round/>
            </a:ln>
            <a:effectLst/>
          </c:spPr>
          <c:marker>
            <c:symbol val="circle"/>
            <c:size val="5"/>
            <c:spPr>
              <a:solidFill>
                <a:srgbClr val="FFC000"/>
              </a:solidFill>
              <a:ln w="9525">
                <a:solidFill>
                  <a:srgbClr val="002060"/>
                </a:solidFill>
              </a:ln>
              <a:effectLst/>
            </c:spPr>
          </c:marker>
          <c:cat>
            <c:strRef>
              <c:f>'[Chart 22.xlsx]graph'!$B$12:$B$30</c:f>
              <c:strCache>
                <c:ptCount val="19"/>
                <c:pt idx="0">
                  <c:v>Ireland</c:v>
                </c:pt>
                <c:pt idx="1">
                  <c:v>Slovenia</c:v>
                </c:pt>
                <c:pt idx="2">
                  <c:v>Belgium</c:v>
                </c:pt>
                <c:pt idx="3">
                  <c:v>Finland</c:v>
                </c:pt>
                <c:pt idx="4">
                  <c:v>Austria</c:v>
                </c:pt>
                <c:pt idx="5">
                  <c:v>Netherlands</c:v>
                </c:pt>
                <c:pt idx="6">
                  <c:v>Germany</c:v>
                </c:pt>
                <c:pt idx="7">
                  <c:v>Cyprus</c:v>
                </c:pt>
                <c:pt idx="8">
                  <c:v>Latvia</c:v>
                </c:pt>
                <c:pt idx="9">
                  <c:v>Spain</c:v>
                </c:pt>
                <c:pt idx="10">
                  <c:v>Italy</c:v>
                </c:pt>
                <c:pt idx="11">
                  <c:v>France</c:v>
                </c:pt>
                <c:pt idx="12">
                  <c:v>Luxembourg</c:v>
                </c:pt>
                <c:pt idx="13">
                  <c:v>Lithuania</c:v>
                </c:pt>
                <c:pt idx="14">
                  <c:v>Estonia</c:v>
                </c:pt>
                <c:pt idx="15">
                  <c:v>Malta</c:v>
                </c:pt>
                <c:pt idx="16">
                  <c:v>Portugal</c:v>
                </c:pt>
                <c:pt idx="17">
                  <c:v>Greece</c:v>
                </c:pt>
                <c:pt idx="18">
                  <c:v>Slovak Republic</c:v>
                </c:pt>
              </c:strCache>
            </c:strRef>
          </c:cat>
          <c:val>
            <c:numRef>
              <c:f>'[Chart 22.xlsx]graph'!$D$12:$D$30</c:f>
              <c:numCache>
                <c:formatCode>0.0</c:formatCode>
                <c:ptCount val="19"/>
                <c:pt idx="0">
                  <c:v>0.4</c:v>
                </c:pt>
                <c:pt idx="1">
                  <c:v>0.8</c:v>
                </c:pt>
                <c:pt idx="2">
                  <c:v>0.9</c:v>
                </c:pt>
                <c:pt idx="3">
                  <c:v>0.9</c:v>
                </c:pt>
                <c:pt idx="4">
                  <c:v>1.1000000000000001</c:v>
                </c:pt>
                <c:pt idx="5">
                  <c:v>1.1000000000000001</c:v>
                </c:pt>
                <c:pt idx="6">
                  <c:v>1.2</c:v>
                </c:pt>
                <c:pt idx="7">
                  <c:v>1.5</c:v>
                </c:pt>
                <c:pt idx="8">
                  <c:v>1.5</c:v>
                </c:pt>
                <c:pt idx="9">
                  <c:v>1.5</c:v>
                </c:pt>
                <c:pt idx="10">
                  <c:v>1.8</c:v>
                </c:pt>
                <c:pt idx="11">
                  <c:v>1.9</c:v>
                </c:pt>
                <c:pt idx="12">
                  <c:v>2</c:v>
                </c:pt>
                <c:pt idx="13">
                  <c:v>2.2999999999999998</c:v>
                </c:pt>
                <c:pt idx="14">
                  <c:v>3</c:v>
                </c:pt>
                <c:pt idx="15">
                  <c:v>3</c:v>
                </c:pt>
                <c:pt idx="16">
                  <c:v>3</c:v>
                </c:pt>
                <c:pt idx="17">
                  <c:v>3.5</c:v>
                </c:pt>
                <c:pt idx="18">
                  <c:v>4</c:v>
                </c:pt>
              </c:numCache>
            </c:numRef>
          </c:val>
          <c:smooth val="0"/>
          <c:extLst>
            <c:ext xmlns:c16="http://schemas.microsoft.com/office/drawing/2014/chart" uri="{C3380CC4-5D6E-409C-BE32-E72D297353CC}">
              <c16:uniqueId val="{00000001-0089-4DDB-AE59-2EEC17291243}"/>
            </c:ext>
          </c:extLst>
        </c:ser>
        <c:dLbls>
          <c:showLegendKey val="0"/>
          <c:showVal val="0"/>
          <c:showCatName val="0"/>
          <c:showSerName val="0"/>
          <c:showPercent val="0"/>
          <c:showBubbleSize val="0"/>
        </c:dLbls>
        <c:marker val="1"/>
        <c:smooth val="0"/>
        <c:axId val="111704704"/>
        <c:axId val="111702784"/>
      </c:lineChart>
      <c:valAx>
        <c:axId val="111690496"/>
        <c:scaling>
          <c:orientation val="minMax"/>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600" i="1"/>
                  <a:t>Eurcents on</a:t>
                </a:r>
              </a:p>
              <a:p>
                <a:pPr>
                  <a:defRPr sz="600" i="1"/>
                </a:pPr>
                <a:r>
                  <a:rPr lang="en-GB" sz="600" i="1"/>
                  <a:t>the euro</a:t>
                </a:r>
              </a:p>
            </c:rich>
          </c:tx>
          <c:layout>
            <c:manualLayout>
              <c:xMode val="edge"/>
              <c:yMode val="edge"/>
              <c:x val="9.5455972362058314E-2"/>
              <c:y val="2.7339836731740848E-2"/>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692800"/>
        <c:crosses val="autoZero"/>
        <c:crossBetween val="between"/>
      </c:valAx>
      <c:catAx>
        <c:axId val="111692800"/>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2700000" spcFirstLastPara="1" vertOverflow="ellipsis" wrap="square" anchor="ctr"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690496"/>
        <c:crosses val="autoZero"/>
        <c:auto val="1"/>
        <c:lblAlgn val="ctr"/>
        <c:lblOffset val="100"/>
        <c:noMultiLvlLbl val="0"/>
      </c:catAx>
      <c:valAx>
        <c:axId val="111702784"/>
        <c:scaling>
          <c:orientation val="minMax"/>
        </c:scaling>
        <c:delete val="0"/>
        <c:axPos val="r"/>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600" i="1">
                    <a:solidFill>
                      <a:sysClr val="windowText" lastClr="000000"/>
                    </a:solidFill>
                  </a:rPr>
                  <a:t>Years</a:t>
                </a:r>
              </a:p>
            </c:rich>
          </c:tx>
          <c:layout>
            <c:manualLayout>
              <c:xMode val="edge"/>
              <c:yMode val="edge"/>
              <c:x val="0.79734485781716868"/>
              <c:y val="5.5423424292484105E-2"/>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704704"/>
        <c:crosses val="max"/>
        <c:crossBetween val="between"/>
      </c:valAx>
      <c:catAx>
        <c:axId val="111704704"/>
        <c:scaling>
          <c:orientation val="minMax"/>
        </c:scaling>
        <c:delete val="1"/>
        <c:axPos val="b"/>
        <c:numFmt formatCode="General" sourceLinked="1"/>
        <c:majorTickMark val="none"/>
        <c:minorTickMark val="none"/>
        <c:tickLblPos val="nextTo"/>
        <c:crossAx val="111702784"/>
        <c:crosses val="autoZero"/>
        <c:auto val="1"/>
        <c:lblAlgn val="ctr"/>
        <c:lblOffset val="100"/>
        <c:noMultiLvlLbl val="0"/>
      </c:catAx>
      <c:spPr>
        <a:noFill/>
        <a:ln w="25400">
          <a:noFill/>
        </a:ln>
        <a:effectLst/>
      </c:spPr>
    </c:plotArea>
    <c:legend>
      <c:legendPos val="t"/>
      <c:layout>
        <c:manualLayout>
          <c:xMode val="edge"/>
          <c:yMode val="edge"/>
          <c:x val="0.31083640882423264"/>
          <c:y val="3.6753445635528334E-2"/>
          <c:w val="0.50639989460107004"/>
          <c:h val="0.1312392229684918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7180883132063"/>
          <c:y val="7.1895424836601302E-2"/>
          <c:w val="0.8426841076419973"/>
          <c:h val="0.72173469541578517"/>
        </c:manualLayout>
      </c:layout>
      <c:barChart>
        <c:barDir val="col"/>
        <c:grouping val="clustered"/>
        <c:varyColors val="0"/>
        <c:ser>
          <c:idx val="0"/>
          <c:order val="0"/>
          <c:spPr>
            <a:solidFill>
              <a:schemeClr val="accent1"/>
            </a:solidFill>
            <a:ln>
              <a:noFill/>
            </a:ln>
            <a:effectLst/>
          </c:spPr>
          <c:invertIfNegative val="0"/>
          <c:cat>
            <c:strRef>
              <c:f>GovernmentEffectiveness!$B$16:$B$35</c:f>
              <c:strCache>
                <c:ptCount val="20"/>
                <c:pt idx="0">
                  <c:v>GRC</c:v>
                </c:pt>
                <c:pt idx="1">
                  <c:v>ITA</c:v>
                </c:pt>
                <c:pt idx="2">
                  <c:v>SVK</c:v>
                </c:pt>
                <c:pt idx="3">
                  <c:v>MLT</c:v>
                </c:pt>
                <c:pt idx="4">
                  <c:v>CYP</c:v>
                </c:pt>
                <c:pt idx="5">
                  <c:v>ESP</c:v>
                </c:pt>
                <c:pt idx="6">
                  <c:v>BEL</c:v>
                </c:pt>
                <c:pt idx="7">
                  <c:v>LTU</c:v>
                </c:pt>
                <c:pt idx="8">
                  <c:v>SVN</c:v>
                </c:pt>
                <c:pt idx="9">
                  <c:v>LVA</c:v>
                </c:pt>
                <c:pt idx="10">
                  <c:v>PRT</c:v>
                </c:pt>
                <c:pt idx="11">
                  <c:v>EST</c:v>
                </c:pt>
                <c:pt idx="12">
                  <c:v>IRL</c:v>
                </c:pt>
                <c:pt idx="13">
                  <c:v>OECD HIGH</c:v>
                </c:pt>
                <c:pt idx="14">
                  <c:v>FRA</c:v>
                </c:pt>
                <c:pt idx="15">
                  <c:v>AUT</c:v>
                </c:pt>
                <c:pt idx="16">
                  <c:v>DEU</c:v>
                </c:pt>
                <c:pt idx="17">
                  <c:v>LUX</c:v>
                </c:pt>
                <c:pt idx="18">
                  <c:v>NLD</c:v>
                </c:pt>
                <c:pt idx="19">
                  <c:v>FIN</c:v>
                </c:pt>
              </c:strCache>
            </c:strRef>
          </c:cat>
          <c:val>
            <c:numRef>
              <c:f>GovernmentEffectiveness!$C$16:$C$35</c:f>
            </c:numRef>
          </c:val>
          <c:extLst>
            <c:ext xmlns:c16="http://schemas.microsoft.com/office/drawing/2014/chart" uri="{C3380CC4-5D6E-409C-BE32-E72D297353CC}">
              <c16:uniqueId val="{00000000-F7DB-48CA-85C1-3BE5D3463996}"/>
            </c:ext>
          </c:extLst>
        </c:ser>
        <c:ser>
          <c:idx val="1"/>
          <c:order val="1"/>
          <c:spPr>
            <a:solidFill>
              <a:srgbClr val="002060"/>
            </a:solidFill>
            <a:ln>
              <a:noFill/>
            </a:ln>
            <a:effectLst/>
          </c:spPr>
          <c:invertIfNegative val="0"/>
          <c:dPt>
            <c:idx val="1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F7DB-48CA-85C1-3BE5D3463996}"/>
              </c:ext>
            </c:extLst>
          </c:dPt>
          <c:cat>
            <c:strRef>
              <c:f>GovernmentEffectiveness!$B$16:$B$35</c:f>
              <c:strCache>
                <c:ptCount val="20"/>
                <c:pt idx="0">
                  <c:v>GRC</c:v>
                </c:pt>
                <c:pt idx="1">
                  <c:v>ITA</c:v>
                </c:pt>
                <c:pt idx="2">
                  <c:v>SVK</c:v>
                </c:pt>
                <c:pt idx="3">
                  <c:v>MLT</c:v>
                </c:pt>
                <c:pt idx="4">
                  <c:v>CYP</c:v>
                </c:pt>
                <c:pt idx="5">
                  <c:v>ESP</c:v>
                </c:pt>
                <c:pt idx="6">
                  <c:v>BEL</c:v>
                </c:pt>
                <c:pt idx="7">
                  <c:v>LTU</c:v>
                </c:pt>
                <c:pt idx="8">
                  <c:v>SVN</c:v>
                </c:pt>
                <c:pt idx="9">
                  <c:v>LVA</c:v>
                </c:pt>
                <c:pt idx="10">
                  <c:v>PRT</c:v>
                </c:pt>
                <c:pt idx="11">
                  <c:v>EST</c:v>
                </c:pt>
                <c:pt idx="12">
                  <c:v>IRL</c:v>
                </c:pt>
                <c:pt idx="13">
                  <c:v>OECD HIGH</c:v>
                </c:pt>
                <c:pt idx="14">
                  <c:v>FRA</c:v>
                </c:pt>
                <c:pt idx="15">
                  <c:v>AUT</c:v>
                </c:pt>
                <c:pt idx="16">
                  <c:v>DEU</c:v>
                </c:pt>
                <c:pt idx="17">
                  <c:v>LUX</c:v>
                </c:pt>
                <c:pt idx="18">
                  <c:v>NLD</c:v>
                </c:pt>
                <c:pt idx="19">
                  <c:v>FIN</c:v>
                </c:pt>
              </c:strCache>
            </c:strRef>
          </c:cat>
          <c:val>
            <c:numRef>
              <c:f>GovernmentEffectiveness!$D$16:$D$35</c:f>
              <c:numCache>
                <c:formatCode>0.00</c:formatCode>
                <c:ptCount val="20"/>
                <c:pt idx="0">
                  <c:v>66.826919555664063</c:v>
                </c:pt>
                <c:pt idx="1">
                  <c:v>69.230766296386719</c:v>
                </c:pt>
                <c:pt idx="2">
                  <c:v>74.038459777832031</c:v>
                </c:pt>
                <c:pt idx="3">
                  <c:v>77.403846740722656</c:v>
                </c:pt>
                <c:pt idx="4">
                  <c:v>78.846153259277344</c:v>
                </c:pt>
                <c:pt idx="5">
                  <c:v>79.807693481445313</c:v>
                </c:pt>
                <c:pt idx="6">
                  <c:v>80.769233703613281</c:v>
                </c:pt>
                <c:pt idx="7">
                  <c:v>81.25</c:v>
                </c:pt>
                <c:pt idx="8">
                  <c:v>82.211540222167969</c:v>
                </c:pt>
                <c:pt idx="9">
                  <c:v>83.653846740722656</c:v>
                </c:pt>
                <c:pt idx="10">
                  <c:v>84.134613037109375</c:v>
                </c:pt>
                <c:pt idx="11">
                  <c:v>85.576919555664063</c:v>
                </c:pt>
                <c:pt idx="12">
                  <c:v>86.538459777832031</c:v>
                </c:pt>
                <c:pt idx="13" formatCode="General">
                  <c:v>87.59</c:v>
                </c:pt>
                <c:pt idx="14">
                  <c:v>89.423080444335938</c:v>
                </c:pt>
                <c:pt idx="15">
                  <c:v>91.826919555664063</c:v>
                </c:pt>
                <c:pt idx="16">
                  <c:v>93.269233703613281</c:v>
                </c:pt>
                <c:pt idx="17">
                  <c:v>95.673080444335938</c:v>
                </c:pt>
                <c:pt idx="18">
                  <c:v>96.634613037109375</c:v>
                </c:pt>
                <c:pt idx="19">
                  <c:v>98.557693481445313</c:v>
                </c:pt>
              </c:numCache>
            </c:numRef>
          </c:val>
          <c:extLst>
            <c:ext xmlns:c16="http://schemas.microsoft.com/office/drawing/2014/chart" uri="{C3380CC4-5D6E-409C-BE32-E72D297353CC}">
              <c16:uniqueId val="{00000003-F7DB-48CA-85C1-3BE5D3463996}"/>
            </c:ext>
          </c:extLst>
        </c:ser>
        <c:dLbls>
          <c:showLegendKey val="0"/>
          <c:showVal val="0"/>
          <c:showCatName val="0"/>
          <c:showSerName val="0"/>
          <c:showPercent val="0"/>
          <c:showBubbleSize val="0"/>
        </c:dLbls>
        <c:gapWidth val="219"/>
        <c:overlap val="-27"/>
        <c:axId val="111723648"/>
        <c:axId val="111725184"/>
      </c:barChart>
      <c:catAx>
        <c:axId val="111723648"/>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2700000" spcFirstLastPara="1" vertOverflow="ellipsis" wrap="square" anchor="ctr"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725184"/>
        <c:crosses val="autoZero"/>
        <c:auto val="1"/>
        <c:lblAlgn val="ctr"/>
        <c:lblOffset val="100"/>
        <c:noMultiLvlLbl val="0"/>
      </c:catAx>
      <c:valAx>
        <c:axId val="111725184"/>
        <c:scaling>
          <c:orientation val="minMax"/>
          <c:max val="100"/>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600" i="1"/>
                  <a:t>Rank</a:t>
                </a:r>
              </a:p>
            </c:rich>
          </c:tx>
          <c:layout>
            <c:manualLayout>
              <c:xMode val="edge"/>
              <c:yMode val="edge"/>
              <c:x val="0.11136890951276102"/>
              <c:y val="4.5422263393546394E-2"/>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1723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72222222222218E-2"/>
          <c:y val="2.6487037037037038E-2"/>
          <c:w val="0.83043229166666666"/>
          <c:h val="0.84080950656641329"/>
        </c:manualLayout>
      </c:layout>
      <c:lineChart>
        <c:grouping val="standard"/>
        <c:varyColors val="0"/>
        <c:ser>
          <c:idx val="0"/>
          <c:order val="0"/>
          <c:tx>
            <c:strRef>
              <c:f>'[Chart 25, 26, 27, 28, 30.xlsx]Bank Stability'!$E$43</c:f>
              <c:strCache>
                <c:ptCount val="1"/>
                <c:pt idx="0">
                  <c:v>CET 1 ratio (lhs)</c:v>
                </c:pt>
              </c:strCache>
            </c:strRef>
          </c:tx>
          <c:spPr>
            <a:ln w="28575" cap="rnd">
              <a:solidFill>
                <a:srgbClr val="002060"/>
              </a:solidFill>
              <a:round/>
            </a:ln>
            <a:effectLst/>
          </c:spPr>
          <c:marker>
            <c:symbol val="none"/>
          </c:marker>
          <c:cat>
            <c:numRef>
              <c:f>'[Chart 25, 26, 27, 28, 30.xlsx]Bank Stability'!$D$44:$D$65</c:f>
              <c:numCache>
                <c:formatCode>mmm\-yy</c:formatCode>
                <c:ptCount val="22"/>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pt idx="21">
                  <c:v>43891</c:v>
                </c:pt>
              </c:numCache>
            </c:numRef>
          </c:cat>
          <c:val>
            <c:numRef>
              <c:f>'[Chart 25, 26, 27, 28, 30.xlsx]Bank Stability'!$E$44:$E$65</c:f>
              <c:numCache>
                <c:formatCode>0</c:formatCode>
                <c:ptCount val="22"/>
                <c:pt idx="1">
                  <c:v>12.646100000000001</c:v>
                </c:pt>
                <c:pt idx="2">
                  <c:v>13.059699999999999</c:v>
                </c:pt>
                <c:pt idx="3">
                  <c:v>13.0495</c:v>
                </c:pt>
                <c:pt idx="4">
                  <c:v>13.4726</c:v>
                </c:pt>
                <c:pt idx="5">
                  <c:v>13.2905</c:v>
                </c:pt>
                <c:pt idx="6">
                  <c:v>13.5692</c:v>
                </c:pt>
                <c:pt idx="7">
                  <c:v>13.743499999999999</c:v>
                </c:pt>
                <c:pt idx="8">
                  <c:v>13.876300000000001</c:v>
                </c:pt>
                <c:pt idx="9">
                  <c:v>13.9114</c:v>
                </c:pt>
                <c:pt idx="10">
                  <c:v>14.1501</c:v>
                </c:pt>
                <c:pt idx="11">
                  <c:v>14.521699999999999</c:v>
                </c:pt>
                <c:pt idx="12">
                  <c:v>14.770799999999999</c:v>
                </c:pt>
                <c:pt idx="13">
                  <c:v>14.3926</c:v>
                </c:pt>
                <c:pt idx="14">
                  <c:v>14.408899999999999</c:v>
                </c:pt>
                <c:pt idx="15">
                  <c:v>14.452400000000001</c:v>
                </c:pt>
                <c:pt idx="16">
                  <c:v>14.564399999999999</c:v>
                </c:pt>
                <c:pt idx="17">
                  <c:v>14.489699999999999</c:v>
                </c:pt>
                <c:pt idx="18">
                  <c:v>14.5045</c:v>
                </c:pt>
                <c:pt idx="19">
                  <c:v>14.4702</c:v>
                </c:pt>
                <c:pt idx="20">
                  <c:v>14.83</c:v>
                </c:pt>
                <c:pt idx="21">
                  <c:v>14.46</c:v>
                </c:pt>
              </c:numCache>
            </c:numRef>
          </c:val>
          <c:smooth val="0"/>
          <c:extLst>
            <c:ext xmlns:c16="http://schemas.microsoft.com/office/drawing/2014/chart" uri="{C3380CC4-5D6E-409C-BE32-E72D297353CC}">
              <c16:uniqueId val="{00000000-46B1-46A7-979C-12763644B819}"/>
            </c:ext>
          </c:extLst>
        </c:ser>
        <c:ser>
          <c:idx val="1"/>
          <c:order val="1"/>
          <c:tx>
            <c:strRef>
              <c:f>'[Chart 25, 26, 27, 28, 30.xlsx]Bank Stability'!$F$43</c:f>
              <c:strCache>
                <c:ptCount val="1"/>
                <c:pt idx="0">
                  <c:v>Leverage ratio (lhs)</c:v>
                </c:pt>
              </c:strCache>
            </c:strRef>
          </c:tx>
          <c:spPr>
            <a:ln w="28575" cap="rnd">
              <a:solidFill>
                <a:srgbClr val="8064A2"/>
              </a:solidFill>
              <a:round/>
            </a:ln>
            <a:effectLst/>
          </c:spPr>
          <c:marker>
            <c:symbol val="none"/>
          </c:marker>
          <c:cat>
            <c:numRef>
              <c:f>'[Chart 25, 26, 27, 28, 30.xlsx]Bank Stability'!$D$44:$D$65</c:f>
              <c:numCache>
                <c:formatCode>mmm\-yy</c:formatCode>
                <c:ptCount val="22"/>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pt idx="21">
                  <c:v>43891</c:v>
                </c:pt>
              </c:numCache>
            </c:numRef>
          </c:cat>
          <c:val>
            <c:numRef>
              <c:f>'[Chart 25, 26, 27, 28, 30.xlsx]Bank Stability'!$F$44:$F$65</c:f>
              <c:numCache>
                <c:formatCode>0</c:formatCode>
                <c:ptCount val="22"/>
                <c:pt idx="1">
                  <c:v>16.898099999999999</c:v>
                </c:pt>
                <c:pt idx="2">
                  <c:v>16.3887</c:v>
                </c:pt>
                <c:pt idx="3">
                  <c:v>16.328299999999999</c:v>
                </c:pt>
                <c:pt idx="4">
                  <c:v>15.717499999999999</c:v>
                </c:pt>
                <c:pt idx="5">
                  <c:v>16.006599999999999</c:v>
                </c:pt>
                <c:pt idx="6">
                  <c:v>16.165299999999998</c:v>
                </c:pt>
                <c:pt idx="7">
                  <c:v>15.725300000000001</c:v>
                </c:pt>
                <c:pt idx="8">
                  <c:v>15.329800000000001</c:v>
                </c:pt>
                <c:pt idx="9">
                  <c:v>15.2393</c:v>
                </c:pt>
                <c:pt idx="10">
                  <c:v>15.108000000000001</c:v>
                </c:pt>
                <c:pt idx="11">
                  <c:v>14.901</c:v>
                </c:pt>
                <c:pt idx="12">
                  <c:v>13.7681</c:v>
                </c:pt>
                <c:pt idx="13">
                  <c:v>14.202199999999999</c:v>
                </c:pt>
                <c:pt idx="14">
                  <c:v>14.3622</c:v>
                </c:pt>
                <c:pt idx="15">
                  <c:v>14.2263</c:v>
                </c:pt>
                <c:pt idx="16">
                  <c:v>13.9635</c:v>
                </c:pt>
                <c:pt idx="17">
                  <c:v>14.2606</c:v>
                </c:pt>
                <c:pt idx="18">
                  <c:v>14.417299999999999</c:v>
                </c:pt>
                <c:pt idx="19">
                  <c:v>14.5365</c:v>
                </c:pt>
                <c:pt idx="20">
                  <c:v>13.8619</c:v>
                </c:pt>
                <c:pt idx="21">
                  <c:v>14.9337</c:v>
                </c:pt>
              </c:numCache>
            </c:numRef>
          </c:val>
          <c:smooth val="0"/>
          <c:extLst>
            <c:ext xmlns:c16="http://schemas.microsoft.com/office/drawing/2014/chart" uri="{C3380CC4-5D6E-409C-BE32-E72D297353CC}">
              <c16:uniqueId val="{00000001-46B1-46A7-979C-12763644B819}"/>
            </c:ext>
          </c:extLst>
        </c:ser>
        <c:dLbls>
          <c:showLegendKey val="0"/>
          <c:showVal val="0"/>
          <c:showCatName val="0"/>
          <c:showSerName val="0"/>
          <c:showPercent val="0"/>
          <c:showBubbleSize val="0"/>
        </c:dLbls>
        <c:marker val="1"/>
        <c:smooth val="0"/>
        <c:axId val="112425216"/>
        <c:axId val="112435200"/>
      </c:lineChart>
      <c:lineChart>
        <c:grouping val="standard"/>
        <c:varyColors val="0"/>
        <c:ser>
          <c:idx val="3"/>
          <c:order val="2"/>
          <c:tx>
            <c:v>NPL ratio (rhs)</c:v>
          </c:tx>
          <c:spPr>
            <a:ln w="28575" cap="rnd">
              <a:solidFill>
                <a:srgbClr val="4F81BD"/>
              </a:solidFill>
              <a:round/>
            </a:ln>
            <a:effectLst/>
          </c:spPr>
          <c:marker>
            <c:symbol val="none"/>
          </c:marker>
          <c:cat>
            <c:numRef>
              <c:f>'[Chart 25, 26, 27, 28, 30.xlsx]Bank Stability'!$D$44:$D$65</c:f>
              <c:numCache>
                <c:formatCode>mmm\-yy</c:formatCode>
                <c:ptCount val="22"/>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pt idx="21">
                  <c:v>43891</c:v>
                </c:pt>
              </c:numCache>
            </c:numRef>
          </c:cat>
          <c:val>
            <c:numRef>
              <c:f>'[Chart 25, 26, 27, 28, 30.xlsx]Bank Stability'!$J$44:$J$65</c:f>
              <c:numCache>
                <c:formatCode>General</c:formatCode>
                <c:ptCount val="22"/>
                <c:pt idx="1">
                  <c:v>7.7704000000000004</c:v>
                </c:pt>
                <c:pt idx="2">
                  <c:v>7.6296999999999997</c:v>
                </c:pt>
                <c:pt idx="3">
                  <c:v>7.4523999999999999</c:v>
                </c:pt>
                <c:pt idx="4">
                  <c:v>7.22</c:v>
                </c:pt>
                <c:pt idx="5">
                  <c:v>7.0810000000000004</c:v>
                </c:pt>
                <c:pt idx="6">
                  <c:v>6.8741000000000003</c:v>
                </c:pt>
                <c:pt idx="7">
                  <c:v>6.7644000000000002</c:v>
                </c:pt>
                <c:pt idx="8">
                  <c:v>6.3254000000000001</c:v>
                </c:pt>
                <c:pt idx="9">
                  <c:v>6.0609999999999999</c:v>
                </c:pt>
                <c:pt idx="10">
                  <c:v>5.5804</c:v>
                </c:pt>
                <c:pt idx="11">
                  <c:v>5.2460000000000004</c:v>
                </c:pt>
                <c:pt idx="12">
                  <c:v>4.6641000000000004</c:v>
                </c:pt>
                <c:pt idx="13">
                  <c:v>4.4779999999999998</c:v>
                </c:pt>
                <c:pt idx="14">
                  <c:v>4.1630000000000003</c:v>
                </c:pt>
                <c:pt idx="15">
                  <c:v>3.9502000000000002</c:v>
                </c:pt>
                <c:pt idx="16">
                  <c:v>3.6149</c:v>
                </c:pt>
                <c:pt idx="17">
                  <c:v>3.5083000000000002</c:v>
                </c:pt>
                <c:pt idx="18">
                  <c:v>3.4102000000000001</c:v>
                </c:pt>
                <c:pt idx="19">
                  <c:v>3.2524999999999999</c:v>
                </c:pt>
                <c:pt idx="20">
                  <c:v>3.0857000000000001</c:v>
                </c:pt>
                <c:pt idx="21">
                  <c:v>2.931</c:v>
                </c:pt>
              </c:numCache>
            </c:numRef>
          </c:val>
          <c:smooth val="0"/>
          <c:extLst>
            <c:ext xmlns:c16="http://schemas.microsoft.com/office/drawing/2014/chart" uri="{C3380CC4-5D6E-409C-BE32-E72D297353CC}">
              <c16:uniqueId val="{00000002-46B1-46A7-979C-12763644B819}"/>
            </c:ext>
          </c:extLst>
        </c:ser>
        <c:dLbls>
          <c:showLegendKey val="0"/>
          <c:showVal val="0"/>
          <c:showCatName val="0"/>
          <c:showSerName val="0"/>
          <c:showPercent val="0"/>
          <c:showBubbleSize val="0"/>
        </c:dLbls>
        <c:marker val="1"/>
        <c:smooth val="0"/>
        <c:axId val="112438272"/>
        <c:axId val="112436736"/>
      </c:lineChart>
      <c:dateAx>
        <c:axId val="112425216"/>
        <c:scaling>
          <c:orientation val="minMax"/>
        </c:scaling>
        <c:delete val="0"/>
        <c:axPos val="b"/>
        <c:numFmt formatCode="yyyy" sourceLinked="0"/>
        <c:majorTickMark val="none"/>
        <c:minorTickMark val="none"/>
        <c:tickLblPos val="nextTo"/>
        <c:spPr>
          <a:noFill/>
          <a:ln w="3175" cap="flat" cmpd="sng" algn="ctr">
            <a:solidFill>
              <a:schemeClr val="tx1"/>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2435200"/>
        <c:crosses val="autoZero"/>
        <c:auto val="1"/>
        <c:lblOffset val="100"/>
        <c:baseTimeUnit val="months"/>
        <c:majorUnit val="12"/>
        <c:majorTimeUnit val="months"/>
      </c:dateAx>
      <c:valAx>
        <c:axId val="112435200"/>
        <c:scaling>
          <c:orientation val="minMax"/>
          <c:max val="20"/>
          <c:min val="10"/>
        </c:scaling>
        <c:delete val="0"/>
        <c:axPos val="l"/>
        <c:majorGridlines>
          <c:spPr>
            <a:ln w="9525" cap="flat" cmpd="sng" algn="ctr">
              <a:noFill/>
              <a:round/>
            </a:ln>
            <a:effectLst/>
          </c:spPr>
        </c:majorGridlines>
        <c:numFmt formatCode="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2425216"/>
        <c:crosses val="autoZero"/>
        <c:crossBetween val="between"/>
      </c:valAx>
      <c:valAx>
        <c:axId val="112436736"/>
        <c:scaling>
          <c:orientation val="minMax"/>
        </c:scaling>
        <c:delete val="0"/>
        <c:axPos val="r"/>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2438272"/>
        <c:crosses val="max"/>
        <c:crossBetween val="between"/>
      </c:valAx>
      <c:dateAx>
        <c:axId val="112438272"/>
        <c:scaling>
          <c:orientation val="minMax"/>
        </c:scaling>
        <c:delete val="1"/>
        <c:axPos val="b"/>
        <c:numFmt formatCode="mmm\-yy" sourceLinked="1"/>
        <c:majorTickMark val="out"/>
        <c:minorTickMark val="none"/>
        <c:tickLblPos val="nextTo"/>
        <c:crossAx val="112436736"/>
        <c:crosses val="autoZero"/>
        <c:auto val="1"/>
        <c:lblOffset val="100"/>
        <c:baseTimeUnit val="months"/>
      </c:dateAx>
      <c:spPr>
        <a:noFill/>
        <a:ln>
          <a:noFill/>
        </a:ln>
        <a:effectLst/>
      </c:spPr>
    </c:plotArea>
    <c:legend>
      <c:legendPos val="b"/>
      <c:layout>
        <c:manualLayout>
          <c:xMode val="edge"/>
          <c:yMode val="edge"/>
          <c:x val="0.24033902352174372"/>
          <c:y val="1.7386139082486287E-2"/>
          <c:w val="0.65824131944444442"/>
          <c:h val="0.196083333333333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7357250873442"/>
          <c:y val="6.4896755162241887E-2"/>
          <c:w val="0.80975973388673705"/>
          <c:h val="0.80494805591161556"/>
        </c:manualLayout>
      </c:layout>
      <c:lineChart>
        <c:grouping val="standard"/>
        <c:varyColors val="0"/>
        <c:ser>
          <c:idx val="0"/>
          <c:order val="0"/>
          <c:tx>
            <c:strRef>
              <c:f>CISS!$C$1</c:f>
              <c:strCache>
                <c:ptCount val="1"/>
                <c:pt idx="0">
                  <c:v>Composite indicator of systemic stress (daily)</c:v>
                </c:pt>
              </c:strCache>
            </c:strRef>
          </c:tx>
          <c:spPr>
            <a:ln w="22225" cap="rnd">
              <a:solidFill>
                <a:srgbClr val="8064A2"/>
              </a:solidFill>
              <a:round/>
            </a:ln>
            <a:effectLst/>
          </c:spPr>
          <c:marker>
            <c:symbol val="none"/>
          </c:marker>
          <c:cat>
            <c:numRef>
              <c:f>CISS!$A$3137:$A$5666</c:f>
              <c:numCache>
                <c:formatCode>m/d/yyyy</c:formatCode>
                <c:ptCount val="2530"/>
                <c:pt idx="0">
                  <c:v>40546</c:v>
                </c:pt>
                <c:pt idx="1">
                  <c:v>40547</c:v>
                </c:pt>
                <c:pt idx="2">
                  <c:v>40548</c:v>
                </c:pt>
                <c:pt idx="3">
                  <c:v>40549</c:v>
                </c:pt>
                <c:pt idx="4">
                  <c:v>40550</c:v>
                </c:pt>
                <c:pt idx="5">
                  <c:v>40553</c:v>
                </c:pt>
                <c:pt idx="6">
                  <c:v>40554</c:v>
                </c:pt>
                <c:pt idx="7">
                  <c:v>40555</c:v>
                </c:pt>
                <c:pt idx="8">
                  <c:v>40556</c:v>
                </c:pt>
                <c:pt idx="9">
                  <c:v>40557</c:v>
                </c:pt>
                <c:pt idx="10">
                  <c:v>40560</c:v>
                </c:pt>
                <c:pt idx="11">
                  <c:v>40561</c:v>
                </c:pt>
                <c:pt idx="12">
                  <c:v>40562</c:v>
                </c:pt>
                <c:pt idx="13">
                  <c:v>40563</c:v>
                </c:pt>
                <c:pt idx="14">
                  <c:v>40564</c:v>
                </c:pt>
                <c:pt idx="15">
                  <c:v>40567</c:v>
                </c:pt>
                <c:pt idx="16">
                  <c:v>40568</c:v>
                </c:pt>
                <c:pt idx="17">
                  <c:v>40569</c:v>
                </c:pt>
                <c:pt idx="18">
                  <c:v>40570</c:v>
                </c:pt>
                <c:pt idx="19">
                  <c:v>40571</c:v>
                </c:pt>
                <c:pt idx="20">
                  <c:v>40574</c:v>
                </c:pt>
                <c:pt idx="21">
                  <c:v>40575</c:v>
                </c:pt>
                <c:pt idx="22">
                  <c:v>40576</c:v>
                </c:pt>
                <c:pt idx="23">
                  <c:v>40577</c:v>
                </c:pt>
                <c:pt idx="24">
                  <c:v>40578</c:v>
                </c:pt>
                <c:pt idx="25">
                  <c:v>40581</c:v>
                </c:pt>
                <c:pt idx="26">
                  <c:v>40582</c:v>
                </c:pt>
                <c:pt idx="27">
                  <c:v>40583</c:v>
                </c:pt>
                <c:pt idx="28">
                  <c:v>40584</c:v>
                </c:pt>
                <c:pt idx="29">
                  <c:v>40585</c:v>
                </c:pt>
                <c:pt idx="30">
                  <c:v>40588</c:v>
                </c:pt>
                <c:pt idx="31">
                  <c:v>40589</c:v>
                </c:pt>
                <c:pt idx="32">
                  <c:v>40590</c:v>
                </c:pt>
                <c:pt idx="33">
                  <c:v>40591</c:v>
                </c:pt>
                <c:pt idx="34">
                  <c:v>40592</c:v>
                </c:pt>
                <c:pt idx="35">
                  <c:v>40595</c:v>
                </c:pt>
                <c:pt idx="36">
                  <c:v>40596</c:v>
                </c:pt>
                <c:pt idx="37">
                  <c:v>40597</c:v>
                </c:pt>
                <c:pt idx="38">
                  <c:v>40598</c:v>
                </c:pt>
                <c:pt idx="39">
                  <c:v>40599</c:v>
                </c:pt>
                <c:pt idx="40">
                  <c:v>40602</c:v>
                </c:pt>
                <c:pt idx="41">
                  <c:v>40603</c:v>
                </c:pt>
                <c:pt idx="42">
                  <c:v>40604</c:v>
                </c:pt>
                <c:pt idx="43">
                  <c:v>40605</c:v>
                </c:pt>
                <c:pt idx="44">
                  <c:v>40606</c:v>
                </c:pt>
                <c:pt idx="45">
                  <c:v>40609</c:v>
                </c:pt>
                <c:pt idx="46">
                  <c:v>40610</c:v>
                </c:pt>
                <c:pt idx="47">
                  <c:v>40611</c:v>
                </c:pt>
                <c:pt idx="48">
                  <c:v>40612</c:v>
                </c:pt>
                <c:pt idx="49">
                  <c:v>40613</c:v>
                </c:pt>
                <c:pt idx="50">
                  <c:v>40616</c:v>
                </c:pt>
                <c:pt idx="51">
                  <c:v>40617</c:v>
                </c:pt>
                <c:pt idx="52">
                  <c:v>40618</c:v>
                </c:pt>
                <c:pt idx="53">
                  <c:v>40619</c:v>
                </c:pt>
                <c:pt idx="54">
                  <c:v>40620</c:v>
                </c:pt>
                <c:pt idx="55">
                  <c:v>40623</c:v>
                </c:pt>
                <c:pt idx="56">
                  <c:v>40624</c:v>
                </c:pt>
                <c:pt idx="57">
                  <c:v>40625</c:v>
                </c:pt>
                <c:pt idx="58">
                  <c:v>40626</c:v>
                </c:pt>
                <c:pt idx="59">
                  <c:v>40627</c:v>
                </c:pt>
                <c:pt idx="60">
                  <c:v>40630</c:v>
                </c:pt>
                <c:pt idx="61">
                  <c:v>40631</c:v>
                </c:pt>
                <c:pt idx="62">
                  <c:v>40632</c:v>
                </c:pt>
                <c:pt idx="63">
                  <c:v>40633</c:v>
                </c:pt>
                <c:pt idx="64">
                  <c:v>40634</c:v>
                </c:pt>
                <c:pt idx="65">
                  <c:v>40637</c:v>
                </c:pt>
                <c:pt idx="66">
                  <c:v>40638</c:v>
                </c:pt>
                <c:pt idx="67">
                  <c:v>40639</c:v>
                </c:pt>
                <c:pt idx="68">
                  <c:v>40640</c:v>
                </c:pt>
                <c:pt idx="69">
                  <c:v>40641</c:v>
                </c:pt>
                <c:pt idx="70">
                  <c:v>40644</c:v>
                </c:pt>
                <c:pt idx="71">
                  <c:v>40645</c:v>
                </c:pt>
                <c:pt idx="72">
                  <c:v>40646</c:v>
                </c:pt>
                <c:pt idx="73">
                  <c:v>40647</c:v>
                </c:pt>
                <c:pt idx="74">
                  <c:v>40648</c:v>
                </c:pt>
                <c:pt idx="75">
                  <c:v>40651</c:v>
                </c:pt>
                <c:pt idx="76">
                  <c:v>40652</c:v>
                </c:pt>
                <c:pt idx="77">
                  <c:v>40653</c:v>
                </c:pt>
                <c:pt idx="78">
                  <c:v>40654</c:v>
                </c:pt>
                <c:pt idx="79">
                  <c:v>40655</c:v>
                </c:pt>
                <c:pt idx="80">
                  <c:v>40658</c:v>
                </c:pt>
                <c:pt idx="81">
                  <c:v>40659</c:v>
                </c:pt>
                <c:pt idx="82">
                  <c:v>40660</c:v>
                </c:pt>
                <c:pt idx="83">
                  <c:v>40661</c:v>
                </c:pt>
                <c:pt idx="84">
                  <c:v>40662</c:v>
                </c:pt>
                <c:pt idx="85">
                  <c:v>40665</c:v>
                </c:pt>
                <c:pt idx="86">
                  <c:v>40666</c:v>
                </c:pt>
                <c:pt idx="87">
                  <c:v>40667</c:v>
                </c:pt>
                <c:pt idx="88">
                  <c:v>40668</c:v>
                </c:pt>
                <c:pt idx="89">
                  <c:v>40669</c:v>
                </c:pt>
                <c:pt idx="90">
                  <c:v>40672</c:v>
                </c:pt>
                <c:pt idx="91">
                  <c:v>40673</c:v>
                </c:pt>
                <c:pt idx="92">
                  <c:v>40674</c:v>
                </c:pt>
                <c:pt idx="93">
                  <c:v>40675</c:v>
                </c:pt>
                <c:pt idx="94">
                  <c:v>40676</c:v>
                </c:pt>
                <c:pt idx="95">
                  <c:v>40679</c:v>
                </c:pt>
                <c:pt idx="96">
                  <c:v>40680</c:v>
                </c:pt>
                <c:pt idx="97">
                  <c:v>40681</c:v>
                </c:pt>
                <c:pt idx="98">
                  <c:v>40682</c:v>
                </c:pt>
                <c:pt idx="99">
                  <c:v>40683</c:v>
                </c:pt>
                <c:pt idx="100">
                  <c:v>40686</c:v>
                </c:pt>
                <c:pt idx="101">
                  <c:v>40687</c:v>
                </c:pt>
                <c:pt idx="102">
                  <c:v>40688</c:v>
                </c:pt>
                <c:pt idx="103">
                  <c:v>40689</c:v>
                </c:pt>
                <c:pt idx="104">
                  <c:v>40690</c:v>
                </c:pt>
                <c:pt idx="105">
                  <c:v>40693</c:v>
                </c:pt>
                <c:pt idx="106">
                  <c:v>40694</c:v>
                </c:pt>
                <c:pt idx="107">
                  <c:v>40695</c:v>
                </c:pt>
                <c:pt idx="108">
                  <c:v>40696</c:v>
                </c:pt>
                <c:pt idx="109">
                  <c:v>40697</c:v>
                </c:pt>
                <c:pt idx="110">
                  <c:v>40700</c:v>
                </c:pt>
                <c:pt idx="111">
                  <c:v>40701</c:v>
                </c:pt>
                <c:pt idx="112">
                  <c:v>40702</c:v>
                </c:pt>
                <c:pt idx="113">
                  <c:v>40703</c:v>
                </c:pt>
                <c:pt idx="114">
                  <c:v>40704</c:v>
                </c:pt>
                <c:pt idx="115">
                  <c:v>40707</c:v>
                </c:pt>
                <c:pt idx="116">
                  <c:v>40708</c:v>
                </c:pt>
                <c:pt idx="117">
                  <c:v>40709</c:v>
                </c:pt>
                <c:pt idx="118">
                  <c:v>40710</c:v>
                </c:pt>
                <c:pt idx="119">
                  <c:v>40711</c:v>
                </c:pt>
                <c:pt idx="120">
                  <c:v>40714</c:v>
                </c:pt>
                <c:pt idx="121">
                  <c:v>40715</c:v>
                </c:pt>
                <c:pt idx="122">
                  <c:v>40716</c:v>
                </c:pt>
                <c:pt idx="123">
                  <c:v>40717</c:v>
                </c:pt>
                <c:pt idx="124">
                  <c:v>40718</c:v>
                </c:pt>
                <c:pt idx="125">
                  <c:v>40721</c:v>
                </c:pt>
                <c:pt idx="126">
                  <c:v>40722</c:v>
                </c:pt>
                <c:pt idx="127">
                  <c:v>40723</c:v>
                </c:pt>
                <c:pt idx="128">
                  <c:v>40724</c:v>
                </c:pt>
                <c:pt idx="129">
                  <c:v>40725</c:v>
                </c:pt>
                <c:pt idx="130">
                  <c:v>40728</c:v>
                </c:pt>
                <c:pt idx="131">
                  <c:v>40729</c:v>
                </c:pt>
                <c:pt idx="132">
                  <c:v>40730</c:v>
                </c:pt>
                <c:pt idx="133">
                  <c:v>40731</c:v>
                </c:pt>
                <c:pt idx="134">
                  <c:v>40732</c:v>
                </c:pt>
                <c:pt idx="135">
                  <c:v>40735</c:v>
                </c:pt>
                <c:pt idx="136">
                  <c:v>40736</c:v>
                </c:pt>
                <c:pt idx="137">
                  <c:v>40737</c:v>
                </c:pt>
                <c:pt idx="138">
                  <c:v>40738</c:v>
                </c:pt>
                <c:pt idx="139">
                  <c:v>40739</c:v>
                </c:pt>
                <c:pt idx="140">
                  <c:v>40742</c:v>
                </c:pt>
                <c:pt idx="141">
                  <c:v>40743</c:v>
                </c:pt>
                <c:pt idx="142">
                  <c:v>40744</c:v>
                </c:pt>
                <c:pt idx="143">
                  <c:v>40745</c:v>
                </c:pt>
                <c:pt idx="144">
                  <c:v>40746</c:v>
                </c:pt>
                <c:pt idx="145">
                  <c:v>40749</c:v>
                </c:pt>
                <c:pt idx="146">
                  <c:v>40750</c:v>
                </c:pt>
                <c:pt idx="147">
                  <c:v>40751</c:v>
                </c:pt>
                <c:pt idx="148">
                  <c:v>40752</c:v>
                </c:pt>
                <c:pt idx="149">
                  <c:v>40753</c:v>
                </c:pt>
                <c:pt idx="150">
                  <c:v>40756</c:v>
                </c:pt>
                <c:pt idx="151">
                  <c:v>40757</c:v>
                </c:pt>
                <c:pt idx="152">
                  <c:v>40758</c:v>
                </c:pt>
                <c:pt idx="153">
                  <c:v>40759</c:v>
                </c:pt>
                <c:pt idx="154">
                  <c:v>40760</c:v>
                </c:pt>
                <c:pt idx="155">
                  <c:v>40763</c:v>
                </c:pt>
                <c:pt idx="156">
                  <c:v>40764</c:v>
                </c:pt>
                <c:pt idx="157">
                  <c:v>40765</c:v>
                </c:pt>
                <c:pt idx="158">
                  <c:v>40766</c:v>
                </c:pt>
                <c:pt idx="159">
                  <c:v>40767</c:v>
                </c:pt>
                <c:pt idx="160">
                  <c:v>40770</c:v>
                </c:pt>
                <c:pt idx="161">
                  <c:v>40771</c:v>
                </c:pt>
                <c:pt idx="162">
                  <c:v>40772</c:v>
                </c:pt>
                <c:pt idx="163">
                  <c:v>40773</c:v>
                </c:pt>
                <c:pt idx="164">
                  <c:v>40774</c:v>
                </c:pt>
                <c:pt idx="165">
                  <c:v>40777</c:v>
                </c:pt>
                <c:pt idx="166">
                  <c:v>40778</c:v>
                </c:pt>
                <c:pt idx="167">
                  <c:v>40779</c:v>
                </c:pt>
                <c:pt idx="168">
                  <c:v>40780</c:v>
                </c:pt>
                <c:pt idx="169">
                  <c:v>40781</c:v>
                </c:pt>
                <c:pt idx="170">
                  <c:v>40784</c:v>
                </c:pt>
                <c:pt idx="171">
                  <c:v>40785</c:v>
                </c:pt>
                <c:pt idx="172">
                  <c:v>40786</c:v>
                </c:pt>
                <c:pt idx="173">
                  <c:v>40787</c:v>
                </c:pt>
                <c:pt idx="174">
                  <c:v>40788</c:v>
                </c:pt>
                <c:pt idx="175">
                  <c:v>40791</c:v>
                </c:pt>
                <c:pt idx="176">
                  <c:v>40792</c:v>
                </c:pt>
                <c:pt idx="177">
                  <c:v>40793</c:v>
                </c:pt>
                <c:pt idx="178">
                  <c:v>40794</c:v>
                </c:pt>
                <c:pt idx="179">
                  <c:v>40795</c:v>
                </c:pt>
                <c:pt idx="180">
                  <c:v>40798</c:v>
                </c:pt>
                <c:pt idx="181">
                  <c:v>40799</c:v>
                </c:pt>
                <c:pt idx="182">
                  <c:v>40800</c:v>
                </c:pt>
                <c:pt idx="183">
                  <c:v>40801</c:v>
                </c:pt>
                <c:pt idx="184">
                  <c:v>40802</c:v>
                </c:pt>
                <c:pt idx="185">
                  <c:v>40805</c:v>
                </c:pt>
                <c:pt idx="186">
                  <c:v>40806</c:v>
                </c:pt>
                <c:pt idx="187">
                  <c:v>40807</c:v>
                </c:pt>
                <c:pt idx="188">
                  <c:v>40808</c:v>
                </c:pt>
                <c:pt idx="189">
                  <c:v>40809</c:v>
                </c:pt>
                <c:pt idx="190">
                  <c:v>40812</c:v>
                </c:pt>
                <c:pt idx="191">
                  <c:v>40813</c:v>
                </c:pt>
                <c:pt idx="192">
                  <c:v>40814</c:v>
                </c:pt>
                <c:pt idx="193">
                  <c:v>40815</c:v>
                </c:pt>
                <c:pt idx="194">
                  <c:v>40816</c:v>
                </c:pt>
                <c:pt idx="195">
                  <c:v>40819</c:v>
                </c:pt>
                <c:pt idx="196">
                  <c:v>40820</c:v>
                </c:pt>
                <c:pt idx="197">
                  <c:v>40821</c:v>
                </c:pt>
                <c:pt idx="198">
                  <c:v>40822</c:v>
                </c:pt>
                <c:pt idx="199">
                  <c:v>40823</c:v>
                </c:pt>
                <c:pt idx="200">
                  <c:v>40826</c:v>
                </c:pt>
                <c:pt idx="201">
                  <c:v>40827</c:v>
                </c:pt>
                <c:pt idx="202">
                  <c:v>40828</c:v>
                </c:pt>
                <c:pt idx="203">
                  <c:v>40829</c:v>
                </c:pt>
                <c:pt idx="204">
                  <c:v>40830</c:v>
                </c:pt>
                <c:pt idx="205">
                  <c:v>40833</c:v>
                </c:pt>
                <c:pt idx="206">
                  <c:v>40834</c:v>
                </c:pt>
                <c:pt idx="207">
                  <c:v>40835</c:v>
                </c:pt>
                <c:pt idx="208">
                  <c:v>40836</c:v>
                </c:pt>
                <c:pt idx="209">
                  <c:v>40837</c:v>
                </c:pt>
                <c:pt idx="210">
                  <c:v>40840</c:v>
                </c:pt>
                <c:pt idx="211">
                  <c:v>40841</c:v>
                </c:pt>
                <c:pt idx="212">
                  <c:v>40842</c:v>
                </c:pt>
                <c:pt idx="213">
                  <c:v>40843</c:v>
                </c:pt>
                <c:pt idx="214">
                  <c:v>40844</c:v>
                </c:pt>
                <c:pt idx="215">
                  <c:v>40847</c:v>
                </c:pt>
                <c:pt idx="216">
                  <c:v>40848</c:v>
                </c:pt>
                <c:pt idx="217">
                  <c:v>40849</c:v>
                </c:pt>
                <c:pt idx="218">
                  <c:v>40850</c:v>
                </c:pt>
                <c:pt idx="219">
                  <c:v>40851</c:v>
                </c:pt>
                <c:pt idx="220">
                  <c:v>40854</c:v>
                </c:pt>
                <c:pt idx="221">
                  <c:v>40855</c:v>
                </c:pt>
                <c:pt idx="222">
                  <c:v>40856</c:v>
                </c:pt>
                <c:pt idx="223">
                  <c:v>40857</c:v>
                </c:pt>
                <c:pt idx="224">
                  <c:v>40858</c:v>
                </c:pt>
                <c:pt idx="225">
                  <c:v>40861</c:v>
                </c:pt>
                <c:pt idx="226">
                  <c:v>40862</c:v>
                </c:pt>
                <c:pt idx="227">
                  <c:v>40863</c:v>
                </c:pt>
                <c:pt idx="228">
                  <c:v>40864</c:v>
                </c:pt>
                <c:pt idx="229">
                  <c:v>40865</c:v>
                </c:pt>
                <c:pt idx="230">
                  <c:v>40868</c:v>
                </c:pt>
                <c:pt idx="231">
                  <c:v>40869</c:v>
                </c:pt>
                <c:pt idx="232">
                  <c:v>40870</c:v>
                </c:pt>
                <c:pt idx="233">
                  <c:v>40871</c:v>
                </c:pt>
                <c:pt idx="234">
                  <c:v>40872</c:v>
                </c:pt>
                <c:pt idx="235">
                  <c:v>40875</c:v>
                </c:pt>
                <c:pt idx="236">
                  <c:v>40876</c:v>
                </c:pt>
                <c:pt idx="237">
                  <c:v>40877</c:v>
                </c:pt>
                <c:pt idx="238">
                  <c:v>40878</c:v>
                </c:pt>
                <c:pt idx="239">
                  <c:v>40879</c:v>
                </c:pt>
                <c:pt idx="240">
                  <c:v>40882</c:v>
                </c:pt>
                <c:pt idx="241">
                  <c:v>40883</c:v>
                </c:pt>
                <c:pt idx="242">
                  <c:v>40884</c:v>
                </c:pt>
                <c:pt idx="243">
                  <c:v>40885</c:v>
                </c:pt>
                <c:pt idx="244">
                  <c:v>40886</c:v>
                </c:pt>
                <c:pt idx="245">
                  <c:v>40889</c:v>
                </c:pt>
                <c:pt idx="246">
                  <c:v>40890</c:v>
                </c:pt>
                <c:pt idx="247">
                  <c:v>40891</c:v>
                </c:pt>
                <c:pt idx="248">
                  <c:v>40892</c:v>
                </c:pt>
                <c:pt idx="249">
                  <c:v>40893</c:v>
                </c:pt>
                <c:pt idx="250">
                  <c:v>40896</c:v>
                </c:pt>
                <c:pt idx="251">
                  <c:v>40897</c:v>
                </c:pt>
                <c:pt idx="252">
                  <c:v>40898</c:v>
                </c:pt>
                <c:pt idx="253">
                  <c:v>40899</c:v>
                </c:pt>
                <c:pt idx="254">
                  <c:v>40900</c:v>
                </c:pt>
                <c:pt idx="255">
                  <c:v>40903</c:v>
                </c:pt>
                <c:pt idx="256">
                  <c:v>40904</c:v>
                </c:pt>
                <c:pt idx="257">
                  <c:v>40905</c:v>
                </c:pt>
                <c:pt idx="258">
                  <c:v>40906</c:v>
                </c:pt>
                <c:pt idx="259">
                  <c:v>40907</c:v>
                </c:pt>
                <c:pt idx="260">
                  <c:v>40910</c:v>
                </c:pt>
                <c:pt idx="261">
                  <c:v>40911</c:v>
                </c:pt>
                <c:pt idx="262">
                  <c:v>40912</c:v>
                </c:pt>
                <c:pt idx="263">
                  <c:v>40913</c:v>
                </c:pt>
                <c:pt idx="264">
                  <c:v>40914</c:v>
                </c:pt>
                <c:pt idx="265">
                  <c:v>40917</c:v>
                </c:pt>
                <c:pt idx="266">
                  <c:v>40918</c:v>
                </c:pt>
                <c:pt idx="267">
                  <c:v>40919</c:v>
                </c:pt>
                <c:pt idx="268">
                  <c:v>40920</c:v>
                </c:pt>
                <c:pt idx="269">
                  <c:v>40921</c:v>
                </c:pt>
                <c:pt idx="270">
                  <c:v>40924</c:v>
                </c:pt>
                <c:pt idx="271">
                  <c:v>40925</c:v>
                </c:pt>
                <c:pt idx="272">
                  <c:v>40926</c:v>
                </c:pt>
                <c:pt idx="273">
                  <c:v>40927</c:v>
                </c:pt>
                <c:pt idx="274">
                  <c:v>40928</c:v>
                </c:pt>
                <c:pt idx="275">
                  <c:v>40931</c:v>
                </c:pt>
                <c:pt idx="276">
                  <c:v>40932</c:v>
                </c:pt>
                <c:pt idx="277">
                  <c:v>40933</c:v>
                </c:pt>
                <c:pt idx="278">
                  <c:v>40934</c:v>
                </c:pt>
                <c:pt idx="279">
                  <c:v>40935</c:v>
                </c:pt>
                <c:pt idx="280">
                  <c:v>40938</c:v>
                </c:pt>
                <c:pt idx="281">
                  <c:v>40939</c:v>
                </c:pt>
                <c:pt idx="282">
                  <c:v>40940</c:v>
                </c:pt>
                <c:pt idx="283">
                  <c:v>40941</c:v>
                </c:pt>
                <c:pt idx="284">
                  <c:v>40942</c:v>
                </c:pt>
                <c:pt idx="285">
                  <c:v>40945</c:v>
                </c:pt>
                <c:pt idx="286">
                  <c:v>40946</c:v>
                </c:pt>
                <c:pt idx="287">
                  <c:v>40947</c:v>
                </c:pt>
                <c:pt idx="288">
                  <c:v>40948</c:v>
                </c:pt>
                <c:pt idx="289">
                  <c:v>40949</c:v>
                </c:pt>
                <c:pt idx="290">
                  <c:v>40952</c:v>
                </c:pt>
                <c:pt idx="291">
                  <c:v>40953</c:v>
                </c:pt>
                <c:pt idx="292">
                  <c:v>40954</c:v>
                </c:pt>
                <c:pt idx="293">
                  <c:v>40955</c:v>
                </c:pt>
                <c:pt idx="294">
                  <c:v>40956</c:v>
                </c:pt>
                <c:pt idx="295">
                  <c:v>40959</c:v>
                </c:pt>
                <c:pt idx="296">
                  <c:v>40960</c:v>
                </c:pt>
                <c:pt idx="297">
                  <c:v>40961</c:v>
                </c:pt>
                <c:pt idx="298">
                  <c:v>40962</c:v>
                </c:pt>
                <c:pt idx="299">
                  <c:v>40963</c:v>
                </c:pt>
                <c:pt idx="300">
                  <c:v>40966</c:v>
                </c:pt>
                <c:pt idx="301">
                  <c:v>40967</c:v>
                </c:pt>
                <c:pt idx="302">
                  <c:v>40968</c:v>
                </c:pt>
                <c:pt idx="303">
                  <c:v>40969</c:v>
                </c:pt>
                <c:pt idx="304">
                  <c:v>40970</c:v>
                </c:pt>
                <c:pt idx="305">
                  <c:v>40973</c:v>
                </c:pt>
                <c:pt idx="306">
                  <c:v>40974</c:v>
                </c:pt>
                <c:pt idx="307">
                  <c:v>40975</c:v>
                </c:pt>
                <c:pt idx="308">
                  <c:v>40976</c:v>
                </c:pt>
                <c:pt idx="309">
                  <c:v>40977</c:v>
                </c:pt>
                <c:pt idx="310">
                  <c:v>40980</c:v>
                </c:pt>
                <c:pt idx="311">
                  <c:v>40981</c:v>
                </c:pt>
                <c:pt idx="312">
                  <c:v>40982</c:v>
                </c:pt>
                <c:pt idx="313">
                  <c:v>40983</c:v>
                </c:pt>
                <c:pt idx="314">
                  <c:v>40984</c:v>
                </c:pt>
                <c:pt idx="315">
                  <c:v>40987</c:v>
                </c:pt>
                <c:pt idx="316">
                  <c:v>40988</c:v>
                </c:pt>
                <c:pt idx="317">
                  <c:v>40989</c:v>
                </c:pt>
                <c:pt idx="318">
                  <c:v>40990</c:v>
                </c:pt>
                <c:pt idx="319">
                  <c:v>40991</c:v>
                </c:pt>
                <c:pt idx="320">
                  <c:v>40994</c:v>
                </c:pt>
                <c:pt idx="321">
                  <c:v>40995</c:v>
                </c:pt>
                <c:pt idx="322">
                  <c:v>40996</c:v>
                </c:pt>
                <c:pt idx="323">
                  <c:v>40997</c:v>
                </c:pt>
                <c:pt idx="324">
                  <c:v>40998</c:v>
                </c:pt>
                <c:pt idx="325">
                  <c:v>41001</c:v>
                </c:pt>
                <c:pt idx="326">
                  <c:v>41002</c:v>
                </c:pt>
                <c:pt idx="327">
                  <c:v>41003</c:v>
                </c:pt>
                <c:pt idx="328">
                  <c:v>41004</c:v>
                </c:pt>
                <c:pt idx="329">
                  <c:v>41005</c:v>
                </c:pt>
                <c:pt idx="330">
                  <c:v>41008</c:v>
                </c:pt>
                <c:pt idx="331">
                  <c:v>41009</c:v>
                </c:pt>
                <c:pt idx="332">
                  <c:v>41010</c:v>
                </c:pt>
                <c:pt idx="333">
                  <c:v>41011</c:v>
                </c:pt>
                <c:pt idx="334">
                  <c:v>41012</c:v>
                </c:pt>
                <c:pt idx="335">
                  <c:v>41015</c:v>
                </c:pt>
                <c:pt idx="336">
                  <c:v>41016</c:v>
                </c:pt>
                <c:pt idx="337">
                  <c:v>41017</c:v>
                </c:pt>
                <c:pt idx="338">
                  <c:v>41018</c:v>
                </c:pt>
                <c:pt idx="339">
                  <c:v>41019</c:v>
                </c:pt>
                <c:pt idx="340">
                  <c:v>41022</c:v>
                </c:pt>
                <c:pt idx="341">
                  <c:v>41023</c:v>
                </c:pt>
                <c:pt idx="342">
                  <c:v>41024</c:v>
                </c:pt>
                <c:pt idx="343">
                  <c:v>41025</c:v>
                </c:pt>
                <c:pt idx="344">
                  <c:v>41026</c:v>
                </c:pt>
                <c:pt idx="345">
                  <c:v>41029</c:v>
                </c:pt>
                <c:pt idx="346">
                  <c:v>41030</c:v>
                </c:pt>
                <c:pt idx="347">
                  <c:v>41031</c:v>
                </c:pt>
                <c:pt idx="348">
                  <c:v>41032</c:v>
                </c:pt>
                <c:pt idx="349">
                  <c:v>41033</c:v>
                </c:pt>
                <c:pt idx="350">
                  <c:v>41036</c:v>
                </c:pt>
                <c:pt idx="351">
                  <c:v>41037</c:v>
                </c:pt>
                <c:pt idx="352">
                  <c:v>41038</c:v>
                </c:pt>
                <c:pt idx="353">
                  <c:v>41039</c:v>
                </c:pt>
                <c:pt idx="354">
                  <c:v>41040</c:v>
                </c:pt>
                <c:pt idx="355">
                  <c:v>41043</c:v>
                </c:pt>
                <c:pt idx="356">
                  <c:v>41044</c:v>
                </c:pt>
                <c:pt idx="357">
                  <c:v>41045</c:v>
                </c:pt>
                <c:pt idx="358">
                  <c:v>41046</c:v>
                </c:pt>
                <c:pt idx="359">
                  <c:v>41047</c:v>
                </c:pt>
                <c:pt idx="360">
                  <c:v>41050</c:v>
                </c:pt>
                <c:pt idx="361">
                  <c:v>41051</c:v>
                </c:pt>
                <c:pt idx="362">
                  <c:v>41052</c:v>
                </c:pt>
                <c:pt idx="363">
                  <c:v>41053</c:v>
                </c:pt>
                <c:pt idx="364">
                  <c:v>41054</c:v>
                </c:pt>
                <c:pt idx="365">
                  <c:v>41057</c:v>
                </c:pt>
                <c:pt idx="366">
                  <c:v>41058</c:v>
                </c:pt>
                <c:pt idx="367">
                  <c:v>41059</c:v>
                </c:pt>
                <c:pt idx="368">
                  <c:v>41060</c:v>
                </c:pt>
                <c:pt idx="369">
                  <c:v>41061</c:v>
                </c:pt>
                <c:pt idx="370">
                  <c:v>41064</c:v>
                </c:pt>
                <c:pt idx="371">
                  <c:v>41065</c:v>
                </c:pt>
                <c:pt idx="372">
                  <c:v>41066</c:v>
                </c:pt>
                <c:pt idx="373">
                  <c:v>41067</c:v>
                </c:pt>
                <c:pt idx="374">
                  <c:v>41068</c:v>
                </c:pt>
                <c:pt idx="375">
                  <c:v>41071</c:v>
                </c:pt>
                <c:pt idx="376">
                  <c:v>41072</c:v>
                </c:pt>
                <c:pt idx="377">
                  <c:v>41073</c:v>
                </c:pt>
                <c:pt idx="378">
                  <c:v>41074</c:v>
                </c:pt>
                <c:pt idx="379">
                  <c:v>41075</c:v>
                </c:pt>
                <c:pt idx="380">
                  <c:v>41078</c:v>
                </c:pt>
                <c:pt idx="381">
                  <c:v>41079</c:v>
                </c:pt>
                <c:pt idx="382">
                  <c:v>41080</c:v>
                </c:pt>
                <c:pt idx="383">
                  <c:v>41081</c:v>
                </c:pt>
                <c:pt idx="384">
                  <c:v>41082</c:v>
                </c:pt>
                <c:pt idx="385">
                  <c:v>41085</c:v>
                </c:pt>
                <c:pt idx="386">
                  <c:v>41086</c:v>
                </c:pt>
                <c:pt idx="387">
                  <c:v>41087</c:v>
                </c:pt>
                <c:pt idx="388">
                  <c:v>41088</c:v>
                </c:pt>
                <c:pt idx="389">
                  <c:v>41089</c:v>
                </c:pt>
                <c:pt idx="390">
                  <c:v>41092</c:v>
                </c:pt>
                <c:pt idx="391">
                  <c:v>41093</c:v>
                </c:pt>
                <c:pt idx="392">
                  <c:v>41094</c:v>
                </c:pt>
                <c:pt idx="393">
                  <c:v>41095</c:v>
                </c:pt>
                <c:pt idx="394">
                  <c:v>41096</c:v>
                </c:pt>
                <c:pt idx="395">
                  <c:v>41099</c:v>
                </c:pt>
                <c:pt idx="396">
                  <c:v>41100</c:v>
                </c:pt>
                <c:pt idx="397">
                  <c:v>41101</c:v>
                </c:pt>
                <c:pt idx="398">
                  <c:v>41102</c:v>
                </c:pt>
                <c:pt idx="399">
                  <c:v>41103</c:v>
                </c:pt>
                <c:pt idx="400">
                  <c:v>41106</c:v>
                </c:pt>
                <c:pt idx="401">
                  <c:v>41107</c:v>
                </c:pt>
                <c:pt idx="402">
                  <c:v>41108</c:v>
                </c:pt>
                <c:pt idx="403">
                  <c:v>41109</c:v>
                </c:pt>
                <c:pt idx="404">
                  <c:v>41110</c:v>
                </c:pt>
                <c:pt idx="405">
                  <c:v>41113</c:v>
                </c:pt>
                <c:pt idx="406">
                  <c:v>41114</c:v>
                </c:pt>
                <c:pt idx="407">
                  <c:v>41115</c:v>
                </c:pt>
                <c:pt idx="408">
                  <c:v>41116</c:v>
                </c:pt>
                <c:pt idx="409">
                  <c:v>41117</c:v>
                </c:pt>
                <c:pt idx="410">
                  <c:v>41120</c:v>
                </c:pt>
                <c:pt idx="411">
                  <c:v>41121</c:v>
                </c:pt>
                <c:pt idx="412">
                  <c:v>41122</c:v>
                </c:pt>
                <c:pt idx="413">
                  <c:v>41123</c:v>
                </c:pt>
                <c:pt idx="414">
                  <c:v>41124</c:v>
                </c:pt>
                <c:pt idx="415">
                  <c:v>41127</c:v>
                </c:pt>
                <c:pt idx="416">
                  <c:v>41128</c:v>
                </c:pt>
                <c:pt idx="417">
                  <c:v>41129</c:v>
                </c:pt>
                <c:pt idx="418">
                  <c:v>41130</c:v>
                </c:pt>
                <c:pt idx="419">
                  <c:v>41131</c:v>
                </c:pt>
                <c:pt idx="420">
                  <c:v>41134</c:v>
                </c:pt>
                <c:pt idx="421">
                  <c:v>41135</c:v>
                </c:pt>
                <c:pt idx="422">
                  <c:v>41136</c:v>
                </c:pt>
                <c:pt idx="423">
                  <c:v>41137</c:v>
                </c:pt>
                <c:pt idx="424">
                  <c:v>41138</c:v>
                </c:pt>
                <c:pt idx="425">
                  <c:v>41141</c:v>
                </c:pt>
                <c:pt idx="426">
                  <c:v>41142</c:v>
                </c:pt>
                <c:pt idx="427">
                  <c:v>41143</c:v>
                </c:pt>
                <c:pt idx="428">
                  <c:v>41144</c:v>
                </c:pt>
                <c:pt idx="429">
                  <c:v>41145</c:v>
                </c:pt>
                <c:pt idx="430">
                  <c:v>41148</c:v>
                </c:pt>
                <c:pt idx="431">
                  <c:v>41149</c:v>
                </c:pt>
                <c:pt idx="432">
                  <c:v>41150</c:v>
                </c:pt>
                <c:pt idx="433">
                  <c:v>41151</c:v>
                </c:pt>
                <c:pt idx="434">
                  <c:v>41152</c:v>
                </c:pt>
                <c:pt idx="435">
                  <c:v>41155</c:v>
                </c:pt>
                <c:pt idx="436">
                  <c:v>41156</c:v>
                </c:pt>
                <c:pt idx="437">
                  <c:v>41157</c:v>
                </c:pt>
                <c:pt idx="438">
                  <c:v>41158</c:v>
                </c:pt>
                <c:pt idx="439">
                  <c:v>41159</c:v>
                </c:pt>
                <c:pt idx="440">
                  <c:v>41162</c:v>
                </c:pt>
                <c:pt idx="441">
                  <c:v>41163</c:v>
                </c:pt>
                <c:pt idx="442">
                  <c:v>41164</c:v>
                </c:pt>
                <c:pt idx="443">
                  <c:v>41165</c:v>
                </c:pt>
                <c:pt idx="444">
                  <c:v>41166</c:v>
                </c:pt>
                <c:pt idx="445">
                  <c:v>41169</c:v>
                </c:pt>
                <c:pt idx="446">
                  <c:v>41170</c:v>
                </c:pt>
                <c:pt idx="447">
                  <c:v>41171</c:v>
                </c:pt>
                <c:pt idx="448">
                  <c:v>41172</c:v>
                </c:pt>
                <c:pt idx="449">
                  <c:v>41173</c:v>
                </c:pt>
                <c:pt idx="450">
                  <c:v>41176</c:v>
                </c:pt>
                <c:pt idx="451">
                  <c:v>41177</c:v>
                </c:pt>
                <c:pt idx="452">
                  <c:v>41178</c:v>
                </c:pt>
                <c:pt idx="453">
                  <c:v>41179</c:v>
                </c:pt>
                <c:pt idx="454">
                  <c:v>41180</c:v>
                </c:pt>
                <c:pt idx="455">
                  <c:v>41183</c:v>
                </c:pt>
                <c:pt idx="456">
                  <c:v>41184</c:v>
                </c:pt>
                <c:pt idx="457">
                  <c:v>41185</c:v>
                </c:pt>
                <c:pt idx="458">
                  <c:v>41186</c:v>
                </c:pt>
                <c:pt idx="459">
                  <c:v>41187</c:v>
                </c:pt>
                <c:pt idx="460">
                  <c:v>41190</c:v>
                </c:pt>
                <c:pt idx="461">
                  <c:v>41191</c:v>
                </c:pt>
                <c:pt idx="462">
                  <c:v>41192</c:v>
                </c:pt>
                <c:pt idx="463">
                  <c:v>41193</c:v>
                </c:pt>
                <c:pt idx="464">
                  <c:v>41194</c:v>
                </c:pt>
                <c:pt idx="465">
                  <c:v>41197</c:v>
                </c:pt>
                <c:pt idx="466">
                  <c:v>41198</c:v>
                </c:pt>
                <c:pt idx="467">
                  <c:v>41199</c:v>
                </c:pt>
                <c:pt idx="468">
                  <c:v>41200</c:v>
                </c:pt>
                <c:pt idx="469">
                  <c:v>41201</c:v>
                </c:pt>
                <c:pt idx="470">
                  <c:v>41204</c:v>
                </c:pt>
                <c:pt idx="471">
                  <c:v>41205</c:v>
                </c:pt>
                <c:pt idx="472">
                  <c:v>41206</c:v>
                </c:pt>
                <c:pt idx="473">
                  <c:v>41207</c:v>
                </c:pt>
                <c:pt idx="474">
                  <c:v>41208</c:v>
                </c:pt>
                <c:pt idx="475">
                  <c:v>41211</c:v>
                </c:pt>
                <c:pt idx="476">
                  <c:v>41212</c:v>
                </c:pt>
                <c:pt idx="477">
                  <c:v>41213</c:v>
                </c:pt>
                <c:pt idx="478">
                  <c:v>41214</c:v>
                </c:pt>
                <c:pt idx="479">
                  <c:v>41215</c:v>
                </c:pt>
                <c:pt idx="480">
                  <c:v>41218</c:v>
                </c:pt>
                <c:pt idx="481">
                  <c:v>41219</c:v>
                </c:pt>
                <c:pt idx="482">
                  <c:v>41220</c:v>
                </c:pt>
                <c:pt idx="483">
                  <c:v>41221</c:v>
                </c:pt>
                <c:pt idx="484">
                  <c:v>41222</c:v>
                </c:pt>
                <c:pt idx="485">
                  <c:v>41225</c:v>
                </c:pt>
                <c:pt idx="486">
                  <c:v>41226</c:v>
                </c:pt>
                <c:pt idx="487">
                  <c:v>41227</c:v>
                </c:pt>
                <c:pt idx="488">
                  <c:v>41228</c:v>
                </c:pt>
                <c:pt idx="489">
                  <c:v>41229</c:v>
                </c:pt>
                <c:pt idx="490">
                  <c:v>41232</c:v>
                </c:pt>
                <c:pt idx="491">
                  <c:v>41233</c:v>
                </c:pt>
                <c:pt idx="492">
                  <c:v>41234</c:v>
                </c:pt>
                <c:pt idx="493">
                  <c:v>41235</c:v>
                </c:pt>
                <c:pt idx="494">
                  <c:v>41236</c:v>
                </c:pt>
                <c:pt idx="495">
                  <c:v>41239</c:v>
                </c:pt>
                <c:pt idx="496">
                  <c:v>41240</c:v>
                </c:pt>
                <c:pt idx="497">
                  <c:v>41241</c:v>
                </c:pt>
                <c:pt idx="498">
                  <c:v>41242</c:v>
                </c:pt>
                <c:pt idx="499">
                  <c:v>41243</c:v>
                </c:pt>
                <c:pt idx="500">
                  <c:v>41246</c:v>
                </c:pt>
                <c:pt idx="501">
                  <c:v>41247</c:v>
                </c:pt>
                <c:pt idx="502">
                  <c:v>41248</c:v>
                </c:pt>
                <c:pt idx="503">
                  <c:v>41249</c:v>
                </c:pt>
                <c:pt idx="504">
                  <c:v>41250</c:v>
                </c:pt>
                <c:pt idx="505">
                  <c:v>41253</c:v>
                </c:pt>
                <c:pt idx="506">
                  <c:v>41254</c:v>
                </c:pt>
                <c:pt idx="507">
                  <c:v>41255</c:v>
                </c:pt>
                <c:pt idx="508">
                  <c:v>41256</c:v>
                </c:pt>
                <c:pt idx="509">
                  <c:v>41257</c:v>
                </c:pt>
                <c:pt idx="510">
                  <c:v>41260</c:v>
                </c:pt>
                <c:pt idx="511">
                  <c:v>41261</c:v>
                </c:pt>
                <c:pt idx="512">
                  <c:v>41262</c:v>
                </c:pt>
                <c:pt idx="513">
                  <c:v>41263</c:v>
                </c:pt>
                <c:pt idx="514">
                  <c:v>41264</c:v>
                </c:pt>
                <c:pt idx="515">
                  <c:v>41267</c:v>
                </c:pt>
                <c:pt idx="516">
                  <c:v>41268</c:v>
                </c:pt>
                <c:pt idx="517">
                  <c:v>41269</c:v>
                </c:pt>
                <c:pt idx="518">
                  <c:v>41270</c:v>
                </c:pt>
                <c:pt idx="519">
                  <c:v>41271</c:v>
                </c:pt>
                <c:pt idx="520">
                  <c:v>41274</c:v>
                </c:pt>
                <c:pt idx="521">
                  <c:v>41275</c:v>
                </c:pt>
                <c:pt idx="522">
                  <c:v>41276</c:v>
                </c:pt>
                <c:pt idx="523">
                  <c:v>41277</c:v>
                </c:pt>
                <c:pt idx="524">
                  <c:v>41278</c:v>
                </c:pt>
                <c:pt idx="525">
                  <c:v>41281</c:v>
                </c:pt>
                <c:pt idx="526">
                  <c:v>41282</c:v>
                </c:pt>
                <c:pt idx="527">
                  <c:v>41283</c:v>
                </c:pt>
                <c:pt idx="528">
                  <c:v>41284</c:v>
                </c:pt>
                <c:pt idx="529">
                  <c:v>41285</c:v>
                </c:pt>
                <c:pt idx="530">
                  <c:v>41288</c:v>
                </c:pt>
                <c:pt idx="531">
                  <c:v>41289</c:v>
                </c:pt>
                <c:pt idx="532">
                  <c:v>41290</c:v>
                </c:pt>
                <c:pt idx="533">
                  <c:v>41291</c:v>
                </c:pt>
                <c:pt idx="534">
                  <c:v>41292</c:v>
                </c:pt>
                <c:pt idx="535">
                  <c:v>41295</c:v>
                </c:pt>
                <c:pt idx="536">
                  <c:v>41296</c:v>
                </c:pt>
                <c:pt idx="537">
                  <c:v>41297</c:v>
                </c:pt>
                <c:pt idx="538">
                  <c:v>41298</c:v>
                </c:pt>
                <c:pt idx="539">
                  <c:v>41299</c:v>
                </c:pt>
                <c:pt idx="540">
                  <c:v>41302</c:v>
                </c:pt>
                <c:pt idx="541">
                  <c:v>41303</c:v>
                </c:pt>
                <c:pt idx="542">
                  <c:v>41304</c:v>
                </c:pt>
                <c:pt idx="543">
                  <c:v>41305</c:v>
                </c:pt>
                <c:pt idx="544">
                  <c:v>41306</c:v>
                </c:pt>
                <c:pt idx="545">
                  <c:v>41309</c:v>
                </c:pt>
                <c:pt idx="546">
                  <c:v>41310</c:v>
                </c:pt>
                <c:pt idx="547">
                  <c:v>41311</c:v>
                </c:pt>
                <c:pt idx="548">
                  <c:v>41312</c:v>
                </c:pt>
                <c:pt idx="549">
                  <c:v>41313</c:v>
                </c:pt>
                <c:pt idx="550">
                  <c:v>41316</c:v>
                </c:pt>
                <c:pt idx="551">
                  <c:v>41317</c:v>
                </c:pt>
                <c:pt idx="552">
                  <c:v>41318</c:v>
                </c:pt>
                <c:pt idx="553">
                  <c:v>41319</c:v>
                </c:pt>
                <c:pt idx="554">
                  <c:v>41320</c:v>
                </c:pt>
                <c:pt idx="555">
                  <c:v>41323</c:v>
                </c:pt>
                <c:pt idx="556">
                  <c:v>41324</c:v>
                </c:pt>
                <c:pt idx="557">
                  <c:v>41325</c:v>
                </c:pt>
                <c:pt idx="558">
                  <c:v>41326</c:v>
                </c:pt>
                <c:pt idx="559">
                  <c:v>41327</c:v>
                </c:pt>
                <c:pt idx="560">
                  <c:v>41330</c:v>
                </c:pt>
                <c:pt idx="561">
                  <c:v>41331</c:v>
                </c:pt>
                <c:pt idx="562">
                  <c:v>41332</c:v>
                </c:pt>
                <c:pt idx="563">
                  <c:v>41333</c:v>
                </c:pt>
                <c:pt idx="564">
                  <c:v>41334</c:v>
                </c:pt>
                <c:pt idx="565">
                  <c:v>41337</c:v>
                </c:pt>
                <c:pt idx="566">
                  <c:v>41338</c:v>
                </c:pt>
                <c:pt idx="567">
                  <c:v>41339</c:v>
                </c:pt>
                <c:pt idx="568">
                  <c:v>41340</c:v>
                </c:pt>
                <c:pt idx="569">
                  <c:v>41341</c:v>
                </c:pt>
                <c:pt idx="570">
                  <c:v>41344</c:v>
                </c:pt>
                <c:pt idx="571">
                  <c:v>41345</c:v>
                </c:pt>
                <c:pt idx="572">
                  <c:v>41346</c:v>
                </c:pt>
                <c:pt idx="573">
                  <c:v>41347</c:v>
                </c:pt>
                <c:pt idx="574">
                  <c:v>41348</c:v>
                </c:pt>
                <c:pt idx="575">
                  <c:v>41351</c:v>
                </c:pt>
                <c:pt idx="576">
                  <c:v>41352</c:v>
                </c:pt>
                <c:pt idx="577">
                  <c:v>41353</c:v>
                </c:pt>
                <c:pt idx="578">
                  <c:v>41354</c:v>
                </c:pt>
                <c:pt idx="579">
                  <c:v>41355</c:v>
                </c:pt>
                <c:pt idx="580">
                  <c:v>41358</c:v>
                </c:pt>
                <c:pt idx="581">
                  <c:v>41359</c:v>
                </c:pt>
                <c:pt idx="582">
                  <c:v>41360</c:v>
                </c:pt>
                <c:pt idx="583">
                  <c:v>41361</c:v>
                </c:pt>
                <c:pt idx="584">
                  <c:v>41362</c:v>
                </c:pt>
                <c:pt idx="585">
                  <c:v>41365</c:v>
                </c:pt>
                <c:pt idx="586">
                  <c:v>41366</c:v>
                </c:pt>
                <c:pt idx="587">
                  <c:v>41367</c:v>
                </c:pt>
                <c:pt idx="588">
                  <c:v>41368</c:v>
                </c:pt>
                <c:pt idx="589">
                  <c:v>41369</c:v>
                </c:pt>
                <c:pt idx="590">
                  <c:v>41372</c:v>
                </c:pt>
                <c:pt idx="591">
                  <c:v>41373</c:v>
                </c:pt>
                <c:pt idx="592">
                  <c:v>41374</c:v>
                </c:pt>
                <c:pt idx="593">
                  <c:v>41375</c:v>
                </c:pt>
                <c:pt idx="594">
                  <c:v>41376</c:v>
                </c:pt>
                <c:pt idx="595">
                  <c:v>41379</c:v>
                </c:pt>
                <c:pt idx="596">
                  <c:v>41380</c:v>
                </c:pt>
                <c:pt idx="597">
                  <c:v>41381</c:v>
                </c:pt>
                <c:pt idx="598">
                  <c:v>41382</c:v>
                </c:pt>
                <c:pt idx="599">
                  <c:v>41383</c:v>
                </c:pt>
                <c:pt idx="600">
                  <c:v>41386</c:v>
                </c:pt>
                <c:pt idx="601">
                  <c:v>41387</c:v>
                </c:pt>
                <c:pt idx="602">
                  <c:v>41388</c:v>
                </c:pt>
                <c:pt idx="603">
                  <c:v>41389</c:v>
                </c:pt>
                <c:pt idx="604">
                  <c:v>41390</c:v>
                </c:pt>
                <c:pt idx="605">
                  <c:v>41393</c:v>
                </c:pt>
                <c:pt idx="606">
                  <c:v>41394</c:v>
                </c:pt>
                <c:pt idx="607">
                  <c:v>41395</c:v>
                </c:pt>
                <c:pt idx="608">
                  <c:v>41396</c:v>
                </c:pt>
                <c:pt idx="609">
                  <c:v>41397</c:v>
                </c:pt>
                <c:pt idx="610">
                  <c:v>41400</c:v>
                </c:pt>
                <c:pt idx="611">
                  <c:v>41401</c:v>
                </c:pt>
                <c:pt idx="612">
                  <c:v>41402</c:v>
                </c:pt>
                <c:pt idx="613">
                  <c:v>41403</c:v>
                </c:pt>
                <c:pt idx="614">
                  <c:v>41404</c:v>
                </c:pt>
                <c:pt idx="615">
                  <c:v>41407</c:v>
                </c:pt>
                <c:pt idx="616">
                  <c:v>41408</c:v>
                </c:pt>
                <c:pt idx="617">
                  <c:v>41409</c:v>
                </c:pt>
                <c:pt idx="618">
                  <c:v>41410</c:v>
                </c:pt>
                <c:pt idx="619">
                  <c:v>41411</c:v>
                </c:pt>
                <c:pt idx="620">
                  <c:v>41414</c:v>
                </c:pt>
                <c:pt idx="621">
                  <c:v>41415</c:v>
                </c:pt>
                <c:pt idx="622">
                  <c:v>41416</c:v>
                </c:pt>
                <c:pt idx="623">
                  <c:v>41417</c:v>
                </c:pt>
                <c:pt idx="624">
                  <c:v>41418</c:v>
                </c:pt>
                <c:pt idx="625">
                  <c:v>41421</c:v>
                </c:pt>
                <c:pt idx="626">
                  <c:v>41422</c:v>
                </c:pt>
                <c:pt idx="627">
                  <c:v>41423</c:v>
                </c:pt>
                <c:pt idx="628">
                  <c:v>41424</c:v>
                </c:pt>
                <c:pt idx="629">
                  <c:v>41425</c:v>
                </c:pt>
                <c:pt idx="630">
                  <c:v>41428</c:v>
                </c:pt>
                <c:pt idx="631">
                  <c:v>41429</c:v>
                </c:pt>
                <c:pt idx="632">
                  <c:v>41430</c:v>
                </c:pt>
                <c:pt idx="633">
                  <c:v>41431</c:v>
                </c:pt>
                <c:pt idx="634">
                  <c:v>41432</c:v>
                </c:pt>
                <c:pt idx="635">
                  <c:v>41435</c:v>
                </c:pt>
                <c:pt idx="636">
                  <c:v>41436</c:v>
                </c:pt>
                <c:pt idx="637">
                  <c:v>41437</c:v>
                </c:pt>
                <c:pt idx="638">
                  <c:v>41438</c:v>
                </c:pt>
                <c:pt idx="639">
                  <c:v>41439</c:v>
                </c:pt>
                <c:pt idx="640">
                  <c:v>41442</c:v>
                </c:pt>
                <c:pt idx="641">
                  <c:v>41443</c:v>
                </c:pt>
                <c:pt idx="642">
                  <c:v>41444</c:v>
                </c:pt>
                <c:pt idx="643">
                  <c:v>41445</c:v>
                </c:pt>
                <c:pt idx="644">
                  <c:v>41446</c:v>
                </c:pt>
                <c:pt idx="645">
                  <c:v>41449</c:v>
                </c:pt>
                <c:pt idx="646">
                  <c:v>41450</c:v>
                </c:pt>
                <c:pt idx="647">
                  <c:v>41451</c:v>
                </c:pt>
                <c:pt idx="648">
                  <c:v>41452</c:v>
                </c:pt>
                <c:pt idx="649">
                  <c:v>41453</c:v>
                </c:pt>
                <c:pt idx="650">
                  <c:v>41456</c:v>
                </c:pt>
                <c:pt idx="651">
                  <c:v>41457</c:v>
                </c:pt>
                <c:pt idx="652">
                  <c:v>41458</c:v>
                </c:pt>
                <c:pt idx="653">
                  <c:v>41459</c:v>
                </c:pt>
                <c:pt idx="654">
                  <c:v>41460</c:v>
                </c:pt>
                <c:pt idx="655">
                  <c:v>41463</c:v>
                </c:pt>
                <c:pt idx="656">
                  <c:v>41464</c:v>
                </c:pt>
                <c:pt idx="657">
                  <c:v>41465</c:v>
                </c:pt>
                <c:pt idx="658">
                  <c:v>41466</c:v>
                </c:pt>
                <c:pt idx="659">
                  <c:v>41467</c:v>
                </c:pt>
                <c:pt idx="660">
                  <c:v>41470</c:v>
                </c:pt>
                <c:pt idx="661">
                  <c:v>41471</c:v>
                </c:pt>
                <c:pt idx="662">
                  <c:v>41472</c:v>
                </c:pt>
                <c:pt idx="663">
                  <c:v>41473</c:v>
                </c:pt>
                <c:pt idx="664">
                  <c:v>41474</c:v>
                </c:pt>
                <c:pt idx="665">
                  <c:v>41477</c:v>
                </c:pt>
                <c:pt idx="666">
                  <c:v>41478</c:v>
                </c:pt>
                <c:pt idx="667">
                  <c:v>41479</c:v>
                </c:pt>
                <c:pt idx="668">
                  <c:v>41480</c:v>
                </c:pt>
                <c:pt idx="669">
                  <c:v>41481</c:v>
                </c:pt>
                <c:pt idx="670">
                  <c:v>41484</c:v>
                </c:pt>
                <c:pt idx="671">
                  <c:v>41485</c:v>
                </c:pt>
                <c:pt idx="672">
                  <c:v>41486</c:v>
                </c:pt>
                <c:pt idx="673">
                  <c:v>41487</c:v>
                </c:pt>
                <c:pt idx="674">
                  <c:v>41488</c:v>
                </c:pt>
                <c:pt idx="675">
                  <c:v>41491</c:v>
                </c:pt>
                <c:pt idx="676">
                  <c:v>41492</c:v>
                </c:pt>
                <c:pt idx="677">
                  <c:v>41493</c:v>
                </c:pt>
                <c:pt idx="678">
                  <c:v>41494</c:v>
                </c:pt>
                <c:pt idx="679">
                  <c:v>41495</c:v>
                </c:pt>
                <c:pt idx="680">
                  <c:v>41498</c:v>
                </c:pt>
                <c:pt idx="681">
                  <c:v>41499</c:v>
                </c:pt>
                <c:pt idx="682">
                  <c:v>41500</c:v>
                </c:pt>
                <c:pt idx="683">
                  <c:v>41501</c:v>
                </c:pt>
                <c:pt idx="684">
                  <c:v>41502</c:v>
                </c:pt>
                <c:pt idx="685">
                  <c:v>41505</c:v>
                </c:pt>
                <c:pt idx="686">
                  <c:v>41506</c:v>
                </c:pt>
                <c:pt idx="687">
                  <c:v>41507</c:v>
                </c:pt>
                <c:pt idx="688">
                  <c:v>41508</c:v>
                </c:pt>
                <c:pt idx="689">
                  <c:v>41509</c:v>
                </c:pt>
                <c:pt idx="690">
                  <c:v>41512</c:v>
                </c:pt>
                <c:pt idx="691">
                  <c:v>41513</c:v>
                </c:pt>
                <c:pt idx="692">
                  <c:v>41514</c:v>
                </c:pt>
                <c:pt idx="693">
                  <c:v>41515</c:v>
                </c:pt>
                <c:pt idx="694">
                  <c:v>41516</c:v>
                </c:pt>
                <c:pt idx="695">
                  <c:v>41519</c:v>
                </c:pt>
                <c:pt idx="696">
                  <c:v>41520</c:v>
                </c:pt>
                <c:pt idx="697">
                  <c:v>41521</c:v>
                </c:pt>
                <c:pt idx="698">
                  <c:v>41522</c:v>
                </c:pt>
                <c:pt idx="699">
                  <c:v>41523</c:v>
                </c:pt>
                <c:pt idx="700">
                  <c:v>41526</c:v>
                </c:pt>
                <c:pt idx="701">
                  <c:v>41527</c:v>
                </c:pt>
                <c:pt idx="702">
                  <c:v>41528</c:v>
                </c:pt>
                <c:pt idx="703">
                  <c:v>41529</c:v>
                </c:pt>
                <c:pt idx="704">
                  <c:v>41530</c:v>
                </c:pt>
                <c:pt idx="705">
                  <c:v>41533</c:v>
                </c:pt>
                <c:pt idx="706">
                  <c:v>41534</c:v>
                </c:pt>
                <c:pt idx="707">
                  <c:v>41535</c:v>
                </c:pt>
                <c:pt idx="708">
                  <c:v>41536</c:v>
                </c:pt>
                <c:pt idx="709">
                  <c:v>41537</c:v>
                </c:pt>
                <c:pt idx="710">
                  <c:v>41540</c:v>
                </c:pt>
                <c:pt idx="711">
                  <c:v>41541</c:v>
                </c:pt>
                <c:pt idx="712">
                  <c:v>41542</c:v>
                </c:pt>
                <c:pt idx="713">
                  <c:v>41543</c:v>
                </c:pt>
                <c:pt idx="714">
                  <c:v>41544</c:v>
                </c:pt>
                <c:pt idx="715">
                  <c:v>41547</c:v>
                </c:pt>
                <c:pt idx="716">
                  <c:v>41548</c:v>
                </c:pt>
                <c:pt idx="717">
                  <c:v>41549</c:v>
                </c:pt>
                <c:pt idx="718">
                  <c:v>41550</c:v>
                </c:pt>
                <c:pt idx="719">
                  <c:v>41551</c:v>
                </c:pt>
                <c:pt idx="720">
                  <c:v>41554</c:v>
                </c:pt>
                <c:pt idx="721">
                  <c:v>41555</c:v>
                </c:pt>
                <c:pt idx="722">
                  <c:v>41556</c:v>
                </c:pt>
                <c:pt idx="723">
                  <c:v>41557</c:v>
                </c:pt>
                <c:pt idx="724">
                  <c:v>41558</c:v>
                </c:pt>
                <c:pt idx="725">
                  <c:v>41561</c:v>
                </c:pt>
                <c:pt idx="726">
                  <c:v>41562</c:v>
                </c:pt>
                <c:pt idx="727">
                  <c:v>41563</c:v>
                </c:pt>
                <c:pt idx="728">
                  <c:v>41564</c:v>
                </c:pt>
                <c:pt idx="729">
                  <c:v>41565</c:v>
                </c:pt>
                <c:pt idx="730">
                  <c:v>41568</c:v>
                </c:pt>
                <c:pt idx="731">
                  <c:v>41569</c:v>
                </c:pt>
                <c:pt idx="732">
                  <c:v>41570</c:v>
                </c:pt>
                <c:pt idx="733">
                  <c:v>41571</c:v>
                </c:pt>
                <c:pt idx="734">
                  <c:v>41572</c:v>
                </c:pt>
                <c:pt idx="735">
                  <c:v>41575</c:v>
                </c:pt>
                <c:pt idx="736">
                  <c:v>41576</c:v>
                </c:pt>
                <c:pt idx="737">
                  <c:v>41577</c:v>
                </c:pt>
                <c:pt idx="738">
                  <c:v>41578</c:v>
                </c:pt>
                <c:pt idx="739">
                  <c:v>41579</c:v>
                </c:pt>
                <c:pt idx="740">
                  <c:v>41582</c:v>
                </c:pt>
                <c:pt idx="741">
                  <c:v>41583</c:v>
                </c:pt>
                <c:pt idx="742">
                  <c:v>41584</c:v>
                </c:pt>
                <c:pt idx="743">
                  <c:v>41585</c:v>
                </c:pt>
                <c:pt idx="744">
                  <c:v>41586</c:v>
                </c:pt>
                <c:pt idx="745">
                  <c:v>41589</c:v>
                </c:pt>
                <c:pt idx="746">
                  <c:v>41590</c:v>
                </c:pt>
                <c:pt idx="747">
                  <c:v>41591</c:v>
                </c:pt>
                <c:pt idx="748">
                  <c:v>41592</c:v>
                </c:pt>
                <c:pt idx="749">
                  <c:v>41593</c:v>
                </c:pt>
                <c:pt idx="750">
                  <c:v>41596</c:v>
                </c:pt>
                <c:pt idx="751">
                  <c:v>41597</c:v>
                </c:pt>
                <c:pt idx="752">
                  <c:v>41598</c:v>
                </c:pt>
                <c:pt idx="753">
                  <c:v>41599</c:v>
                </c:pt>
                <c:pt idx="754">
                  <c:v>41600</c:v>
                </c:pt>
                <c:pt idx="755">
                  <c:v>41603</c:v>
                </c:pt>
                <c:pt idx="756">
                  <c:v>41604</c:v>
                </c:pt>
                <c:pt idx="757">
                  <c:v>41605</c:v>
                </c:pt>
                <c:pt idx="758">
                  <c:v>41606</c:v>
                </c:pt>
                <c:pt idx="759">
                  <c:v>41607</c:v>
                </c:pt>
                <c:pt idx="760">
                  <c:v>41610</c:v>
                </c:pt>
                <c:pt idx="761">
                  <c:v>41611</c:v>
                </c:pt>
                <c:pt idx="762">
                  <c:v>41612</c:v>
                </c:pt>
                <c:pt idx="763">
                  <c:v>41613</c:v>
                </c:pt>
                <c:pt idx="764">
                  <c:v>41614</c:v>
                </c:pt>
                <c:pt idx="765">
                  <c:v>41617</c:v>
                </c:pt>
                <c:pt idx="766">
                  <c:v>41618</c:v>
                </c:pt>
                <c:pt idx="767">
                  <c:v>41619</c:v>
                </c:pt>
                <c:pt idx="768">
                  <c:v>41620</c:v>
                </c:pt>
                <c:pt idx="769">
                  <c:v>41621</c:v>
                </c:pt>
                <c:pt idx="770">
                  <c:v>41624</c:v>
                </c:pt>
                <c:pt idx="771">
                  <c:v>41625</c:v>
                </c:pt>
                <c:pt idx="772">
                  <c:v>41626</c:v>
                </c:pt>
                <c:pt idx="773">
                  <c:v>41627</c:v>
                </c:pt>
                <c:pt idx="774">
                  <c:v>41628</c:v>
                </c:pt>
                <c:pt idx="775">
                  <c:v>41631</c:v>
                </c:pt>
                <c:pt idx="776">
                  <c:v>41632</c:v>
                </c:pt>
                <c:pt idx="777">
                  <c:v>41633</c:v>
                </c:pt>
                <c:pt idx="778">
                  <c:v>41634</c:v>
                </c:pt>
                <c:pt idx="779">
                  <c:v>41635</c:v>
                </c:pt>
                <c:pt idx="780">
                  <c:v>41638</c:v>
                </c:pt>
                <c:pt idx="781">
                  <c:v>41639</c:v>
                </c:pt>
                <c:pt idx="782">
                  <c:v>41640</c:v>
                </c:pt>
                <c:pt idx="783">
                  <c:v>41641</c:v>
                </c:pt>
                <c:pt idx="784">
                  <c:v>41642</c:v>
                </c:pt>
                <c:pt idx="785">
                  <c:v>41645</c:v>
                </c:pt>
                <c:pt idx="786">
                  <c:v>41646</c:v>
                </c:pt>
                <c:pt idx="787">
                  <c:v>41647</c:v>
                </c:pt>
                <c:pt idx="788">
                  <c:v>41648</c:v>
                </c:pt>
                <c:pt idx="789">
                  <c:v>41649</c:v>
                </c:pt>
                <c:pt idx="790">
                  <c:v>41652</c:v>
                </c:pt>
                <c:pt idx="791">
                  <c:v>41653</c:v>
                </c:pt>
                <c:pt idx="792">
                  <c:v>41654</c:v>
                </c:pt>
                <c:pt idx="793">
                  <c:v>41655</c:v>
                </c:pt>
                <c:pt idx="794">
                  <c:v>41656</c:v>
                </c:pt>
                <c:pt idx="795">
                  <c:v>41659</c:v>
                </c:pt>
                <c:pt idx="796">
                  <c:v>41660</c:v>
                </c:pt>
                <c:pt idx="797">
                  <c:v>41661</c:v>
                </c:pt>
                <c:pt idx="798">
                  <c:v>41662</c:v>
                </c:pt>
                <c:pt idx="799">
                  <c:v>41663</c:v>
                </c:pt>
                <c:pt idx="800">
                  <c:v>41666</c:v>
                </c:pt>
                <c:pt idx="801">
                  <c:v>41667</c:v>
                </c:pt>
                <c:pt idx="802">
                  <c:v>41668</c:v>
                </c:pt>
                <c:pt idx="803">
                  <c:v>41669</c:v>
                </c:pt>
                <c:pt idx="804">
                  <c:v>41670</c:v>
                </c:pt>
                <c:pt idx="805">
                  <c:v>41673</c:v>
                </c:pt>
                <c:pt idx="806">
                  <c:v>41674</c:v>
                </c:pt>
                <c:pt idx="807">
                  <c:v>41675</c:v>
                </c:pt>
                <c:pt idx="808">
                  <c:v>41676</c:v>
                </c:pt>
                <c:pt idx="809">
                  <c:v>41677</c:v>
                </c:pt>
                <c:pt idx="810">
                  <c:v>41680</c:v>
                </c:pt>
                <c:pt idx="811">
                  <c:v>41681</c:v>
                </c:pt>
                <c:pt idx="812">
                  <c:v>41682</c:v>
                </c:pt>
                <c:pt idx="813">
                  <c:v>41683</c:v>
                </c:pt>
                <c:pt idx="814">
                  <c:v>41684</c:v>
                </c:pt>
                <c:pt idx="815">
                  <c:v>41687</c:v>
                </c:pt>
                <c:pt idx="816">
                  <c:v>41688</c:v>
                </c:pt>
                <c:pt idx="817">
                  <c:v>41689</c:v>
                </c:pt>
                <c:pt idx="818">
                  <c:v>41690</c:v>
                </c:pt>
                <c:pt idx="819">
                  <c:v>41691</c:v>
                </c:pt>
                <c:pt idx="820">
                  <c:v>41694</c:v>
                </c:pt>
                <c:pt idx="821">
                  <c:v>41695</c:v>
                </c:pt>
                <c:pt idx="822">
                  <c:v>41696</c:v>
                </c:pt>
                <c:pt idx="823">
                  <c:v>41697</c:v>
                </c:pt>
                <c:pt idx="824">
                  <c:v>41698</c:v>
                </c:pt>
                <c:pt idx="825">
                  <c:v>41701</c:v>
                </c:pt>
                <c:pt idx="826">
                  <c:v>41702</c:v>
                </c:pt>
                <c:pt idx="827">
                  <c:v>41703</c:v>
                </c:pt>
                <c:pt idx="828">
                  <c:v>41704</c:v>
                </c:pt>
                <c:pt idx="829">
                  <c:v>41705</c:v>
                </c:pt>
                <c:pt idx="830">
                  <c:v>41708</c:v>
                </c:pt>
                <c:pt idx="831">
                  <c:v>41709</c:v>
                </c:pt>
                <c:pt idx="832">
                  <c:v>41710</c:v>
                </c:pt>
                <c:pt idx="833">
                  <c:v>41711</c:v>
                </c:pt>
                <c:pt idx="834">
                  <c:v>41712</c:v>
                </c:pt>
                <c:pt idx="835">
                  <c:v>41715</c:v>
                </c:pt>
                <c:pt idx="836">
                  <c:v>41716</c:v>
                </c:pt>
                <c:pt idx="837">
                  <c:v>41717</c:v>
                </c:pt>
                <c:pt idx="838">
                  <c:v>41718</c:v>
                </c:pt>
                <c:pt idx="839">
                  <c:v>41719</c:v>
                </c:pt>
                <c:pt idx="840">
                  <c:v>41722</c:v>
                </c:pt>
                <c:pt idx="841">
                  <c:v>41723</c:v>
                </c:pt>
                <c:pt idx="842">
                  <c:v>41724</c:v>
                </c:pt>
                <c:pt idx="843">
                  <c:v>41725</c:v>
                </c:pt>
                <c:pt idx="844">
                  <c:v>41726</c:v>
                </c:pt>
                <c:pt idx="845">
                  <c:v>41729</c:v>
                </c:pt>
                <c:pt idx="846">
                  <c:v>41730</c:v>
                </c:pt>
                <c:pt idx="847">
                  <c:v>41731</c:v>
                </c:pt>
                <c:pt idx="848">
                  <c:v>41732</c:v>
                </c:pt>
                <c:pt idx="849">
                  <c:v>41733</c:v>
                </c:pt>
                <c:pt idx="850">
                  <c:v>41736</c:v>
                </c:pt>
                <c:pt idx="851">
                  <c:v>41737</c:v>
                </c:pt>
                <c:pt idx="852">
                  <c:v>41738</c:v>
                </c:pt>
                <c:pt idx="853">
                  <c:v>41739</c:v>
                </c:pt>
                <c:pt idx="854">
                  <c:v>41740</c:v>
                </c:pt>
                <c:pt idx="855">
                  <c:v>41743</c:v>
                </c:pt>
                <c:pt idx="856">
                  <c:v>41744</c:v>
                </c:pt>
                <c:pt idx="857">
                  <c:v>41745</c:v>
                </c:pt>
                <c:pt idx="858">
                  <c:v>41746</c:v>
                </c:pt>
                <c:pt idx="859">
                  <c:v>41747</c:v>
                </c:pt>
                <c:pt idx="860">
                  <c:v>41750</c:v>
                </c:pt>
                <c:pt idx="861">
                  <c:v>41751</c:v>
                </c:pt>
                <c:pt idx="862">
                  <c:v>41752</c:v>
                </c:pt>
                <c:pt idx="863">
                  <c:v>41753</c:v>
                </c:pt>
                <c:pt idx="864">
                  <c:v>41754</c:v>
                </c:pt>
                <c:pt idx="865">
                  <c:v>41757</c:v>
                </c:pt>
                <c:pt idx="866">
                  <c:v>41758</c:v>
                </c:pt>
                <c:pt idx="867">
                  <c:v>41759</c:v>
                </c:pt>
                <c:pt idx="868">
                  <c:v>41760</c:v>
                </c:pt>
                <c:pt idx="869">
                  <c:v>41761</c:v>
                </c:pt>
                <c:pt idx="870">
                  <c:v>41764</c:v>
                </c:pt>
                <c:pt idx="871">
                  <c:v>41765</c:v>
                </c:pt>
                <c:pt idx="872">
                  <c:v>41766</c:v>
                </c:pt>
                <c:pt idx="873">
                  <c:v>41767</c:v>
                </c:pt>
                <c:pt idx="874">
                  <c:v>41768</c:v>
                </c:pt>
                <c:pt idx="875">
                  <c:v>41771</c:v>
                </c:pt>
                <c:pt idx="876">
                  <c:v>41772</c:v>
                </c:pt>
                <c:pt idx="877">
                  <c:v>41773</c:v>
                </c:pt>
                <c:pt idx="878">
                  <c:v>41774</c:v>
                </c:pt>
                <c:pt idx="879">
                  <c:v>41775</c:v>
                </c:pt>
                <c:pt idx="880">
                  <c:v>41778</c:v>
                </c:pt>
                <c:pt idx="881">
                  <c:v>41779</c:v>
                </c:pt>
                <c:pt idx="882">
                  <c:v>41780</c:v>
                </c:pt>
                <c:pt idx="883">
                  <c:v>41781</c:v>
                </c:pt>
                <c:pt idx="884">
                  <c:v>41782</c:v>
                </c:pt>
                <c:pt idx="885">
                  <c:v>41785</c:v>
                </c:pt>
                <c:pt idx="886">
                  <c:v>41786</c:v>
                </c:pt>
                <c:pt idx="887">
                  <c:v>41787</c:v>
                </c:pt>
                <c:pt idx="888">
                  <c:v>41788</c:v>
                </c:pt>
                <c:pt idx="889">
                  <c:v>41789</c:v>
                </c:pt>
                <c:pt idx="890">
                  <c:v>41792</c:v>
                </c:pt>
                <c:pt idx="891">
                  <c:v>41793</c:v>
                </c:pt>
                <c:pt idx="892">
                  <c:v>41794</c:v>
                </c:pt>
                <c:pt idx="893">
                  <c:v>41795</c:v>
                </c:pt>
                <c:pt idx="894">
                  <c:v>41796</c:v>
                </c:pt>
                <c:pt idx="895">
                  <c:v>41799</c:v>
                </c:pt>
                <c:pt idx="896">
                  <c:v>41800</c:v>
                </c:pt>
                <c:pt idx="897">
                  <c:v>41801</c:v>
                </c:pt>
                <c:pt idx="898">
                  <c:v>41802</c:v>
                </c:pt>
                <c:pt idx="899">
                  <c:v>41803</c:v>
                </c:pt>
                <c:pt idx="900">
                  <c:v>41806</c:v>
                </c:pt>
                <c:pt idx="901">
                  <c:v>41807</c:v>
                </c:pt>
                <c:pt idx="902">
                  <c:v>41808</c:v>
                </c:pt>
                <c:pt idx="903">
                  <c:v>41809</c:v>
                </c:pt>
                <c:pt idx="904">
                  <c:v>41810</c:v>
                </c:pt>
                <c:pt idx="905">
                  <c:v>41813</c:v>
                </c:pt>
                <c:pt idx="906">
                  <c:v>41814</c:v>
                </c:pt>
                <c:pt idx="907">
                  <c:v>41815</c:v>
                </c:pt>
                <c:pt idx="908">
                  <c:v>41816</c:v>
                </c:pt>
                <c:pt idx="909">
                  <c:v>41817</c:v>
                </c:pt>
                <c:pt idx="910">
                  <c:v>41820</c:v>
                </c:pt>
                <c:pt idx="911">
                  <c:v>41821</c:v>
                </c:pt>
                <c:pt idx="912">
                  <c:v>41822</c:v>
                </c:pt>
                <c:pt idx="913">
                  <c:v>41823</c:v>
                </c:pt>
                <c:pt idx="914">
                  <c:v>41824</c:v>
                </c:pt>
                <c:pt idx="915">
                  <c:v>41827</c:v>
                </c:pt>
                <c:pt idx="916">
                  <c:v>41828</c:v>
                </c:pt>
                <c:pt idx="917">
                  <c:v>41829</c:v>
                </c:pt>
                <c:pt idx="918">
                  <c:v>41830</c:v>
                </c:pt>
                <c:pt idx="919">
                  <c:v>41831</c:v>
                </c:pt>
                <c:pt idx="920">
                  <c:v>41834</c:v>
                </c:pt>
                <c:pt idx="921">
                  <c:v>41835</c:v>
                </c:pt>
                <c:pt idx="922">
                  <c:v>41836</c:v>
                </c:pt>
                <c:pt idx="923">
                  <c:v>41837</c:v>
                </c:pt>
                <c:pt idx="924">
                  <c:v>41838</c:v>
                </c:pt>
                <c:pt idx="925">
                  <c:v>41841</c:v>
                </c:pt>
                <c:pt idx="926">
                  <c:v>41842</c:v>
                </c:pt>
                <c:pt idx="927">
                  <c:v>41843</c:v>
                </c:pt>
                <c:pt idx="928">
                  <c:v>41844</c:v>
                </c:pt>
                <c:pt idx="929">
                  <c:v>41845</c:v>
                </c:pt>
                <c:pt idx="930">
                  <c:v>41848</c:v>
                </c:pt>
                <c:pt idx="931">
                  <c:v>41849</c:v>
                </c:pt>
                <c:pt idx="932">
                  <c:v>41850</c:v>
                </c:pt>
                <c:pt idx="933">
                  <c:v>41851</c:v>
                </c:pt>
                <c:pt idx="934">
                  <c:v>41852</c:v>
                </c:pt>
                <c:pt idx="935">
                  <c:v>41855</c:v>
                </c:pt>
                <c:pt idx="936">
                  <c:v>41856</c:v>
                </c:pt>
                <c:pt idx="937">
                  <c:v>41857</c:v>
                </c:pt>
                <c:pt idx="938">
                  <c:v>41858</c:v>
                </c:pt>
                <c:pt idx="939">
                  <c:v>41859</c:v>
                </c:pt>
                <c:pt idx="940">
                  <c:v>41862</c:v>
                </c:pt>
                <c:pt idx="941">
                  <c:v>41863</c:v>
                </c:pt>
                <c:pt idx="942">
                  <c:v>41864</c:v>
                </c:pt>
                <c:pt idx="943">
                  <c:v>41865</c:v>
                </c:pt>
                <c:pt idx="944">
                  <c:v>41866</c:v>
                </c:pt>
                <c:pt idx="945">
                  <c:v>41869</c:v>
                </c:pt>
                <c:pt idx="946">
                  <c:v>41870</c:v>
                </c:pt>
                <c:pt idx="947">
                  <c:v>41871</c:v>
                </c:pt>
                <c:pt idx="948">
                  <c:v>41872</c:v>
                </c:pt>
                <c:pt idx="949">
                  <c:v>41873</c:v>
                </c:pt>
                <c:pt idx="950">
                  <c:v>41876</c:v>
                </c:pt>
                <c:pt idx="951">
                  <c:v>41877</c:v>
                </c:pt>
                <c:pt idx="952">
                  <c:v>41878</c:v>
                </c:pt>
                <c:pt idx="953">
                  <c:v>41879</c:v>
                </c:pt>
                <c:pt idx="954">
                  <c:v>41880</c:v>
                </c:pt>
                <c:pt idx="955">
                  <c:v>41883</c:v>
                </c:pt>
                <c:pt idx="956">
                  <c:v>41884</c:v>
                </c:pt>
                <c:pt idx="957">
                  <c:v>41885</c:v>
                </c:pt>
                <c:pt idx="958">
                  <c:v>41886</c:v>
                </c:pt>
                <c:pt idx="959">
                  <c:v>41887</c:v>
                </c:pt>
                <c:pt idx="960">
                  <c:v>41890</c:v>
                </c:pt>
                <c:pt idx="961">
                  <c:v>41891</c:v>
                </c:pt>
                <c:pt idx="962">
                  <c:v>41892</c:v>
                </c:pt>
                <c:pt idx="963">
                  <c:v>41893</c:v>
                </c:pt>
                <c:pt idx="964">
                  <c:v>41894</c:v>
                </c:pt>
                <c:pt idx="965">
                  <c:v>41897</c:v>
                </c:pt>
                <c:pt idx="966">
                  <c:v>41898</c:v>
                </c:pt>
                <c:pt idx="967">
                  <c:v>41899</c:v>
                </c:pt>
                <c:pt idx="968">
                  <c:v>41900</c:v>
                </c:pt>
                <c:pt idx="969">
                  <c:v>41901</c:v>
                </c:pt>
                <c:pt idx="970">
                  <c:v>41904</c:v>
                </c:pt>
                <c:pt idx="971">
                  <c:v>41905</c:v>
                </c:pt>
                <c:pt idx="972">
                  <c:v>41906</c:v>
                </c:pt>
                <c:pt idx="973">
                  <c:v>41907</c:v>
                </c:pt>
                <c:pt idx="974">
                  <c:v>41908</c:v>
                </c:pt>
                <c:pt idx="975">
                  <c:v>41911</c:v>
                </c:pt>
                <c:pt idx="976">
                  <c:v>41912</c:v>
                </c:pt>
                <c:pt idx="977">
                  <c:v>41913</c:v>
                </c:pt>
                <c:pt idx="978">
                  <c:v>41914</c:v>
                </c:pt>
                <c:pt idx="979">
                  <c:v>41915</c:v>
                </c:pt>
                <c:pt idx="980">
                  <c:v>41918</c:v>
                </c:pt>
                <c:pt idx="981">
                  <c:v>41919</c:v>
                </c:pt>
                <c:pt idx="982">
                  <c:v>41920</c:v>
                </c:pt>
                <c:pt idx="983">
                  <c:v>41921</c:v>
                </c:pt>
                <c:pt idx="984">
                  <c:v>41922</c:v>
                </c:pt>
                <c:pt idx="985">
                  <c:v>41925</c:v>
                </c:pt>
                <c:pt idx="986">
                  <c:v>41926</c:v>
                </c:pt>
                <c:pt idx="987">
                  <c:v>41927</c:v>
                </c:pt>
                <c:pt idx="988">
                  <c:v>41928</c:v>
                </c:pt>
                <c:pt idx="989">
                  <c:v>41929</c:v>
                </c:pt>
                <c:pt idx="990">
                  <c:v>41932</c:v>
                </c:pt>
                <c:pt idx="991">
                  <c:v>41933</c:v>
                </c:pt>
                <c:pt idx="992">
                  <c:v>41934</c:v>
                </c:pt>
                <c:pt idx="993">
                  <c:v>41935</c:v>
                </c:pt>
                <c:pt idx="994">
                  <c:v>41936</c:v>
                </c:pt>
                <c:pt idx="995">
                  <c:v>41939</c:v>
                </c:pt>
                <c:pt idx="996">
                  <c:v>41940</c:v>
                </c:pt>
                <c:pt idx="997">
                  <c:v>41941</c:v>
                </c:pt>
                <c:pt idx="998">
                  <c:v>41942</c:v>
                </c:pt>
                <c:pt idx="999">
                  <c:v>41943</c:v>
                </c:pt>
                <c:pt idx="1000">
                  <c:v>41946</c:v>
                </c:pt>
                <c:pt idx="1001">
                  <c:v>41947</c:v>
                </c:pt>
                <c:pt idx="1002">
                  <c:v>41948</c:v>
                </c:pt>
                <c:pt idx="1003">
                  <c:v>41949</c:v>
                </c:pt>
                <c:pt idx="1004">
                  <c:v>41950</c:v>
                </c:pt>
                <c:pt idx="1005">
                  <c:v>41953</c:v>
                </c:pt>
                <c:pt idx="1006">
                  <c:v>41954</c:v>
                </c:pt>
                <c:pt idx="1007">
                  <c:v>41955</c:v>
                </c:pt>
                <c:pt idx="1008">
                  <c:v>41956</c:v>
                </c:pt>
                <c:pt idx="1009">
                  <c:v>41957</c:v>
                </c:pt>
                <c:pt idx="1010">
                  <c:v>41960</c:v>
                </c:pt>
                <c:pt idx="1011">
                  <c:v>41961</c:v>
                </c:pt>
                <c:pt idx="1012">
                  <c:v>41962</c:v>
                </c:pt>
                <c:pt idx="1013">
                  <c:v>41963</c:v>
                </c:pt>
                <c:pt idx="1014">
                  <c:v>41964</c:v>
                </c:pt>
                <c:pt idx="1015">
                  <c:v>41967</c:v>
                </c:pt>
                <c:pt idx="1016">
                  <c:v>41968</c:v>
                </c:pt>
                <c:pt idx="1017">
                  <c:v>41969</c:v>
                </c:pt>
                <c:pt idx="1018">
                  <c:v>41970</c:v>
                </c:pt>
                <c:pt idx="1019">
                  <c:v>41971</c:v>
                </c:pt>
                <c:pt idx="1020">
                  <c:v>41974</c:v>
                </c:pt>
                <c:pt idx="1021">
                  <c:v>41975</c:v>
                </c:pt>
                <c:pt idx="1022">
                  <c:v>41976</c:v>
                </c:pt>
                <c:pt idx="1023">
                  <c:v>41977</c:v>
                </c:pt>
                <c:pt idx="1024">
                  <c:v>41978</c:v>
                </c:pt>
                <c:pt idx="1025">
                  <c:v>41981</c:v>
                </c:pt>
                <c:pt idx="1026">
                  <c:v>41982</c:v>
                </c:pt>
                <c:pt idx="1027">
                  <c:v>41983</c:v>
                </c:pt>
                <c:pt idx="1028">
                  <c:v>41984</c:v>
                </c:pt>
                <c:pt idx="1029">
                  <c:v>41985</c:v>
                </c:pt>
                <c:pt idx="1030">
                  <c:v>41988</c:v>
                </c:pt>
                <c:pt idx="1031">
                  <c:v>41989</c:v>
                </c:pt>
                <c:pt idx="1032">
                  <c:v>41990</c:v>
                </c:pt>
                <c:pt idx="1033">
                  <c:v>41991</c:v>
                </c:pt>
                <c:pt idx="1034">
                  <c:v>41992</c:v>
                </c:pt>
                <c:pt idx="1035">
                  <c:v>41995</c:v>
                </c:pt>
                <c:pt idx="1036">
                  <c:v>41996</c:v>
                </c:pt>
                <c:pt idx="1037">
                  <c:v>41997</c:v>
                </c:pt>
                <c:pt idx="1038">
                  <c:v>41998</c:v>
                </c:pt>
                <c:pt idx="1039">
                  <c:v>41999</c:v>
                </c:pt>
                <c:pt idx="1040">
                  <c:v>42002</c:v>
                </c:pt>
                <c:pt idx="1041">
                  <c:v>42003</c:v>
                </c:pt>
                <c:pt idx="1042">
                  <c:v>42004</c:v>
                </c:pt>
                <c:pt idx="1043">
                  <c:v>42005</c:v>
                </c:pt>
                <c:pt idx="1044">
                  <c:v>42006</c:v>
                </c:pt>
                <c:pt idx="1045">
                  <c:v>42009</c:v>
                </c:pt>
                <c:pt idx="1046">
                  <c:v>42010</c:v>
                </c:pt>
                <c:pt idx="1047">
                  <c:v>42011</c:v>
                </c:pt>
                <c:pt idx="1048">
                  <c:v>42012</c:v>
                </c:pt>
                <c:pt idx="1049">
                  <c:v>42013</c:v>
                </c:pt>
                <c:pt idx="1050">
                  <c:v>42016</c:v>
                </c:pt>
                <c:pt idx="1051">
                  <c:v>42017</c:v>
                </c:pt>
                <c:pt idx="1052">
                  <c:v>42018</c:v>
                </c:pt>
                <c:pt idx="1053">
                  <c:v>42019</c:v>
                </c:pt>
                <c:pt idx="1054">
                  <c:v>42020</c:v>
                </c:pt>
                <c:pt idx="1055">
                  <c:v>42023</c:v>
                </c:pt>
                <c:pt idx="1056">
                  <c:v>42024</c:v>
                </c:pt>
                <c:pt idx="1057">
                  <c:v>42025</c:v>
                </c:pt>
                <c:pt idx="1058">
                  <c:v>42026</c:v>
                </c:pt>
                <c:pt idx="1059">
                  <c:v>42027</c:v>
                </c:pt>
                <c:pt idx="1060">
                  <c:v>42030</c:v>
                </c:pt>
                <c:pt idx="1061">
                  <c:v>42031</c:v>
                </c:pt>
                <c:pt idx="1062">
                  <c:v>42032</c:v>
                </c:pt>
                <c:pt idx="1063">
                  <c:v>42033</c:v>
                </c:pt>
                <c:pt idx="1064">
                  <c:v>42034</c:v>
                </c:pt>
                <c:pt idx="1065">
                  <c:v>42037</c:v>
                </c:pt>
                <c:pt idx="1066">
                  <c:v>42038</c:v>
                </c:pt>
                <c:pt idx="1067">
                  <c:v>42039</c:v>
                </c:pt>
                <c:pt idx="1068">
                  <c:v>42040</c:v>
                </c:pt>
                <c:pt idx="1069">
                  <c:v>42041</c:v>
                </c:pt>
                <c:pt idx="1070">
                  <c:v>42044</c:v>
                </c:pt>
                <c:pt idx="1071">
                  <c:v>42045</c:v>
                </c:pt>
                <c:pt idx="1072">
                  <c:v>42046</c:v>
                </c:pt>
                <c:pt idx="1073">
                  <c:v>42047</c:v>
                </c:pt>
                <c:pt idx="1074">
                  <c:v>42048</c:v>
                </c:pt>
                <c:pt idx="1075">
                  <c:v>42051</c:v>
                </c:pt>
                <c:pt idx="1076">
                  <c:v>42052</c:v>
                </c:pt>
                <c:pt idx="1077">
                  <c:v>42053</c:v>
                </c:pt>
                <c:pt idx="1078">
                  <c:v>42054</c:v>
                </c:pt>
                <c:pt idx="1079">
                  <c:v>42055</c:v>
                </c:pt>
                <c:pt idx="1080">
                  <c:v>42058</c:v>
                </c:pt>
                <c:pt idx="1081">
                  <c:v>42059</c:v>
                </c:pt>
                <c:pt idx="1082">
                  <c:v>42060</c:v>
                </c:pt>
                <c:pt idx="1083">
                  <c:v>42061</c:v>
                </c:pt>
                <c:pt idx="1084">
                  <c:v>42062</c:v>
                </c:pt>
                <c:pt idx="1085">
                  <c:v>42065</c:v>
                </c:pt>
                <c:pt idx="1086">
                  <c:v>42066</c:v>
                </c:pt>
                <c:pt idx="1087">
                  <c:v>42067</c:v>
                </c:pt>
                <c:pt idx="1088">
                  <c:v>42068</c:v>
                </c:pt>
                <c:pt idx="1089">
                  <c:v>42069</c:v>
                </c:pt>
                <c:pt idx="1090">
                  <c:v>42072</c:v>
                </c:pt>
                <c:pt idx="1091">
                  <c:v>42073</c:v>
                </c:pt>
                <c:pt idx="1092">
                  <c:v>42074</c:v>
                </c:pt>
                <c:pt idx="1093">
                  <c:v>42075</c:v>
                </c:pt>
                <c:pt idx="1094">
                  <c:v>42076</c:v>
                </c:pt>
                <c:pt idx="1095">
                  <c:v>42079</c:v>
                </c:pt>
                <c:pt idx="1096">
                  <c:v>42080</c:v>
                </c:pt>
                <c:pt idx="1097">
                  <c:v>42081</c:v>
                </c:pt>
                <c:pt idx="1098">
                  <c:v>42082</c:v>
                </c:pt>
                <c:pt idx="1099">
                  <c:v>42083</c:v>
                </c:pt>
                <c:pt idx="1100">
                  <c:v>42086</c:v>
                </c:pt>
                <c:pt idx="1101">
                  <c:v>42087</c:v>
                </c:pt>
                <c:pt idx="1102">
                  <c:v>42088</c:v>
                </c:pt>
                <c:pt idx="1103">
                  <c:v>42089</c:v>
                </c:pt>
                <c:pt idx="1104">
                  <c:v>42090</c:v>
                </c:pt>
                <c:pt idx="1105">
                  <c:v>42093</c:v>
                </c:pt>
                <c:pt idx="1106">
                  <c:v>42094</c:v>
                </c:pt>
                <c:pt idx="1107">
                  <c:v>42095</c:v>
                </c:pt>
                <c:pt idx="1108">
                  <c:v>42096</c:v>
                </c:pt>
                <c:pt idx="1109">
                  <c:v>42097</c:v>
                </c:pt>
                <c:pt idx="1110">
                  <c:v>42100</c:v>
                </c:pt>
                <c:pt idx="1111">
                  <c:v>42101</c:v>
                </c:pt>
                <c:pt idx="1112">
                  <c:v>42102</c:v>
                </c:pt>
                <c:pt idx="1113">
                  <c:v>42103</c:v>
                </c:pt>
                <c:pt idx="1114">
                  <c:v>42104</c:v>
                </c:pt>
                <c:pt idx="1115">
                  <c:v>42107</c:v>
                </c:pt>
                <c:pt idx="1116">
                  <c:v>42108</c:v>
                </c:pt>
                <c:pt idx="1117">
                  <c:v>42109</c:v>
                </c:pt>
                <c:pt idx="1118">
                  <c:v>42110</c:v>
                </c:pt>
                <c:pt idx="1119">
                  <c:v>42111</c:v>
                </c:pt>
                <c:pt idx="1120">
                  <c:v>42114</c:v>
                </c:pt>
                <c:pt idx="1121">
                  <c:v>42115</c:v>
                </c:pt>
                <c:pt idx="1122">
                  <c:v>42116</c:v>
                </c:pt>
                <c:pt idx="1123">
                  <c:v>42117</c:v>
                </c:pt>
                <c:pt idx="1124">
                  <c:v>42118</c:v>
                </c:pt>
                <c:pt idx="1125">
                  <c:v>42121</c:v>
                </c:pt>
                <c:pt idx="1126">
                  <c:v>42122</c:v>
                </c:pt>
                <c:pt idx="1127">
                  <c:v>42123</c:v>
                </c:pt>
                <c:pt idx="1128">
                  <c:v>42124</c:v>
                </c:pt>
                <c:pt idx="1129">
                  <c:v>42125</c:v>
                </c:pt>
                <c:pt idx="1130">
                  <c:v>42128</c:v>
                </c:pt>
                <c:pt idx="1131">
                  <c:v>42129</c:v>
                </c:pt>
                <c:pt idx="1132">
                  <c:v>42130</c:v>
                </c:pt>
                <c:pt idx="1133">
                  <c:v>42131</c:v>
                </c:pt>
                <c:pt idx="1134">
                  <c:v>42132</c:v>
                </c:pt>
                <c:pt idx="1135">
                  <c:v>42135</c:v>
                </c:pt>
                <c:pt idx="1136">
                  <c:v>42136</c:v>
                </c:pt>
                <c:pt idx="1137">
                  <c:v>42137</c:v>
                </c:pt>
                <c:pt idx="1138">
                  <c:v>42138</c:v>
                </c:pt>
                <c:pt idx="1139">
                  <c:v>42139</c:v>
                </c:pt>
                <c:pt idx="1140">
                  <c:v>42142</c:v>
                </c:pt>
                <c:pt idx="1141">
                  <c:v>42143</c:v>
                </c:pt>
                <c:pt idx="1142">
                  <c:v>42144</c:v>
                </c:pt>
                <c:pt idx="1143">
                  <c:v>42145</c:v>
                </c:pt>
                <c:pt idx="1144">
                  <c:v>42146</c:v>
                </c:pt>
                <c:pt idx="1145">
                  <c:v>42149</c:v>
                </c:pt>
                <c:pt idx="1146">
                  <c:v>42150</c:v>
                </c:pt>
                <c:pt idx="1147">
                  <c:v>42151</c:v>
                </c:pt>
                <c:pt idx="1148">
                  <c:v>42152</c:v>
                </c:pt>
                <c:pt idx="1149">
                  <c:v>42153</c:v>
                </c:pt>
                <c:pt idx="1150">
                  <c:v>42156</c:v>
                </c:pt>
                <c:pt idx="1151">
                  <c:v>42157</c:v>
                </c:pt>
                <c:pt idx="1152">
                  <c:v>42158</c:v>
                </c:pt>
                <c:pt idx="1153">
                  <c:v>42159</c:v>
                </c:pt>
                <c:pt idx="1154">
                  <c:v>42160</c:v>
                </c:pt>
                <c:pt idx="1155">
                  <c:v>42163</c:v>
                </c:pt>
                <c:pt idx="1156">
                  <c:v>42164</c:v>
                </c:pt>
                <c:pt idx="1157">
                  <c:v>42165</c:v>
                </c:pt>
                <c:pt idx="1158">
                  <c:v>42166</c:v>
                </c:pt>
                <c:pt idx="1159">
                  <c:v>42167</c:v>
                </c:pt>
                <c:pt idx="1160">
                  <c:v>42170</c:v>
                </c:pt>
                <c:pt idx="1161">
                  <c:v>42171</c:v>
                </c:pt>
                <c:pt idx="1162">
                  <c:v>42172</c:v>
                </c:pt>
                <c:pt idx="1163">
                  <c:v>42173</c:v>
                </c:pt>
                <c:pt idx="1164">
                  <c:v>42174</c:v>
                </c:pt>
                <c:pt idx="1165">
                  <c:v>42177</c:v>
                </c:pt>
                <c:pt idx="1166">
                  <c:v>42178</c:v>
                </c:pt>
                <c:pt idx="1167">
                  <c:v>42179</c:v>
                </c:pt>
                <c:pt idx="1168">
                  <c:v>42180</c:v>
                </c:pt>
                <c:pt idx="1169">
                  <c:v>42181</c:v>
                </c:pt>
                <c:pt idx="1170">
                  <c:v>42184</c:v>
                </c:pt>
                <c:pt idx="1171">
                  <c:v>42185</c:v>
                </c:pt>
                <c:pt idx="1172">
                  <c:v>42186</c:v>
                </c:pt>
                <c:pt idx="1173">
                  <c:v>42187</c:v>
                </c:pt>
                <c:pt idx="1174">
                  <c:v>42188</c:v>
                </c:pt>
                <c:pt idx="1175">
                  <c:v>42191</c:v>
                </c:pt>
                <c:pt idx="1176">
                  <c:v>42192</c:v>
                </c:pt>
                <c:pt idx="1177">
                  <c:v>42193</c:v>
                </c:pt>
                <c:pt idx="1178">
                  <c:v>42194</c:v>
                </c:pt>
                <c:pt idx="1179">
                  <c:v>42195</c:v>
                </c:pt>
                <c:pt idx="1180">
                  <c:v>42198</c:v>
                </c:pt>
                <c:pt idx="1181">
                  <c:v>42199</c:v>
                </c:pt>
                <c:pt idx="1182">
                  <c:v>42200</c:v>
                </c:pt>
                <c:pt idx="1183">
                  <c:v>42201</c:v>
                </c:pt>
                <c:pt idx="1184">
                  <c:v>42202</c:v>
                </c:pt>
                <c:pt idx="1185">
                  <c:v>42205</c:v>
                </c:pt>
                <c:pt idx="1186">
                  <c:v>42206</c:v>
                </c:pt>
                <c:pt idx="1187">
                  <c:v>42207</c:v>
                </c:pt>
                <c:pt idx="1188">
                  <c:v>42208</c:v>
                </c:pt>
                <c:pt idx="1189">
                  <c:v>42209</c:v>
                </c:pt>
                <c:pt idx="1190">
                  <c:v>42212</c:v>
                </c:pt>
                <c:pt idx="1191">
                  <c:v>42213</c:v>
                </c:pt>
                <c:pt idx="1192">
                  <c:v>42214</c:v>
                </c:pt>
                <c:pt idx="1193">
                  <c:v>42215</c:v>
                </c:pt>
                <c:pt idx="1194">
                  <c:v>42216</c:v>
                </c:pt>
                <c:pt idx="1195">
                  <c:v>42219</c:v>
                </c:pt>
                <c:pt idx="1196">
                  <c:v>42220</c:v>
                </c:pt>
                <c:pt idx="1197">
                  <c:v>42221</c:v>
                </c:pt>
                <c:pt idx="1198">
                  <c:v>42222</c:v>
                </c:pt>
                <c:pt idx="1199">
                  <c:v>42223</c:v>
                </c:pt>
                <c:pt idx="1200">
                  <c:v>42226</c:v>
                </c:pt>
                <c:pt idx="1201">
                  <c:v>42227</c:v>
                </c:pt>
                <c:pt idx="1202">
                  <c:v>42228</c:v>
                </c:pt>
                <c:pt idx="1203">
                  <c:v>42229</c:v>
                </c:pt>
                <c:pt idx="1204">
                  <c:v>42230</c:v>
                </c:pt>
                <c:pt idx="1205">
                  <c:v>42233</c:v>
                </c:pt>
                <c:pt idx="1206">
                  <c:v>42234</c:v>
                </c:pt>
                <c:pt idx="1207">
                  <c:v>42235</c:v>
                </c:pt>
                <c:pt idx="1208">
                  <c:v>42236</c:v>
                </c:pt>
                <c:pt idx="1209">
                  <c:v>42237</c:v>
                </c:pt>
                <c:pt idx="1210">
                  <c:v>42240</c:v>
                </c:pt>
                <c:pt idx="1211">
                  <c:v>42241</c:v>
                </c:pt>
                <c:pt idx="1212">
                  <c:v>42242</c:v>
                </c:pt>
                <c:pt idx="1213">
                  <c:v>42243</c:v>
                </c:pt>
                <c:pt idx="1214">
                  <c:v>42244</c:v>
                </c:pt>
                <c:pt idx="1215">
                  <c:v>42247</c:v>
                </c:pt>
                <c:pt idx="1216">
                  <c:v>42248</c:v>
                </c:pt>
                <c:pt idx="1217">
                  <c:v>42249</c:v>
                </c:pt>
                <c:pt idx="1218">
                  <c:v>42250</c:v>
                </c:pt>
                <c:pt idx="1219">
                  <c:v>42251</c:v>
                </c:pt>
                <c:pt idx="1220">
                  <c:v>42254</c:v>
                </c:pt>
                <c:pt idx="1221">
                  <c:v>42255</c:v>
                </c:pt>
                <c:pt idx="1222">
                  <c:v>42256</c:v>
                </c:pt>
                <c:pt idx="1223">
                  <c:v>42257</c:v>
                </c:pt>
                <c:pt idx="1224">
                  <c:v>42258</c:v>
                </c:pt>
                <c:pt idx="1225">
                  <c:v>42261</c:v>
                </c:pt>
                <c:pt idx="1226">
                  <c:v>42262</c:v>
                </c:pt>
                <c:pt idx="1227">
                  <c:v>42263</c:v>
                </c:pt>
                <c:pt idx="1228">
                  <c:v>42264</c:v>
                </c:pt>
                <c:pt idx="1229">
                  <c:v>42265</c:v>
                </c:pt>
                <c:pt idx="1230">
                  <c:v>42268</c:v>
                </c:pt>
                <c:pt idx="1231">
                  <c:v>42269</c:v>
                </c:pt>
                <c:pt idx="1232">
                  <c:v>42270</c:v>
                </c:pt>
                <c:pt idx="1233">
                  <c:v>42271</c:v>
                </c:pt>
                <c:pt idx="1234">
                  <c:v>42272</c:v>
                </c:pt>
                <c:pt idx="1235">
                  <c:v>42275</c:v>
                </c:pt>
                <c:pt idx="1236">
                  <c:v>42276</c:v>
                </c:pt>
                <c:pt idx="1237">
                  <c:v>42277</c:v>
                </c:pt>
                <c:pt idx="1238">
                  <c:v>42278</c:v>
                </c:pt>
                <c:pt idx="1239">
                  <c:v>42279</c:v>
                </c:pt>
                <c:pt idx="1240">
                  <c:v>42282</c:v>
                </c:pt>
                <c:pt idx="1241">
                  <c:v>42283</c:v>
                </c:pt>
                <c:pt idx="1242">
                  <c:v>42284</c:v>
                </c:pt>
                <c:pt idx="1243">
                  <c:v>42285</c:v>
                </c:pt>
                <c:pt idx="1244">
                  <c:v>42286</c:v>
                </c:pt>
                <c:pt idx="1245">
                  <c:v>42289</c:v>
                </c:pt>
                <c:pt idx="1246">
                  <c:v>42290</c:v>
                </c:pt>
                <c:pt idx="1247">
                  <c:v>42291</c:v>
                </c:pt>
                <c:pt idx="1248">
                  <c:v>42292</c:v>
                </c:pt>
                <c:pt idx="1249">
                  <c:v>42293</c:v>
                </c:pt>
                <c:pt idx="1250">
                  <c:v>42296</c:v>
                </c:pt>
                <c:pt idx="1251">
                  <c:v>42297</c:v>
                </c:pt>
                <c:pt idx="1252">
                  <c:v>42298</c:v>
                </c:pt>
                <c:pt idx="1253">
                  <c:v>42299</c:v>
                </c:pt>
                <c:pt idx="1254">
                  <c:v>42300</c:v>
                </c:pt>
                <c:pt idx="1255">
                  <c:v>42303</c:v>
                </c:pt>
                <c:pt idx="1256">
                  <c:v>42304</c:v>
                </c:pt>
                <c:pt idx="1257">
                  <c:v>42305</c:v>
                </c:pt>
                <c:pt idx="1258">
                  <c:v>42306</c:v>
                </c:pt>
                <c:pt idx="1259">
                  <c:v>42307</c:v>
                </c:pt>
                <c:pt idx="1260">
                  <c:v>42310</c:v>
                </c:pt>
                <c:pt idx="1261">
                  <c:v>42311</c:v>
                </c:pt>
                <c:pt idx="1262">
                  <c:v>42312</c:v>
                </c:pt>
                <c:pt idx="1263">
                  <c:v>42313</c:v>
                </c:pt>
                <c:pt idx="1264">
                  <c:v>42314</c:v>
                </c:pt>
                <c:pt idx="1265">
                  <c:v>42317</c:v>
                </c:pt>
                <c:pt idx="1266">
                  <c:v>42318</c:v>
                </c:pt>
                <c:pt idx="1267">
                  <c:v>42319</c:v>
                </c:pt>
                <c:pt idx="1268">
                  <c:v>42320</c:v>
                </c:pt>
                <c:pt idx="1269">
                  <c:v>42321</c:v>
                </c:pt>
                <c:pt idx="1270">
                  <c:v>42324</c:v>
                </c:pt>
                <c:pt idx="1271">
                  <c:v>42325</c:v>
                </c:pt>
                <c:pt idx="1272">
                  <c:v>42326</c:v>
                </c:pt>
                <c:pt idx="1273">
                  <c:v>42327</c:v>
                </c:pt>
                <c:pt idx="1274">
                  <c:v>42328</c:v>
                </c:pt>
                <c:pt idx="1275">
                  <c:v>42331</c:v>
                </c:pt>
                <c:pt idx="1276">
                  <c:v>42332</c:v>
                </c:pt>
                <c:pt idx="1277">
                  <c:v>42333</c:v>
                </c:pt>
                <c:pt idx="1278">
                  <c:v>42334</c:v>
                </c:pt>
                <c:pt idx="1279">
                  <c:v>42335</c:v>
                </c:pt>
                <c:pt idx="1280">
                  <c:v>42338</c:v>
                </c:pt>
                <c:pt idx="1281">
                  <c:v>42339</c:v>
                </c:pt>
                <c:pt idx="1282">
                  <c:v>42340</c:v>
                </c:pt>
                <c:pt idx="1283">
                  <c:v>42341</c:v>
                </c:pt>
                <c:pt idx="1284">
                  <c:v>42342</c:v>
                </c:pt>
                <c:pt idx="1285">
                  <c:v>42345</c:v>
                </c:pt>
                <c:pt idx="1286">
                  <c:v>42346</c:v>
                </c:pt>
                <c:pt idx="1287">
                  <c:v>42347</c:v>
                </c:pt>
                <c:pt idx="1288">
                  <c:v>42348</c:v>
                </c:pt>
                <c:pt idx="1289">
                  <c:v>42349</c:v>
                </c:pt>
                <c:pt idx="1290">
                  <c:v>42352</c:v>
                </c:pt>
                <c:pt idx="1291">
                  <c:v>42353</c:v>
                </c:pt>
                <c:pt idx="1292">
                  <c:v>42354</c:v>
                </c:pt>
                <c:pt idx="1293">
                  <c:v>42355</c:v>
                </c:pt>
                <c:pt idx="1294">
                  <c:v>42356</c:v>
                </c:pt>
                <c:pt idx="1295">
                  <c:v>42359</c:v>
                </c:pt>
                <c:pt idx="1296">
                  <c:v>42360</c:v>
                </c:pt>
                <c:pt idx="1297">
                  <c:v>42361</c:v>
                </c:pt>
                <c:pt idx="1298">
                  <c:v>42362</c:v>
                </c:pt>
                <c:pt idx="1299">
                  <c:v>42363</c:v>
                </c:pt>
                <c:pt idx="1300">
                  <c:v>42366</c:v>
                </c:pt>
                <c:pt idx="1301">
                  <c:v>42367</c:v>
                </c:pt>
                <c:pt idx="1302">
                  <c:v>42368</c:v>
                </c:pt>
                <c:pt idx="1303">
                  <c:v>42369</c:v>
                </c:pt>
                <c:pt idx="1304">
                  <c:v>42370</c:v>
                </c:pt>
                <c:pt idx="1305">
                  <c:v>42373</c:v>
                </c:pt>
                <c:pt idx="1306">
                  <c:v>42374</c:v>
                </c:pt>
                <c:pt idx="1307">
                  <c:v>42375</c:v>
                </c:pt>
                <c:pt idx="1308">
                  <c:v>42376</c:v>
                </c:pt>
                <c:pt idx="1309">
                  <c:v>42377</c:v>
                </c:pt>
                <c:pt idx="1310">
                  <c:v>42380</c:v>
                </c:pt>
                <c:pt idx="1311">
                  <c:v>42381</c:v>
                </c:pt>
                <c:pt idx="1312">
                  <c:v>42382</c:v>
                </c:pt>
                <c:pt idx="1313">
                  <c:v>42383</c:v>
                </c:pt>
                <c:pt idx="1314">
                  <c:v>42384</c:v>
                </c:pt>
                <c:pt idx="1315">
                  <c:v>42387</c:v>
                </c:pt>
                <c:pt idx="1316">
                  <c:v>42388</c:v>
                </c:pt>
                <c:pt idx="1317">
                  <c:v>42389</c:v>
                </c:pt>
                <c:pt idx="1318">
                  <c:v>42390</c:v>
                </c:pt>
                <c:pt idx="1319">
                  <c:v>42391</c:v>
                </c:pt>
                <c:pt idx="1320">
                  <c:v>42394</c:v>
                </c:pt>
                <c:pt idx="1321">
                  <c:v>42395</c:v>
                </c:pt>
                <c:pt idx="1322">
                  <c:v>42396</c:v>
                </c:pt>
                <c:pt idx="1323">
                  <c:v>42397</c:v>
                </c:pt>
                <c:pt idx="1324">
                  <c:v>42398</c:v>
                </c:pt>
                <c:pt idx="1325">
                  <c:v>42401</c:v>
                </c:pt>
                <c:pt idx="1326">
                  <c:v>42402</c:v>
                </c:pt>
                <c:pt idx="1327">
                  <c:v>42403</c:v>
                </c:pt>
                <c:pt idx="1328">
                  <c:v>42404</c:v>
                </c:pt>
                <c:pt idx="1329">
                  <c:v>42405</c:v>
                </c:pt>
                <c:pt idx="1330">
                  <c:v>42408</c:v>
                </c:pt>
                <c:pt idx="1331">
                  <c:v>42409</c:v>
                </c:pt>
                <c:pt idx="1332">
                  <c:v>42410</c:v>
                </c:pt>
                <c:pt idx="1333">
                  <c:v>42411</c:v>
                </c:pt>
                <c:pt idx="1334">
                  <c:v>42412</c:v>
                </c:pt>
                <c:pt idx="1335">
                  <c:v>42415</c:v>
                </c:pt>
                <c:pt idx="1336">
                  <c:v>42416</c:v>
                </c:pt>
                <c:pt idx="1337">
                  <c:v>42417</c:v>
                </c:pt>
                <c:pt idx="1338">
                  <c:v>42418</c:v>
                </c:pt>
                <c:pt idx="1339">
                  <c:v>42419</c:v>
                </c:pt>
                <c:pt idx="1340">
                  <c:v>42422</c:v>
                </c:pt>
                <c:pt idx="1341">
                  <c:v>42423</c:v>
                </c:pt>
                <c:pt idx="1342">
                  <c:v>42424</c:v>
                </c:pt>
                <c:pt idx="1343">
                  <c:v>42425</c:v>
                </c:pt>
                <c:pt idx="1344">
                  <c:v>42426</c:v>
                </c:pt>
                <c:pt idx="1345">
                  <c:v>42429</c:v>
                </c:pt>
                <c:pt idx="1346">
                  <c:v>42430</c:v>
                </c:pt>
                <c:pt idx="1347">
                  <c:v>42431</c:v>
                </c:pt>
                <c:pt idx="1348">
                  <c:v>42432</c:v>
                </c:pt>
                <c:pt idx="1349">
                  <c:v>42433</c:v>
                </c:pt>
                <c:pt idx="1350">
                  <c:v>42436</c:v>
                </c:pt>
                <c:pt idx="1351">
                  <c:v>42437</c:v>
                </c:pt>
                <c:pt idx="1352">
                  <c:v>42438</c:v>
                </c:pt>
                <c:pt idx="1353">
                  <c:v>42439</c:v>
                </c:pt>
                <c:pt idx="1354">
                  <c:v>42440</c:v>
                </c:pt>
                <c:pt idx="1355">
                  <c:v>42443</c:v>
                </c:pt>
                <c:pt idx="1356">
                  <c:v>42444</c:v>
                </c:pt>
                <c:pt idx="1357">
                  <c:v>42445</c:v>
                </c:pt>
                <c:pt idx="1358">
                  <c:v>42446</c:v>
                </c:pt>
                <c:pt idx="1359">
                  <c:v>42447</c:v>
                </c:pt>
                <c:pt idx="1360">
                  <c:v>42450</c:v>
                </c:pt>
                <c:pt idx="1361">
                  <c:v>42451</c:v>
                </c:pt>
                <c:pt idx="1362">
                  <c:v>42452</c:v>
                </c:pt>
                <c:pt idx="1363">
                  <c:v>42453</c:v>
                </c:pt>
                <c:pt idx="1364">
                  <c:v>42454</c:v>
                </c:pt>
                <c:pt idx="1365">
                  <c:v>42457</c:v>
                </c:pt>
                <c:pt idx="1366">
                  <c:v>42458</c:v>
                </c:pt>
                <c:pt idx="1367">
                  <c:v>42459</c:v>
                </c:pt>
                <c:pt idx="1368">
                  <c:v>42460</c:v>
                </c:pt>
                <c:pt idx="1369">
                  <c:v>42461</c:v>
                </c:pt>
                <c:pt idx="1370">
                  <c:v>42464</c:v>
                </c:pt>
                <c:pt idx="1371">
                  <c:v>42465</c:v>
                </c:pt>
                <c:pt idx="1372">
                  <c:v>42466</c:v>
                </c:pt>
                <c:pt idx="1373">
                  <c:v>42467</c:v>
                </c:pt>
                <c:pt idx="1374">
                  <c:v>42468</c:v>
                </c:pt>
                <c:pt idx="1375">
                  <c:v>42471</c:v>
                </c:pt>
                <c:pt idx="1376">
                  <c:v>42472</c:v>
                </c:pt>
                <c:pt idx="1377">
                  <c:v>42473</c:v>
                </c:pt>
                <c:pt idx="1378">
                  <c:v>42474</c:v>
                </c:pt>
                <c:pt idx="1379">
                  <c:v>42475</c:v>
                </c:pt>
                <c:pt idx="1380">
                  <c:v>42478</c:v>
                </c:pt>
                <c:pt idx="1381">
                  <c:v>42479</c:v>
                </c:pt>
                <c:pt idx="1382">
                  <c:v>42480</c:v>
                </c:pt>
                <c:pt idx="1383">
                  <c:v>42481</c:v>
                </c:pt>
                <c:pt idx="1384">
                  <c:v>42482</c:v>
                </c:pt>
                <c:pt idx="1385">
                  <c:v>42485</c:v>
                </c:pt>
                <c:pt idx="1386">
                  <c:v>42486</c:v>
                </c:pt>
                <c:pt idx="1387">
                  <c:v>42487</c:v>
                </c:pt>
                <c:pt idx="1388">
                  <c:v>42488</c:v>
                </c:pt>
                <c:pt idx="1389">
                  <c:v>42489</c:v>
                </c:pt>
                <c:pt idx="1390">
                  <c:v>42492</c:v>
                </c:pt>
                <c:pt idx="1391">
                  <c:v>42493</c:v>
                </c:pt>
                <c:pt idx="1392">
                  <c:v>42494</c:v>
                </c:pt>
                <c:pt idx="1393">
                  <c:v>42495</c:v>
                </c:pt>
                <c:pt idx="1394">
                  <c:v>42496</c:v>
                </c:pt>
                <c:pt idx="1395">
                  <c:v>42499</c:v>
                </c:pt>
                <c:pt idx="1396">
                  <c:v>42500</c:v>
                </c:pt>
                <c:pt idx="1397">
                  <c:v>42501</c:v>
                </c:pt>
                <c:pt idx="1398">
                  <c:v>42502</c:v>
                </c:pt>
                <c:pt idx="1399">
                  <c:v>42503</c:v>
                </c:pt>
                <c:pt idx="1400">
                  <c:v>42506</c:v>
                </c:pt>
                <c:pt idx="1401">
                  <c:v>42507</c:v>
                </c:pt>
                <c:pt idx="1402">
                  <c:v>42508</c:v>
                </c:pt>
                <c:pt idx="1403">
                  <c:v>42509</c:v>
                </c:pt>
                <c:pt idx="1404">
                  <c:v>42510</c:v>
                </c:pt>
                <c:pt idx="1405">
                  <c:v>42513</c:v>
                </c:pt>
                <c:pt idx="1406">
                  <c:v>42514</c:v>
                </c:pt>
                <c:pt idx="1407">
                  <c:v>42515</c:v>
                </c:pt>
                <c:pt idx="1408">
                  <c:v>42516</c:v>
                </c:pt>
                <c:pt idx="1409">
                  <c:v>42517</c:v>
                </c:pt>
                <c:pt idx="1410">
                  <c:v>42520</c:v>
                </c:pt>
                <c:pt idx="1411">
                  <c:v>42521</c:v>
                </c:pt>
                <c:pt idx="1412">
                  <c:v>42522</c:v>
                </c:pt>
                <c:pt idx="1413">
                  <c:v>42523</c:v>
                </c:pt>
                <c:pt idx="1414">
                  <c:v>42524</c:v>
                </c:pt>
                <c:pt idx="1415">
                  <c:v>42527</c:v>
                </c:pt>
                <c:pt idx="1416">
                  <c:v>42528</c:v>
                </c:pt>
                <c:pt idx="1417">
                  <c:v>42529</c:v>
                </c:pt>
                <c:pt idx="1418">
                  <c:v>42530</c:v>
                </c:pt>
                <c:pt idx="1419">
                  <c:v>42531</c:v>
                </c:pt>
                <c:pt idx="1420">
                  <c:v>42534</c:v>
                </c:pt>
                <c:pt idx="1421">
                  <c:v>42535</c:v>
                </c:pt>
                <c:pt idx="1422">
                  <c:v>42536</c:v>
                </c:pt>
                <c:pt idx="1423">
                  <c:v>42537</c:v>
                </c:pt>
                <c:pt idx="1424">
                  <c:v>42538</c:v>
                </c:pt>
                <c:pt idx="1425">
                  <c:v>42541</c:v>
                </c:pt>
                <c:pt idx="1426">
                  <c:v>42542</c:v>
                </c:pt>
                <c:pt idx="1427">
                  <c:v>42543</c:v>
                </c:pt>
                <c:pt idx="1428">
                  <c:v>42544</c:v>
                </c:pt>
                <c:pt idx="1429">
                  <c:v>42545</c:v>
                </c:pt>
                <c:pt idx="1430">
                  <c:v>42548</c:v>
                </c:pt>
                <c:pt idx="1431">
                  <c:v>42549</c:v>
                </c:pt>
                <c:pt idx="1432">
                  <c:v>42550</c:v>
                </c:pt>
                <c:pt idx="1433">
                  <c:v>42551</c:v>
                </c:pt>
                <c:pt idx="1434">
                  <c:v>42552</c:v>
                </c:pt>
                <c:pt idx="1435">
                  <c:v>42555</c:v>
                </c:pt>
                <c:pt idx="1436">
                  <c:v>42556</c:v>
                </c:pt>
                <c:pt idx="1437">
                  <c:v>42557</c:v>
                </c:pt>
                <c:pt idx="1438">
                  <c:v>42558</c:v>
                </c:pt>
                <c:pt idx="1439">
                  <c:v>42559</c:v>
                </c:pt>
                <c:pt idx="1440">
                  <c:v>42562</c:v>
                </c:pt>
                <c:pt idx="1441">
                  <c:v>42563</c:v>
                </c:pt>
                <c:pt idx="1442">
                  <c:v>42564</c:v>
                </c:pt>
                <c:pt idx="1443">
                  <c:v>42565</c:v>
                </c:pt>
                <c:pt idx="1444">
                  <c:v>42566</c:v>
                </c:pt>
                <c:pt idx="1445">
                  <c:v>42569</c:v>
                </c:pt>
                <c:pt idx="1446">
                  <c:v>42570</c:v>
                </c:pt>
                <c:pt idx="1447">
                  <c:v>42571</c:v>
                </c:pt>
                <c:pt idx="1448">
                  <c:v>42572</c:v>
                </c:pt>
                <c:pt idx="1449">
                  <c:v>42573</c:v>
                </c:pt>
                <c:pt idx="1450">
                  <c:v>42576</c:v>
                </c:pt>
                <c:pt idx="1451">
                  <c:v>42577</c:v>
                </c:pt>
                <c:pt idx="1452">
                  <c:v>42578</c:v>
                </c:pt>
                <c:pt idx="1453">
                  <c:v>42579</c:v>
                </c:pt>
                <c:pt idx="1454">
                  <c:v>42580</c:v>
                </c:pt>
                <c:pt idx="1455">
                  <c:v>42583</c:v>
                </c:pt>
                <c:pt idx="1456">
                  <c:v>42584</c:v>
                </c:pt>
                <c:pt idx="1457">
                  <c:v>42585</c:v>
                </c:pt>
                <c:pt idx="1458">
                  <c:v>42586</c:v>
                </c:pt>
                <c:pt idx="1459">
                  <c:v>42587</c:v>
                </c:pt>
                <c:pt idx="1460">
                  <c:v>42590</c:v>
                </c:pt>
                <c:pt idx="1461">
                  <c:v>42591</c:v>
                </c:pt>
                <c:pt idx="1462">
                  <c:v>42592</c:v>
                </c:pt>
                <c:pt idx="1463">
                  <c:v>42593</c:v>
                </c:pt>
                <c:pt idx="1464">
                  <c:v>42594</c:v>
                </c:pt>
                <c:pt idx="1465">
                  <c:v>42597</c:v>
                </c:pt>
                <c:pt idx="1466">
                  <c:v>42598</c:v>
                </c:pt>
                <c:pt idx="1467">
                  <c:v>42599</c:v>
                </c:pt>
                <c:pt idx="1468">
                  <c:v>42600</c:v>
                </c:pt>
                <c:pt idx="1469">
                  <c:v>42601</c:v>
                </c:pt>
                <c:pt idx="1470">
                  <c:v>42604</c:v>
                </c:pt>
                <c:pt idx="1471">
                  <c:v>42605</c:v>
                </c:pt>
                <c:pt idx="1472">
                  <c:v>42606</c:v>
                </c:pt>
                <c:pt idx="1473">
                  <c:v>42607</c:v>
                </c:pt>
                <c:pt idx="1474">
                  <c:v>42608</c:v>
                </c:pt>
                <c:pt idx="1475">
                  <c:v>42611</c:v>
                </c:pt>
                <c:pt idx="1476">
                  <c:v>42612</c:v>
                </c:pt>
                <c:pt idx="1477">
                  <c:v>42613</c:v>
                </c:pt>
                <c:pt idx="1478">
                  <c:v>42614</c:v>
                </c:pt>
                <c:pt idx="1479">
                  <c:v>42615</c:v>
                </c:pt>
                <c:pt idx="1480">
                  <c:v>42618</c:v>
                </c:pt>
                <c:pt idx="1481">
                  <c:v>42619</c:v>
                </c:pt>
                <c:pt idx="1482">
                  <c:v>42620</c:v>
                </c:pt>
                <c:pt idx="1483">
                  <c:v>42621</c:v>
                </c:pt>
                <c:pt idx="1484">
                  <c:v>42622</c:v>
                </c:pt>
                <c:pt idx="1485">
                  <c:v>42625</c:v>
                </c:pt>
                <c:pt idx="1486">
                  <c:v>42626</c:v>
                </c:pt>
                <c:pt idx="1487">
                  <c:v>42627</c:v>
                </c:pt>
                <c:pt idx="1488">
                  <c:v>42628</c:v>
                </c:pt>
                <c:pt idx="1489">
                  <c:v>42629</c:v>
                </c:pt>
                <c:pt idx="1490">
                  <c:v>42632</c:v>
                </c:pt>
                <c:pt idx="1491">
                  <c:v>42633</c:v>
                </c:pt>
                <c:pt idx="1492">
                  <c:v>42634</c:v>
                </c:pt>
                <c:pt idx="1493">
                  <c:v>42635</c:v>
                </c:pt>
                <c:pt idx="1494">
                  <c:v>42636</c:v>
                </c:pt>
                <c:pt idx="1495">
                  <c:v>42639</c:v>
                </c:pt>
                <c:pt idx="1496">
                  <c:v>42640</c:v>
                </c:pt>
                <c:pt idx="1497">
                  <c:v>42641</c:v>
                </c:pt>
                <c:pt idx="1498">
                  <c:v>42642</c:v>
                </c:pt>
                <c:pt idx="1499">
                  <c:v>42643</c:v>
                </c:pt>
                <c:pt idx="1500">
                  <c:v>42646</c:v>
                </c:pt>
                <c:pt idx="1501">
                  <c:v>42647</c:v>
                </c:pt>
                <c:pt idx="1502">
                  <c:v>42648</c:v>
                </c:pt>
                <c:pt idx="1503">
                  <c:v>42649</c:v>
                </c:pt>
                <c:pt idx="1504">
                  <c:v>42650</c:v>
                </c:pt>
                <c:pt idx="1505">
                  <c:v>42653</c:v>
                </c:pt>
                <c:pt idx="1506">
                  <c:v>42654</c:v>
                </c:pt>
                <c:pt idx="1507">
                  <c:v>42655</c:v>
                </c:pt>
                <c:pt idx="1508">
                  <c:v>42656</c:v>
                </c:pt>
                <c:pt idx="1509">
                  <c:v>42657</c:v>
                </c:pt>
                <c:pt idx="1510">
                  <c:v>42660</c:v>
                </c:pt>
                <c:pt idx="1511">
                  <c:v>42661</c:v>
                </c:pt>
                <c:pt idx="1512">
                  <c:v>42662</c:v>
                </c:pt>
                <c:pt idx="1513">
                  <c:v>42663</c:v>
                </c:pt>
                <c:pt idx="1514">
                  <c:v>42664</c:v>
                </c:pt>
                <c:pt idx="1515">
                  <c:v>42667</c:v>
                </c:pt>
                <c:pt idx="1516">
                  <c:v>42668</c:v>
                </c:pt>
                <c:pt idx="1517">
                  <c:v>42669</c:v>
                </c:pt>
                <c:pt idx="1518">
                  <c:v>42670</c:v>
                </c:pt>
                <c:pt idx="1519">
                  <c:v>42671</c:v>
                </c:pt>
                <c:pt idx="1520">
                  <c:v>42674</c:v>
                </c:pt>
                <c:pt idx="1521">
                  <c:v>42675</c:v>
                </c:pt>
                <c:pt idx="1522">
                  <c:v>42676</c:v>
                </c:pt>
                <c:pt idx="1523">
                  <c:v>42677</c:v>
                </c:pt>
                <c:pt idx="1524">
                  <c:v>42678</c:v>
                </c:pt>
                <c:pt idx="1525">
                  <c:v>42681</c:v>
                </c:pt>
                <c:pt idx="1526">
                  <c:v>42682</c:v>
                </c:pt>
                <c:pt idx="1527">
                  <c:v>42683</c:v>
                </c:pt>
                <c:pt idx="1528">
                  <c:v>42684</c:v>
                </c:pt>
                <c:pt idx="1529">
                  <c:v>42685</c:v>
                </c:pt>
                <c:pt idx="1530">
                  <c:v>42688</c:v>
                </c:pt>
                <c:pt idx="1531">
                  <c:v>42689</c:v>
                </c:pt>
                <c:pt idx="1532">
                  <c:v>42690</c:v>
                </c:pt>
                <c:pt idx="1533">
                  <c:v>42691</c:v>
                </c:pt>
                <c:pt idx="1534">
                  <c:v>42692</c:v>
                </c:pt>
                <c:pt idx="1535">
                  <c:v>42695</c:v>
                </c:pt>
                <c:pt idx="1536">
                  <c:v>42696</c:v>
                </c:pt>
                <c:pt idx="1537">
                  <c:v>42697</c:v>
                </c:pt>
                <c:pt idx="1538">
                  <c:v>42698</c:v>
                </c:pt>
                <c:pt idx="1539">
                  <c:v>42699</c:v>
                </c:pt>
                <c:pt idx="1540">
                  <c:v>42702</c:v>
                </c:pt>
                <c:pt idx="1541">
                  <c:v>42703</c:v>
                </c:pt>
                <c:pt idx="1542">
                  <c:v>42704</c:v>
                </c:pt>
                <c:pt idx="1543">
                  <c:v>42705</c:v>
                </c:pt>
                <c:pt idx="1544">
                  <c:v>42706</c:v>
                </c:pt>
                <c:pt idx="1545">
                  <c:v>42709</c:v>
                </c:pt>
                <c:pt idx="1546">
                  <c:v>42710</c:v>
                </c:pt>
                <c:pt idx="1547">
                  <c:v>42711</c:v>
                </c:pt>
                <c:pt idx="1548">
                  <c:v>42712</c:v>
                </c:pt>
                <c:pt idx="1549">
                  <c:v>42713</c:v>
                </c:pt>
                <c:pt idx="1550">
                  <c:v>42716</c:v>
                </c:pt>
                <c:pt idx="1551">
                  <c:v>42717</c:v>
                </c:pt>
                <c:pt idx="1552">
                  <c:v>42718</c:v>
                </c:pt>
                <c:pt idx="1553">
                  <c:v>42719</c:v>
                </c:pt>
                <c:pt idx="1554">
                  <c:v>42720</c:v>
                </c:pt>
                <c:pt idx="1555">
                  <c:v>42723</c:v>
                </c:pt>
                <c:pt idx="1556">
                  <c:v>42724</c:v>
                </c:pt>
                <c:pt idx="1557">
                  <c:v>42725</c:v>
                </c:pt>
                <c:pt idx="1558">
                  <c:v>42726</c:v>
                </c:pt>
                <c:pt idx="1559">
                  <c:v>42727</c:v>
                </c:pt>
                <c:pt idx="1560">
                  <c:v>42730</c:v>
                </c:pt>
                <c:pt idx="1561">
                  <c:v>42731</c:v>
                </c:pt>
                <c:pt idx="1562">
                  <c:v>42732</c:v>
                </c:pt>
                <c:pt idx="1563">
                  <c:v>42733</c:v>
                </c:pt>
                <c:pt idx="1564">
                  <c:v>42734</c:v>
                </c:pt>
                <c:pt idx="1565">
                  <c:v>42737</c:v>
                </c:pt>
                <c:pt idx="1566">
                  <c:v>42738</c:v>
                </c:pt>
                <c:pt idx="1567">
                  <c:v>42739</c:v>
                </c:pt>
                <c:pt idx="1568">
                  <c:v>42740</c:v>
                </c:pt>
                <c:pt idx="1569">
                  <c:v>42741</c:v>
                </c:pt>
                <c:pt idx="1570">
                  <c:v>42744</c:v>
                </c:pt>
                <c:pt idx="1571">
                  <c:v>42745</c:v>
                </c:pt>
                <c:pt idx="1572">
                  <c:v>42746</c:v>
                </c:pt>
                <c:pt idx="1573">
                  <c:v>42747</c:v>
                </c:pt>
                <c:pt idx="1574">
                  <c:v>42748</c:v>
                </c:pt>
                <c:pt idx="1575">
                  <c:v>42751</c:v>
                </c:pt>
                <c:pt idx="1576">
                  <c:v>42752</c:v>
                </c:pt>
                <c:pt idx="1577">
                  <c:v>42753</c:v>
                </c:pt>
                <c:pt idx="1578">
                  <c:v>42754</c:v>
                </c:pt>
                <c:pt idx="1579">
                  <c:v>42755</c:v>
                </c:pt>
                <c:pt idx="1580">
                  <c:v>42758</c:v>
                </c:pt>
                <c:pt idx="1581">
                  <c:v>42759</c:v>
                </c:pt>
                <c:pt idx="1582">
                  <c:v>42760</c:v>
                </c:pt>
                <c:pt idx="1583">
                  <c:v>42761</c:v>
                </c:pt>
                <c:pt idx="1584">
                  <c:v>42762</c:v>
                </c:pt>
                <c:pt idx="1585">
                  <c:v>42765</c:v>
                </c:pt>
                <c:pt idx="1586">
                  <c:v>42766</c:v>
                </c:pt>
                <c:pt idx="1587">
                  <c:v>42767</c:v>
                </c:pt>
                <c:pt idx="1588">
                  <c:v>42768</c:v>
                </c:pt>
                <c:pt idx="1589">
                  <c:v>42769</c:v>
                </c:pt>
                <c:pt idx="1590">
                  <c:v>42772</c:v>
                </c:pt>
                <c:pt idx="1591">
                  <c:v>42773</c:v>
                </c:pt>
                <c:pt idx="1592">
                  <c:v>42774</c:v>
                </c:pt>
                <c:pt idx="1593">
                  <c:v>42775</c:v>
                </c:pt>
                <c:pt idx="1594">
                  <c:v>42776</c:v>
                </c:pt>
                <c:pt idx="1595">
                  <c:v>42779</c:v>
                </c:pt>
                <c:pt idx="1596">
                  <c:v>42780</c:v>
                </c:pt>
                <c:pt idx="1597">
                  <c:v>42781</c:v>
                </c:pt>
                <c:pt idx="1598">
                  <c:v>42782</c:v>
                </c:pt>
                <c:pt idx="1599">
                  <c:v>42783</c:v>
                </c:pt>
                <c:pt idx="1600">
                  <c:v>42786</c:v>
                </c:pt>
                <c:pt idx="1601">
                  <c:v>42787</c:v>
                </c:pt>
                <c:pt idx="1602">
                  <c:v>42788</c:v>
                </c:pt>
                <c:pt idx="1603">
                  <c:v>42789</c:v>
                </c:pt>
                <c:pt idx="1604">
                  <c:v>42790</c:v>
                </c:pt>
                <c:pt idx="1605">
                  <c:v>42793</c:v>
                </c:pt>
                <c:pt idx="1606">
                  <c:v>42794</c:v>
                </c:pt>
                <c:pt idx="1607">
                  <c:v>42795</c:v>
                </c:pt>
                <c:pt idx="1608">
                  <c:v>42796</c:v>
                </c:pt>
                <c:pt idx="1609">
                  <c:v>42797</c:v>
                </c:pt>
                <c:pt idx="1610">
                  <c:v>42800</c:v>
                </c:pt>
                <c:pt idx="1611">
                  <c:v>42801</c:v>
                </c:pt>
                <c:pt idx="1612">
                  <c:v>42802</c:v>
                </c:pt>
                <c:pt idx="1613">
                  <c:v>42803</c:v>
                </c:pt>
                <c:pt idx="1614">
                  <c:v>42804</c:v>
                </c:pt>
                <c:pt idx="1615">
                  <c:v>42807</c:v>
                </c:pt>
                <c:pt idx="1616">
                  <c:v>42808</c:v>
                </c:pt>
                <c:pt idx="1617">
                  <c:v>42809</c:v>
                </c:pt>
                <c:pt idx="1618">
                  <c:v>42810</c:v>
                </c:pt>
                <c:pt idx="1619">
                  <c:v>42811</c:v>
                </c:pt>
                <c:pt idx="1620">
                  <c:v>42814</c:v>
                </c:pt>
                <c:pt idx="1621">
                  <c:v>42815</c:v>
                </c:pt>
                <c:pt idx="1622">
                  <c:v>42816</c:v>
                </c:pt>
                <c:pt idx="1623">
                  <c:v>42817</c:v>
                </c:pt>
                <c:pt idx="1624">
                  <c:v>42818</c:v>
                </c:pt>
                <c:pt idx="1625">
                  <c:v>42821</c:v>
                </c:pt>
                <c:pt idx="1626">
                  <c:v>42822</c:v>
                </c:pt>
                <c:pt idx="1627">
                  <c:v>42823</c:v>
                </c:pt>
                <c:pt idx="1628">
                  <c:v>42824</c:v>
                </c:pt>
                <c:pt idx="1629">
                  <c:v>42825</c:v>
                </c:pt>
                <c:pt idx="1630">
                  <c:v>42828</c:v>
                </c:pt>
                <c:pt idx="1631">
                  <c:v>42829</c:v>
                </c:pt>
                <c:pt idx="1632">
                  <c:v>42830</c:v>
                </c:pt>
                <c:pt idx="1633">
                  <c:v>42831</c:v>
                </c:pt>
                <c:pt idx="1634">
                  <c:v>42832</c:v>
                </c:pt>
                <c:pt idx="1635">
                  <c:v>42835</c:v>
                </c:pt>
                <c:pt idx="1636">
                  <c:v>42836</c:v>
                </c:pt>
                <c:pt idx="1637">
                  <c:v>42837</c:v>
                </c:pt>
                <c:pt idx="1638">
                  <c:v>42838</c:v>
                </c:pt>
                <c:pt idx="1639">
                  <c:v>42839</c:v>
                </c:pt>
                <c:pt idx="1640">
                  <c:v>42842</c:v>
                </c:pt>
                <c:pt idx="1641">
                  <c:v>42843</c:v>
                </c:pt>
                <c:pt idx="1642">
                  <c:v>42844</c:v>
                </c:pt>
                <c:pt idx="1643">
                  <c:v>42845</c:v>
                </c:pt>
                <c:pt idx="1644">
                  <c:v>42846</c:v>
                </c:pt>
                <c:pt idx="1645">
                  <c:v>42849</c:v>
                </c:pt>
                <c:pt idx="1646">
                  <c:v>42850</c:v>
                </c:pt>
                <c:pt idx="1647">
                  <c:v>42851</c:v>
                </c:pt>
                <c:pt idx="1648">
                  <c:v>42852</c:v>
                </c:pt>
                <c:pt idx="1649">
                  <c:v>42853</c:v>
                </c:pt>
                <c:pt idx="1650">
                  <c:v>42856</c:v>
                </c:pt>
                <c:pt idx="1651">
                  <c:v>42857</c:v>
                </c:pt>
                <c:pt idx="1652">
                  <c:v>42858</c:v>
                </c:pt>
                <c:pt idx="1653">
                  <c:v>42859</c:v>
                </c:pt>
                <c:pt idx="1654">
                  <c:v>42860</c:v>
                </c:pt>
                <c:pt idx="1655">
                  <c:v>42863</c:v>
                </c:pt>
                <c:pt idx="1656">
                  <c:v>42864</c:v>
                </c:pt>
                <c:pt idx="1657">
                  <c:v>42865</c:v>
                </c:pt>
                <c:pt idx="1658">
                  <c:v>42866</c:v>
                </c:pt>
                <c:pt idx="1659">
                  <c:v>42867</c:v>
                </c:pt>
                <c:pt idx="1660">
                  <c:v>42870</c:v>
                </c:pt>
                <c:pt idx="1661">
                  <c:v>42871</c:v>
                </c:pt>
                <c:pt idx="1662">
                  <c:v>42872</c:v>
                </c:pt>
                <c:pt idx="1663">
                  <c:v>42873</c:v>
                </c:pt>
                <c:pt idx="1664">
                  <c:v>42874</c:v>
                </c:pt>
                <c:pt idx="1665">
                  <c:v>42877</c:v>
                </c:pt>
                <c:pt idx="1666">
                  <c:v>42878</c:v>
                </c:pt>
                <c:pt idx="1667">
                  <c:v>42879</c:v>
                </c:pt>
                <c:pt idx="1668">
                  <c:v>42880</c:v>
                </c:pt>
                <c:pt idx="1669">
                  <c:v>42881</c:v>
                </c:pt>
                <c:pt idx="1670">
                  <c:v>42884</c:v>
                </c:pt>
                <c:pt idx="1671">
                  <c:v>42885</c:v>
                </c:pt>
                <c:pt idx="1672">
                  <c:v>42886</c:v>
                </c:pt>
                <c:pt idx="1673">
                  <c:v>42887</c:v>
                </c:pt>
                <c:pt idx="1674">
                  <c:v>42888</c:v>
                </c:pt>
                <c:pt idx="1675">
                  <c:v>42891</c:v>
                </c:pt>
                <c:pt idx="1676">
                  <c:v>42892</c:v>
                </c:pt>
                <c:pt idx="1677">
                  <c:v>42893</c:v>
                </c:pt>
                <c:pt idx="1678">
                  <c:v>42894</c:v>
                </c:pt>
                <c:pt idx="1679">
                  <c:v>42895</c:v>
                </c:pt>
                <c:pt idx="1680">
                  <c:v>42898</c:v>
                </c:pt>
                <c:pt idx="1681">
                  <c:v>42899</c:v>
                </c:pt>
                <c:pt idx="1682">
                  <c:v>42900</c:v>
                </c:pt>
                <c:pt idx="1683">
                  <c:v>42901</c:v>
                </c:pt>
                <c:pt idx="1684">
                  <c:v>42902</c:v>
                </c:pt>
                <c:pt idx="1685">
                  <c:v>42905</c:v>
                </c:pt>
                <c:pt idx="1686">
                  <c:v>42906</c:v>
                </c:pt>
                <c:pt idx="1687">
                  <c:v>42907</c:v>
                </c:pt>
                <c:pt idx="1688">
                  <c:v>42908</c:v>
                </c:pt>
                <c:pt idx="1689">
                  <c:v>42909</c:v>
                </c:pt>
                <c:pt idx="1690">
                  <c:v>42912</c:v>
                </c:pt>
                <c:pt idx="1691">
                  <c:v>42913</c:v>
                </c:pt>
                <c:pt idx="1692">
                  <c:v>42914</c:v>
                </c:pt>
                <c:pt idx="1693">
                  <c:v>42915</c:v>
                </c:pt>
                <c:pt idx="1694">
                  <c:v>42916</c:v>
                </c:pt>
                <c:pt idx="1695">
                  <c:v>42919</c:v>
                </c:pt>
                <c:pt idx="1696">
                  <c:v>42920</c:v>
                </c:pt>
                <c:pt idx="1697">
                  <c:v>42921</c:v>
                </c:pt>
                <c:pt idx="1698">
                  <c:v>42922</c:v>
                </c:pt>
                <c:pt idx="1699">
                  <c:v>42923</c:v>
                </c:pt>
                <c:pt idx="1700">
                  <c:v>42926</c:v>
                </c:pt>
                <c:pt idx="1701">
                  <c:v>42927</c:v>
                </c:pt>
                <c:pt idx="1702">
                  <c:v>42928</c:v>
                </c:pt>
                <c:pt idx="1703">
                  <c:v>42929</c:v>
                </c:pt>
                <c:pt idx="1704">
                  <c:v>42930</c:v>
                </c:pt>
                <c:pt idx="1705">
                  <c:v>42933</c:v>
                </c:pt>
                <c:pt idx="1706">
                  <c:v>42934</c:v>
                </c:pt>
                <c:pt idx="1707">
                  <c:v>42935</c:v>
                </c:pt>
                <c:pt idx="1708">
                  <c:v>42936</c:v>
                </c:pt>
                <c:pt idx="1709">
                  <c:v>42937</c:v>
                </c:pt>
                <c:pt idx="1710">
                  <c:v>42940</c:v>
                </c:pt>
                <c:pt idx="1711">
                  <c:v>42941</c:v>
                </c:pt>
                <c:pt idx="1712">
                  <c:v>42942</c:v>
                </c:pt>
                <c:pt idx="1713">
                  <c:v>42943</c:v>
                </c:pt>
                <c:pt idx="1714">
                  <c:v>42944</c:v>
                </c:pt>
                <c:pt idx="1715">
                  <c:v>42947</c:v>
                </c:pt>
                <c:pt idx="1716">
                  <c:v>42948</c:v>
                </c:pt>
                <c:pt idx="1717">
                  <c:v>42949</c:v>
                </c:pt>
                <c:pt idx="1718">
                  <c:v>42950</c:v>
                </c:pt>
                <c:pt idx="1719">
                  <c:v>42951</c:v>
                </c:pt>
                <c:pt idx="1720">
                  <c:v>42954</c:v>
                </c:pt>
                <c:pt idx="1721">
                  <c:v>42955</c:v>
                </c:pt>
                <c:pt idx="1722">
                  <c:v>42956</c:v>
                </c:pt>
                <c:pt idx="1723">
                  <c:v>42957</c:v>
                </c:pt>
                <c:pt idx="1724">
                  <c:v>42958</c:v>
                </c:pt>
                <c:pt idx="1725">
                  <c:v>42961</c:v>
                </c:pt>
                <c:pt idx="1726">
                  <c:v>42962</c:v>
                </c:pt>
                <c:pt idx="1727">
                  <c:v>42963</c:v>
                </c:pt>
                <c:pt idx="1728">
                  <c:v>42964</c:v>
                </c:pt>
                <c:pt idx="1729">
                  <c:v>42965</c:v>
                </c:pt>
                <c:pt idx="1730">
                  <c:v>42968</c:v>
                </c:pt>
                <c:pt idx="1731">
                  <c:v>42969</c:v>
                </c:pt>
                <c:pt idx="1732">
                  <c:v>42970</c:v>
                </c:pt>
                <c:pt idx="1733">
                  <c:v>42971</c:v>
                </c:pt>
                <c:pt idx="1734">
                  <c:v>42972</c:v>
                </c:pt>
                <c:pt idx="1735">
                  <c:v>42975</c:v>
                </c:pt>
                <c:pt idx="1736">
                  <c:v>42976</c:v>
                </c:pt>
                <c:pt idx="1737">
                  <c:v>42977</c:v>
                </c:pt>
                <c:pt idx="1738">
                  <c:v>42978</c:v>
                </c:pt>
                <c:pt idx="1739">
                  <c:v>42979</c:v>
                </c:pt>
                <c:pt idx="1740">
                  <c:v>42982</c:v>
                </c:pt>
                <c:pt idx="1741">
                  <c:v>42983</c:v>
                </c:pt>
                <c:pt idx="1742">
                  <c:v>42984</c:v>
                </c:pt>
                <c:pt idx="1743">
                  <c:v>42985</c:v>
                </c:pt>
                <c:pt idx="1744">
                  <c:v>42986</c:v>
                </c:pt>
                <c:pt idx="1745">
                  <c:v>42989</c:v>
                </c:pt>
                <c:pt idx="1746">
                  <c:v>42990</c:v>
                </c:pt>
                <c:pt idx="1747">
                  <c:v>42991</c:v>
                </c:pt>
                <c:pt idx="1748">
                  <c:v>42992</c:v>
                </c:pt>
                <c:pt idx="1749">
                  <c:v>42993</c:v>
                </c:pt>
                <c:pt idx="1750">
                  <c:v>42996</c:v>
                </c:pt>
                <c:pt idx="1751">
                  <c:v>42997</c:v>
                </c:pt>
                <c:pt idx="1752">
                  <c:v>42998</c:v>
                </c:pt>
                <c:pt idx="1753">
                  <c:v>42999</c:v>
                </c:pt>
                <c:pt idx="1754">
                  <c:v>43000</c:v>
                </c:pt>
                <c:pt idx="1755">
                  <c:v>43003</c:v>
                </c:pt>
                <c:pt idx="1756">
                  <c:v>43004</c:v>
                </c:pt>
                <c:pt idx="1757">
                  <c:v>43005</c:v>
                </c:pt>
                <c:pt idx="1758">
                  <c:v>43006</c:v>
                </c:pt>
                <c:pt idx="1759">
                  <c:v>43007</c:v>
                </c:pt>
                <c:pt idx="1760">
                  <c:v>43010</c:v>
                </c:pt>
                <c:pt idx="1761">
                  <c:v>43011</c:v>
                </c:pt>
                <c:pt idx="1762">
                  <c:v>43012</c:v>
                </c:pt>
                <c:pt idx="1763">
                  <c:v>43013</c:v>
                </c:pt>
                <c:pt idx="1764">
                  <c:v>43014</c:v>
                </c:pt>
                <c:pt idx="1765">
                  <c:v>43017</c:v>
                </c:pt>
                <c:pt idx="1766">
                  <c:v>43018</c:v>
                </c:pt>
                <c:pt idx="1767">
                  <c:v>43019</c:v>
                </c:pt>
                <c:pt idx="1768">
                  <c:v>43020</c:v>
                </c:pt>
                <c:pt idx="1769">
                  <c:v>43021</c:v>
                </c:pt>
                <c:pt idx="1770">
                  <c:v>43024</c:v>
                </c:pt>
                <c:pt idx="1771">
                  <c:v>43025</c:v>
                </c:pt>
                <c:pt idx="1772">
                  <c:v>43026</c:v>
                </c:pt>
                <c:pt idx="1773">
                  <c:v>43027</c:v>
                </c:pt>
                <c:pt idx="1774">
                  <c:v>43028</c:v>
                </c:pt>
                <c:pt idx="1775">
                  <c:v>43031</c:v>
                </c:pt>
                <c:pt idx="1776">
                  <c:v>43032</c:v>
                </c:pt>
                <c:pt idx="1777">
                  <c:v>43033</c:v>
                </c:pt>
                <c:pt idx="1778">
                  <c:v>43034</c:v>
                </c:pt>
                <c:pt idx="1779">
                  <c:v>43035</c:v>
                </c:pt>
                <c:pt idx="1780">
                  <c:v>43038</c:v>
                </c:pt>
                <c:pt idx="1781">
                  <c:v>43039</c:v>
                </c:pt>
                <c:pt idx="1782">
                  <c:v>43040</c:v>
                </c:pt>
                <c:pt idx="1783">
                  <c:v>43041</c:v>
                </c:pt>
                <c:pt idx="1784">
                  <c:v>43042</c:v>
                </c:pt>
                <c:pt idx="1785">
                  <c:v>43045</c:v>
                </c:pt>
                <c:pt idx="1786">
                  <c:v>43046</c:v>
                </c:pt>
                <c:pt idx="1787">
                  <c:v>43047</c:v>
                </c:pt>
                <c:pt idx="1788">
                  <c:v>43048</c:v>
                </c:pt>
                <c:pt idx="1789">
                  <c:v>43049</c:v>
                </c:pt>
                <c:pt idx="1790">
                  <c:v>43052</c:v>
                </c:pt>
                <c:pt idx="1791">
                  <c:v>43053</c:v>
                </c:pt>
                <c:pt idx="1792">
                  <c:v>43054</c:v>
                </c:pt>
                <c:pt idx="1793">
                  <c:v>43055</c:v>
                </c:pt>
                <c:pt idx="1794">
                  <c:v>43056</c:v>
                </c:pt>
                <c:pt idx="1795">
                  <c:v>43059</c:v>
                </c:pt>
                <c:pt idx="1796">
                  <c:v>43060</c:v>
                </c:pt>
                <c:pt idx="1797">
                  <c:v>43061</c:v>
                </c:pt>
                <c:pt idx="1798">
                  <c:v>43062</c:v>
                </c:pt>
                <c:pt idx="1799">
                  <c:v>43063</c:v>
                </c:pt>
                <c:pt idx="1800">
                  <c:v>43066</c:v>
                </c:pt>
                <c:pt idx="1801">
                  <c:v>43067</c:v>
                </c:pt>
                <c:pt idx="1802">
                  <c:v>43068</c:v>
                </c:pt>
                <c:pt idx="1803">
                  <c:v>43069</c:v>
                </c:pt>
                <c:pt idx="1804">
                  <c:v>43070</c:v>
                </c:pt>
                <c:pt idx="1805">
                  <c:v>43073</c:v>
                </c:pt>
                <c:pt idx="1806">
                  <c:v>43074</c:v>
                </c:pt>
                <c:pt idx="1807">
                  <c:v>43075</c:v>
                </c:pt>
                <c:pt idx="1808">
                  <c:v>43076</c:v>
                </c:pt>
                <c:pt idx="1809">
                  <c:v>43077</c:v>
                </c:pt>
                <c:pt idx="1810">
                  <c:v>43080</c:v>
                </c:pt>
                <c:pt idx="1811">
                  <c:v>43081</c:v>
                </c:pt>
                <c:pt idx="1812">
                  <c:v>43082</c:v>
                </c:pt>
                <c:pt idx="1813">
                  <c:v>43083</c:v>
                </c:pt>
                <c:pt idx="1814">
                  <c:v>43084</c:v>
                </c:pt>
                <c:pt idx="1815">
                  <c:v>43087</c:v>
                </c:pt>
                <c:pt idx="1816">
                  <c:v>43088</c:v>
                </c:pt>
                <c:pt idx="1817">
                  <c:v>43089</c:v>
                </c:pt>
                <c:pt idx="1818">
                  <c:v>43090</c:v>
                </c:pt>
                <c:pt idx="1819">
                  <c:v>43091</c:v>
                </c:pt>
                <c:pt idx="1820">
                  <c:v>43094</c:v>
                </c:pt>
                <c:pt idx="1821">
                  <c:v>43095</c:v>
                </c:pt>
                <c:pt idx="1822">
                  <c:v>43096</c:v>
                </c:pt>
                <c:pt idx="1823">
                  <c:v>43097</c:v>
                </c:pt>
                <c:pt idx="1824">
                  <c:v>43098</c:v>
                </c:pt>
                <c:pt idx="1825">
                  <c:v>43101</c:v>
                </c:pt>
                <c:pt idx="1826">
                  <c:v>43102</c:v>
                </c:pt>
                <c:pt idx="1827">
                  <c:v>43103</c:v>
                </c:pt>
                <c:pt idx="1828">
                  <c:v>43104</c:v>
                </c:pt>
                <c:pt idx="1829">
                  <c:v>43105</c:v>
                </c:pt>
                <c:pt idx="1830">
                  <c:v>43108</c:v>
                </c:pt>
                <c:pt idx="1831">
                  <c:v>43109</c:v>
                </c:pt>
                <c:pt idx="1832">
                  <c:v>43110</c:v>
                </c:pt>
                <c:pt idx="1833">
                  <c:v>43111</c:v>
                </c:pt>
                <c:pt idx="1834">
                  <c:v>43112</c:v>
                </c:pt>
                <c:pt idx="1835">
                  <c:v>43115</c:v>
                </c:pt>
                <c:pt idx="1836">
                  <c:v>43116</c:v>
                </c:pt>
                <c:pt idx="1837">
                  <c:v>43117</c:v>
                </c:pt>
                <c:pt idx="1838">
                  <c:v>43118</c:v>
                </c:pt>
                <c:pt idx="1839">
                  <c:v>43119</c:v>
                </c:pt>
                <c:pt idx="1840">
                  <c:v>43122</c:v>
                </c:pt>
                <c:pt idx="1841">
                  <c:v>43123</c:v>
                </c:pt>
                <c:pt idx="1842">
                  <c:v>43124</c:v>
                </c:pt>
                <c:pt idx="1843">
                  <c:v>43125</c:v>
                </c:pt>
                <c:pt idx="1844">
                  <c:v>43126</c:v>
                </c:pt>
                <c:pt idx="1845">
                  <c:v>43129</c:v>
                </c:pt>
                <c:pt idx="1846">
                  <c:v>43130</c:v>
                </c:pt>
                <c:pt idx="1847">
                  <c:v>43131</c:v>
                </c:pt>
                <c:pt idx="1848">
                  <c:v>43132</c:v>
                </c:pt>
                <c:pt idx="1849">
                  <c:v>43133</c:v>
                </c:pt>
                <c:pt idx="1850">
                  <c:v>43136</c:v>
                </c:pt>
                <c:pt idx="1851">
                  <c:v>43137</c:v>
                </c:pt>
                <c:pt idx="1852">
                  <c:v>43138</c:v>
                </c:pt>
                <c:pt idx="1853">
                  <c:v>43139</c:v>
                </c:pt>
                <c:pt idx="1854">
                  <c:v>43140</c:v>
                </c:pt>
                <c:pt idx="1855">
                  <c:v>43143</c:v>
                </c:pt>
                <c:pt idx="1856">
                  <c:v>43144</c:v>
                </c:pt>
                <c:pt idx="1857">
                  <c:v>43145</c:v>
                </c:pt>
                <c:pt idx="1858">
                  <c:v>43146</c:v>
                </c:pt>
                <c:pt idx="1859">
                  <c:v>43147</c:v>
                </c:pt>
                <c:pt idx="1860">
                  <c:v>43150</c:v>
                </c:pt>
                <c:pt idx="1861">
                  <c:v>43151</c:v>
                </c:pt>
                <c:pt idx="1862">
                  <c:v>43152</c:v>
                </c:pt>
                <c:pt idx="1863">
                  <c:v>43153</c:v>
                </c:pt>
                <c:pt idx="1864">
                  <c:v>43154</c:v>
                </c:pt>
                <c:pt idx="1865">
                  <c:v>43157</c:v>
                </c:pt>
                <c:pt idx="1866">
                  <c:v>43158</c:v>
                </c:pt>
                <c:pt idx="1867">
                  <c:v>43159</c:v>
                </c:pt>
                <c:pt idx="1868">
                  <c:v>43160</c:v>
                </c:pt>
                <c:pt idx="1869">
                  <c:v>43161</c:v>
                </c:pt>
                <c:pt idx="1870">
                  <c:v>43164</c:v>
                </c:pt>
                <c:pt idx="1871">
                  <c:v>43165</c:v>
                </c:pt>
                <c:pt idx="1872">
                  <c:v>43166</c:v>
                </c:pt>
                <c:pt idx="1873">
                  <c:v>43167</c:v>
                </c:pt>
                <c:pt idx="1874">
                  <c:v>43168</c:v>
                </c:pt>
                <c:pt idx="1875">
                  <c:v>43171</c:v>
                </c:pt>
                <c:pt idx="1876">
                  <c:v>43172</c:v>
                </c:pt>
                <c:pt idx="1877">
                  <c:v>43173</c:v>
                </c:pt>
                <c:pt idx="1878">
                  <c:v>43174</c:v>
                </c:pt>
                <c:pt idx="1879">
                  <c:v>43175</c:v>
                </c:pt>
                <c:pt idx="1880">
                  <c:v>43178</c:v>
                </c:pt>
                <c:pt idx="1881">
                  <c:v>43179</c:v>
                </c:pt>
                <c:pt idx="1882">
                  <c:v>43180</c:v>
                </c:pt>
                <c:pt idx="1883">
                  <c:v>43181</c:v>
                </c:pt>
                <c:pt idx="1884">
                  <c:v>43182</c:v>
                </c:pt>
                <c:pt idx="1885">
                  <c:v>43185</c:v>
                </c:pt>
                <c:pt idx="1886">
                  <c:v>43186</c:v>
                </c:pt>
                <c:pt idx="1887">
                  <c:v>43187</c:v>
                </c:pt>
                <c:pt idx="1888">
                  <c:v>43188</c:v>
                </c:pt>
                <c:pt idx="1889">
                  <c:v>43189</c:v>
                </c:pt>
                <c:pt idx="1890">
                  <c:v>43192</c:v>
                </c:pt>
                <c:pt idx="1891">
                  <c:v>43193</c:v>
                </c:pt>
                <c:pt idx="1892">
                  <c:v>43194</c:v>
                </c:pt>
                <c:pt idx="1893">
                  <c:v>43195</c:v>
                </c:pt>
                <c:pt idx="1894">
                  <c:v>43196</c:v>
                </c:pt>
                <c:pt idx="1895">
                  <c:v>43199</c:v>
                </c:pt>
                <c:pt idx="1896">
                  <c:v>43200</c:v>
                </c:pt>
                <c:pt idx="1897">
                  <c:v>43201</c:v>
                </c:pt>
                <c:pt idx="1898">
                  <c:v>43202</c:v>
                </c:pt>
                <c:pt idx="1899">
                  <c:v>43203</c:v>
                </c:pt>
                <c:pt idx="1900">
                  <c:v>43206</c:v>
                </c:pt>
                <c:pt idx="1901">
                  <c:v>43207</c:v>
                </c:pt>
                <c:pt idx="1902">
                  <c:v>43208</c:v>
                </c:pt>
                <c:pt idx="1903">
                  <c:v>43209</c:v>
                </c:pt>
                <c:pt idx="1904">
                  <c:v>43210</c:v>
                </c:pt>
                <c:pt idx="1905">
                  <c:v>43213</c:v>
                </c:pt>
                <c:pt idx="1906">
                  <c:v>43214</c:v>
                </c:pt>
                <c:pt idx="1907">
                  <c:v>43215</c:v>
                </c:pt>
                <c:pt idx="1908">
                  <c:v>43216</c:v>
                </c:pt>
                <c:pt idx="1909">
                  <c:v>43217</c:v>
                </c:pt>
                <c:pt idx="1910">
                  <c:v>43220</c:v>
                </c:pt>
                <c:pt idx="1911">
                  <c:v>43221</c:v>
                </c:pt>
                <c:pt idx="1912">
                  <c:v>43222</c:v>
                </c:pt>
                <c:pt idx="1913">
                  <c:v>43223</c:v>
                </c:pt>
                <c:pt idx="1914">
                  <c:v>43224</c:v>
                </c:pt>
                <c:pt idx="1915">
                  <c:v>43227</c:v>
                </c:pt>
                <c:pt idx="1916">
                  <c:v>43228</c:v>
                </c:pt>
                <c:pt idx="1917">
                  <c:v>43229</c:v>
                </c:pt>
                <c:pt idx="1918">
                  <c:v>43230</c:v>
                </c:pt>
                <c:pt idx="1919">
                  <c:v>43231</c:v>
                </c:pt>
                <c:pt idx="1920">
                  <c:v>43234</c:v>
                </c:pt>
                <c:pt idx="1921">
                  <c:v>43235</c:v>
                </c:pt>
                <c:pt idx="1922">
                  <c:v>43236</c:v>
                </c:pt>
                <c:pt idx="1923">
                  <c:v>43237</c:v>
                </c:pt>
                <c:pt idx="1924">
                  <c:v>43238</c:v>
                </c:pt>
                <c:pt idx="1925">
                  <c:v>43241</c:v>
                </c:pt>
                <c:pt idx="1926">
                  <c:v>43242</c:v>
                </c:pt>
                <c:pt idx="1927">
                  <c:v>43243</c:v>
                </c:pt>
                <c:pt idx="1928">
                  <c:v>43244</c:v>
                </c:pt>
                <c:pt idx="1929">
                  <c:v>43245</c:v>
                </c:pt>
                <c:pt idx="1930">
                  <c:v>43248</c:v>
                </c:pt>
                <c:pt idx="1931">
                  <c:v>43249</c:v>
                </c:pt>
                <c:pt idx="1932">
                  <c:v>43250</c:v>
                </c:pt>
                <c:pt idx="1933">
                  <c:v>43251</c:v>
                </c:pt>
                <c:pt idx="1934">
                  <c:v>43252</c:v>
                </c:pt>
                <c:pt idx="1935">
                  <c:v>43255</c:v>
                </c:pt>
                <c:pt idx="1936">
                  <c:v>43256</c:v>
                </c:pt>
                <c:pt idx="1937">
                  <c:v>43257</c:v>
                </c:pt>
                <c:pt idx="1938">
                  <c:v>43258</c:v>
                </c:pt>
                <c:pt idx="1939">
                  <c:v>43259</c:v>
                </c:pt>
                <c:pt idx="1940">
                  <c:v>43262</c:v>
                </c:pt>
                <c:pt idx="1941">
                  <c:v>43263</c:v>
                </c:pt>
                <c:pt idx="1942">
                  <c:v>43264</c:v>
                </c:pt>
                <c:pt idx="1943">
                  <c:v>43265</c:v>
                </c:pt>
                <c:pt idx="1944">
                  <c:v>43266</c:v>
                </c:pt>
                <c:pt idx="1945">
                  <c:v>43269</c:v>
                </c:pt>
                <c:pt idx="1946">
                  <c:v>43270</c:v>
                </c:pt>
                <c:pt idx="1947">
                  <c:v>43271</c:v>
                </c:pt>
                <c:pt idx="1948">
                  <c:v>43272</c:v>
                </c:pt>
                <c:pt idx="1949">
                  <c:v>43273</c:v>
                </c:pt>
                <c:pt idx="1950">
                  <c:v>43276</c:v>
                </c:pt>
                <c:pt idx="1951">
                  <c:v>43277</c:v>
                </c:pt>
                <c:pt idx="1952">
                  <c:v>43278</c:v>
                </c:pt>
                <c:pt idx="1953">
                  <c:v>43279</c:v>
                </c:pt>
                <c:pt idx="1954">
                  <c:v>43280</c:v>
                </c:pt>
                <c:pt idx="1955">
                  <c:v>43283</c:v>
                </c:pt>
                <c:pt idx="1956">
                  <c:v>43284</c:v>
                </c:pt>
                <c:pt idx="1957">
                  <c:v>43285</c:v>
                </c:pt>
                <c:pt idx="1958">
                  <c:v>43286</c:v>
                </c:pt>
                <c:pt idx="1959">
                  <c:v>43287</c:v>
                </c:pt>
                <c:pt idx="1960">
                  <c:v>43290</c:v>
                </c:pt>
                <c:pt idx="1961">
                  <c:v>43291</c:v>
                </c:pt>
                <c:pt idx="1962">
                  <c:v>43292</c:v>
                </c:pt>
                <c:pt idx="1963">
                  <c:v>43293</c:v>
                </c:pt>
                <c:pt idx="1964">
                  <c:v>43294</c:v>
                </c:pt>
                <c:pt idx="1965">
                  <c:v>43297</c:v>
                </c:pt>
                <c:pt idx="1966">
                  <c:v>43298</c:v>
                </c:pt>
                <c:pt idx="1967">
                  <c:v>43299</c:v>
                </c:pt>
                <c:pt idx="1968">
                  <c:v>43300</c:v>
                </c:pt>
                <c:pt idx="1969">
                  <c:v>43301</c:v>
                </c:pt>
                <c:pt idx="1970">
                  <c:v>43304</c:v>
                </c:pt>
                <c:pt idx="1971">
                  <c:v>43305</c:v>
                </c:pt>
                <c:pt idx="1972">
                  <c:v>43306</c:v>
                </c:pt>
                <c:pt idx="1973">
                  <c:v>43307</c:v>
                </c:pt>
                <c:pt idx="1974">
                  <c:v>43308</c:v>
                </c:pt>
                <c:pt idx="1975">
                  <c:v>43311</c:v>
                </c:pt>
                <c:pt idx="1976">
                  <c:v>43312</c:v>
                </c:pt>
                <c:pt idx="1977">
                  <c:v>43313</c:v>
                </c:pt>
                <c:pt idx="1978">
                  <c:v>43314</c:v>
                </c:pt>
                <c:pt idx="1979">
                  <c:v>43315</c:v>
                </c:pt>
                <c:pt idx="1980">
                  <c:v>43318</c:v>
                </c:pt>
                <c:pt idx="1981">
                  <c:v>43319</c:v>
                </c:pt>
                <c:pt idx="1982">
                  <c:v>43320</c:v>
                </c:pt>
                <c:pt idx="1983">
                  <c:v>43321</c:v>
                </c:pt>
                <c:pt idx="1984">
                  <c:v>43322</c:v>
                </c:pt>
                <c:pt idx="1985">
                  <c:v>43325</c:v>
                </c:pt>
                <c:pt idx="1986">
                  <c:v>43326</c:v>
                </c:pt>
                <c:pt idx="1987">
                  <c:v>43327</c:v>
                </c:pt>
                <c:pt idx="1988">
                  <c:v>43328</c:v>
                </c:pt>
                <c:pt idx="1989">
                  <c:v>43329</c:v>
                </c:pt>
                <c:pt idx="1990">
                  <c:v>43332</c:v>
                </c:pt>
                <c:pt idx="1991">
                  <c:v>43333</c:v>
                </c:pt>
                <c:pt idx="1992">
                  <c:v>43334</c:v>
                </c:pt>
                <c:pt idx="1993">
                  <c:v>43335</c:v>
                </c:pt>
                <c:pt idx="1994">
                  <c:v>43336</c:v>
                </c:pt>
                <c:pt idx="1995">
                  <c:v>43339</c:v>
                </c:pt>
                <c:pt idx="1996">
                  <c:v>43340</c:v>
                </c:pt>
                <c:pt idx="1997">
                  <c:v>43341</c:v>
                </c:pt>
                <c:pt idx="1998">
                  <c:v>43342</c:v>
                </c:pt>
                <c:pt idx="1999">
                  <c:v>43343</c:v>
                </c:pt>
                <c:pt idx="2000">
                  <c:v>43346</c:v>
                </c:pt>
                <c:pt idx="2001">
                  <c:v>43347</c:v>
                </c:pt>
                <c:pt idx="2002">
                  <c:v>43348</c:v>
                </c:pt>
                <c:pt idx="2003">
                  <c:v>43349</c:v>
                </c:pt>
                <c:pt idx="2004">
                  <c:v>43350</c:v>
                </c:pt>
                <c:pt idx="2005">
                  <c:v>43353</c:v>
                </c:pt>
                <c:pt idx="2006">
                  <c:v>43354</c:v>
                </c:pt>
                <c:pt idx="2007">
                  <c:v>43355</c:v>
                </c:pt>
                <c:pt idx="2008">
                  <c:v>43356</c:v>
                </c:pt>
                <c:pt idx="2009">
                  <c:v>43357</c:v>
                </c:pt>
                <c:pt idx="2010">
                  <c:v>43360</c:v>
                </c:pt>
                <c:pt idx="2011">
                  <c:v>43361</c:v>
                </c:pt>
                <c:pt idx="2012">
                  <c:v>43362</c:v>
                </c:pt>
                <c:pt idx="2013">
                  <c:v>43363</c:v>
                </c:pt>
                <c:pt idx="2014">
                  <c:v>43364</c:v>
                </c:pt>
                <c:pt idx="2015">
                  <c:v>43367</c:v>
                </c:pt>
                <c:pt idx="2016">
                  <c:v>43368</c:v>
                </c:pt>
                <c:pt idx="2017">
                  <c:v>43369</c:v>
                </c:pt>
                <c:pt idx="2018">
                  <c:v>43370</c:v>
                </c:pt>
                <c:pt idx="2019">
                  <c:v>43371</c:v>
                </c:pt>
                <c:pt idx="2020">
                  <c:v>43374</c:v>
                </c:pt>
                <c:pt idx="2021">
                  <c:v>43375</c:v>
                </c:pt>
                <c:pt idx="2022">
                  <c:v>43376</c:v>
                </c:pt>
                <c:pt idx="2023">
                  <c:v>43377</c:v>
                </c:pt>
                <c:pt idx="2024">
                  <c:v>43378</c:v>
                </c:pt>
                <c:pt idx="2025">
                  <c:v>43381</c:v>
                </c:pt>
                <c:pt idx="2026">
                  <c:v>43382</c:v>
                </c:pt>
                <c:pt idx="2027">
                  <c:v>43383</c:v>
                </c:pt>
                <c:pt idx="2028">
                  <c:v>43384</c:v>
                </c:pt>
                <c:pt idx="2029">
                  <c:v>43385</c:v>
                </c:pt>
                <c:pt idx="2030">
                  <c:v>43388</c:v>
                </c:pt>
                <c:pt idx="2031">
                  <c:v>43389</c:v>
                </c:pt>
                <c:pt idx="2032">
                  <c:v>43390</c:v>
                </c:pt>
                <c:pt idx="2033">
                  <c:v>43391</c:v>
                </c:pt>
                <c:pt idx="2034">
                  <c:v>43392</c:v>
                </c:pt>
                <c:pt idx="2035">
                  <c:v>43395</c:v>
                </c:pt>
                <c:pt idx="2036">
                  <c:v>43396</c:v>
                </c:pt>
                <c:pt idx="2037">
                  <c:v>43397</c:v>
                </c:pt>
                <c:pt idx="2038">
                  <c:v>43398</c:v>
                </c:pt>
                <c:pt idx="2039">
                  <c:v>43399</c:v>
                </c:pt>
                <c:pt idx="2040">
                  <c:v>43402</c:v>
                </c:pt>
                <c:pt idx="2041">
                  <c:v>43403</c:v>
                </c:pt>
                <c:pt idx="2042">
                  <c:v>43404</c:v>
                </c:pt>
                <c:pt idx="2043">
                  <c:v>43405</c:v>
                </c:pt>
                <c:pt idx="2044">
                  <c:v>43406</c:v>
                </c:pt>
                <c:pt idx="2045">
                  <c:v>43409</c:v>
                </c:pt>
                <c:pt idx="2046">
                  <c:v>43410</c:v>
                </c:pt>
                <c:pt idx="2047">
                  <c:v>43411</c:v>
                </c:pt>
                <c:pt idx="2048">
                  <c:v>43412</c:v>
                </c:pt>
                <c:pt idx="2049">
                  <c:v>43413</c:v>
                </c:pt>
                <c:pt idx="2050">
                  <c:v>43416</c:v>
                </c:pt>
                <c:pt idx="2051">
                  <c:v>43417</c:v>
                </c:pt>
                <c:pt idx="2052">
                  <c:v>43418</c:v>
                </c:pt>
                <c:pt idx="2053">
                  <c:v>43419</c:v>
                </c:pt>
                <c:pt idx="2054">
                  <c:v>43420</c:v>
                </c:pt>
                <c:pt idx="2055">
                  <c:v>43423</c:v>
                </c:pt>
                <c:pt idx="2056">
                  <c:v>43424</c:v>
                </c:pt>
                <c:pt idx="2057">
                  <c:v>43425</c:v>
                </c:pt>
                <c:pt idx="2058">
                  <c:v>43426</c:v>
                </c:pt>
                <c:pt idx="2059">
                  <c:v>43427</c:v>
                </c:pt>
                <c:pt idx="2060">
                  <c:v>43430</c:v>
                </c:pt>
                <c:pt idx="2061">
                  <c:v>43431</c:v>
                </c:pt>
                <c:pt idx="2062">
                  <c:v>43432</c:v>
                </c:pt>
                <c:pt idx="2063">
                  <c:v>43433</c:v>
                </c:pt>
                <c:pt idx="2064">
                  <c:v>43434</c:v>
                </c:pt>
                <c:pt idx="2065">
                  <c:v>43437</c:v>
                </c:pt>
                <c:pt idx="2066">
                  <c:v>43438</c:v>
                </c:pt>
                <c:pt idx="2067">
                  <c:v>43439</c:v>
                </c:pt>
                <c:pt idx="2068">
                  <c:v>43440</c:v>
                </c:pt>
                <c:pt idx="2069">
                  <c:v>43441</c:v>
                </c:pt>
                <c:pt idx="2070">
                  <c:v>43444</c:v>
                </c:pt>
                <c:pt idx="2071">
                  <c:v>43445</c:v>
                </c:pt>
                <c:pt idx="2072">
                  <c:v>43446</c:v>
                </c:pt>
                <c:pt idx="2073">
                  <c:v>43447</c:v>
                </c:pt>
                <c:pt idx="2074">
                  <c:v>43448</c:v>
                </c:pt>
                <c:pt idx="2075">
                  <c:v>43451</c:v>
                </c:pt>
                <c:pt idx="2076">
                  <c:v>43452</c:v>
                </c:pt>
                <c:pt idx="2077">
                  <c:v>43453</c:v>
                </c:pt>
                <c:pt idx="2078">
                  <c:v>43454</c:v>
                </c:pt>
                <c:pt idx="2079">
                  <c:v>43455</c:v>
                </c:pt>
                <c:pt idx="2080">
                  <c:v>43458</c:v>
                </c:pt>
                <c:pt idx="2081">
                  <c:v>43459</c:v>
                </c:pt>
                <c:pt idx="2082">
                  <c:v>43460</c:v>
                </c:pt>
                <c:pt idx="2083">
                  <c:v>43461</c:v>
                </c:pt>
                <c:pt idx="2084">
                  <c:v>43462</c:v>
                </c:pt>
                <c:pt idx="2085">
                  <c:v>43465</c:v>
                </c:pt>
                <c:pt idx="2086">
                  <c:v>43466</c:v>
                </c:pt>
                <c:pt idx="2087">
                  <c:v>43467</c:v>
                </c:pt>
                <c:pt idx="2088">
                  <c:v>43468</c:v>
                </c:pt>
                <c:pt idx="2089">
                  <c:v>43469</c:v>
                </c:pt>
                <c:pt idx="2090">
                  <c:v>43472</c:v>
                </c:pt>
                <c:pt idx="2091">
                  <c:v>43473</c:v>
                </c:pt>
                <c:pt idx="2092">
                  <c:v>43474</c:v>
                </c:pt>
                <c:pt idx="2093">
                  <c:v>43475</c:v>
                </c:pt>
                <c:pt idx="2094">
                  <c:v>43476</c:v>
                </c:pt>
                <c:pt idx="2095">
                  <c:v>43479</c:v>
                </c:pt>
                <c:pt idx="2096">
                  <c:v>43480</c:v>
                </c:pt>
                <c:pt idx="2097">
                  <c:v>43481</c:v>
                </c:pt>
                <c:pt idx="2098">
                  <c:v>43482</c:v>
                </c:pt>
                <c:pt idx="2099">
                  <c:v>43483</c:v>
                </c:pt>
                <c:pt idx="2100">
                  <c:v>43486</c:v>
                </c:pt>
                <c:pt idx="2101">
                  <c:v>43487</c:v>
                </c:pt>
                <c:pt idx="2102">
                  <c:v>43488</c:v>
                </c:pt>
                <c:pt idx="2103">
                  <c:v>43489</c:v>
                </c:pt>
                <c:pt idx="2104">
                  <c:v>43490</c:v>
                </c:pt>
                <c:pt idx="2105">
                  <c:v>43493</c:v>
                </c:pt>
                <c:pt idx="2106">
                  <c:v>43494</c:v>
                </c:pt>
                <c:pt idx="2107">
                  <c:v>43495</c:v>
                </c:pt>
                <c:pt idx="2108">
                  <c:v>43496</c:v>
                </c:pt>
                <c:pt idx="2109">
                  <c:v>43497</c:v>
                </c:pt>
                <c:pt idx="2110">
                  <c:v>43500</c:v>
                </c:pt>
                <c:pt idx="2111">
                  <c:v>43501</c:v>
                </c:pt>
                <c:pt idx="2112">
                  <c:v>43502</c:v>
                </c:pt>
                <c:pt idx="2113">
                  <c:v>43503</c:v>
                </c:pt>
                <c:pt idx="2114">
                  <c:v>43504</c:v>
                </c:pt>
                <c:pt idx="2115">
                  <c:v>43507</c:v>
                </c:pt>
                <c:pt idx="2116">
                  <c:v>43508</c:v>
                </c:pt>
                <c:pt idx="2117">
                  <c:v>43509</c:v>
                </c:pt>
                <c:pt idx="2118">
                  <c:v>43510</c:v>
                </c:pt>
                <c:pt idx="2119">
                  <c:v>43511</c:v>
                </c:pt>
                <c:pt idx="2120">
                  <c:v>43514</c:v>
                </c:pt>
                <c:pt idx="2121">
                  <c:v>43515</c:v>
                </c:pt>
                <c:pt idx="2122">
                  <c:v>43516</c:v>
                </c:pt>
                <c:pt idx="2123">
                  <c:v>43517</c:v>
                </c:pt>
                <c:pt idx="2124">
                  <c:v>43518</c:v>
                </c:pt>
                <c:pt idx="2125">
                  <c:v>43521</c:v>
                </c:pt>
                <c:pt idx="2126">
                  <c:v>43522</c:v>
                </c:pt>
                <c:pt idx="2127">
                  <c:v>43523</c:v>
                </c:pt>
                <c:pt idx="2128">
                  <c:v>43524</c:v>
                </c:pt>
                <c:pt idx="2129">
                  <c:v>43525</c:v>
                </c:pt>
                <c:pt idx="2130">
                  <c:v>43528</c:v>
                </c:pt>
                <c:pt idx="2131">
                  <c:v>43529</c:v>
                </c:pt>
                <c:pt idx="2132">
                  <c:v>43530</c:v>
                </c:pt>
                <c:pt idx="2133">
                  <c:v>43531</c:v>
                </c:pt>
                <c:pt idx="2134">
                  <c:v>43532</c:v>
                </c:pt>
                <c:pt idx="2135">
                  <c:v>43535</c:v>
                </c:pt>
                <c:pt idx="2136">
                  <c:v>43536</c:v>
                </c:pt>
                <c:pt idx="2137">
                  <c:v>43537</c:v>
                </c:pt>
                <c:pt idx="2138">
                  <c:v>43538</c:v>
                </c:pt>
                <c:pt idx="2139">
                  <c:v>43539</c:v>
                </c:pt>
                <c:pt idx="2140">
                  <c:v>43542</c:v>
                </c:pt>
                <c:pt idx="2141">
                  <c:v>43543</c:v>
                </c:pt>
                <c:pt idx="2142">
                  <c:v>43544</c:v>
                </c:pt>
                <c:pt idx="2143">
                  <c:v>43545</c:v>
                </c:pt>
                <c:pt idx="2144">
                  <c:v>43546</c:v>
                </c:pt>
                <c:pt idx="2145">
                  <c:v>43549</c:v>
                </c:pt>
                <c:pt idx="2146">
                  <c:v>43550</c:v>
                </c:pt>
                <c:pt idx="2147">
                  <c:v>43551</c:v>
                </c:pt>
                <c:pt idx="2148">
                  <c:v>43552</c:v>
                </c:pt>
                <c:pt idx="2149">
                  <c:v>43553</c:v>
                </c:pt>
                <c:pt idx="2150">
                  <c:v>43556</c:v>
                </c:pt>
                <c:pt idx="2151">
                  <c:v>43557</c:v>
                </c:pt>
                <c:pt idx="2152">
                  <c:v>43558</c:v>
                </c:pt>
                <c:pt idx="2153">
                  <c:v>43559</c:v>
                </c:pt>
                <c:pt idx="2154">
                  <c:v>43560</c:v>
                </c:pt>
                <c:pt idx="2155">
                  <c:v>43563</c:v>
                </c:pt>
                <c:pt idx="2156">
                  <c:v>43564</c:v>
                </c:pt>
                <c:pt idx="2157">
                  <c:v>43565</c:v>
                </c:pt>
                <c:pt idx="2158">
                  <c:v>43566</c:v>
                </c:pt>
                <c:pt idx="2159">
                  <c:v>43567</c:v>
                </c:pt>
                <c:pt idx="2160">
                  <c:v>43570</c:v>
                </c:pt>
                <c:pt idx="2161">
                  <c:v>43571</c:v>
                </c:pt>
                <c:pt idx="2162">
                  <c:v>43572</c:v>
                </c:pt>
                <c:pt idx="2163">
                  <c:v>43573</c:v>
                </c:pt>
                <c:pt idx="2164">
                  <c:v>43574</c:v>
                </c:pt>
                <c:pt idx="2165">
                  <c:v>43577</c:v>
                </c:pt>
                <c:pt idx="2166">
                  <c:v>43578</c:v>
                </c:pt>
                <c:pt idx="2167">
                  <c:v>43579</c:v>
                </c:pt>
                <c:pt idx="2168">
                  <c:v>43580</c:v>
                </c:pt>
                <c:pt idx="2169">
                  <c:v>43581</c:v>
                </c:pt>
                <c:pt idx="2170">
                  <c:v>43584</c:v>
                </c:pt>
                <c:pt idx="2171">
                  <c:v>43585</c:v>
                </c:pt>
                <c:pt idx="2172">
                  <c:v>43586</c:v>
                </c:pt>
                <c:pt idx="2173">
                  <c:v>43587</c:v>
                </c:pt>
                <c:pt idx="2174">
                  <c:v>43588</c:v>
                </c:pt>
                <c:pt idx="2175">
                  <c:v>43591</c:v>
                </c:pt>
                <c:pt idx="2176">
                  <c:v>43592</c:v>
                </c:pt>
                <c:pt idx="2177">
                  <c:v>43593</c:v>
                </c:pt>
                <c:pt idx="2178">
                  <c:v>43594</c:v>
                </c:pt>
                <c:pt idx="2179">
                  <c:v>43595</c:v>
                </c:pt>
                <c:pt idx="2180">
                  <c:v>43598</c:v>
                </c:pt>
                <c:pt idx="2181">
                  <c:v>43599</c:v>
                </c:pt>
                <c:pt idx="2182">
                  <c:v>43600</c:v>
                </c:pt>
                <c:pt idx="2183">
                  <c:v>43601</c:v>
                </c:pt>
                <c:pt idx="2184">
                  <c:v>43602</c:v>
                </c:pt>
                <c:pt idx="2185">
                  <c:v>43605</c:v>
                </c:pt>
                <c:pt idx="2186">
                  <c:v>43606</c:v>
                </c:pt>
                <c:pt idx="2187">
                  <c:v>43607</c:v>
                </c:pt>
                <c:pt idx="2188">
                  <c:v>43608</c:v>
                </c:pt>
                <c:pt idx="2189">
                  <c:v>43609</c:v>
                </c:pt>
                <c:pt idx="2190">
                  <c:v>43612</c:v>
                </c:pt>
                <c:pt idx="2191">
                  <c:v>43613</c:v>
                </c:pt>
                <c:pt idx="2192">
                  <c:v>43614</c:v>
                </c:pt>
                <c:pt idx="2193">
                  <c:v>43615</c:v>
                </c:pt>
                <c:pt idx="2194">
                  <c:v>43616</c:v>
                </c:pt>
                <c:pt idx="2195">
                  <c:v>43619</c:v>
                </c:pt>
                <c:pt idx="2196">
                  <c:v>43620</c:v>
                </c:pt>
                <c:pt idx="2197">
                  <c:v>43621</c:v>
                </c:pt>
                <c:pt idx="2198">
                  <c:v>43622</c:v>
                </c:pt>
                <c:pt idx="2199">
                  <c:v>43623</c:v>
                </c:pt>
                <c:pt idx="2200">
                  <c:v>43626</c:v>
                </c:pt>
                <c:pt idx="2201">
                  <c:v>43627</c:v>
                </c:pt>
                <c:pt idx="2202">
                  <c:v>43628</c:v>
                </c:pt>
                <c:pt idx="2203">
                  <c:v>43629</c:v>
                </c:pt>
                <c:pt idx="2204">
                  <c:v>43630</c:v>
                </c:pt>
                <c:pt idx="2205">
                  <c:v>43633</c:v>
                </c:pt>
                <c:pt idx="2206">
                  <c:v>43634</c:v>
                </c:pt>
                <c:pt idx="2207">
                  <c:v>43635</c:v>
                </c:pt>
                <c:pt idx="2208">
                  <c:v>43636</c:v>
                </c:pt>
                <c:pt idx="2209">
                  <c:v>43637</c:v>
                </c:pt>
                <c:pt idx="2210">
                  <c:v>43640</c:v>
                </c:pt>
                <c:pt idx="2211">
                  <c:v>43641</c:v>
                </c:pt>
                <c:pt idx="2212">
                  <c:v>43642</c:v>
                </c:pt>
                <c:pt idx="2213">
                  <c:v>43643</c:v>
                </c:pt>
                <c:pt idx="2214">
                  <c:v>43644</c:v>
                </c:pt>
                <c:pt idx="2215">
                  <c:v>43647</c:v>
                </c:pt>
                <c:pt idx="2216">
                  <c:v>43648</c:v>
                </c:pt>
                <c:pt idx="2217">
                  <c:v>43649</c:v>
                </c:pt>
                <c:pt idx="2218">
                  <c:v>43650</c:v>
                </c:pt>
                <c:pt idx="2219">
                  <c:v>43651</c:v>
                </c:pt>
                <c:pt idx="2220">
                  <c:v>43654</c:v>
                </c:pt>
                <c:pt idx="2221">
                  <c:v>43655</c:v>
                </c:pt>
                <c:pt idx="2222">
                  <c:v>43656</c:v>
                </c:pt>
                <c:pt idx="2223">
                  <c:v>43657</c:v>
                </c:pt>
                <c:pt idx="2224">
                  <c:v>43658</c:v>
                </c:pt>
                <c:pt idx="2225">
                  <c:v>43661</c:v>
                </c:pt>
                <c:pt idx="2226">
                  <c:v>43662</c:v>
                </c:pt>
                <c:pt idx="2227">
                  <c:v>43663</c:v>
                </c:pt>
                <c:pt idx="2228">
                  <c:v>43664</c:v>
                </c:pt>
                <c:pt idx="2229">
                  <c:v>43665</c:v>
                </c:pt>
                <c:pt idx="2230">
                  <c:v>43668</c:v>
                </c:pt>
                <c:pt idx="2231">
                  <c:v>43669</c:v>
                </c:pt>
                <c:pt idx="2232">
                  <c:v>43670</c:v>
                </c:pt>
                <c:pt idx="2233">
                  <c:v>43671</c:v>
                </c:pt>
                <c:pt idx="2234">
                  <c:v>43672</c:v>
                </c:pt>
                <c:pt idx="2235">
                  <c:v>43675</c:v>
                </c:pt>
                <c:pt idx="2236">
                  <c:v>43676</c:v>
                </c:pt>
                <c:pt idx="2237">
                  <c:v>43677</c:v>
                </c:pt>
                <c:pt idx="2238">
                  <c:v>43678</c:v>
                </c:pt>
                <c:pt idx="2239">
                  <c:v>43679</c:v>
                </c:pt>
                <c:pt idx="2240">
                  <c:v>43682</c:v>
                </c:pt>
                <c:pt idx="2241">
                  <c:v>43683</c:v>
                </c:pt>
                <c:pt idx="2242">
                  <c:v>43684</c:v>
                </c:pt>
                <c:pt idx="2243">
                  <c:v>43685</c:v>
                </c:pt>
                <c:pt idx="2244">
                  <c:v>43686</c:v>
                </c:pt>
                <c:pt idx="2245">
                  <c:v>43689</c:v>
                </c:pt>
                <c:pt idx="2246">
                  <c:v>43690</c:v>
                </c:pt>
                <c:pt idx="2247">
                  <c:v>43691</c:v>
                </c:pt>
                <c:pt idx="2248">
                  <c:v>43692</c:v>
                </c:pt>
                <c:pt idx="2249">
                  <c:v>43693</c:v>
                </c:pt>
                <c:pt idx="2250">
                  <c:v>43696</c:v>
                </c:pt>
                <c:pt idx="2251">
                  <c:v>43697</c:v>
                </c:pt>
                <c:pt idx="2252">
                  <c:v>43698</c:v>
                </c:pt>
                <c:pt idx="2253">
                  <c:v>43699</c:v>
                </c:pt>
                <c:pt idx="2254">
                  <c:v>43700</c:v>
                </c:pt>
                <c:pt idx="2255">
                  <c:v>43703</c:v>
                </c:pt>
                <c:pt idx="2256">
                  <c:v>43704</c:v>
                </c:pt>
                <c:pt idx="2257">
                  <c:v>43705</c:v>
                </c:pt>
                <c:pt idx="2258">
                  <c:v>43706</c:v>
                </c:pt>
                <c:pt idx="2259">
                  <c:v>43707</c:v>
                </c:pt>
                <c:pt idx="2260">
                  <c:v>43710</c:v>
                </c:pt>
                <c:pt idx="2261">
                  <c:v>43711</c:v>
                </c:pt>
                <c:pt idx="2262">
                  <c:v>43712</c:v>
                </c:pt>
                <c:pt idx="2263">
                  <c:v>43713</c:v>
                </c:pt>
                <c:pt idx="2264">
                  <c:v>43714</c:v>
                </c:pt>
                <c:pt idx="2265">
                  <c:v>43717</c:v>
                </c:pt>
                <c:pt idx="2266">
                  <c:v>43718</c:v>
                </c:pt>
                <c:pt idx="2267">
                  <c:v>43719</c:v>
                </c:pt>
                <c:pt idx="2268">
                  <c:v>43720</c:v>
                </c:pt>
                <c:pt idx="2269">
                  <c:v>43721</c:v>
                </c:pt>
                <c:pt idx="2270">
                  <c:v>43724</c:v>
                </c:pt>
                <c:pt idx="2271">
                  <c:v>43725</c:v>
                </c:pt>
                <c:pt idx="2272">
                  <c:v>43726</c:v>
                </c:pt>
                <c:pt idx="2273">
                  <c:v>43727</c:v>
                </c:pt>
                <c:pt idx="2274">
                  <c:v>43728</c:v>
                </c:pt>
                <c:pt idx="2275">
                  <c:v>43731</c:v>
                </c:pt>
                <c:pt idx="2276">
                  <c:v>43732</c:v>
                </c:pt>
                <c:pt idx="2277">
                  <c:v>43733</c:v>
                </c:pt>
                <c:pt idx="2278">
                  <c:v>43734</c:v>
                </c:pt>
                <c:pt idx="2279">
                  <c:v>43735</c:v>
                </c:pt>
                <c:pt idx="2280">
                  <c:v>43738</c:v>
                </c:pt>
                <c:pt idx="2281">
                  <c:v>43739</c:v>
                </c:pt>
                <c:pt idx="2282">
                  <c:v>43740</c:v>
                </c:pt>
                <c:pt idx="2283">
                  <c:v>43741</c:v>
                </c:pt>
                <c:pt idx="2284">
                  <c:v>43742</c:v>
                </c:pt>
                <c:pt idx="2285">
                  <c:v>43745</c:v>
                </c:pt>
                <c:pt idx="2286">
                  <c:v>43746</c:v>
                </c:pt>
                <c:pt idx="2287">
                  <c:v>43747</c:v>
                </c:pt>
                <c:pt idx="2288">
                  <c:v>43748</c:v>
                </c:pt>
                <c:pt idx="2289">
                  <c:v>43749</c:v>
                </c:pt>
                <c:pt idx="2290">
                  <c:v>43752</c:v>
                </c:pt>
                <c:pt idx="2291">
                  <c:v>43753</c:v>
                </c:pt>
                <c:pt idx="2292">
                  <c:v>43754</c:v>
                </c:pt>
                <c:pt idx="2293">
                  <c:v>43755</c:v>
                </c:pt>
                <c:pt idx="2294">
                  <c:v>43756</c:v>
                </c:pt>
                <c:pt idx="2295">
                  <c:v>43759</c:v>
                </c:pt>
                <c:pt idx="2296">
                  <c:v>43760</c:v>
                </c:pt>
                <c:pt idx="2297">
                  <c:v>43761</c:v>
                </c:pt>
                <c:pt idx="2298">
                  <c:v>43762</c:v>
                </c:pt>
                <c:pt idx="2299">
                  <c:v>43763</c:v>
                </c:pt>
                <c:pt idx="2300">
                  <c:v>43766</c:v>
                </c:pt>
                <c:pt idx="2301">
                  <c:v>43767</c:v>
                </c:pt>
                <c:pt idx="2302">
                  <c:v>43768</c:v>
                </c:pt>
                <c:pt idx="2303">
                  <c:v>43769</c:v>
                </c:pt>
                <c:pt idx="2304">
                  <c:v>43770</c:v>
                </c:pt>
                <c:pt idx="2305">
                  <c:v>43773</c:v>
                </c:pt>
                <c:pt idx="2306">
                  <c:v>43774</c:v>
                </c:pt>
                <c:pt idx="2307">
                  <c:v>43775</c:v>
                </c:pt>
                <c:pt idx="2308">
                  <c:v>43776</c:v>
                </c:pt>
                <c:pt idx="2309">
                  <c:v>43777</c:v>
                </c:pt>
                <c:pt idx="2310">
                  <c:v>43780</c:v>
                </c:pt>
                <c:pt idx="2311">
                  <c:v>43781</c:v>
                </c:pt>
                <c:pt idx="2312">
                  <c:v>43782</c:v>
                </c:pt>
                <c:pt idx="2313">
                  <c:v>43783</c:v>
                </c:pt>
                <c:pt idx="2314">
                  <c:v>43784</c:v>
                </c:pt>
                <c:pt idx="2315">
                  <c:v>43787</c:v>
                </c:pt>
                <c:pt idx="2316">
                  <c:v>43788</c:v>
                </c:pt>
                <c:pt idx="2317">
                  <c:v>43789</c:v>
                </c:pt>
                <c:pt idx="2318">
                  <c:v>43790</c:v>
                </c:pt>
                <c:pt idx="2319">
                  <c:v>43791</c:v>
                </c:pt>
                <c:pt idx="2320">
                  <c:v>43794</c:v>
                </c:pt>
                <c:pt idx="2321">
                  <c:v>43795</c:v>
                </c:pt>
                <c:pt idx="2322">
                  <c:v>43796</c:v>
                </c:pt>
                <c:pt idx="2323">
                  <c:v>43797</c:v>
                </c:pt>
                <c:pt idx="2324">
                  <c:v>43798</c:v>
                </c:pt>
                <c:pt idx="2325">
                  <c:v>43801</c:v>
                </c:pt>
                <c:pt idx="2326">
                  <c:v>43802</c:v>
                </c:pt>
                <c:pt idx="2327">
                  <c:v>43803</c:v>
                </c:pt>
                <c:pt idx="2328">
                  <c:v>43804</c:v>
                </c:pt>
                <c:pt idx="2329">
                  <c:v>43805</c:v>
                </c:pt>
                <c:pt idx="2330">
                  <c:v>43808</c:v>
                </c:pt>
                <c:pt idx="2331">
                  <c:v>43809</c:v>
                </c:pt>
                <c:pt idx="2332">
                  <c:v>43810</c:v>
                </c:pt>
                <c:pt idx="2333">
                  <c:v>43811</c:v>
                </c:pt>
                <c:pt idx="2334">
                  <c:v>43812</c:v>
                </c:pt>
                <c:pt idx="2335">
                  <c:v>43815</c:v>
                </c:pt>
                <c:pt idx="2336">
                  <c:v>43816</c:v>
                </c:pt>
                <c:pt idx="2337">
                  <c:v>43817</c:v>
                </c:pt>
                <c:pt idx="2338">
                  <c:v>43818</c:v>
                </c:pt>
                <c:pt idx="2339">
                  <c:v>43819</c:v>
                </c:pt>
                <c:pt idx="2340">
                  <c:v>43822</c:v>
                </c:pt>
                <c:pt idx="2341">
                  <c:v>43823</c:v>
                </c:pt>
                <c:pt idx="2342">
                  <c:v>43824</c:v>
                </c:pt>
                <c:pt idx="2343">
                  <c:v>43825</c:v>
                </c:pt>
                <c:pt idx="2344">
                  <c:v>43826</c:v>
                </c:pt>
                <c:pt idx="2345">
                  <c:v>43829</c:v>
                </c:pt>
                <c:pt idx="2346">
                  <c:v>43830</c:v>
                </c:pt>
                <c:pt idx="2347">
                  <c:v>43831</c:v>
                </c:pt>
                <c:pt idx="2348">
                  <c:v>43832</c:v>
                </c:pt>
                <c:pt idx="2349">
                  <c:v>43833</c:v>
                </c:pt>
                <c:pt idx="2350">
                  <c:v>43836</c:v>
                </c:pt>
                <c:pt idx="2351">
                  <c:v>43837</c:v>
                </c:pt>
                <c:pt idx="2352">
                  <c:v>43838</c:v>
                </c:pt>
                <c:pt idx="2353">
                  <c:v>43839</c:v>
                </c:pt>
                <c:pt idx="2354">
                  <c:v>43840</c:v>
                </c:pt>
                <c:pt idx="2355">
                  <c:v>43843</c:v>
                </c:pt>
                <c:pt idx="2356">
                  <c:v>43844</c:v>
                </c:pt>
                <c:pt idx="2357">
                  <c:v>43845</c:v>
                </c:pt>
                <c:pt idx="2358">
                  <c:v>43846</c:v>
                </c:pt>
                <c:pt idx="2359">
                  <c:v>43847</c:v>
                </c:pt>
                <c:pt idx="2360">
                  <c:v>43850</c:v>
                </c:pt>
                <c:pt idx="2361">
                  <c:v>43851</c:v>
                </c:pt>
                <c:pt idx="2362">
                  <c:v>43852</c:v>
                </c:pt>
                <c:pt idx="2363">
                  <c:v>43853</c:v>
                </c:pt>
                <c:pt idx="2364">
                  <c:v>43854</c:v>
                </c:pt>
                <c:pt idx="2365">
                  <c:v>43857</c:v>
                </c:pt>
                <c:pt idx="2366">
                  <c:v>43858</c:v>
                </c:pt>
                <c:pt idx="2367">
                  <c:v>43859</c:v>
                </c:pt>
                <c:pt idx="2368">
                  <c:v>43860</c:v>
                </c:pt>
                <c:pt idx="2369">
                  <c:v>43861</c:v>
                </c:pt>
                <c:pt idx="2370">
                  <c:v>43864</c:v>
                </c:pt>
                <c:pt idx="2371">
                  <c:v>43865</c:v>
                </c:pt>
                <c:pt idx="2372">
                  <c:v>43866</c:v>
                </c:pt>
                <c:pt idx="2373">
                  <c:v>43867</c:v>
                </c:pt>
                <c:pt idx="2374">
                  <c:v>43868</c:v>
                </c:pt>
                <c:pt idx="2375">
                  <c:v>43871</c:v>
                </c:pt>
                <c:pt idx="2376">
                  <c:v>43872</c:v>
                </c:pt>
                <c:pt idx="2377">
                  <c:v>43873</c:v>
                </c:pt>
                <c:pt idx="2378">
                  <c:v>43874</c:v>
                </c:pt>
                <c:pt idx="2379">
                  <c:v>43875</c:v>
                </c:pt>
                <c:pt idx="2380">
                  <c:v>43878</c:v>
                </c:pt>
                <c:pt idx="2381">
                  <c:v>43879</c:v>
                </c:pt>
                <c:pt idx="2382">
                  <c:v>43880</c:v>
                </c:pt>
                <c:pt idx="2383">
                  <c:v>43881</c:v>
                </c:pt>
                <c:pt idx="2384">
                  <c:v>43882</c:v>
                </c:pt>
                <c:pt idx="2385">
                  <c:v>43885</c:v>
                </c:pt>
                <c:pt idx="2386">
                  <c:v>43886</c:v>
                </c:pt>
                <c:pt idx="2387">
                  <c:v>43887</c:v>
                </c:pt>
                <c:pt idx="2388">
                  <c:v>43888</c:v>
                </c:pt>
                <c:pt idx="2389">
                  <c:v>43889</c:v>
                </c:pt>
                <c:pt idx="2390">
                  <c:v>43892</c:v>
                </c:pt>
                <c:pt idx="2391">
                  <c:v>43893</c:v>
                </c:pt>
                <c:pt idx="2392">
                  <c:v>43894</c:v>
                </c:pt>
                <c:pt idx="2393">
                  <c:v>43895</c:v>
                </c:pt>
                <c:pt idx="2394">
                  <c:v>43896</c:v>
                </c:pt>
                <c:pt idx="2395">
                  <c:v>43899</c:v>
                </c:pt>
                <c:pt idx="2396">
                  <c:v>43900</c:v>
                </c:pt>
                <c:pt idx="2397">
                  <c:v>43901</c:v>
                </c:pt>
                <c:pt idx="2398">
                  <c:v>43902</c:v>
                </c:pt>
                <c:pt idx="2399">
                  <c:v>43903</c:v>
                </c:pt>
                <c:pt idx="2400">
                  <c:v>43906</c:v>
                </c:pt>
                <c:pt idx="2401">
                  <c:v>43907</c:v>
                </c:pt>
                <c:pt idx="2402">
                  <c:v>43908</c:v>
                </c:pt>
                <c:pt idx="2403">
                  <c:v>43909</c:v>
                </c:pt>
                <c:pt idx="2404">
                  <c:v>43910</c:v>
                </c:pt>
                <c:pt idx="2405">
                  <c:v>43913</c:v>
                </c:pt>
                <c:pt idx="2406">
                  <c:v>43914</c:v>
                </c:pt>
                <c:pt idx="2407">
                  <c:v>43915</c:v>
                </c:pt>
                <c:pt idx="2408">
                  <c:v>43916</c:v>
                </c:pt>
                <c:pt idx="2409">
                  <c:v>43917</c:v>
                </c:pt>
                <c:pt idx="2410">
                  <c:v>43920</c:v>
                </c:pt>
                <c:pt idx="2411">
                  <c:v>43921</c:v>
                </c:pt>
                <c:pt idx="2412">
                  <c:v>43922</c:v>
                </c:pt>
                <c:pt idx="2413">
                  <c:v>43923</c:v>
                </c:pt>
                <c:pt idx="2414">
                  <c:v>43924</c:v>
                </c:pt>
                <c:pt idx="2415">
                  <c:v>43927</c:v>
                </c:pt>
                <c:pt idx="2416">
                  <c:v>43928</c:v>
                </c:pt>
                <c:pt idx="2417">
                  <c:v>43929</c:v>
                </c:pt>
                <c:pt idx="2418">
                  <c:v>43930</c:v>
                </c:pt>
                <c:pt idx="2419">
                  <c:v>43931</c:v>
                </c:pt>
                <c:pt idx="2420">
                  <c:v>43934</c:v>
                </c:pt>
                <c:pt idx="2421">
                  <c:v>43935</c:v>
                </c:pt>
                <c:pt idx="2422">
                  <c:v>43936</c:v>
                </c:pt>
                <c:pt idx="2423">
                  <c:v>43937</c:v>
                </c:pt>
                <c:pt idx="2424">
                  <c:v>43938</c:v>
                </c:pt>
                <c:pt idx="2425">
                  <c:v>43941</c:v>
                </c:pt>
                <c:pt idx="2426">
                  <c:v>43942</c:v>
                </c:pt>
                <c:pt idx="2427">
                  <c:v>43943</c:v>
                </c:pt>
                <c:pt idx="2428">
                  <c:v>43944</c:v>
                </c:pt>
                <c:pt idx="2429">
                  <c:v>43945</c:v>
                </c:pt>
                <c:pt idx="2430">
                  <c:v>43948</c:v>
                </c:pt>
                <c:pt idx="2431">
                  <c:v>43949</c:v>
                </c:pt>
                <c:pt idx="2432">
                  <c:v>43950</c:v>
                </c:pt>
                <c:pt idx="2433">
                  <c:v>43951</c:v>
                </c:pt>
                <c:pt idx="2434">
                  <c:v>43952</c:v>
                </c:pt>
                <c:pt idx="2435">
                  <c:v>43955</c:v>
                </c:pt>
                <c:pt idx="2436">
                  <c:v>43956</c:v>
                </c:pt>
                <c:pt idx="2437">
                  <c:v>43957</c:v>
                </c:pt>
                <c:pt idx="2438">
                  <c:v>43958</c:v>
                </c:pt>
                <c:pt idx="2439">
                  <c:v>43959</c:v>
                </c:pt>
                <c:pt idx="2440">
                  <c:v>43962</c:v>
                </c:pt>
                <c:pt idx="2441">
                  <c:v>43963</c:v>
                </c:pt>
                <c:pt idx="2442">
                  <c:v>43964</c:v>
                </c:pt>
                <c:pt idx="2443">
                  <c:v>43965</c:v>
                </c:pt>
                <c:pt idx="2444">
                  <c:v>43966</c:v>
                </c:pt>
                <c:pt idx="2445">
                  <c:v>43969</c:v>
                </c:pt>
                <c:pt idx="2446">
                  <c:v>43970</c:v>
                </c:pt>
                <c:pt idx="2447">
                  <c:v>43971</c:v>
                </c:pt>
                <c:pt idx="2448">
                  <c:v>43972</c:v>
                </c:pt>
                <c:pt idx="2449">
                  <c:v>43973</c:v>
                </c:pt>
                <c:pt idx="2450">
                  <c:v>43976</c:v>
                </c:pt>
                <c:pt idx="2451">
                  <c:v>43977</c:v>
                </c:pt>
                <c:pt idx="2452">
                  <c:v>43978</c:v>
                </c:pt>
                <c:pt idx="2453">
                  <c:v>43979</c:v>
                </c:pt>
                <c:pt idx="2454">
                  <c:v>43980</c:v>
                </c:pt>
                <c:pt idx="2455">
                  <c:v>43983</c:v>
                </c:pt>
                <c:pt idx="2456">
                  <c:v>43984</c:v>
                </c:pt>
                <c:pt idx="2457">
                  <c:v>43985</c:v>
                </c:pt>
                <c:pt idx="2458">
                  <c:v>43986</c:v>
                </c:pt>
                <c:pt idx="2459">
                  <c:v>43987</c:v>
                </c:pt>
                <c:pt idx="2460">
                  <c:v>43990</c:v>
                </c:pt>
                <c:pt idx="2461">
                  <c:v>43991</c:v>
                </c:pt>
                <c:pt idx="2462">
                  <c:v>43992</c:v>
                </c:pt>
                <c:pt idx="2463">
                  <c:v>43993</c:v>
                </c:pt>
                <c:pt idx="2464">
                  <c:v>43994</c:v>
                </c:pt>
                <c:pt idx="2465">
                  <c:v>43997</c:v>
                </c:pt>
                <c:pt idx="2466">
                  <c:v>43998</c:v>
                </c:pt>
                <c:pt idx="2467">
                  <c:v>43999</c:v>
                </c:pt>
                <c:pt idx="2468">
                  <c:v>44000</c:v>
                </c:pt>
                <c:pt idx="2469">
                  <c:v>44001</c:v>
                </c:pt>
                <c:pt idx="2470">
                  <c:v>44004</c:v>
                </c:pt>
                <c:pt idx="2471">
                  <c:v>44005</c:v>
                </c:pt>
                <c:pt idx="2472">
                  <c:v>44006</c:v>
                </c:pt>
                <c:pt idx="2473">
                  <c:v>44007</c:v>
                </c:pt>
                <c:pt idx="2474">
                  <c:v>44008</c:v>
                </c:pt>
                <c:pt idx="2475">
                  <c:v>44011</c:v>
                </c:pt>
                <c:pt idx="2476">
                  <c:v>44012</c:v>
                </c:pt>
                <c:pt idx="2477">
                  <c:v>44013</c:v>
                </c:pt>
                <c:pt idx="2478">
                  <c:v>44014</c:v>
                </c:pt>
                <c:pt idx="2479">
                  <c:v>44015</c:v>
                </c:pt>
                <c:pt idx="2480">
                  <c:v>44018</c:v>
                </c:pt>
                <c:pt idx="2481">
                  <c:v>44019</c:v>
                </c:pt>
                <c:pt idx="2482">
                  <c:v>44020</c:v>
                </c:pt>
                <c:pt idx="2483">
                  <c:v>44021</c:v>
                </c:pt>
                <c:pt idx="2484">
                  <c:v>44022</c:v>
                </c:pt>
                <c:pt idx="2485">
                  <c:v>44025</c:v>
                </c:pt>
                <c:pt idx="2486">
                  <c:v>44026</c:v>
                </c:pt>
                <c:pt idx="2487">
                  <c:v>44027</c:v>
                </c:pt>
                <c:pt idx="2488">
                  <c:v>44028</c:v>
                </c:pt>
                <c:pt idx="2489">
                  <c:v>44029</c:v>
                </c:pt>
                <c:pt idx="2490">
                  <c:v>44032</c:v>
                </c:pt>
                <c:pt idx="2491">
                  <c:v>44033</c:v>
                </c:pt>
                <c:pt idx="2492">
                  <c:v>44034</c:v>
                </c:pt>
                <c:pt idx="2493">
                  <c:v>44035</c:v>
                </c:pt>
                <c:pt idx="2494">
                  <c:v>44036</c:v>
                </c:pt>
                <c:pt idx="2495">
                  <c:v>44039</c:v>
                </c:pt>
                <c:pt idx="2496">
                  <c:v>44040</c:v>
                </c:pt>
                <c:pt idx="2497">
                  <c:v>44041</c:v>
                </c:pt>
                <c:pt idx="2498">
                  <c:v>44042</c:v>
                </c:pt>
                <c:pt idx="2499">
                  <c:v>44043</c:v>
                </c:pt>
                <c:pt idx="2500">
                  <c:v>44046</c:v>
                </c:pt>
                <c:pt idx="2501">
                  <c:v>44047</c:v>
                </c:pt>
                <c:pt idx="2502">
                  <c:v>44048</c:v>
                </c:pt>
                <c:pt idx="2503">
                  <c:v>44049</c:v>
                </c:pt>
                <c:pt idx="2504">
                  <c:v>44050</c:v>
                </c:pt>
                <c:pt idx="2505">
                  <c:v>44053</c:v>
                </c:pt>
                <c:pt idx="2506">
                  <c:v>44054</c:v>
                </c:pt>
                <c:pt idx="2507">
                  <c:v>44055</c:v>
                </c:pt>
                <c:pt idx="2508">
                  <c:v>44056</c:v>
                </c:pt>
                <c:pt idx="2509">
                  <c:v>44057</c:v>
                </c:pt>
                <c:pt idx="2510">
                  <c:v>44060</c:v>
                </c:pt>
                <c:pt idx="2511">
                  <c:v>44061</c:v>
                </c:pt>
                <c:pt idx="2512">
                  <c:v>44062</c:v>
                </c:pt>
                <c:pt idx="2513">
                  <c:v>44063</c:v>
                </c:pt>
                <c:pt idx="2514">
                  <c:v>44064</c:v>
                </c:pt>
                <c:pt idx="2515">
                  <c:v>44067</c:v>
                </c:pt>
                <c:pt idx="2516">
                  <c:v>44068</c:v>
                </c:pt>
                <c:pt idx="2517">
                  <c:v>44069</c:v>
                </c:pt>
                <c:pt idx="2518">
                  <c:v>44070</c:v>
                </c:pt>
                <c:pt idx="2519">
                  <c:v>44071</c:v>
                </c:pt>
                <c:pt idx="2520">
                  <c:v>44074</c:v>
                </c:pt>
                <c:pt idx="2521">
                  <c:v>44075</c:v>
                </c:pt>
                <c:pt idx="2522">
                  <c:v>44076</c:v>
                </c:pt>
                <c:pt idx="2523">
                  <c:v>44077</c:v>
                </c:pt>
                <c:pt idx="2524">
                  <c:v>44078</c:v>
                </c:pt>
                <c:pt idx="2525">
                  <c:v>44081</c:v>
                </c:pt>
                <c:pt idx="2526">
                  <c:v>44082</c:v>
                </c:pt>
                <c:pt idx="2527">
                  <c:v>44083</c:v>
                </c:pt>
                <c:pt idx="2528">
                  <c:v>44084</c:v>
                </c:pt>
                <c:pt idx="2529">
                  <c:v>44085</c:v>
                </c:pt>
              </c:numCache>
            </c:numRef>
          </c:cat>
          <c:val>
            <c:numRef>
              <c:f>CISS!$C$3137:$C$5666</c:f>
              <c:numCache>
                <c:formatCode>General</c:formatCode>
                <c:ptCount val="2530"/>
                <c:pt idx="0">
                  <c:v>0.17860000000000001</c:v>
                </c:pt>
                <c:pt idx="1">
                  <c:v>0.1794</c:v>
                </c:pt>
                <c:pt idx="2">
                  <c:v>0.1837</c:v>
                </c:pt>
                <c:pt idx="3">
                  <c:v>0.1764</c:v>
                </c:pt>
                <c:pt idx="4">
                  <c:v>0.18729999999999999</c:v>
                </c:pt>
                <c:pt idx="5">
                  <c:v>0.1913</c:v>
                </c:pt>
                <c:pt idx="6">
                  <c:v>0.1978</c:v>
                </c:pt>
                <c:pt idx="7">
                  <c:v>0.2621</c:v>
                </c:pt>
                <c:pt idx="8">
                  <c:v>0.28999999999999998</c:v>
                </c:pt>
                <c:pt idx="9">
                  <c:v>0.29530000000000001</c:v>
                </c:pt>
                <c:pt idx="10">
                  <c:v>0.30180000000000001</c:v>
                </c:pt>
                <c:pt idx="11">
                  <c:v>0.30399999999999999</c:v>
                </c:pt>
                <c:pt idx="12">
                  <c:v>0.28710000000000002</c:v>
                </c:pt>
                <c:pt idx="13">
                  <c:v>0.29160000000000003</c:v>
                </c:pt>
                <c:pt idx="14">
                  <c:v>0.27560000000000001</c:v>
                </c:pt>
                <c:pt idx="15">
                  <c:v>0.25769999999999998</c:v>
                </c:pt>
                <c:pt idx="16">
                  <c:v>0.2472</c:v>
                </c:pt>
                <c:pt idx="17">
                  <c:v>0.2316</c:v>
                </c:pt>
                <c:pt idx="18">
                  <c:v>0.21379999999999999</c:v>
                </c:pt>
                <c:pt idx="19">
                  <c:v>0.22539999999999999</c:v>
                </c:pt>
                <c:pt idx="20">
                  <c:v>0.22070000000000001</c:v>
                </c:pt>
                <c:pt idx="21">
                  <c:v>0.25269999999999998</c:v>
                </c:pt>
                <c:pt idx="22">
                  <c:v>0.2359</c:v>
                </c:pt>
                <c:pt idx="23">
                  <c:v>0.25330000000000003</c:v>
                </c:pt>
                <c:pt idx="24">
                  <c:v>0.23849999999999999</c:v>
                </c:pt>
                <c:pt idx="25">
                  <c:v>0.22070000000000001</c:v>
                </c:pt>
                <c:pt idx="26">
                  <c:v>0.2001</c:v>
                </c:pt>
                <c:pt idx="27">
                  <c:v>0.1888</c:v>
                </c:pt>
                <c:pt idx="28">
                  <c:v>0.19109999999999999</c:v>
                </c:pt>
                <c:pt idx="29">
                  <c:v>0.17319999999999999</c:v>
                </c:pt>
                <c:pt idx="30">
                  <c:v>0.16600000000000001</c:v>
                </c:pt>
                <c:pt idx="31">
                  <c:v>0.14510000000000001</c:v>
                </c:pt>
                <c:pt idx="32">
                  <c:v>0.1469</c:v>
                </c:pt>
                <c:pt idx="33">
                  <c:v>0.13009999999999999</c:v>
                </c:pt>
                <c:pt idx="34">
                  <c:v>0.12670000000000001</c:v>
                </c:pt>
                <c:pt idx="35">
                  <c:v>0.10440000000000001</c:v>
                </c:pt>
                <c:pt idx="36">
                  <c:v>9.8000000000000004E-2</c:v>
                </c:pt>
                <c:pt idx="37">
                  <c:v>8.9399999999999993E-2</c:v>
                </c:pt>
                <c:pt idx="38">
                  <c:v>9.4899999999999998E-2</c:v>
                </c:pt>
                <c:pt idx="39">
                  <c:v>8.7400000000000005E-2</c:v>
                </c:pt>
                <c:pt idx="40">
                  <c:v>8.8800000000000004E-2</c:v>
                </c:pt>
                <c:pt idx="41">
                  <c:v>8.1000000000000003E-2</c:v>
                </c:pt>
                <c:pt idx="42">
                  <c:v>7.6799999999999993E-2</c:v>
                </c:pt>
                <c:pt idx="43">
                  <c:v>8.3699999999999997E-2</c:v>
                </c:pt>
                <c:pt idx="44">
                  <c:v>8.1500000000000003E-2</c:v>
                </c:pt>
                <c:pt idx="45">
                  <c:v>9.3799999999999994E-2</c:v>
                </c:pt>
                <c:pt idx="46">
                  <c:v>9.5899999999999999E-2</c:v>
                </c:pt>
                <c:pt idx="47">
                  <c:v>9.4899999999999998E-2</c:v>
                </c:pt>
                <c:pt idx="48">
                  <c:v>8.77E-2</c:v>
                </c:pt>
                <c:pt idx="49">
                  <c:v>0.1002</c:v>
                </c:pt>
                <c:pt idx="50">
                  <c:v>0.1031</c:v>
                </c:pt>
                <c:pt idx="51">
                  <c:v>0.1762</c:v>
                </c:pt>
                <c:pt idx="52">
                  <c:v>0.22819999999999999</c:v>
                </c:pt>
                <c:pt idx="53">
                  <c:v>0.2697</c:v>
                </c:pt>
                <c:pt idx="54">
                  <c:v>0.30759999999999998</c:v>
                </c:pt>
                <c:pt idx="55">
                  <c:v>0.31840000000000002</c:v>
                </c:pt>
                <c:pt idx="56">
                  <c:v>0.32169999999999999</c:v>
                </c:pt>
                <c:pt idx="57">
                  <c:v>0.31540000000000001</c:v>
                </c:pt>
                <c:pt idx="58">
                  <c:v>0.3412</c:v>
                </c:pt>
                <c:pt idx="59">
                  <c:v>0.34100000000000003</c:v>
                </c:pt>
                <c:pt idx="60">
                  <c:v>0.32469999999999999</c:v>
                </c:pt>
                <c:pt idx="61">
                  <c:v>0.31709999999999999</c:v>
                </c:pt>
                <c:pt idx="62">
                  <c:v>0.29570000000000002</c:v>
                </c:pt>
                <c:pt idx="63">
                  <c:v>0.29199999999999998</c:v>
                </c:pt>
                <c:pt idx="64">
                  <c:v>0.28029999999999999</c:v>
                </c:pt>
                <c:pt idx="65">
                  <c:v>0.2656</c:v>
                </c:pt>
                <c:pt idx="66">
                  <c:v>0.26729999999999998</c:v>
                </c:pt>
                <c:pt idx="67">
                  <c:v>0.25640000000000002</c:v>
                </c:pt>
                <c:pt idx="68">
                  <c:v>0.23730000000000001</c:v>
                </c:pt>
                <c:pt idx="69">
                  <c:v>0.23230000000000001</c:v>
                </c:pt>
                <c:pt idx="70">
                  <c:v>0.22650000000000001</c:v>
                </c:pt>
                <c:pt idx="71">
                  <c:v>0.23780000000000001</c:v>
                </c:pt>
                <c:pt idx="72">
                  <c:v>0.22450000000000001</c:v>
                </c:pt>
                <c:pt idx="73">
                  <c:v>0.2263</c:v>
                </c:pt>
                <c:pt idx="74">
                  <c:v>0.21229999999999999</c:v>
                </c:pt>
                <c:pt idx="75">
                  <c:v>0.27810000000000001</c:v>
                </c:pt>
                <c:pt idx="76">
                  <c:v>0.30359999999999998</c:v>
                </c:pt>
                <c:pt idx="77">
                  <c:v>0.34129999999999999</c:v>
                </c:pt>
                <c:pt idx="78">
                  <c:v>0.3382</c:v>
                </c:pt>
                <c:pt idx="79">
                  <c:v>0.31969999999999998</c:v>
                </c:pt>
                <c:pt idx="80">
                  <c:v>0.29649999999999999</c:v>
                </c:pt>
                <c:pt idx="81">
                  <c:v>0.28789999999999999</c:v>
                </c:pt>
                <c:pt idx="82">
                  <c:v>0.29339999999999999</c:v>
                </c:pt>
                <c:pt idx="83">
                  <c:v>0.27660000000000001</c:v>
                </c:pt>
                <c:pt idx="84">
                  <c:v>0.25990000000000002</c:v>
                </c:pt>
                <c:pt idx="85">
                  <c:v>0.23319999999999999</c:v>
                </c:pt>
                <c:pt idx="86">
                  <c:v>0.2112</c:v>
                </c:pt>
                <c:pt idx="87">
                  <c:v>0.20580000000000001</c:v>
                </c:pt>
                <c:pt idx="88">
                  <c:v>0.25729999999999997</c:v>
                </c:pt>
                <c:pt idx="89">
                  <c:v>0.29330000000000001</c:v>
                </c:pt>
                <c:pt idx="90">
                  <c:v>0.31680000000000003</c:v>
                </c:pt>
                <c:pt idx="91">
                  <c:v>0.32379999999999998</c:v>
                </c:pt>
                <c:pt idx="92">
                  <c:v>0.31530000000000002</c:v>
                </c:pt>
                <c:pt idx="93">
                  <c:v>0.30480000000000002</c:v>
                </c:pt>
                <c:pt idx="94">
                  <c:v>0.29010000000000002</c:v>
                </c:pt>
                <c:pt idx="95">
                  <c:v>0.26429999999999998</c:v>
                </c:pt>
                <c:pt idx="96">
                  <c:v>0.25069999999999998</c:v>
                </c:pt>
                <c:pt idx="97">
                  <c:v>0.23480000000000001</c:v>
                </c:pt>
                <c:pt idx="98">
                  <c:v>0.2175</c:v>
                </c:pt>
                <c:pt idx="99">
                  <c:v>0.23169999999999999</c:v>
                </c:pt>
                <c:pt idx="100">
                  <c:v>0.26369999999999999</c:v>
                </c:pt>
                <c:pt idx="101">
                  <c:v>0.26290000000000002</c:v>
                </c:pt>
                <c:pt idx="102">
                  <c:v>0.2611</c:v>
                </c:pt>
                <c:pt idx="103">
                  <c:v>0.24679999999999999</c:v>
                </c:pt>
                <c:pt idx="104">
                  <c:v>0.25840000000000002</c:v>
                </c:pt>
                <c:pt idx="105">
                  <c:v>0.23669999999999999</c:v>
                </c:pt>
                <c:pt idx="106">
                  <c:v>0.27179999999999999</c:v>
                </c:pt>
                <c:pt idx="107">
                  <c:v>0.27260000000000001</c:v>
                </c:pt>
                <c:pt idx="108">
                  <c:v>0.29980000000000001</c:v>
                </c:pt>
                <c:pt idx="109">
                  <c:v>0.28239999999999998</c:v>
                </c:pt>
                <c:pt idx="110">
                  <c:v>0.27029999999999998</c:v>
                </c:pt>
                <c:pt idx="111">
                  <c:v>0.25459999999999999</c:v>
                </c:pt>
                <c:pt idx="112">
                  <c:v>0.25080000000000002</c:v>
                </c:pt>
                <c:pt idx="113">
                  <c:v>0.23680000000000001</c:v>
                </c:pt>
                <c:pt idx="114">
                  <c:v>0.25159999999999999</c:v>
                </c:pt>
                <c:pt idx="115">
                  <c:v>0.26690000000000003</c:v>
                </c:pt>
                <c:pt idx="116">
                  <c:v>0.25040000000000001</c:v>
                </c:pt>
                <c:pt idx="117">
                  <c:v>0.29270000000000002</c:v>
                </c:pt>
                <c:pt idx="118">
                  <c:v>0.31580000000000003</c:v>
                </c:pt>
                <c:pt idx="119">
                  <c:v>0.31719999999999998</c:v>
                </c:pt>
                <c:pt idx="120">
                  <c:v>0.3105</c:v>
                </c:pt>
                <c:pt idx="121">
                  <c:v>0.31480000000000002</c:v>
                </c:pt>
                <c:pt idx="122">
                  <c:v>0.30399999999999999</c:v>
                </c:pt>
                <c:pt idx="123">
                  <c:v>0.33160000000000001</c:v>
                </c:pt>
                <c:pt idx="124">
                  <c:v>0.32750000000000001</c:v>
                </c:pt>
                <c:pt idx="125">
                  <c:v>0.33429999999999999</c:v>
                </c:pt>
                <c:pt idx="126">
                  <c:v>0.33360000000000001</c:v>
                </c:pt>
                <c:pt idx="127">
                  <c:v>0.32379999999999998</c:v>
                </c:pt>
                <c:pt idx="128">
                  <c:v>0.30130000000000001</c:v>
                </c:pt>
                <c:pt idx="129">
                  <c:v>0.26729999999999998</c:v>
                </c:pt>
                <c:pt idx="130">
                  <c:v>0.2326</c:v>
                </c:pt>
                <c:pt idx="131">
                  <c:v>0.22470000000000001</c:v>
                </c:pt>
                <c:pt idx="132">
                  <c:v>0.24260000000000001</c:v>
                </c:pt>
                <c:pt idx="133">
                  <c:v>0.2331</c:v>
                </c:pt>
                <c:pt idx="134">
                  <c:v>0.29099999999999998</c:v>
                </c:pt>
                <c:pt idx="135">
                  <c:v>0.40949999999999998</c:v>
                </c:pt>
                <c:pt idx="136">
                  <c:v>0.44090000000000001</c:v>
                </c:pt>
                <c:pt idx="137">
                  <c:v>0.45610000000000001</c:v>
                </c:pt>
                <c:pt idx="138">
                  <c:v>0.47870000000000001</c:v>
                </c:pt>
                <c:pt idx="139">
                  <c:v>0.46250000000000002</c:v>
                </c:pt>
                <c:pt idx="140">
                  <c:v>0.47310000000000002</c:v>
                </c:pt>
                <c:pt idx="141">
                  <c:v>0.4592</c:v>
                </c:pt>
                <c:pt idx="142">
                  <c:v>0.44550000000000001</c:v>
                </c:pt>
                <c:pt idx="143">
                  <c:v>0.45679999999999998</c:v>
                </c:pt>
                <c:pt idx="144">
                  <c:v>0.43130000000000002</c:v>
                </c:pt>
                <c:pt idx="145">
                  <c:v>0.41770000000000002</c:v>
                </c:pt>
                <c:pt idx="146">
                  <c:v>0.40889999999999999</c:v>
                </c:pt>
                <c:pt idx="147">
                  <c:v>0.43419999999999997</c:v>
                </c:pt>
                <c:pt idx="148">
                  <c:v>0.42549999999999999</c:v>
                </c:pt>
                <c:pt idx="149">
                  <c:v>0.4284</c:v>
                </c:pt>
                <c:pt idx="150">
                  <c:v>0.4425</c:v>
                </c:pt>
                <c:pt idx="151">
                  <c:v>0.4516</c:v>
                </c:pt>
                <c:pt idx="152">
                  <c:v>0.46110000000000001</c:v>
                </c:pt>
                <c:pt idx="153">
                  <c:v>0.49259999999999998</c:v>
                </c:pt>
                <c:pt idx="154">
                  <c:v>0.47870000000000001</c:v>
                </c:pt>
                <c:pt idx="155">
                  <c:v>0.52739999999999998</c:v>
                </c:pt>
                <c:pt idx="156">
                  <c:v>0.56579999999999997</c:v>
                </c:pt>
                <c:pt idx="157">
                  <c:v>0.62729999999999997</c:v>
                </c:pt>
                <c:pt idx="158">
                  <c:v>0.64429999999999998</c:v>
                </c:pt>
                <c:pt idx="159">
                  <c:v>0.64680000000000004</c:v>
                </c:pt>
                <c:pt idx="160">
                  <c:v>0.66869999999999996</c:v>
                </c:pt>
                <c:pt idx="161">
                  <c:v>0.66990000000000005</c:v>
                </c:pt>
                <c:pt idx="162">
                  <c:v>0.66069999999999995</c:v>
                </c:pt>
                <c:pt idx="163">
                  <c:v>0.6885</c:v>
                </c:pt>
                <c:pt idx="164">
                  <c:v>0.68710000000000004</c:v>
                </c:pt>
                <c:pt idx="165">
                  <c:v>0.65849999999999997</c:v>
                </c:pt>
                <c:pt idx="166">
                  <c:v>0.63539999999999996</c:v>
                </c:pt>
                <c:pt idx="167">
                  <c:v>0.60980000000000001</c:v>
                </c:pt>
                <c:pt idx="168">
                  <c:v>0.57869999999999999</c:v>
                </c:pt>
                <c:pt idx="169">
                  <c:v>0.56489999999999996</c:v>
                </c:pt>
                <c:pt idx="170">
                  <c:v>0.52829999999999999</c:v>
                </c:pt>
                <c:pt idx="171">
                  <c:v>0.50280000000000002</c:v>
                </c:pt>
                <c:pt idx="172">
                  <c:v>0.47520000000000001</c:v>
                </c:pt>
                <c:pt idx="173">
                  <c:v>0.45700000000000002</c:v>
                </c:pt>
                <c:pt idx="174">
                  <c:v>0.47889999999999999</c:v>
                </c:pt>
                <c:pt idx="175">
                  <c:v>0.49380000000000002</c:v>
                </c:pt>
                <c:pt idx="176">
                  <c:v>0.48709999999999998</c:v>
                </c:pt>
                <c:pt idx="177">
                  <c:v>0.48039999999999999</c:v>
                </c:pt>
                <c:pt idx="178">
                  <c:v>0.52510000000000001</c:v>
                </c:pt>
                <c:pt idx="179">
                  <c:v>0.58240000000000003</c:v>
                </c:pt>
                <c:pt idx="180">
                  <c:v>0.61680000000000001</c:v>
                </c:pt>
                <c:pt idx="181">
                  <c:v>0.62229999999999996</c:v>
                </c:pt>
                <c:pt idx="182">
                  <c:v>0.622</c:v>
                </c:pt>
                <c:pt idx="183">
                  <c:v>0.63529999999999998</c:v>
                </c:pt>
                <c:pt idx="184">
                  <c:v>0.62709999999999999</c:v>
                </c:pt>
                <c:pt idx="185">
                  <c:v>0.65190000000000003</c:v>
                </c:pt>
                <c:pt idx="186">
                  <c:v>0.6341</c:v>
                </c:pt>
                <c:pt idx="187">
                  <c:v>0.64949999999999997</c:v>
                </c:pt>
                <c:pt idx="188">
                  <c:v>0.67300000000000004</c:v>
                </c:pt>
                <c:pt idx="189">
                  <c:v>0.66879999999999995</c:v>
                </c:pt>
                <c:pt idx="190">
                  <c:v>0.64780000000000004</c:v>
                </c:pt>
                <c:pt idx="191">
                  <c:v>0.62980000000000003</c:v>
                </c:pt>
                <c:pt idx="192">
                  <c:v>0.60329999999999995</c:v>
                </c:pt>
                <c:pt idx="193">
                  <c:v>0.57830000000000004</c:v>
                </c:pt>
                <c:pt idx="194">
                  <c:v>0.65849999999999997</c:v>
                </c:pt>
                <c:pt idx="195">
                  <c:v>0.6915</c:v>
                </c:pt>
                <c:pt idx="196">
                  <c:v>0.71609999999999996</c:v>
                </c:pt>
                <c:pt idx="197">
                  <c:v>0.70860000000000001</c:v>
                </c:pt>
                <c:pt idx="198">
                  <c:v>0.70479999999999998</c:v>
                </c:pt>
                <c:pt idx="199">
                  <c:v>0.6875</c:v>
                </c:pt>
                <c:pt idx="200">
                  <c:v>0.70450000000000002</c:v>
                </c:pt>
                <c:pt idx="201">
                  <c:v>0.69769999999999999</c:v>
                </c:pt>
                <c:pt idx="202">
                  <c:v>0.69879999999999998</c:v>
                </c:pt>
                <c:pt idx="203">
                  <c:v>0.69289999999999996</c:v>
                </c:pt>
                <c:pt idx="204">
                  <c:v>0.68459999999999999</c:v>
                </c:pt>
                <c:pt idx="205">
                  <c:v>0.68140000000000001</c:v>
                </c:pt>
                <c:pt idx="206">
                  <c:v>0.67100000000000004</c:v>
                </c:pt>
                <c:pt idx="207">
                  <c:v>0.64770000000000005</c:v>
                </c:pt>
                <c:pt idx="208">
                  <c:v>0.63549999999999995</c:v>
                </c:pt>
                <c:pt idx="209">
                  <c:v>0.62029999999999996</c:v>
                </c:pt>
                <c:pt idx="210">
                  <c:v>0.58940000000000003</c:v>
                </c:pt>
                <c:pt idx="211">
                  <c:v>0.55930000000000002</c:v>
                </c:pt>
                <c:pt idx="212">
                  <c:v>0.52910000000000001</c:v>
                </c:pt>
                <c:pt idx="213">
                  <c:v>0.63070000000000004</c:v>
                </c:pt>
                <c:pt idx="214">
                  <c:v>0.61529999999999996</c:v>
                </c:pt>
                <c:pt idx="215">
                  <c:v>0.65680000000000005</c:v>
                </c:pt>
                <c:pt idx="216">
                  <c:v>0.68210000000000004</c:v>
                </c:pt>
                <c:pt idx="217">
                  <c:v>0.67520000000000002</c:v>
                </c:pt>
                <c:pt idx="218">
                  <c:v>0.66349999999999998</c:v>
                </c:pt>
                <c:pt idx="219">
                  <c:v>0.6149</c:v>
                </c:pt>
                <c:pt idx="220">
                  <c:v>0.63219999999999998</c:v>
                </c:pt>
                <c:pt idx="221">
                  <c:v>0.63160000000000005</c:v>
                </c:pt>
                <c:pt idx="222">
                  <c:v>0.70379999999999998</c:v>
                </c:pt>
                <c:pt idx="223">
                  <c:v>0.69159999999999999</c:v>
                </c:pt>
                <c:pt idx="224">
                  <c:v>0.69099999999999995</c:v>
                </c:pt>
                <c:pt idx="225">
                  <c:v>0.68149999999999999</c:v>
                </c:pt>
                <c:pt idx="226">
                  <c:v>0.66779999999999995</c:v>
                </c:pt>
                <c:pt idx="227">
                  <c:v>0.65149999999999997</c:v>
                </c:pt>
                <c:pt idx="228">
                  <c:v>0.63480000000000003</c:v>
                </c:pt>
                <c:pt idx="229">
                  <c:v>0.62629999999999997</c:v>
                </c:pt>
                <c:pt idx="230">
                  <c:v>0.64490000000000003</c:v>
                </c:pt>
                <c:pt idx="231">
                  <c:v>0.61450000000000005</c:v>
                </c:pt>
                <c:pt idx="232">
                  <c:v>0.63819999999999999</c:v>
                </c:pt>
                <c:pt idx="233">
                  <c:v>0.61609999999999998</c:v>
                </c:pt>
                <c:pt idx="234">
                  <c:v>0.60719999999999996</c:v>
                </c:pt>
                <c:pt idx="235">
                  <c:v>0.60119999999999996</c:v>
                </c:pt>
                <c:pt idx="236">
                  <c:v>0.58979999999999999</c:v>
                </c:pt>
                <c:pt idx="237">
                  <c:v>0.57779999999999998</c:v>
                </c:pt>
                <c:pt idx="238">
                  <c:v>0.55430000000000001</c:v>
                </c:pt>
                <c:pt idx="239">
                  <c:v>0.53110000000000002</c:v>
                </c:pt>
                <c:pt idx="240">
                  <c:v>0.49919999999999998</c:v>
                </c:pt>
                <c:pt idx="241">
                  <c:v>0.47189999999999999</c:v>
                </c:pt>
                <c:pt idx="242">
                  <c:v>0.46029999999999999</c:v>
                </c:pt>
                <c:pt idx="243">
                  <c:v>0.44219999999999998</c:v>
                </c:pt>
                <c:pt idx="244">
                  <c:v>0.44929999999999998</c:v>
                </c:pt>
                <c:pt idx="245">
                  <c:v>0.47510000000000002</c:v>
                </c:pt>
                <c:pt idx="246">
                  <c:v>0.49049999999999999</c:v>
                </c:pt>
                <c:pt idx="247">
                  <c:v>0.51529999999999998</c:v>
                </c:pt>
                <c:pt idx="248">
                  <c:v>0.51580000000000004</c:v>
                </c:pt>
                <c:pt idx="249">
                  <c:v>0.50390000000000001</c:v>
                </c:pt>
                <c:pt idx="250">
                  <c:v>0.48699999999999999</c:v>
                </c:pt>
                <c:pt idx="251">
                  <c:v>0.48</c:v>
                </c:pt>
                <c:pt idx="252">
                  <c:v>0.46260000000000001</c:v>
                </c:pt>
                <c:pt idx="253">
                  <c:v>0.44140000000000001</c:v>
                </c:pt>
                <c:pt idx="254">
                  <c:v>0.41770000000000002</c:v>
                </c:pt>
                <c:pt idx="255">
                  <c:v>0.39939999999999998</c:v>
                </c:pt>
                <c:pt idx="256">
                  <c:v>0.38329999999999997</c:v>
                </c:pt>
                <c:pt idx="257">
                  <c:v>0.3574</c:v>
                </c:pt>
                <c:pt idx="258">
                  <c:v>0.36909999999999998</c:v>
                </c:pt>
                <c:pt idx="259">
                  <c:v>0.3463</c:v>
                </c:pt>
                <c:pt idx="260">
                  <c:v>0.37440000000000001</c:v>
                </c:pt>
                <c:pt idx="261">
                  <c:v>0.35410000000000003</c:v>
                </c:pt>
                <c:pt idx="262">
                  <c:v>0.35010000000000002</c:v>
                </c:pt>
                <c:pt idx="263">
                  <c:v>0.379</c:v>
                </c:pt>
                <c:pt idx="264">
                  <c:v>0.38009999999999999</c:v>
                </c:pt>
                <c:pt idx="265">
                  <c:v>0.37709999999999999</c:v>
                </c:pt>
                <c:pt idx="266">
                  <c:v>0.37969999999999998</c:v>
                </c:pt>
                <c:pt idx="267">
                  <c:v>0.37159999999999999</c:v>
                </c:pt>
                <c:pt idx="268">
                  <c:v>0.36280000000000001</c:v>
                </c:pt>
                <c:pt idx="269">
                  <c:v>0.40720000000000001</c:v>
                </c:pt>
                <c:pt idx="270">
                  <c:v>0.42120000000000002</c:v>
                </c:pt>
                <c:pt idx="271">
                  <c:v>0.43020000000000003</c:v>
                </c:pt>
                <c:pt idx="272">
                  <c:v>0.4244</c:v>
                </c:pt>
                <c:pt idx="273">
                  <c:v>0.443</c:v>
                </c:pt>
                <c:pt idx="274">
                  <c:v>0.4738</c:v>
                </c:pt>
                <c:pt idx="275">
                  <c:v>0.49309999999999998</c:v>
                </c:pt>
                <c:pt idx="276">
                  <c:v>0.48920000000000002</c:v>
                </c:pt>
                <c:pt idx="277">
                  <c:v>0.48480000000000001</c:v>
                </c:pt>
                <c:pt idx="278">
                  <c:v>0.48420000000000002</c:v>
                </c:pt>
                <c:pt idx="279">
                  <c:v>0.50009999999999999</c:v>
                </c:pt>
                <c:pt idx="280">
                  <c:v>0.53090000000000004</c:v>
                </c:pt>
                <c:pt idx="281">
                  <c:v>0.52170000000000005</c:v>
                </c:pt>
                <c:pt idx="282">
                  <c:v>0.52339999999999998</c:v>
                </c:pt>
                <c:pt idx="283">
                  <c:v>0.4914</c:v>
                </c:pt>
                <c:pt idx="284">
                  <c:v>0.47589999999999999</c:v>
                </c:pt>
                <c:pt idx="285">
                  <c:v>0.42899999999999999</c:v>
                </c:pt>
                <c:pt idx="286">
                  <c:v>0.44840000000000002</c:v>
                </c:pt>
                <c:pt idx="287">
                  <c:v>0.44240000000000002</c:v>
                </c:pt>
                <c:pt idx="288">
                  <c:v>0.42449999999999999</c:v>
                </c:pt>
                <c:pt idx="289">
                  <c:v>0.43180000000000002</c:v>
                </c:pt>
                <c:pt idx="290">
                  <c:v>0.39950000000000002</c:v>
                </c:pt>
                <c:pt idx="291">
                  <c:v>0.36870000000000003</c:v>
                </c:pt>
                <c:pt idx="292">
                  <c:v>0.3448</c:v>
                </c:pt>
                <c:pt idx="293">
                  <c:v>0.33200000000000002</c:v>
                </c:pt>
                <c:pt idx="294">
                  <c:v>0.32219999999999999</c:v>
                </c:pt>
                <c:pt idx="295">
                  <c:v>0.30669999999999997</c:v>
                </c:pt>
                <c:pt idx="296">
                  <c:v>0.29039999999999999</c:v>
                </c:pt>
                <c:pt idx="297">
                  <c:v>0.28589999999999999</c:v>
                </c:pt>
                <c:pt idx="298">
                  <c:v>0.2707</c:v>
                </c:pt>
                <c:pt idx="299">
                  <c:v>0.2651</c:v>
                </c:pt>
                <c:pt idx="300">
                  <c:v>0.25929999999999997</c:v>
                </c:pt>
                <c:pt idx="301">
                  <c:v>0.24829999999999999</c:v>
                </c:pt>
                <c:pt idx="302">
                  <c:v>0.2427</c:v>
                </c:pt>
                <c:pt idx="303">
                  <c:v>0.26019999999999999</c:v>
                </c:pt>
                <c:pt idx="304">
                  <c:v>0.2742</c:v>
                </c:pt>
                <c:pt idx="305">
                  <c:v>0.27379999999999999</c:v>
                </c:pt>
                <c:pt idx="306">
                  <c:v>0.32429999999999998</c:v>
                </c:pt>
                <c:pt idx="307">
                  <c:v>0.32540000000000002</c:v>
                </c:pt>
                <c:pt idx="308">
                  <c:v>0.34150000000000003</c:v>
                </c:pt>
                <c:pt idx="309">
                  <c:v>0.34910000000000002</c:v>
                </c:pt>
                <c:pt idx="310">
                  <c:v>0.34210000000000002</c:v>
                </c:pt>
                <c:pt idx="311">
                  <c:v>0.34570000000000001</c:v>
                </c:pt>
                <c:pt idx="312">
                  <c:v>0.36209999999999998</c:v>
                </c:pt>
                <c:pt idx="313">
                  <c:v>0.3604</c:v>
                </c:pt>
                <c:pt idx="314">
                  <c:v>0.36349999999999999</c:v>
                </c:pt>
                <c:pt idx="315">
                  <c:v>0.35709999999999997</c:v>
                </c:pt>
                <c:pt idx="316">
                  <c:v>0.3392</c:v>
                </c:pt>
                <c:pt idx="317">
                  <c:v>0.31619999999999998</c:v>
                </c:pt>
                <c:pt idx="318">
                  <c:v>0.33300000000000002</c:v>
                </c:pt>
                <c:pt idx="319">
                  <c:v>0.32079999999999997</c:v>
                </c:pt>
                <c:pt idx="320">
                  <c:v>0.32750000000000001</c:v>
                </c:pt>
                <c:pt idx="321">
                  <c:v>0.31719999999999998</c:v>
                </c:pt>
                <c:pt idx="322">
                  <c:v>0.31909999999999999</c:v>
                </c:pt>
                <c:pt idx="323">
                  <c:v>0.3221</c:v>
                </c:pt>
                <c:pt idx="324">
                  <c:v>0.32229999999999998</c:v>
                </c:pt>
                <c:pt idx="325">
                  <c:v>0.32440000000000002</c:v>
                </c:pt>
                <c:pt idx="326">
                  <c:v>0.31780000000000003</c:v>
                </c:pt>
                <c:pt idx="327">
                  <c:v>0.32250000000000001</c:v>
                </c:pt>
                <c:pt idx="328">
                  <c:v>0.3165</c:v>
                </c:pt>
                <c:pt idx="329">
                  <c:v>0.30680000000000002</c:v>
                </c:pt>
                <c:pt idx="330">
                  <c:v>0.29370000000000002</c:v>
                </c:pt>
                <c:pt idx="331">
                  <c:v>0.34110000000000001</c:v>
                </c:pt>
                <c:pt idx="332">
                  <c:v>0.34489999999999998</c:v>
                </c:pt>
                <c:pt idx="333">
                  <c:v>0.33660000000000001</c:v>
                </c:pt>
                <c:pt idx="334">
                  <c:v>0.33700000000000002</c:v>
                </c:pt>
                <c:pt idx="335">
                  <c:v>0.32450000000000001</c:v>
                </c:pt>
                <c:pt idx="336">
                  <c:v>0.32140000000000002</c:v>
                </c:pt>
                <c:pt idx="337">
                  <c:v>0.30370000000000003</c:v>
                </c:pt>
                <c:pt idx="338">
                  <c:v>0.29930000000000001</c:v>
                </c:pt>
                <c:pt idx="339">
                  <c:v>0.2787</c:v>
                </c:pt>
                <c:pt idx="340">
                  <c:v>0.28520000000000001</c:v>
                </c:pt>
                <c:pt idx="341">
                  <c:v>0.29039999999999999</c:v>
                </c:pt>
                <c:pt idx="342">
                  <c:v>0.29709999999999998</c:v>
                </c:pt>
                <c:pt idx="343">
                  <c:v>0.29849999999999999</c:v>
                </c:pt>
                <c:pt idx="344">
                  <c:v>0.28899999999999998</c:v>
                </c:pt>
                <c:pt idx="345">
                  <c:v>0.28389999999999999</c:v>
                </c:pt>
                <c:pt idx="346">
                  <c:v>0.27900000000000003</c:v>
                </c:pt>
                <c:pt idx="347">
                  <c:v>0.27039999999999997</c:v>
                </c:pt>
                <c:pt idx="348">
                  <c:v>0.26950000000000002</c:v>
                </c:pt>
                <c:pt idx="349">
                  <c:v>0.26600000000000001</c:v>
                </c:pt>
                <c:pt idx="350">
                  <c:v>0.2586</c:v>
                </c:pt>
                <c:pt idx="351">
                  <c:v>0.26989999999999997</c:v>
                </c:pt>
                <c:pt idx="352">
                  <c:v>0.2571</c:v>
                </c:pt>
                <c:pt idx="353">
                  <c:v>0.25640000000000002</c:v>
                </c:pt>
                <c:pt idx="354">
                  <c:v>0.24890000000000001</c:v>
                </c:pt>
                <c:pt idx="355">
                  <c:v>0.24299999999999999</c:v>
                </c:pt>
                <c:pt idx="356">
                  <c:v>0.2404</c:v>
                </c:pt>
                <c:pt idx="357">
                  <c:v>0.2442</c:v>
                </c:pt>
                <c:pt idx="358">
                  <c:v>0.2457</c:v>
                </c:pt>
                <c:pt idx="359">
                  <c:v>0.24360000000000001</c:v>
                </c:pt>
                <c:pt idx="360">
                  <c:v>0.2424</c:v>
                </c:pt>
                <c:pt idx="361">
                  <c:v>0.22900000000000001</c:v>
                </c:pt>
                <c:pt idx="362">
                  <c:v>0.2742</c:v>
                </c:pt>
                <c:pt idx="363">
                  <c:v>0.29370000000000002</c:v>
                </c:pt>
                <c:pt idx="364">
                  <c:v>0.2928</c:v>
                </c:pt>
                <c:pt idx="365">
                  <c:v>0.28370000000000001</c:v>
                </c:pt>
                <c:pt idx="366">
                  <c:v>0.27260000000000001</c:v>
                </c:pt>
                <c:pt idx="367">
                  <c:v>0.30159999999999998</c:v>
                </c:pt>
                <c:pt idx="368">
                  <c:v>0.32619999999999999</c:v>
                </c:pt>
                <c:pt idx="369">
                  <c:v>0.33150000000000002</c:v>
                </c:pt>
                <c:pt idx="370">
                  <c:v>0.34749999999999998</c:v>
                </c:pt>
                <c:pt idx="371">
                  <c:v>0.34810000000000002</c:v>
                </c:pt>
                <c:pt idx="372">
                  <c:v>0.38240000000000002</c:v>
                </c:pt>
                <c:pt idx="373">
                  <c:v>0.37640000000000001</c:v>
                </c:pt>
                <c:pt idx="374">
                  <c:v>0.37740000000000001</c:v>
                </c:pt>
                <c:pt idx="375">
                  <c:v>0.35799999999999998</c:v>
                </c:pt>
                <c:pt idx="376">
                  <c:v>0.36049999999999999</c:v>
                </c:pt>
                <c:pt idx="377">
                  <c:v>0.34029999999999999</c:v>
                </c:pt>
                <c:pt idx="378">
                  <c:v>0.3387</c:v>
                </c:pt>
                <c:pt idx="379">
                  <c:v>0.35730000000000001</c:v>
                </c:pt>
                <c:pt idx="380">
                  <c:v>0.35570000000000002</c:v>
                </c:pt>
                <c:pt idx="381">
                  <c:v>0.3624</c:v>
                </c:pt>
                <c:pt idx="382">
                  <c:v>0.36649999999999999</c:v>
                </c:pt>
                <c:pt idx="383">
                  <c:v>0.34689999999999999</c:v>
                </c:pt>
                <c:pt idx="384">
                  <c:v>0.34989999999999999</c:v>
                </c:pt>
                <c:pt idx="385">
                  <c:v>0.39689999999999998</c:v>
                </c:pt>
                <c:pt idx="386">
                  <c:v>0.4042</c:v>
                </c:pt>
                <c:pt idx="387">
                  <c:v>0.39679999999999999</c:v>
                </c:pt>
                <c:pt idx="388">
                  <c:v>0.3891</c:v>
                </c:pt>
                <c:pt idx="389">
                  <c:v>0.43769999999999998</c:v>
                </c:pt>
                <c:pt idx="390">
                  <c:v>0.44669999999999999</c:v>
                </c:pt>
                <c:pt idx="391">
                  <c:v>0.43719999999999998</c:v>
                </c:pt>
                <c:pt idx="392">
                  <c:v>0.42099999999999999</c:v>
                </c:pt>
                <c:pt idx="393">
                  <c:v>0.43070000000000003</c:v>
                </c:pt>
                <c:pt idx="394">
                  <c:v>0.4219</c:v>
                </c:pt>
                <c:pt idx="395">
                  <c:v>0.43469999999999998</c:v>
                </c:pt>
                <c:pt idx="396">
                  <c:v>0.44400000000000001</c:v>
                </c:pt>
                <c:pt idx="397">
                  <c:v>0.43930000000000002</c:v>
                </c:pt>
                <c:pt idx="398">
                  <c:v>0.43469999999999998</c:v>
                </c:pt>
                <c:pt idx="399">
                  <c:v>0.42520000000000002</c:v>
                </c:pt>
                <c:pt idx="400">
                  <c:v>0.40570000000000001</c:v>
                </c:pt>
                <c:pt idx="401">
                  <c:v>0.3831</c:v>
                </c:pt>
                <c:pt idx="402">
                  <c:v>0.3659</c:v>
                </c:pt>
                <c:pt idx="403">
                  <c:v>0.3458</c:v>
                </c:pt>
                <c:pt idx="404">
                  <c:v>0.37830000000000003</c:v>
                </c:pt>
                <c:pt idx="405">
                  <c:v>0.37509999999999999</c:v>
                </c:pt>
                <c:pt idx="406">
                  <c:v>0.37509999999999999</c:v>
                </c:pt>
                <c:pt idx="407">
                  <c:v>0.36009999999999998</c:v>
                </c:pt>
                <c:pt idx="408">
                  <c:v>0.38529999999999998</c:v>
                </c:pt>
                <c:pt idx="409">
                  <c:v>0.38800000000000001</c:v>
                </c:pt>
                <c:pt idx="410">
                  <c:v>0.37730000000000002</c:v>
                </c:pt>
                <c:pt idx="411">
                  <c:v>0.3619</c:v>
                </c:pt>
                <c:pt idx="412">
                  <c:v>0.3473</c:v>
                </c:pt>
                <c:pt idx="413">
                  <c:v>0.34899999999999998</c:v>
                </c:pt>
                <c:pt idx="414">
                  <c:v>0.39800000000000002</c:v>
                </c:pt>
                <c:pt idx="415">
                  <c:v>0.39779999999999999</c:v>
                </c:pt>
                <c:pt idx="416">
                  <c:v>0.39050000000000001</c:v>
                </c:pt>
                <c:pt idx="417">
                  <c:v>0.38529999999999998</c:v>
                </c:pt>
                <c:pt idx="418">
                  <c:v>0.36940000000000001</c:v>
                </c:pt>
                <c:pt idx="419">
                  <c:v>0.36080000000000001</c:v>
                </c:pt>
                <c:pt idx="420">
                  <c:v>0.33839999999999998</c:v>
                </c:pt>
                <c:pt idx="421">
                  <c:v>0.31190000000000001</c:v>
                </c:pt>
                <c:pt idx="422">
                  <c:v>0.28810000000000002</c:v>
                </c:pt>
                <c:pt idx="423">
                  <c:v>0.27910000000000001</c:v>
                </c:pt>
                <c:pt idx="424">
                  <c:v>0.25790000000000002</c:v>
                </c:pt>
                <c:pt idx="425">
                  <c:v>0.23930000000000001</c:v>
                </c:pt>
                <c:pt idx="426">
                  <c:v>0.22070000000000001</c:v>
                </c:pt>
                <c:pt idx="427">
                  <c:v>0.22489999999999999</c:v>
                </c:pt>
                <c:pt idx="428">
                  <c:v>0.22370000000000001</c:v>
                </c:pt>
                <c:pt idx="429">
                  <c:v>0.21529999999999999</c:v>
                </c:pt>
                <c:pt idx="430">
                  <c:v>0.2069</c:v>
                </c:pt>
                <c:pt idx="431">
                  <c:v>0.19409999999999999</c:v>
                </c:pt>
                <c:pt idx="432">
                  <c:v>0.1837</c:v>
                </c:pt>
                <c:pt idx="433">
                  <c:v>0.18540000000000001</c:v>
                </c:pt>
                <c:pt idx="434">
                  <c:v>0.1835</c:v>
                </c:pt>
                <c:pt idx="435">
                  <c:v>0.18229999999999999</c:v>
                </c:pt>
                <c:pt idx="436">
                  <c:v>0.1845</c:v>
                </c:pt>
                <c:pt idx="437">
                  <c:v>0.17730000000000001</c:v>
                </c:pt>
                <c:pt idx="438">
                  <c:v>0.1966</c:v>
                </c:pt>
                <c:pt idx="439">
                  <c:v>0.1479</c:v>
                </c:pt>
                <c:pt idx="440">
                  <c:v>0.14729999999999999</c:v>
                </c:pt>
                <c:pt idx="441">
                  <c:v>0.14699999999999999</c:v>
                </c:pt>
                <c:pt idx="442">
                  <c:v>0.1552</c:v>
                </c:pt>
                <c:pt idx="443">
                  <c:v>0.15620000000000001</c:v>
                </c:pt>
                <c:pt idx="444">
                  <c:v>0.15210000000000001</c:v>
                </c:pt>
                <c:pt idx="445">
                  <c:v>0.1583</c:v>
                </c:pt>
                <c:pt idx="446">
                  <c:v>0.1661</c:v>
                </c:pt>
                <c:pt idx="447">
                  <c:v>0.16420000000000001</c:v>
                </c:pt>
                <c:pt idx="448">
                  <c:v>0.15890000000000001</c:v>
                </c:pt>
                <c:pt idx="449">
                  <c:v>0.14480000000000001</c:v>
                </c:pt>
                <c:pt idx="450">
                  <c:v>0.1411</c:v>
                </c:pt>
                <c:pt idx="451">
                  <c:v>0.12959999999999999</c:v>
                </c:pt>
                <c:pt idx="452">
                  <c:v>0.15909999999999999</c:v>
                </c:pt>
                <c:pt idx="453">
                  <c:v>0.1593</c:v>
                </c:pt>
                <c:pt idx="454">
                  <c:v>0.1668</c:v>
                </c:pt>
                <c:pt idx="455">
                  <c:v>0.15429999999999999</c:v>
                </c:pt>
                <c:pt idx="456">
                  <c:v>0.14929999999999999</c:v>
                </c:pt>
                <c:pt idx="457">
                  <c:v>0.14530000000000001</c:v>
                </c:pt>
                <c:pt idx="458">
                  <c:v>0.1321</c:v>
                </c:pt>
                <c:pt idx="459">
                  <c:v>0.13619999999999999</c:v>
                </c:pt>
                <c:pt idx="460">
                  <c:v>0.13650000000000001</c:v>
                </c:pt>
                <c:pt idx="461">
                  <c:v>0.12189999999999999</c:v>
                </c:pt>
                <c:pt idx="462">
                  <c:v>0.11849999999999999</c:v>
                </c:pt>
                <c:pt idx="463">
                  <c:v>0.112</c:v>
                </c:pt>
                <c:pt idx="464">
                  <c:v>0.1124</c:v>
                </c:pt>
                <c:pt idx="465">
                  <c:v>0.111</c:v>
                </c:pt>
                <c:pt idx="466">
                  <c:v>0.1072</c:v>
                </c:pt>
                <c:pt idx="467">
                  <c:v>0.11890000000000001</c:v>
                </c:pt>
                <c:pt idx="468">
                  <c:v>0.10780000000000001</c:v>
                </c:pt>
                <c:pt idx="469">
                  <c:v>0.10920000000000001</c:v>
                </c:pt>
                <c:pt idx="470">
                  <c:v>0.1051</c:v>
                </c:pt>
                <c:pt idx="471">
                  <c:v>0.1195</c:v>
                </c:pt>
                <c:pt idx="472">
                  <c:v>0.1114</c:v>
                </c:pt>
                <c:pt idx="473">
                  <c:v>0.1007</c:v>
                </c:pt>
                <c:pt idx="474">
                  <c:v>0.1066</c:v>
                </c:pt>
                <c:pt idx="475">
                  <c:v>0.1149</c:v>
                </c:pt>
                <c:pt idx="476">
                  <c:v>0.1182</c:v>
                </c:pt>
                <c:pt idx="477">
                  <c:v>0.1187</c:v>
                </c:pt>
                <c:pt idx="478">
                  <c:v>0.1225</c:v>
                </c:pt>
                <c:pt idx="479">
                  <c:v>0.1133</c:v>
                </c:pt>
                <c:pt idx="480">
                  <c:v>0.11899999999999999</c:v>
                </c:pt>
                <c:pt idx="481">
                  <c:v>0.12</c:v>
                </c:pt>
                <c:pt idx="482">
                  <c:v>0.13039999999999999</c:v>
                </c:pt>
                <c:pt idx="483">
                  <c:v>0.1283</c:v>
                </c:pt>
                <c:pt idx="484">
                  <c:v>0.13089999999999999</c:v>
                </c:pt>
                <c:pt idx="485">
                  <c:v>0.1255</c:v>
                </c:pt>
                <c:pt idx="486">
                  <c:v>0.1195</c:v>
                </c:pt>
                <c:pt idx="487">
                  <c:v>0.1031</c:v>
                </c:pt>
                <c:pt idx="488">
                  <c:v>0.1076</c:v>
                </c:pt>
                <c:pt idx="489">
                  <c:v>0.1208</c:v>
                </c:pt>
                <c:pt idx="490">
                  <c:v>0.1326</c:v>
                </c:pt>
                <c:pt idx="491">
                  <c:v>0.13089999999999999</c:v>
                </c:pt>
                <c:pt idx="492">
                  <c:v>0.13639999999999999</c:v>
                </c:pt>
                <c:pt idx="493">
                  <c:v>0.13100000000000001</c:v>
                </c:pt>
                <c:pt idx="494">
                  <c:v>0.12970000000000001</c:v>
                </c:pt>
                <c:pt idx="495">
                  <c:v>0.13339999999999999</c:v>
                </c:pt>
                <c:pt idx="496">
                  <c:v>0.12529999999999999</c:v>
                </c:pt>
                <c:pt idx="497">
                  <c:v>0.10970000000000001</c:v>
                </c:pt>
                <c:pt idx="498">
                  <c:v>0.1142</c:v>
                </c:pt>
                <c:pt idx="499">
                  <c:v>9.98E-2</c:v>
                </c:pt>
                <c:pt idx="500">
                  <c:v>8.9899999999999994E-2</c:v>
                </c:pt>
                <c:pt idx="501">
                  <c:v>8.3699999999999997E-2</c:v>
                </c:pt>
                <c:pt idx="502">
                  <c:v>7.51E-2</c:v>
                </c:pt>
                <c:pt idx="503">
                  <c:v>6.0499999999999998E-2</c:v>
                </c:pt>
                <c:pt idx="504">
                  <c:v>5.8700000000000002E-2</c:v>
                </c:pt>
                <c:pt idx="505">
                  <c:v>6.4399999999999999E-2</c:v>
                </c:pt>
                <c:pt idx="506">
                  <c:v>5.21E-2</c:v>
                </c:pt>
                <c:pt idx="507">
                  <c:v>5.0200000000000002E-2</c:v>
                </c:pt>
                <c:pt idx="508">
                  <c:v>5.4100000000000002E-2</c:v>
                </c:pt>
                <c:pt idx="509">
                  <c:v>4.8800000000000003E-2</c:v>
                </c:pt>
                <c:pt idx="510">
                  <c:v>4.6199999999999998E-2</c:v>
                </c:pt>
                <c:pt idx="511">
                  <c:v>4.2299999999999997E-2</c:v>
                </c:pt>
                <c:pt idx="512">
                  <c:v>3.8600000000000002E-2</c:v>
                </c:pt>
                <c:pt idx="513">
                  <c:v>3.9E-2</c:v>
                </c:pt>
                <c:pt idx="514">
                  <c:v>3.6400000000000002E-2</c:v>
                </c:pt>
                <c:pt idx="515">
                  <c:v>2.3300000000000001E-2</c:v>
                </c:pt>
                <c:pt idx="516">
                  <c:v>2.3800000000000002E-2</c:v>
                </c:pt>
                <c:pt idx="517">
                  <c:v>2.2700000000000001E-2</c:v>
                </c:pt>
                <c:pt idx="518">
                  <c:v>2.1000000000000001E-2</c:v>
                </c:pt>
                <c:pt idx="519">
                  <c:v>1.6199999999999999E-2</c:v>
                </c:pt>
                <c:pt idx="520">
                  <c:v>1.4500000000000001E-2</c:v>
                </c:pt>
                <c:pt idx="521">
                  <c:v>1.5699999999999999E-2</c:v>
                </c:pt>
                <c:pt idx="522">
                  <c:v>1.47E-2</c:v>
                </c:pt>
                <c:pt idx="523">
                  <c:v>2.01E-2</c:v>
                </c:pt>
                <c:pt idx="524">
                  <c:v>2.7E-2</c:v>
                </c:pt>
                <c:pt idx="525">
                  <c:v>2.9899999999999999E-2</c:v>
                </c:pt>
                <c:pt idx="526">
                  <c:v>3.3399999999999999E-2</c:v>
                </c:pt>
                <c:pt idx="527">
                  <c:v>3.4599999999999999E-2</c:v>
                </c:pt>
                <c:pt idx="528">
                  <c:v>2.8899999999999999E-2</c:v>
                </c:pt>
                <c:pt idx="529">
                  <c:v>2.92E-2</c:v>
                </c:pt>
                <c:pt idx="530">
                  <c:v>2.86E-2</c:v>
                </c:pt>
                <c:pt idx="531">
                  <c:v>3.0200000000000001E-2</c:v>
                </c:pt>
                <c:pt idx="532">
                  <c:v>2.98E-2</c:v>
                </c:pt>
                <c:pt idx="533">
                  <c:v>3.1199999999999999E-2</c:v>
                </c:pt>
                <c:pt idx="534">
                  <c:v>3.1899999999999998E-2</c:v>
                </c:pt>
                <c:pt idx="535">
                  <c:v>2.9600000000000001E-2</c:v>
                </c:pt>
                <c:pt idx="536">
                  <c:v>2.6700000000000002E-2</c:v>
                </c:pt>
                <c:pt idx="537">
                  <c:v>2.5700000000000001E-2</c:v>
                </c:pt>
                <c:pt idx="538">
                  <c:v>2.7400000000000001E-2</c:v>
                </c:pt>
                <c:pt idx="539">
                  <c:v>3.5299999999999998E-2</c:v>
                </c:pt>
                <c:pt idx="540">
                  <c:v>3.95E-2</c:v>
                </c:pt>
                <c:pt idx="541">
                  <c:v>4.2500000000000003E-2</c:v>
                </c:pt>
                <c:pt idx="542">
                  <c:v>4.6100000000000002E-2</c:v>
                </c:pt>
                <c:pt idx="543">
                  <c:v>5.6800000000000003E-2</c:v>
                </c:pt>
                <c:pt idx="544">
                  <c:v>7.1800000000000003E-2</c:v>
                </c:pt>
                <c:pt idx="545">
                  <c:v>0.1031</c:v>
                </c:pt>
                <c:pt idx="546">
                  <c:v>0.1212</c:v>
                </c:pt>
                <c:pt idx="547">
                  <c:v>0.13220000000000001</c:v>
                </c:pt>
                <c:pt idx="548">
                  <c:v>0.1371</c:v>
                </c:pt>
                <c:pt idx="549">
                  <c:v>0.13950000000000001</c:v>
                </c:pt>
                <c:pt idx="550">
                  <c:v>0.1368</c:v>
                </c:pt>
                <c:pt idx="551">
                  <c:v>0.13300000000000001</c:v>
                </c:pt>
                <c:pt idx="552">
                  <c:v>0.127</c:v>
                </c:pt>
                <c:pt idx="553">
                  <c:v>0.121</c:v>
                </c:pt>
                <c:pt idx="554">
                  <c:v>0.1145</c:v>
                </c:pt>
                <c:pt idx="555">
                  <c:v>0.1024</c:v>
                </c:pt>
                <c:pt idx="556">
                  <c:v>9.9599999999999994E-2</c:v>
                </c:pt>
                <c:pt idx="557">
                  <c:v>9.2600000000000002E-2</c:v>
                </c:pt>
                <c:pt idx="558">
                  <c:v>0.1086</c:v>
                </c:pt>
                <c:pt idx="559">
                  <c:v>0.1133</c:v>
                </c:pt>
                <c:pt idx="560">
                  <c:v>0.1079</c:v>
                </c:pt>
                <c:pt idx="561">
                  <c:v>0.13089999999999999</c:v>
                </c:pt>
                <c:pt idx="562">
                  <c:v>0.1431</c:v>
                </c:pt>
                <c:pt idx="563">
                  <c:v>0.1482</c:v>
                </c:pt>
                <c:pt idx="564">
                  <c:v>0.1545</c:v>
                </c:pt>
                <c:pt idx="565">
                  <c:v>0.157</c:v>
                </c:pt>
                <c:pt idx="566">
                  <c:v>0.1636</c:v>
                </c:pt>
                <c:pt idx="567">
                  <c:v>0.1479</c:v>
                </c:pt>
                <c:pt idx="568">
                  <c:v>0.14949999999999999</c:v>
                </c:pt>
                <c:pt idx="569">
                  <c:v>0.1467</c:v>
                </c:pt>
                <c:pt idx="570">
                  <c:v>0.13669999999999999</c:v>
                </c:pt>
                <c:pt idx="571">
                  <c:v>0.1198</c:v>
                </c:pt>
                <c:pt idx="572">
                  <c:v>0.10879999999999999</c:v>
                </c:pt>
                <c:pt idx="573">
                  <c:v>0.1008</c:v>
                </c:pt>
                <c:pt idx="574">
                  <c:v>8.6900000000000005E-2</c:v>
                </c:pt>
                <c:pt idx="575">
                  <c:v>9.5299999999999996E-2</c:v>
                </c:pt>
                <c:pt idx="576">
                  <c:v>0.10440000000000001</c:v>
                </c:pt>
                <c:pt idx="577">
                  <c:v>0.1114</c:v>
                </c:pt>
                <c:pt idx="578">
                  <c:v>0.1137</c:v>
                </c:pt>
                <c:pt idx="579">
                  <c:v>0.10639999999999999</c:v>
                </c:pt>
                <c:pt idx="580">
                  <c:v>0.1159</c:v>
                </c:pt>
                <c:pt idx="581">
                  <c:v>0.1124</c:v>
                </c:pt>
                <c:pt idx="582">
                  <c:v>0.121</c:v>
                </c:pt>
                <c:pt idx="583">
                  <c:v>0.1139</c:v>
                </c:pt>
                <c:pt idx="584">
                  <c:v>0.10050000000000001</c:v>
                </c:pt>
                <c:pt idx="585">
                  <c:v>9.6100000000000005E-2</c:v>
                </c:pt>
                <c:pt idx="586">
                  <c:v>9.4700000000000006E-2</c:v>
                </c:pt>
                <c:pt idx="587">
                  <c:v>9.1899999999999996E-2</c:v>
                </c:pt>
                <c:pt idx="588">
                  <c:v>0.105</c:v>
                </c:pt>
                <c:pt idx="589">
                  <c:v>0.1186</c:v>
                </c:pt>
                <c:pt idx="590">
                  <c:v>0.1333</c:v>
                </c:pt>
                <c:pt idx="591">
                  <c:v>0.1263</c:v>
                </c:pt>
                <c:pt idx="592">
                  <c:v>0.1368</c:v>
                </c:pt>
                <c:pt idx="593">
                  <c:v>0.1331</c:v>
                </c:pt>
                <c:pt idx="594">
                  <c:v>0.1348</c:v>
                </c:pt>
                <c:pt idx="595">
                  <c:v>0.13150000000000001</c:v>
                </c:pt>
                <c:pt idx="596">
                  <c:v>0.11559999999999999</c:v>
                </c:pt>
                <c:pt idx="597">
                  <c:v>0.1225</c:v>
                </c:pt>
                <c:pt idx="598">
                  <c:v>0.126</c:v>
                </c:pt>
                <c:pt idx="599">
                  <c:v>0.12859999999999999</c:v>
                </c:pt>
                <c:pt idx="600">
                  <c:v>0.12790000000000001</c:v>
                </c:pt>
                <c:pt idx="601">
                  <c:v>0.13880000000000001</c:v>
                </c:pt>
                <c:pt idx="602">
                  <c:v>0.1268</c:v>
                </c:pt>
                <c:pt idx="603">
                  <c:v>0.1075</c:v>
                </c:pt>
                <c:pt idx="604">
                  <c:v>0.1082</c:v>
                </c:pt>
                <c:pt idx="605">
                  <c:v>0.1016</c:v>
                </c:pt>
                <c:pt idx="606">
                  <c:v>9.3700000000000006E-2</c:v>
                </c:pt>
                <c:pt idx="607">
                  <c:v>8.5099999999999995E-2</c:v>
                </c:pt>
                <c:pt idx="608">
                  <c:v>6.7299999999999999E-2</c:v>
                </c:pt>
                <c:pt idx="609">
                  <c:v>6.7500000000000004E-2</c:v>
                </c:pt>
                <c:pt idx="610">
                  <c:v>0.06</c:v>
                </c:pt>
                <c:pt idx="611">
                  <c:v>4.9500000000000002E-2</c:v>
                </c:pt>
                <c:pt idx="612">
                  <c:v>4.6399999999999997E-2</c:v>
                </c:pt>
                <c:pt idx="613">
                  <c:v>3.9100000000000003E-2</c:v>
                </c:pt>
                <c:pt idx="614">
                  <c:v>3.0700000000000002E-2</c:v>
                </c:pt>
                <c:pt idx="615">
                  <c:v>2.81E-2</c:v>
                </c:pt>
                <c:pt idx="616">
                  <c:v>2.7E-2</c:v>
                </c:pt>
                <c:pt idx="617">
                  <c:v>2.1999999999999999E-2</c:v>
                </c:pt>
                <c:pt idx="618">
                  <c:v>1.9099999999999999E-2</c:v>
                </c:pt>
                <c:pt idx="619">
                  <c:v>1.7600000000000001E-2</c:v>
                </c:pt>
                <c:pt idx="620">
                  <c:v>1.5699999999999999E-2</c:v>
                </c:pt>
                <c:pt idx="621">
                  <c:v>1.38E-2</c:v>
                </c:pt>
                <c:pt idx="622">
                  <c:v>1.23E-2</c:v>
                </c:pt>
                <c:pt idx="623">
                  <c:v>1.55E-2</c:v>
                </c:pt>
                <c:pt idx="624">
                  <c:v>1.2200000000000001E-2</c:v>
                </c:pt>
                <c:pt idx="625">
                  <c:v>1.06E-2</c:v>
                </c:pt>
                <c:pt idx="626">
                  <c:v>1.01E-2</c:v>
                </c:pt>
                <c:pt idx="627">
                  <c:v>8.8000000000000005E-3</c:v>
                </c:pt>
                <c:pt idx="628">
                  <c:v>7.4000000000000003E-3</c:v>
                </c:pt>
                <c:pt idx="629">
                  <c:v>7.7999999999999996E-3</c:v>
                </c:pt>
                <c:pt idx="630">
                  <c:v>8.0999999999999996E-3</c:v>
                </c:pt>
                <c:pt idx="631">
                  <c:v>7.6E-3</c:v>
                </c:pt>
                <c:pt idx="632">
                  <c:v>8.6999999999999994E-3</c:v>
                </c:pt>
                <c:pt idx="633">
                  <c:v>1.54E-2</c:v>
                </c:pt>
                <c:pt idx="634">
                  <c:v>1.5299999999999999E-2</c:v>
                </c:pt>
                <c:pt idx="635">
                  <c:v>1.9800000000000002E-2</c:v>
                </c:pt>
                <c:pt idx="636">
                  <c:v>3.0700000000000002E-2</c:v>
                </c:pt>
                <c:pt idx="637">
                  <c:v>3.5200000000000002E-2</c:v>
                </c:pt>
                <c:pt idx="638">
                  <c:v>3.6700000000000003E-2</c:v>
                </c:pt>
                <c:pt idx="639">
                  <c:v>0.04</c:v>
                </c:pt>
                <c:pt idx="640">
                  <c:v>4.2000000000000003E-2</c:v>
                </c:pt>
                <c:pt idx="641">
                  <c:v>3.6700000000000003E-2</c:v>
                </c:pt>
                <c:pt idx="642">
                  <c:v>3.5499999999999997E-2</c:v>
                </c:pt>
                <c:pt idx="643">
                  <c:v>8.0699999999999994E-2</c:v>
                </c:pt>
                <c:pt idx="644">
                  <c:v>0.1168</c:v>
                </c:pt>
                <c:pt idx="645">
                  <c:v>0.13250000000000001</c:v>
                </c:pt>
                <c:pt idx="646">
                  <c:v>0.1419</c:v>
                </c:pt>
                <c:pt idx="647">
                  <c:v>0.13819999999999999</c:v>
                </c:pt>
                <c:pt idx="648">
                  <c:v>0.13009999999999999</c:v>
                </c:pt>
                <c:pt idx="649">
                  <c:v>0.1381</c:v>
                </c:pt>
                <c:pt idx="650">
                  <c:v>0.14380000000000001</c:v>
                </c:pt>
                <c:pt idx="651">
                  <c:v>0.13370000000000001</c:v>
                </c:pt>
                <c:pt idx="652">
                  <c:v>0.14649999999999999</c:v>
                </c:pt>
                <c:pt idx="653">
                  <c:v>0.13719999999999999</c:v>
                </c:pt>
                <c:pt idx="654">
                  <c:v>0.13439999999999999</c:v>
                </c:pt>
                <c:pt idx="655">
                  <c:v>0.12429999999999999</c:v>
                </c:pt>
                <c:pt idx="656">
                  <c:v>0.1069</c:v>
                </c:pt>
                <c:pt idx="657">
                  <c:v>9.6500000000000002E-2</c:v>
                </c:pt>
                <c:pt idx="658">
                  <c:v>9.5000000000000001E-2</c:v>
                </c:pt>
                <c:pt idx="659">
                  <c:v>9.9400000000000002E-2</c:v>
                </c:pt>
                <c:pt idx="660">
                  <c:v>9.3899999999999997E-2</c:v>
                </c:pt>
                <c:pt idx="661">
                  <c:v>9.1200000000000003E-2</c:v>
                </c:pt>
                <c:pt idx="662">
                  <c:v>8.2600000000000007E-2</c:v>
                </c:pt>
                <c:pt idx="663">
                  <c:v>7.9399999999999998E-2</c:v>
                </c:pt>
                <c:pt idx="664">
                  <c:v>7.0800000000000002E-2</c:v>
                </c:pt>
                <c:pt idx="665">
                  <c:v>5.8900000000000001E-2</c:v>
                </c:pt>
                <c:pt idx="666">
                  <c:v>5.2400000000000002E-2</c:v>
                </c:pt>
                <c:pt idx="667">
                  <c:v>5.3600000000000002E-2</c:v>
                </c:pt>
                <c:pt idx="668">
                  <c:v>4.7600000000000003E-2</c:v>
                </c:pt>
                <c:pt idx="669">
                  <c:v>3.9800000000000002E-2</c:v>
                </c:pt>
                <c:pt idx="670">
                  <c:v>3.49E-2</c:v>
                </c:pt>
                <c:pt idx="671">
                  <c:v>3.15E-2</c:v>
                </c:pt>
                <c:pt idx="672">
                  <c:v>2.9000000000000001E-2</c:v>
                </c:pt>
                <c:pt idx="673">
                  <c:v>3.0599999999999999E-2</c:v>
                </c:pt>
                <c:pt idx="674">
                  <c:v>2.4299999999999999E-2</c:v>
                </c:pt>
                <c:pt idx="675">
                  <c:v>1.9400000000000001E-2</c:v>
                </c:pt>
                <c:pt idx="676">
                  <c:v>1.8499999999999999E-2</c:v>
                </c:pt>
                <c:pt idx="677">
                  <c:v>1.4E-2</c:v>
                </c:pt>
                <c:pt idx="678">
                  <c:v>1.0999999999999999E-2</c:v>
                </c:pt>
                <c:pt idx="679">
                  <c:v>8.6999999999999994E-3</c:v>
                </c:pt>
                <c:pt idx="680">
                  <c:v>8.3999999999999995E-3</c:v>
                </c:pt>
                <c:pt idx="681">
                  <c:v>8.6E-3</c:v>
                </c:pt>
                <c:pt idx="682">
                  <c:v>6.8999999999999999E-3</c:v>
                </c:pt>
                <c:pt idx="683">
                  <c:v>7.9000000000000008E-3</c:v>
                </c:pt>
                <c:pt idx="684">
                  <c:v>6.4999999999999997E-3</c:v>
                </c:pt>
                <c:pt idx="685">
                  <c:v>6.4000000000000003E-3</c:v>
                </c:pt>
                <c:pt idx="686">
                  <c:v>8.6E-3</c:v>
                </c:pt>
                <c:pt idx="687">
                  <c:v>7.1000000000000004E-3</c:v>
                </c:pt>
                <c:pt idx="688">
                  <c:v>6.4999999999999997E-3</c:v>
                </c:pt>
                <c:pt idx="689">
                  <c:v>5.1000000000000004E-3</c:v>
                </c:pt>
                <c:pt idx="690">
                  <c:v>3.8E-3</c:v>
                </c:pt>
                <c:pt idx="691">
                  <c:v>1.0500000000000001E-2</c:v>
                </c:pt>
                <c:pt idx="692">
                  <c:v>1.0999999999999999E-2</c:v>
                </c:pt>
                <c:pt idx="693">
                  <c:v>1.04E-2</c:v>
                </c:pt>
                <c:pt idx="694">
                  <c:v>1.03E-2</c:v>
                </c:pt>
                <c:pt idx="695">
                  <c:v>1.04E-2</c:v>
                </c:pt>
                <c:pt idx="696">
                  <c:v>8.3999999999999995E-3</c:v>
                </c:pt>
                <c:pt idx="697">
                  <c:v>6.8999999999999999E-3</c:v>
                </c:pt>
                <c:pt idx="698">
                  <c:v>6.1000000000000004E-3</c:v>
                </c:pt>
                <c:pt idx="699">
                  <c:v>4.8999999999999998E-3</c:v>
                </c:pt>
                <c:pt idx="700">
                  <c:v>4.1999999999999997E-3</c:v>
                </c:pt>
                <c:pt idx="701">
                  <c:v>7.1000000000000004E-3</c:v>
                </c:pt>
                <c:pt idx="702">
                  <c:v>6.1000000000000004E-3</c:v>
                </c:pt>
                <c:pt idx="703">
                  <c:v>6.0000000000000001E-3</c:v>
                </c:pt>
                <c:pt idx="704">
                  <c:v>4.4999999999999997E-3</c:v>
                </c:pt>
                <c:pt idx="705">
                  <c:v>6.7999999999999996E-3</c:v>
                </c:pt>
                <c:pt idx="706">
                  <c:v>6.4999999999999997E-3</c:v>
                </c:pt>
                <c:pt idx="707">
                  <c:v>4.3E-3</c:v>
                </c:pt>
                <c:pt idx="708">
                  <c:v>1.1599999999999999E-2</c:v>
                </c:pt>
                <c:pt idx="709">
                  <c:v>9.9000000000000008E-3</c:v>
                </c:pt>
                <c:pt idx="710">
                  <c:v>1.0200000000000001E-2</c:v>
                </c:pt>
                <c:pt idx="711">
                  <c:v>7.9000000000000008E-3</c:v>
                </c:pt>
                <c:pt idx="712">
                  <c:v>8.0000000000000002E-3</c:v>
                </c:pt>
                <c:pt idx="713">
                  <c:v>7.6E-3</c:v>
                </c:pt>
                <c:pt idx="714">
                  <c:v>7.7999999999999996E-3</c:v>
                </c:pt>
                <c:pt idx="715">
                  <c:v>9.4999999999999998E-3</c:v>
                </c:pt>
                <c:pt idx="716">
                  <c:v>7.6E-3</c:v>
                </c:pt>
                <c:pt idx="717">
                  <c:v>7.3000000000000001E-3</c:v>
                </c:pt>
                <c:pt idx="718">
                  <c:v>8.8999999999999999E-3</c:v>
                </c:pt>
                <c:pt idx="719">
                  <c:v>7.7000000000000002E-3</c:v>
                </c:pt>
                <c:pt idx="720">
                  <c:v>7.1999999999999998E-3</c:v>
                </c:pt>
                <c:pt idx="721">
                  <c:v>7.6E-3</c:v>
                </c:pt>
                <c:pt idx="722">
                  <c:v>6.7999999999999996E-3</c:v>
                </c:pt>
                <c:pt idx="723">
                  <c:v>7.1000000000000004E-3</c:v>
                </c:pt>
                <c:pt idx="724">
                  <c:v>6.4000000000000003E-3</c:v>
                </c:pt>
                <c:pt idx="725">
                  <c:v>4.4999999999999997E-3</c:v>
                </c:pt>
                <c:pt idx="726">
                  <c:v>4.4999999999999997E-3</c:v>
                </c:pt>
                <c:pt idx="727">
                  <c:v>5.3E-3</c:v>
                </c:pt>
                <c:pt idx="728">
                  <c:v>6.3E-3</c:v>
                </c:pt>
                <c:pt idx="729">
                  <c:v>4.8999999999999998E-3</c:v>
                </c:pt>
                <c:pt idx="730">
                  <c:v>4.0000000000000001E-3</c:v>
                </c:pt>
                <c:pt idx="731">
                  <c:v>5.8999999999999999E-3</c:v>
                </c:pt>
                <c:pt idx="732">
                  <c:v>7.9000000000000008E-3</c:v>
                </c:pt>
                <c:pt idx="733">
                  <c:v>5.4999999999999997E-3</c:v>
                </c:pt>
                <c:pt idx="734">
                  <c:v>5.7000000000000002E-3</c:v>
                </c:pt>
                <c:pt idx="735">
                  <c:v>4.7000000000000002E-3</c:v>
                </c:pt>
                <c:pt idx="736">
                  <c:v>4.1000000000000003E-3</c:v>
                </c:pt>
                <c:pt idx="737">
                  <c:v>3.5999999999999999E-3</c:v>
                </c:pt>
                <c:pt idx="738">
                  <c:v>1.5599999999999999E-2</c:v>
                </c:pt>
                <c:pt idx="739">
                  <c:v>1.6199999999999999E-2</c:v>
                </c:pt>
                <c:pt idx="740">
                  <c:v>1.09E-2</c:v>
                </c:pt>
                <c:pt idx="741">
                  <c:v>1.4999999999999999E-2</c:v>
                </c:pt>
                <c:pt idx="742">
                  <c:v>1.03E-2</c:v>
                </c:pt>
                <c:pt idx="743">
                  <c:v>1.9099999999999999E-2</c:v>
                </c:pt>
                <c:pt idx="744">
                  <c:v>1.8499999999999999E-2</c:v>
                </c:pt>
                <c:pt idx="745">
                  <c:v>1.21E-2</c:v>
                </c:pt>
                <c:pt idx="746">
                  <c:v>1.0800000000000001E-2</c:v>
                </c:pt>
                <c:pt idx="747">
                  <c:v>8.3000000000000001E-3</c:v>
                </c:pt>
                <c:pt idx="748">
                  <c:v>6.3E-3</c:v>
                </c:pt>
                <c:pt idx="749">
                  <c:v>6.1000000000000004E-3</c:v>
                </c:pt>
                <c:pt idx="750">
                  <c:v>5.1000000000000004E-3</c:v>
                </c:pt>
                <c:pt idx="751">
                  <c:v>6.1999999999999998E-3</c:v>
                </c:pt>
                <c:pt idx="752">
                  <c:v>8.2000000000000007E-3</c:v>
                </c:pt>
                <c:pt idx="753">
                  <c:v>1.04E-2</c:v>
                </c:pt>
                <c:pt idx="754">
                  <c:v>1.3100000000000001E-2</c:v>
                </c:pt>
                <c:pt idx="755">
                  <c:v>1.5900000000000001E-2</c:v>
                </c:pt>
                <c:pt idx="756">
                  <c:v>1.89E-2</c:v>
                </c:pt>
                <c:pt idx="757">
                  <c:v>1.8700000000000001E-2</c:v>
                </c:pt>
                <c:pt idx="758">
                  <c:v>1.61E-2</c:v>
                </c:pt>
                <c:pt idx="759">
                  <c:v>1.5299999999999999E-2</c:v>
                </c:pt>
                <c:pt idx="760">
                  <c:v>2.1600000000000001E-2</c:v>
                </c:pt>
                <c:pt idx="761">
                  <c:v>4.7699999999999999E-2</c:v>
                </c:pt>
                <c:pt idx="762">
                  <c:v>4.6600000000000003E-2</c:v>
                </c:pt>
                <c:pt idx="763">
                  <c:v>5.0999999999999997E-2</c:v>
                </c:pt>
                <c:pt idx="764">
                  <c:v>4.9700000000000001E-2</c:v>
                </c:pt>
                <c:pt idx="765">
                  <c:v>4.2500000000000003E-2</c:v>
                </c:pt>
                <c:pt idx="766">
                  <c:v>3.7199999999999997E-2</c:v>
                </c:pt>
                <c:pt idx="767">
                  <c:v>4.1099999999999998E-2</c:v>
                </c:pt>
                <c:pt idx="768">
                  <c:v>4.0500000000000001E-2</c:v>
                </c:pt>
                <c:pt idx="769">
                  <c:v>3.78E-2</c:v>
                </c:pt>
                <c:pt idx="770">
                  <c:v>3.4299999999999997E-2</c:v>
                </c:pt>
                <c:pt idx="771">
                  <c:v>3.2899999999999999E-2</c:v>
                </c:pt>
                <c:pt idx="772">
                  <c:v>3.8899999999999997E-2</c:v>
                </c:pt>
                <c:pt idx="773">
                  <c:v>2.81E-2</c:v>
                </c:pt>
                <c:pt idx="774">
                  <c:v>2.0400000000000001E-2</c:v>
                </c:pt>
                <c:pt idx="775">
                  <c:v>1.46E-2</c:v>
                </c:pt>
                <c:pt idx="776">
                  <c:v>1.17E-2</c:v>
                </c:pt>
                <c:pt idx="777">
                  <c:v>1.11E-2</c:v>
                </c:pt>
                <c:pt idx="778">
                  <c:v>1.2699999999999999E-2</c:v>
                </c:pt>
                <c:pt idx="779">
                  <c:v>1.5900000000000001E-2</c:v>
                </c:pt>
                <c:pt idx="780">
                  <c:v>1.7899999999999999E-2</c:v>
                </c:pt>
                <c:pt idx="781">
                  <c:v>1.7399999999999999E-2</c:v>
                </c:pt>
                <c:pt idx="782">
                  <c:v>1.55E-2</c:v>
                </c:pt>
                <c:pt idx="783">
                  <c:v>2.5999999999999999E-2</c:v>
                </c:pt>
                <c:pt idx="784">
                  <c:v>2.6100000000000002E-2</c:v>
                </c:pt>
                <c:pt idx="785">
                  <c:v>2.52E-2</c:v>
                </c:pt>
                <c:pt idx="786">
                  <c:v>1.8100000000000002E-2</c:v>
                </c:pt>
                <c:pt idx="787">
                  <c:v>1.5900000000000001E-2</c:v>
                </c:pt>
                <c:pt idx="788">
                  <c:v>1.3100000000000001E-2</c:v>
                </c:pt>
                <c:pt idx="789">
                  <c:v>1.5100000000000001E-2</c:v>
                </c:pt>
                <c:pt idx="790">
                  <c:v>1.6199999999999999E-2</c:v>
                </c:pt>
                <c:pt idx="791">
                  <c:v>1.83E-2</c:v>
                </c:pt>
                <c:pt idx="792">
                  <c:v>1.77E-2</c:v>
                </c:pt>
                <c:pt idx="793">
                  <c:v>2.1000000000000001E-2</c:v>
                </c:pt>
                <c:pt idx="794">
                  <c:v>2.23E-2</c:v>
                </c:pt>
                <c:pt idx="795">
                  <c:v>1.6799999999999999E-2</c:v>
                </c:pt>
                <c:pt idx="796">
                  <c:v>1.38E-2</c:v>
                </c:pt>
                <c:pt idx="797">
                  <c:v>1.09E-2</c:v>
                </c:pt>
                <c:pt idx="798">
                  <c:v>1.7000000000000001E-2</c:v>
                </c:pt>
                <c:pt idx="799">
                  <c:v>4.3700000000000003E-2</c:v>
                </c:pt>
                <c:pt idx="800">
                  <c:v>4.1399999999999999E-2</c:v>
                </c:pt>
                <c:pt idx="801">
                  <c:v>3.3099999999999997E-2</c:v>
                </c:pt>
                <c:pt idx="802">
                  <c:v>3.1399999999999997E-2</c:v>
                </c:pt>
                <c:pt idx="803">
                  <c:v>0.03</c:v>
                </c:pt>
                <c:pt idx="804">
                  <c:v>3.7400000000000003E-2</c:v>
                </c:pt>
                <c:pt idx="805">
                  <c:v>4.3200000000000002E-2</c:v>
                </c:pt>
                <c:pt idx="806">
                  <c:v>3.9800000000000002E-2</c:v>
                </c:pt>
                <c:pt idx="807">
                  <c:v>2.9899999999999999E-2</c:v>
                </c:pt>
                <c:pt idx="808">
                  <c:v>3.0700000000000002E-2</c:v>
                </c:pt>
                <c:pt idx="809">
                  <c:v>2.5899999999999999E-2</c:v>
                </c:pt>
                <c:pt idx="810">
                  <c:v>2.1499999999999998E-2</c:v>
                </c:pt>
                <c:pt idx="811">
                  <c:v>1.8100000000000002E-2</c:v>
                </c:pt>
                <c:pt idx="812">
                  <c:v>1.5100000000000001E-2</c:v>
                </c:pt>
                <c:pt idx="813">
                  <c:v>1.2800000000000001E-2</c:v>
                </c:pt>
                <c:pt idx="814">
                  <c:v>9.5999999999999992E-3</c:v>
                </c:pt>
                <c:pt idx="815">
                  <c:v>8.6E-3</c:v>
                </c:pt>
                <c:pt idx="816">
                  <c:v>1.0500000000000001E-2</c:v>
                </c:pt>
                <c:pt idx="817">
                  <c:v>1.17E-2</c:v>
                </c:pt>
                <c:pt idx="818">
                  <c:v>1.41E-2</c:v>
                </c:pt>
                <c:pt idx="819">
                  <c:v>1.5599999999999999E-2</c:v>
                </c:pt>
                <c:pt idx="820">
                  <c:v>1.6500000000000001E-2</c:v>
                </c:pt>
                <c:pt idx="821">
                  <c:v>1.8800000000000001E-2</c:v>
                </c:pt>
                <c:pt idx="822">
                  <c:v>2.1499999999999998E-2</c:v>
                </c:pt>
                <c:pt idx="823">
                  <c:v>2.5399999999999999E-2</c:v>
                </c:pt>
                <c:pt idx="824">
                  <c:v>2.1000000000000001E-2</c:v>
                </c:pt>
                <c:pt idx="825">
                  <c:v>5.2400000000000002E-2</c:v>
                </c:pt>
                <c:pt idx="826">
                  <c:v>3.8100000000000002E-2</c:v>
                </c:pt>
                <c:pt idx="827">
                  <c:v>2.7400000000000001E-2</c:v>
                </c:pt>
                <c:pt idx="828">
                  <c:v>3.0800000000000001E-2</c:v>
                </c:pt>
                <c:pt idx="829">
                  <c:v>3.2099999999999997E-2</c:v>
                </c:pt>
                <c:pt idx="830">
                  <c:v>2.7799999999999998E-2</c:v>
                </c:pt>
                <c:pt idx="831">
                  <c:v>2.1600000000000001E-2</c:v>
                </c:pt>
                <c:pt idx="832">
                  <c:v>1.9800000000000002E-2</c:v>
                </c:pt>
                <c:pt idx="833">
                  <c:v>2.18E-2</c:v>
                </c:pt>
                <c:pt idx="834">
                  <c:v>1.9699999999999999E-2</c:v>
                </c:pt>
                <c:pt idx="835">
                  <c:v>1.5599999999999999E-2</c:v>
                </c:pt>
                <c:pt idx="836">
                  <c:v>1.26E-2</c:v>
                </c:pt>
                <c:pt idx="837">
                  <c:v>1.2500000000000001E-2</c:v>
                </c:pt>
                <c:pt idx="838">
                  <c:v>9.7000000000000003E-3</c:v>
                </c:pt>
                <c:pt idx="839">
                  <c:v>8.8000000000000005E-3</c:v>
                </c:pt>
                <c:pt idx="840">
                  <c:v>9.1000000000000004E-3</c:v>
                </c:pt>
                <c:pt idx="841">
                  <c:v>6.7999999999999996E-3</c:v>
                </c:pt>
                <c:pt idx="842">
                  <c:v>6.6E-3</c:v>
                </c:pt>
                <c:pt idx="843">
                  <c:v>7.0000000000000001E-3</c:v>
                </c:pt>
                <c:pt idx="844">
                  <c:v>6.4000000000000003E-3</c:v>
                </c:pt>
                <c:pt idx="845">
                  <c:v>6.4999999999999997E-3</c:v>
                </c:pt>
                <c:pt idx="846">
                  <c:v>6.3E-3</c:v>
                </c:pt>
                <c:pt idx="847">
                  <c:v>8.3000000000000001E-3</c:v>
                </c:pt>
                <c:pt idx="848">
                  <c:v>7.9000000000000008E-3</c:v>
                </c:pt>
                <c:pt idx="849">
                  <c:v>1.11E-2</c:v>
                </c:pt>
                <c:pt idx="850">
                  <c:v>1.3899999999999999E-2</c:v>
                </c:pt>
                <c:pt idx="851">
                  <c:v>1.77E-2</c:v>
                </c:pt>
                <c:pt idx="852">
                  <c:v>1.7899999999999999E-2</c:v>
                </c:pt>
                <c:pt idx="853">
                  <c:v>2.24E-2</c:v>
                </c:pt>
                <c:pt idx="854">
                  <c:v>2.0500000000000001E-2</c:v>
                </c:pt>
                <c:pt idx="855">
                  <c:v>2.0799999999999999E-2</c:v>
                </c:pt>
                <c:pt idx="856">
                  <c:v>2.2499999999999999E-2</c:v>
                </c:pt>
                <c:pt idx="857">
                  <c:v>1.67E-2</c:v>
                </c:pt>
                <c:pt idx="858">
                  <c:v>1.4E-2</c:v>
                </c:pt>
                <c:pt idx="859">
                  <c:v>1.14E-2</c:v>
                </c:pt>
                <c:pt idx="860">
                  <c:v>9.9000000000000008E-3</c:v>
                </c:pt>
                <c:pt idx="861">
                  <c:v>5.7000000000000002E-3</c:v>
                </c:pt>
                <c:pt idx="862">
                  <c:v>7.1000000000000004E-3</c:v>
                </c:pt>
                <c:pt idx="863">
                  <c:v>7.1000000000000004E-3</c:v>
                </c:pt>
                <c:pt idx="864">
                  <c:v>1.1599999999999999E-2</c:v>
                </c:pt>
                <c:pt idx="865">
                  <c:v>1.0999999999999999E-2</c:v>
                </c:pt>
                <c:pt idx="866">
                  <c:v>7.6E-3</c:v>
                </c:pt>
                <c:pt idx="867">
                  <c:v>1.0500000000000001E-2</c:v>
                </c:pt>
                <c:pt idx="868">
                  <c:v>1.0800000000000001E-2</c:v>
                </c:pt>
                <c:pt idx="869">
                  <c:v>1.32E-2</c:v>
                </c:pt>
                <c:pt idx="870">
                  <c:v>1.29E-2</c:v>
                </c:pt>
                <c:pt idx="871">
                  <c:v>1.37E-2</c:v>
                </c:pt>
                <c:pt idx="872">
                  <c:v>1.34E-2</c:v>
                </c:pt>
                <c:pt idx="873">
                  <c:v>1.4E-2</c:v>
                </c:pt>
                <c:pt idx="874">
                  <c:v>1.2200000000000001E-2</c:v>
                </c:pt>
                <c:pt idx="875">
                  <c:v>9.2999999999999992E-3</c:v>
                </c:pt>
                <c:pt idx="876">
                  <c:v>1.04E-2</c:v>
                </c:pt>
                <c:pt idx="877">
                  <c:v>1.5299999999999999E-2</c:v>
                </c:pt>
                <c:pt idx="878">
                  <c:v>2.8400000000000002E-2</c:v>
                </c:pt>
                <c:pt idx="879">
                  <c:v>2.63E-2</c:v>
                </c:pt>
                <c:pt idx="880">
                  <c:v>2.2700000000000001E-2</c:v>
                </c:pt>
                <c:pt idx="881">
                  <c:v>1.83E-2</c:v>
                </c:pt>
                <c:pt idx="882">
                  <c:v>1.5699999999999999E-2</c:v>
                </c:pt>
                <c:pt idx="883">
                  <c:v>1.24E-2</c:v>
                </c:pt>
                <c:pt idx="884">
                  <c:v>8.8000000000000005E-3</c:v>
                </c:pt>
                <c:pt idx="885">
                  <c:v>5.8999999999999999E-3</c:v>
                </c:pt>
                <c:pt idx="886">
                  <c:v>3.5999999999999999E-3</c:v>
                </c:pt>
                <c:pt idx="887">
                  <c:v>4.8999999999999998E-3</c:v>
                </c:pt>
                <c:pt idx="888">
                  <c:v>4.0000000000000001E-3</c:v>
                </c:pt>
                <c:pt idx="889">
                  <c:v>2.8999999999999998E-3</c:v>
                </c:pt>
                <c:pt idx="890">
                  <c:v>2.5999999999999999E-3</c:v>
                </c:pt>
                <c:pt idx="891">
                  <c:v>4.5999999999999999E-3</c:v>
                </c:pt>
                <c:pt idx="892">
                  <c:v>4.8999999999999998E-3</c:v>
                </c:pt>
                <c:pt idx="893">
                  <c:v>4.1000000000000003E-3</c:v>
                </c:pt>
                <c:pt idx="894">
                  <c:v>9.7000000000000003E-3</c:v>
                </c:pt>
                <c:pt idx="895">
                  <c:v>8.6999999999999994E-3</c:v>
                </c:pt>
                <c:pt idx="896">
                  <c:v>7.4000000000000003E-3</c:v>
                </c:pt>
                <c:pt idx="897">
                  <c:v>7.1999999999999998E-3</c:v>
                </c:pt>
                <c:pt idx="898">
                  <c:v>6.7999999999999996E-3</c:v>
                </c:pt>
                <c:pt idx="899">
                  <c:v>5.4000000000000003E-3</c:v>
                </c:pt>
                <c:pt idx="900">
                  <c:v>4.5999999999999999E-3</c:v>
                </c:pt>
                <c:pt idx="901">
                  <c:v>4.7999999999999996E-3</c:v>
                </c:pt>
                <c:pt idx="902">
                  <c:v>4.1999999999999997E-3</c:v>
                </c:pt>
                <c:pt idx="903">
                  <c:v>4.0000000000000001E-3</c:v>
                </c:pt>
                <c:pt idx="904">
                  <c:v>3.3E-3</c:v>
                </c:pt>
                <c:pt idx="905">
                  <c:v>3.7000000000000002E-3</c:v>
                </c:pt>
                <c:pt idx="906">
                  <c:v>3.7000000000000002E-3</c:v>
                </c:pt>
                <c:pt idx="907">
                  <c:v>5.8999999999999999E-3</c:v>
                </c:pt>
                <c:pt idx="908">
                  <c:v>5.7000000000000002E-3</c:v>
                </c:pt>
                <c:pt idx="909">
                  <c:v>6.1000000000000004E-3</c:v>
                </c:pt>
                <c:pt idx="910">
                  <c:v>7.0000000000000001E-3</c:v>
                </c:pt>
                <c:pt idx="911">
                  <c:v>7.6E-3</c:v>
                </c:pt>
                <c:pt idx="912">
                  <c:v>7.4999999999999997E-3</c:v>
                </c:pt>
                <c:pt idx="913">
                  <c:v>7.3000000000000001E-3</c:v>
                </c:pt>
                <c:pt idx="914">
                  <c:v>6.7000000000000002E-3</c:v>
                </c:pt>
                <c:pt idx="915">
                  <c:v>8.6999999999999994E-3</c:v>
                </c:pt>
                <c:pt idx="916">
                  <c:v>1.26E-2</c:v>
                </c:pt>
                <c:pt idx="917">
                  <c:v>1.04E-2</c:v>
                </c:pt>
                <c:pt idx="918">
                  <c:v>1.4800000000000001E-2</c:v>
                </c:pt>
                <c:pt idx="919">
                  <c:v>1.2999999999999999E-2</c:v>
                </c:pt>
                <c:pt idx="920">
                  <c:v>1.18E-2</c:v>
                </c:pt>
                <c:pt idx="921">
                  <c:v>1.37E-2</c:v>
                </c:pt>
                <c:pt idx="922">
                  <c:v>1.2699999999999999E-2</c:v>
                </c:pt>
                <c:pt idx="923">
                  <c:v>1.4E-2</c:v>
                </c:pt>
                <c:pt idx="924">
                  <c:v>1.2200000000000001E-2</c:v>
                </c:pt>
                <c:pt idx="925">
                  <c:v>1.18E-2</c:v>
                </c:pt>
                <c:pt idx="926">
                  <c:v>1.0800000000000001E-2</c:v>
                </c:pt>
                <c:pt idx="927">
                  <c:v>8.9999999999999993E-3</c:v>
                </c:pt>
                <c:pt idx="928">
                  <c:v>7.3000000000000001E-3</c:v>
                </c:pt>
                <c:pt idx="929">
                  <c:v>7.3000000000000001E-3</c:v>
                </c:pt>
                <c:pt idx="930">
                  <c:v>5.8999999999999999E-3</c:v>
                </c:pt>
                <c:pt idx="931">
                  <c:v>5.3E-3</c:v>
                </c:pt>
                <c:pt idx="932">
                  <c:v>5.5999999999999999E-3</c:v>
                </c:pt>
                <c:pt idx="933">
                  <c:v>6.1999999999999998E-3</c:v>
                </c:pt>
                <c:pt idx="934">
                  <c:v>9.2999999999999992E-3</c:v>
                </c:pt>
                <c:pt idx="935">
                  <c:v>8.5000000000000006E-3</c:v>
                </c:pt>
                <c:pt idx="936">
                  <c:v>8.3999999999999995E-3</c:v>
                </c:pt>
                <c:pt idx="937">
                  <c:v>1.2999999999999999E-2</c:v>
                </c:pt>
                <c:pt idx="938">
                  <c:v>1.6400000000000001E-2</c:v>
                </c:pt>
                <c:pt idx="939">
                  <c:v>1.89E-2</c:v>
                </c:pt>
                <c:pt idx="940">
                  <c:v>1.9300000000000001E-2</c:v>
                </c:pt>
                <c:pt idx="941">
                  <c:v>1.78E-2</c:v>
                </c:pt>
                <c:pt idx="942">
                  <c:v>1.7399999999999999E-2</c:v>
                </c:pt>
                <c:pt idx="943">
                  <c:v>1.47E-2</c:v>
                </c:pt>
                <c:pt idx="944">
                  <c:v>1.52E-2</c:v>
                </c:pt>
                <c:pt idx="945">
                  <c:v>1.5800000000000002E-2</c:v>
                </c:pt>
                <c:pt idx="946">
                  <c:v>1.2699999999999999E-2</c:v>
                </c:pt>
                <c:pt idx="947">
                  <c:v>1.0999999999999999E-2</c:v>
                </c:pt>
                <c:pt idx="948">
                  <c:v>1.04E-2</c:v>
                </c:pt>
                <c:pt idx="949">
                  <c:v>9.7999999999999997E-3</c:v>
                </c:pt>
                <c:pt idx="950">
                  <c:v>8.6E-3</c:v>
                </c:pt>
                <c:pt idx="951">
                  <c:v>6.4000000000000003E-3</c:v>
                </c:pt>
                <c:pt idx="952">
                  <c:v>6.7000000000000002E-3</c:v>
                </c:pt>
                <c:pt idx="953">
                  <c:v>6.7000000000000002E-3</c:v>
                </c:pt>
                <c:pt idx="954">
                  <c:v>7.4999999999999997E-3</c:v>
                </c:pt>
                <c:pt idx="955">
                  <c:v>8.6E-3</c:v>
                </c:pt>
                <c:pt idx="956">
                  <c:v>1.6400000000000001E-2</c:v>
                </c:pt>
                <c:pt idx="957">
                  <c:v>1.4E-2</c:v>
                </c:pt>
                <c:pt idx="958">
                  <c:v>2.1000000000000001E-2</c:v>
                </c:pt>
                <c:pt idx="959">
                  <c:v>2.0500000000000001E-2</c:v>
                </c:pt>
                <c:pt idx="960">
                  <c:v>1.78E-2</c:v>
                </c:pt>
                <c:pt idx="961">
                  <c:v>1.6E-2</c:v>
                </c:pt>
                <c:pt idx="962">
                  <c:v>1.2800000000000001E-2</c:v>
                </c:pt>
                <c:pt idx="963">
                  <c:v>9.4999999999999998E-3</c:v>
                </c:pt>
                <c:pt idx="964">
                  <c:v>9.7000000000000003E-3</c:v>
                </c:pt>
                <c:pt idx="965">
                  <c:v>8.6999999999999994E-3</c:v>
                </c:pt>
                <c:pt idx="966">
                  <c:v>8.9999999999999993E-3</c:v>
                </c:pt>
                <c:pt idx="967">
                  <c:v>9.4999999999999998E-3</c:v>
                </c:pt>
                <c:pt idx="968">
                  <c:v>1.0999999999999999E-2</c:v>
                </c:pt>
                <c:pt idx="969">
                  <c:v>1.52E-2</c:v>
                </c:pt>
                <c:pt idx="970">
                  <c:v>1.5699999999999999E-2</c:v>
                </c:pt>
                <c:pt idx="971">
                  <c:v>2.0799999999999999E-2</c:v>
                </c:pt>
                <c:pt idx="972">
                  <c:v>2.1700000000000001E-2</c:v>
                </c:pt>
                <c:pt idx="973">
                  <c:v>2.46E-2</c:v>
                </c:pt>
                <c:pt idx="974">
                  <c:v>2.5499999999999998E-2</c:v>
                </c:pt>
                <c:pt idx="975">
                  <c:v>2.3199999999999998E-2</c:v>
                </c:pt>
                <c:pt idx="976">
                  <c:v>2.3300000000000001E-2</c:v>
                </c:pt>
                <c:pt idx="977">
                  <c:v>2.76E-2</c:v>
                </c:pt>
                <c:pt idx="978">
                  <c:v>3.3399999999999999E-2</c:v>
                </c:pt>
                <c:pt idx="979">
                  <c:v>3.3000000000000002E-2</c:v>
                </c:pt>
                <c:pt idx="980">
                  <c:v>3.2899999999999999E-2</c:v>
                </c:pt>
                <c:pt idx="981">
                  <c:v>0.03</c:v>
                </c:pt>
                <c:pt idx="982">
                  <c:v>2.87E-2</c:v>
                </c:pt>
                <c:pt idx="983">
                  <c:v>2.64E-2</c:v>
                </c:pt>
                <c:pt idx="984">
                  <c:v>2.63E-2</c:v>
                </c:pt>
                <c:pt idx="985">
                  <c:v>2.6800000000000001E-2</c:v>
                </c:pt>
                <c:pt idx="986">
                  <c:v>2.7099999999999999E-2</c:v>
                </c:pt>
                <c:pt idx="987">
                  <c:v>5.7700000000000001E-2</c:v>
                </c:pt>
                <c:pt idx="988">
                  <c:v>7.7700000000000005E-2</c:v>
                </c:pt>
                <c:pt idx="989">
                  <c:v>7.8100000000000003E-2</c:v>
                </c:pt>
                <c:pt idx="990">
                  <c:v>7.7799999999999994E-2</c:v>
                </c:pt>
                <c:pt idx="991">
                  <c:v>7.0400000000000004E-2</c:v>
                </c:pt>
                <c:pt idx="992">
                  <c:v>6.25E-2</c:v>
                </c:pt>
                <c:pt idx="993">
                  <c:v>4.6699999999999998E-2</c:v>
                </c:pt>
                <c:pt idx="994">
                  <c:v>4.0899999999999999E-2</c:v>
                </c:pt>
                <c:pt idx="995">
                  <c:v>3.4700000000000002E-2</c:v>
                </c:pt>
                <c:pt idx="996">
                  <c:v>2.7E-2</c:v>
                </c:pt>
                <c:pt idx="997">
                  <c:v>2.6800000000000001E-2</c:v>
                </c:pt>
                <c:pt idx="998">
                  <c:v>2.47E-2</c:v>
                </c:pt>
                <c:pt idx="999">
                  <c:v>2.0199999999999999E-2</c:v>
                </c:pt>
                <c:pt idx="1000">
                  <c:v>1.2999999999999999E-2</c:v>
                </c:pt>
                <c:pt idx="1001">
                  <c:v>1.3899999999999999E-2</c:v>
                </c:pt>
                <c:pt idx="1002">
                  <c:v>1.15E-2</c:v>
                </c:pt>
                <c:pt idx="1003">
                  <c:v>1.17E-2</c:v>
                </c:pt>
                <c:pt idx="1004">
                  <c:v>1.0699999999999999E-2</c:v>
                </c:pt>
                <c:pt idx="1005">
                  <c:v>9.9000000000000008E-3</c:v>
                </c:pt>
                <c:pt idx="1006">
                  <c:v>9.4999999999999998E-3</c:v>
                </c:pt>
                <c:pt idx="1007">
                  <c:v>9.2999999999999992E-3</c:v>
                </c:pt>
                <c:pt idx="1008">
                  <c:v>7.1999999999999998E-3</c:v>
                </c:pt>
                <c:pt idx="1009">
                  <c:v>6.1999999999999998E-3</c:v>
                </c:pt>
                <c:pt idx="1010">
                  <c:v>5.7000000000000002E-3</c:v>
                </c:pt>
                <c:pt idx="1011">
                  <c:v>5.5999999999999999E-3</c:v>
                </c:pt>
                <c:pt idx="1012">
                  <c:v>4.8999999999999998E-3</c:v>
                </c:pt>
                <c:pt idx="1013">
                  <c:v>4.3E-3</c:v>
                </c:pt>
                <c:pt idx="1014">
                  <c:v>8.3999999999999995E-3</c:v>
                </c:pt>
                <c:pt idx="1015">
                  <c:v>8.3999999999999995E-3</c:v>
                </c:pt>
                <c:pt idx="1016">
                  <c:v>6.7000000000000002E-3</c:v>
                </c:pt>
                <c:pt idx="1017">
                  <c:v>5.4999999999999997E-3</c:v>
                </c:pt>
                <c:pt idx="1018">
                  <c:v>5.1000000000000004E-3</c:v>
                </c:pt>
                <c:pt idx="1019">
                  <c:v>5.7999999999999996E-3</c:v>
                </c:pt>
                <c:pt idx="1020">
                  <c:v>6.0000000000000001E-3</c:v>
                </c:pt>
                <c:pt idx="1021">
                  <c:v>8.5000000000000006E-3</c:v>
                </c:pt>
                <c:pt idx="1022">
                  <c:v>9.1000000000000004E-3</c:v>
                </c:pt>
                <c:pt idx="1023">
                  <c:v>8.9999999999999993E-3</c:v>
                </c:pt>
                <c:pt idx="1024">
                  <c:v>8.9999999999999993E-3</c:v>
                </c:pt>
                <c:pt idx="1025">
                  <c:v>1.0500000000000001E-2</c:v>
                </c:pt>
                <c:pt idx="1026">
                  <c:v>1.2200000000000001E-2</c:v>
                </c:pt>
                <c:pt idx="1027">
                  <c:v>1.2E-2</c:v>
                </c:pt>
                <c:pt idx="1028">
                  <c:v>9.7999999999999997E-3</c:v>
                </c:pt>
                <c:pt idx="1029">
                  <c:v>1.5699999999999999E-2</c:v>
                </c:pt>
                <c:pt idx="1030">
                  <c:v>2.0400000000000001E-2</c:v>
                </c:pt>
                <c:pt idx="1031">
                  <c:v>1.9599999999999999E-2</c:v>
                </c:pt>
                <c:pt idx="1032">
                  <c:v>2.4E-2</c:v>
                </c:pt>
                <c:pt idx="1033">
                  <c:v>2.2100000000000002E-2</c:v>
                </c:pt>
                <c:pt idx="1034">
                  <c:v>2.06E-2</c:v>
                </c:pt>
                <c:pt idx="1035">
                  <c:v>1.6299999999999999E-2</c:v>
                </c:pt>
                <c:pt idx="1036">
                  <c:v>1.37E-2</c:v>
                </c:pt>
                <c:pt idx="1037">
                  <c:v>1.11E-2</c:v>
                </c:pt>
                <c:pt idx="1038">
                  <c:v>9.1999999999999998E-3</c:v>
                </c:pt>
                <c:pt idx="1039">
                  <c:v>8.2000000000000007E-3</c:v>
                </c:pt>
                <c:pt idx="1040">
                  <c:v>7.4999999999999997E-3</c:v>
                </c:pt>
                <c:pt idx="1041">
                  <c:v>7.7000000000000002E-3</c:v>
                </c:pt>
                <c:pt idx="1042">
                  <c:v>7.4000000000000003E-3</c:v>
                </c:pt>
                <c:pt idx="1043">
                  <c:v>6.4999999999999997E-3</c:v>
                </c:pt>
                <c:pt idx="1044">
                  <c:v>1.0699999999999999E-2</c:v>
                </c:pt>
                <c:pt idx="1045">
                  <c:v>1.52E-2</c:v>
                </c:pt>
                <c:pt idx="1046">
                  <c:v>2.9000000000000001E-2</c:v>
                </c:pt>
                <c:pt idx="1047">
                  <c:v>3.0200000000000001E-2</c:v>
                </c:pt>
                <c:pt idx="1048">
                  <c:v>2.47E-2</c:v>
                </c:pt>
                <c:pt idx="1049">
                  <c:v>2.86E-2</c:v>
                </c:pt>
                <c:pt idx="1050">
                  <c:v>2.4E-2</c:v>
                </c:pt>
                <c:pt idx="1051">
                  <c:v>2.0899999999999998E-2</c:v>
                </c:pt>
                <c:pt idx="1052">
                  <c:v>2.4899999999999999E-2</c:v>
                </c:pt>
                <c:pt idx="1053">
                  <c:v>3.8699999999999998E-2</c:v>
                </c:pt>
                <c:pt idx="1054">
                  <c:v>4.3099999999999999E-2</c:v>
                </c:pt>
                <c:pt idx="1055">
                  <c:v>4.3999999999999997E-2</c:v>
                </c:pt>
                <c:pt idx="1056">
                  <c:v>4.6699999999999998E-2</c:v>
                </c:pt>
                <c:pt idx="1057">
                  <c:v>4.7100000000000003E-2</c:v>
                </c:pt>
                <c:pt idx="1058">
                  <c:v>8.7400000000000005E-2</c:v>
                </c:pt>
                <c:pt idx="1059">
                  <c:v>0.1079</c:v>
                </c:pt>
                <c:pt idx="1060">
                  <c:v>0.113</c:v>
                </c:pt>
                <c:pt idx="1061">
                  <c:v>0.10390000000000001</c:v>
                </c:pt>
                <c:pt idx="1062">
                  <c:v>9.9099999999999994E-2</c:v>
                </c:pt>
                <c:pt idx="1063">
                  <c:v>9.8900000000000002E-2</c:v>
                </c:pt>
                <c:pt idx="1064">
                  <c:v>9.1999999999999998E-2</c:v>
                </c:pt>
                <c:pt idx="1065">
                  <c:v>8.6199999999999999E-2</c:v>
                </c:pt>
                <c:pt idx="1066">
                  <c:v>0.1031</c:v>
                </c:pt>
                <c:pt idx="1067">
                  <c:v>0.10299999999999999</c:v>
                </c:pt>
                <c:pt idx="1068">
                  <c:v>9.3700000000000006E-2</c:v>
                </c:pt>
                <c:pt idx="1069">
                  <c:v>8.09E-2</c:v>
                </c:pt>
                <c:pt idx="1070">
                  <c:v>7.0199999999999999E-2</c:v>
                </c:pt>
                <c:pt idx="1071">
                  <c:v>6.8500000000000005E-2</c:v>
                </c:pt>
                <c:pt idx="1072">
                  <c:v>5.7500000000000002E-2</c:v>
                </c:pt>
                <c:pt idx="1073">
                  <c:v>6.4100000000000004E-2</c:v>
                </c:pt>
                <c:pt idx="1074">
                  <c:v>0.06</c:v>
                </c:pt>
                <c:pt idx="1075">
                  <c:v>4.7100000000000003E-2</c:v>
                </c:pt>
                <c:pt idx="1076">
                  <c:v>4.87E-2</c:v>
                </c:pt>
                <c:pt idx="1077">
                  <c:v>5.2200000000000003E-2</c:v>
                </c:pt>
                <c:pt idx="1078">
                  <c:v>4.6100000000000002E-2</c:v>
                </c:pt>
                <c:pt idx="1079">
                  <c:v>3.9199999999999999E-2</c:v>
                </c:pt>
                <c:pt idx="1080">
                  <c:v>3.7999999999999999E-2</c:v>
                </c:pt>
                <c:pt idx="1081">
                  <c:v>3.1600000000000003E-2</c:v>
                </c:pt>
                <c:pt idx="1082">
                  <c:v>2.3300000000000001E-2</c:v>
                </c:pt>
                <c:pt idx="1083">
                  <c:v>3.7100000000000001E-2</c:v>
                </c:pt>
                <c:pt idx="1084">
                  <c:v>2.9499999999999998E-2</c:v>
                </c:pt>
                <c:pt idx="1085">
                  <c:v>2.2599999999999999E-2</c:v>
                </c:pt>
                <c:pt idx="1086">
                  <c:v>1.89E-2</c:v>
                </c:pt>
                <c:pt idx="1087">
                  <c:v>2.0799999999999999E-2</c:v>
                </c:pt>
                <c:pt idx="1088">
                  <c:v>1.9099999999999999E-2</c:v>
                </c:pt>
                <c:pt idx="1089">
                  <c:v>2.4E-2</c:v>
                </c:pt>
                <c:pt idx="1090">
                  <c:v>2.47E-2</c:v>
                </c:pt>
                <c:pt idx="1091">
                  <c:v>5.1900000000000002E-2</c:v>
                </c:pt>
                <c:pt idx="1092">
                  <c:v>9.7199999999999995E-2</c:v>
                </c:pt>
                <c:pt idx="1093">
                  <c:v>0.12429999999999999</c:v>
                </c:pt>
                <c:pt idx="1094">
                  <c:v>0.1371</c:v>
                </c:pt>
                <c:pt idx="1095">
                  <c:v>0.14849999999999999</c:v>
                </c:pt>
                <c:pt idx="1096">
                  <c:v>0.14530000000000001</c:v>
                </c:pt>
                <c:pt idx="1097">
                  <c:v>0.16719999999999999</c:v>
                </c:pt>
                <c:pt idx="1098">
                  <c:v>0.17369999999999999</c:v>
                </c:pt>
                <c:pt idx="1099">
                  <c:v>0.1915</c:v>
                </c:pt>
                <c:pt idx="1100">
                  <c:v>0.19189999999999999</c:v>
                </c:pt>
                <c:pt idx="1101">
                  <c:v>0.19220000000000001</c:v>
                </c:pt>
                <c:pt idx="1102">
                  <c:v>0.17469999999999999</c:v>
                </c:pt>
                <c:pt idx="1103">
                  <c:v>0.17100000000000001</c:v>
                </c:pt>
                <c:pt idx="1104">
                  <c:v>0.15820000000000001</c:v>
                </c:pt>
                <c:pt idx="1105">
                  <c:v>0.16259999999999999</c:v>
                </c:pt>
                <c:pt idx="1106">
                  <c:v>0.161</c:v>
                </c:pt>
                <c:pt idx="1107">
                  <c:v>0.153</c:v>
                </c:pt>
                <c:pt idx="1108">
                  <c:v>0.1547</c:v>
                </c:pt>
                <c:pt idx="1109">
                  <c:v>0.13639999999999999</c:v>
                </c:pt>
                <c:pt idx="1110">
                  <c:v>0.1152</c:v>
                </c:pt>
                <c:pt idx="1111">
                  <c:v>0.12039999999999999</c:v>
                </c:pt>
                <c:pt idx="1112">
                  <c:v>0.1032</c:v>
                </c:pt>
                <c:pt idx="1113">
                  <c:v>0.109</c:v>
                </c:pt>
                <c:pt idx="1114">
                  <c:v>0.10680000000000001</c:v>
                </c:pt>
                <c:pt idx="1115">
                  <c:v>9.9400000000000002E-2</c:v>
                </c:pt>
                <c:pt idx="1116">
                  <c:v>7.9699999999999993E-2</c:v>
                </c:pt>
                <c:pt idx="1117">
                  <c:v>6.6199999999999995E-2</c:v>
                </c:pt>
                <c:pt idx="1118">
                  <c:v>5.7500000000000002E-2</c:v>
                </c:pt>
                <c:pt idx="1119">
                  <c:v>6.1800000000000001E-2</c:v>
                </c:pt>
                <c:pt idx="1120">
                  <c:v>6.59E-2</c:v>
                </c:pt>
                <c:pt idx="1121">
                  <c:v>6.1400000000000003E-2</c:v>
                </c:pt>
                <c:pt idx="1122">
                  <c:v>5.2299999999999999E-2</c:v>
                </c:pt>
                <c:pt idx="1123">
                  <c:v>5.8200000000000002E-2</c:v>
                </c:pt>
                <c:pt idx="1124">
                  <c:v>5.8999999999999997E-2</c:v>
                </c:pt>
                <c:pt idx="1125">
                  <c:v>6.7299999999999999E-2</c:v>
                </c:pt>
                <c:pt idx="1126">
                  <c:v>6.5000000000000002E-2</c:v>
                </c:pt>
                <c:pt idx="1127">
                  <c:v>7.3099999999999998E-2</c:v>
                </c:pt>
                <c:pt idx="1128">
                  <c:v>9.5899999999999999E-2</c:v>
                </c:pt>
                <c:pt idx="1129">
                  <c:v>0.1046</c:v>
                </c:pt>
                <c:pt idx="1130">
                  <c:v>0.10730000000000001</c:v>
                </c:pt>
                <c:pt idx="1131">
                  <c:v>0.1062</c:v>
                </c:pt>
                <c:pt idx="1132">
                  <c:v>0.1201</c:v>
                </c:pt>
                <c:pt idx="1133">
                  <c:v>0.1124</c:v>
                </c:pt>
                <c:pt idx="1134">
                  <c:v>0.1244</c:v>
                </c:pt>
                <c:pt idx="1135">
                  <c:v>0.12230000000000001</c:v>
                </c:pt>
                <c:pt idx="1136">
                  <c:v>0.1069</c:v>
                </c:pt>
                <c:pt idx="1137">
                  <c:v>0.1105</c:v>
                </c:pt>
                <c:pt idx="1138">
                  <c:v>0.1014</c:v>
                </c:pt>
                <c:pt idx="1139">
                  <c:v>9.35E-2</c:v>
                </c:pt>
                <c:pt idx="1140">
                  <c:v>8.9899999999999994E-2</c:v>
                </c:pt>
                <c:pt idx="1141">
                  <c:v>0.10349999999999999</c:v>
                </c:pt>
                <c:pt idx="1142">
                  <c:v>9.7100000000000006E-2</c:v>
                </c:pt>
                <c:pt idx="1143">
                  <c:v>9.0899999999999995E-2</c:v>
                </c:pt>
                <c:pt idx="1144">
                  <c:v>8.7099999999999997E-2</c:v>
                </c:pt>
                <c:pt idx="1145">
                  <c:v>8.1299999999999997E-2</c:v>
                </c:pt>
                <c:pt idx="1146">
                  <c:v>8.2299999999999998E-2</c:v>
                </c:pt>
                <c:pt idx="1147">
                  <c:v>8.5900000000000004E-2</c:v>
                </c:pt>
                <c:pt idx="1148">
                  <c:v>7.7600000000000002E-2</c:v>
                </c:pt>
                <c:pt idx="1149">
                  <c:v>8.2400000000000001E-2</c:v>
                </c:pt>
                <c:pt idx="1150">
                  <c:v>7.9899999999999999E-2</c:v>
                </c:pt>
                <c:pt idx="1151">
                  <c:v>9.5200000000000007E-2</c:v>
                </c:pt>
                <c:pt idx="1152">
                  <c:v>0.1004</c:v>
                </c:pt>
                <c:pt idx="1153">
                  <c:v>0.10349999999999999</c:v>
                </c:pt>
                <c:pt idx="1154">
                  <c:v>0.11070000000000001</c:v>
                </c:pt>
                <c:pt idx="1155">
                  <c:v>0.1288</c:v>
                </c:pt>
                <c:pt idx="1156">
                  <c:v>0.13159999999999999</c:v>
                </c:pt>
                <c:pt idx="1157">
                  <c:v>0.14299999999999999</c:v>
                </c:pt>
                <c:pt idx="1158">
                  <c:v>0.12989999999999999</c:v>
                </c:pt>
                <c:pt idx="1159">
                  <c:v>0.1295</c:v>
                </c:pt>
                <c:pt idx="1160">
                  <c:v>0.12920000000000001</c:v>
                </c:pt>
                <c:pt idx="1161">
                  <c:v>0.1203</c:v>
                </c:pt>
                <c:pt idx="1162">
                  <c:v>0.1178</c:v>
                </c:pt>
                <c:pt idx="1163">
                  <c:v>0.121</c:v>
                </c:pt>
                <c:pt idx="1164">
                  <c:v>0.1154</c:v>
                </c:pt>
                <c:pt idx="1165">
                  <c:v>0.12620000000000001</c:v>
                </c:pt>
                <c:pt idx="1166">
                  <c:v>0.14069999999999999</c:v>
                </c:pt>
                <c:pt idx="1167">
                  <c:v>0.13739999999999999</c:v>
                </c:pt>
                <c:pt idx="1168">
                  <c:v>0.13300000000000001</c:v>
                </c:pt>
                <c:pt idx="1169">
                  <c:v>0.12870000000000001</c:v>
                </c:pt>
                <c:pt idx="1170">
                  <c:v>0.15429999999999999</c:v>
                </c:pt>
                <c:pt idx="1171">
                  <c:v>0.16520000000000001</c:v>
                </c:pt>
                <c:pt idx="1172">
                  <c:v>0.17269999999999999</c:v>
                </c:pt>
                <c:pt idx="1173">
                  <c:v>0.17019999999999999</c:v>
                </c:pt>
                <c:pt idx="1174">
                  <c:v>0.17169999999999999</c:v>
                </c:pt>
                <c:pt idx="1175">
                  <c:v>0.1825</c:v>
                </c:pt>
                <c:pt idx="1176">
                  <c:v>0.2021</c:v>
                </c:pt>
                <c:pt idx="1177">
                  <c:v>0.19980000000000001</c:v>
                </c:pt>
                <c:pt idx="1178">
                  <c:v>0.20230000000000001</c:v>
                </c:pt>
                <c:pt idx="1179">
                  <c:v>0.20810000000000001</c:v>
                </c:pt>
                <c:pt idx="1180">
                  <c:v>0.23930000000000001</c:v>
                </c:pt>
                <c:pt idx="1181">
                  <c:v>0.2437</c:v>
                </c:pt>
                <c:pt idx="1182">
                  <c:v>0.2427</c:v>
                </c:pt>
                <c:pt idx="1183">
                  <c:v>0.24</c:v>
                </c:pt>
                <c:pt idx="1184">
                  <c:v>0.23089999999999999</c:v>
                </c:pt>
                <c:pt idx="1185">
                  <c:v>0.22009999999999999</c:v>
                </c:pt>
                <c:pt idx="1186">
                  <c:v>0.21920000000000001</c:v>
                </c:pt>
                <c:pt idx="1187">
                  <c:v>0.20280000000000001</c:v>
                </c:pt>
                <c:pt idx="1188">
                  <c:v>0.18909999999999999</c:v>
                </c:pt>
                <c:pt idx="1189">
                  <c:v>0.1734</c:v>
                </c:pt>
                <c:pt idx="1190">
                  <c:v>0.18029999999999999</c:v>
                </c:pt>
                <c:pt idx="1191">
                  <c:v>0.1767</c:v>
                </c:pt>
                <c:pt idx="1192">
                  <c:v>0.1704</c:v>
                </c:pt>
                <c:pt idx="1193">
                  <c:v>0.1605</c:v>
                </c:pt>
                <c:pt idx="1194">
                  <c:v>0.1502</c:v>
                </c:pt>
                <c:pt idx="1195">
                  <c:v>0.1361</c:v>
                </c:pt>
                <c:pt idx="1196">
                  <c:v>0.12989999999999999</c:v>
                </c:pt>
                <c:pt idx="1197">
                  <c:v>0.1283</c:v>
                </c:pt>
                <c:pt idx="1198">
                  <c:v>0.1205</c:v>
                </c:pt>
                <c:pt idx="1199">
                  <c:v>0.1138</c:v>
                </c:pt>
                <c:pt idx="1200">
                  <c:v>0.1027</c:v>
                </c:pt>
                <c:pt idx="1201">
                  <c:v>0.1016</c:v>
                </c:pt>
                <c:pt idx="1202">
                  <c:v>0.12570000000000001</c:v>
                </c:pt>
                <c:pt idx="1203">
                  <c:v>0.12479999999999999</c:v>
                </c:pt>
                <c:pt idx="1204">
                  <c:v>0.1236</c:v>
                </c:pt>
                <c:pt idx="1205">
                  <c:v>0.11940000000000001</c:v>
                </c:pt>
                <c:pt idx="1206">
                  <c:v>0.1215</c:v>
                </c:pt>
                <c:pt idx="1207">
                  <c:v>0.1226</c:v>
                </c:pt>
                <c:pt idx="1208">
                  <c:v>0.15890000000000001</c:v>
                </c:pt>
                <c:pt idx="1209">
                  <c:v>0.20169999999999999</c:v>
                </c:pt>
                <c:pt idx="1210">
                  <c:v>0.2351</c:v>
                </c:pt>
                <c:pt idx="1211">
                  <c:v>0.24690000000000001</c:v>
                </c:pt>
                <c:pt idx="1212">
                  <c:v>0.26419999999999999</c:v>
                </c:pt>
                <c:pt idx="1213">
                  <c:v>0.25650000000000001</c:v>
                </c:pt>
                <c:pt idx="1214">
                  <c:v>0.25779999999999997</c:v>
                </c:pt>
                <c:pt idx="1215">
                  <c:v>0.26269999999999999</c:v>
                </c:pt>
                <c:pt idx="1216">
                  <c:v>0.26740000000000003</c:v>
                </c:pt>
                <c:pt idx="1217">
                  <c:v>0.26929999999999998</c:v>
                </c:pt>
                <c:pt idx="1218">
                  <c:v>0.25559999999999999</c:v>
                </c:pt>
                <c:pt idx="1219">
                  <c:v>0.26019999999999999</c:v>
                </c:pt>
                <c:pt idx="1220">
                  <c:v>0.25519999999999998</c:v>
                </c:pt>
                <c:pt idx="1221">
                  <c:v>0.24349999999999999</c:v>
                </c:pt>
                <c:pt idx="1222">
                  <c:v>0.2281</c:v>
                </c:pt>
                <c:pt idx="1223">
                  <c:v>0.22520000000000001</c:v>
                </c:pt>
                <c:pt idx="1224">
                  <c:v>0.2261</c:v>
                </c:pt>
                <c:pt idx="1225">
                  <c:v>0.21340000000000001</c:v>
                </c:pt>
                <c:pt idx="1226">
                  <c:v>0.2099</c:v>
                </c:pt>
                <c:pt idx="1227">
                  <c:v>0.20169999999999999</c:v>
                </c:pt>
                <c:pt idx="1228">
                  <c:v>0.1953</c:v>
                </c:pt>
                <c:pt idx="1229">
                  <c:v>0.2429</c:v>
                </c:pt>
                <c:pt idx="1230">
                  <c:v>0.25569999999999998</c:v>
                </c:pt>
                <c:pt idx="1231">
                  <c:v>0.28520000000000001</c:v>
                </c:pt>
                <c:pt idx="1232">
                  <c:v>0.30059999999999998</c:v>
                </c:pt>
                <c:pt idx="1233">
                  <c:v>0.3024</c:v>
                </c:pt>
                <c:pt idx="1234">
                  <c:v>0.29480000000000001</c:v>
                </c:pt>
                <c:pt idx="1235">
                  <c:v>0.29909999999999998</c:v>
                </c:pt>
                <c:pt idx="1236">
                  <c:v>0.27910000000000001</c:v>
                </c:pt>
                <c:pt idx="1237">
                  <c:v>0.26769999999999999</c:v>
                </c:pt>
                <c:pt idx="1238">
                  <c:v>0.2465</c:v>
                </c:pt>
                <c:pt idx="1239">
                  <c:v>0.22919999999999999</c:v>
                </c:pt>
                <c:pt idx="1240">
                  <c:v>0.21510000000000001</c:v>
                </c:pt>
                <c:pt idx="1241">
                  <c:v>0.20369999999999999</c:v>
                </c:pt>
                <c:pt idx="1242">
                  <c:v>0.20330000000000001</c:v>
                </c:pt>
                <c:pt idx="1243">
                  <c:v>0.1895</c:v>
                </c:pt>
                <c:pt idx="1244">
                  <c:v>0.18110000000000001</c:v>
                </c:pt>
                <c:pt idx="1245">
                  <c:v>0.17680000000000001</c:v>
                </c:pt>
                <c:pt idx="1246">
                  <c:v>0.17530000000000001</c:v>
                </c:pt>
                <c:pt idx="1247">
                  <c:v>0.17780000000000001</c:v>
                </c:pt>
                <c:pt idx="1248">
                  <c:v>0.1651</c:v>
                </c:pt>
                <c:pt idx="1249">
                  <c:v>0.15640000000000001</c:v>
                </c:pt>
                <c:pt idx="1250">
                  <c:v>0.14449999999999999</c:v>
                </c:pt>
                <c:pt idx="1251">
                  <c:v>0.14480000000000001</c:v>
                </c:pt>
                <c:pt idx="1252">
                  <c:v>0.1414</c:v>
                </c:pt>
                <c:pt idx="1253">
                  <c:v>0.1663</c:v>
                </c:pt>
                <c:pt idx="1254">
                  <c:v>0.17169999999999999</c:v>
                </c:pt>
                <c:pt idx="1255">
                  <c:v>0.17519999999999999</c:v>
                </c:pt>
                <c:pt idx="1256">
                  <c:v>0.18709999999999999</c:v>
                </c:pt>
                <c:pt idx="1257">
                  <c:v>0.1966</c:v>
                </c:pt>
                <c:pt idx="1258">
                  <c:v>0.20530000000000001</c:v>
                </c:pt>
                <c:pt idx="1259">
                  <c:v>0.20080000000000001</c:v>
                </c:pt>
                <c:pt idx="1260">
                  <c:v>0.1915</c:v>
                </c:pt>
                <c:pt idx="1261">
                  <c:v>0.18079999999999999</c:v>
                </c:pt>
                <c:pt idx="1262">
                  <c:v>0.1744</c:v>
                </c:pt>
                <c:pt idx="1263">
                  <c:v>0.16739999999999999</c:v>
                </c:pt>
                <c:pt idx="1264">
                  <c:v>0.17319999999999999</c:v>
                </c:pt>
                <c:pt idx="1265">
                  <c:v>0.184</c:v>
                </c:pt>
                <c:pt idx="1266">
                  <c:v>0.17680000000000001</c:v>
                </c:pt>
                <c:pt idx="1267">
                  <c:v>0.1671</c:v>
                </c:pt>
                <c:pt idx="1268">
                  <c:v>0.1918</c:v>
                </c:pt>
                <c:pt idx="1269">
                  <c:v>0.1951</c:v>
                </c:pt>
                <c:pt idx="1270">
                  <c:v>0.2011</c:v>
                </c:pt>
                <c:pt idx="1271">
                  <c:v>0.20219999999999999</c:v>
                </c:pt>
                <c:pt idx="1272">
                  <c:v>0.1923</c:v>
                </c:pt>
                <c:pt idx="1273">
                  <c:v>0.1905</c:v>
                </c:pt>
                <c:pt idx="1274">
                  <c:v>0.17430000000000001</c:v>
                </c:pt>
                <c:pt idx="1275">
                  <c:v>0.16239999999999999</c:v>
                </c:pt>
                <c:pt idx="1276">
                  <c:v>0.1618</c:v>
                </c:pt>
                <c:pt idx="1277">
                  <c:v>0.15890000000000001</c:v>
                </c:pt>
                <c:pt idx="1278">
                  <c:v>0.1381</c:v>
                </c:pt>
                <c:pt idx="1279">
                  <c:v>0.1207</c:v>
                </c:pt>
                <c:pt idx="1280">
                  <c:v>0.1047</c:v>
                </c:pt>
                <c:pt idx="1281">
                  <c:v>8.9300000000000004E-2</c:v>
                </c:pt>
                <c:pt idx="1282">
                  <c:v>8.2799999999999999E-2</c:v>
                </c:pt>
                <c:pt idx="1283">
                  <c:v>0.18540000000000001</c:v>
                </c:pt>
                <c:pt idx="1284">
                  <c:v>0.20599999999999999</c:v>
                </c:pt>
                <c:pt idx="1285">
                  <c:v>0.21879999999999999</c:v>
                </c:pt>
                <c:pt idx="1286">
                  <c:v>0.24640000000000001</c:v>
                </c:pt>
                <c:pt idx="1287">
                  <c:v>0.25059999999999999</c:v>
                </c:pt>
                <c:pt idx="1288">
                  <c:v>0.26329999999999998</c:v>
                </c:pt>
                <c:pt idx="1289">
                  <c:v>0.2737</c:v>
                </c:pt>
                <c:pt idx="1290">
                  <c:v>0.28920000000000001</c:v>
                </c:pt>
                <c:pt idx="1291">
                  <c:v>0.28539999999999999</c:v>
                </c:pt>
                <c:pt idx="1292">
                  <c:v>0.2727</c:v>
                </c:pt>
                <c:pt idx="1293">
                  <c:v>0.27010000000000001</c:v>
                </c:pt>
                <c:pt idx="1294">
                  <c:v>0.27050000000000002</c:v>
                </c:pt>
                <c:pt idx="1295">
                  <c:v>0.2722</c:v>
                </c:pt>
                <c:pt idx="1296">
                  <c:v>0.27139999999999997</c:v>
                </c:pt>
                <c:pt idx="1297">
                  <c:v>0.26740000000000003</c:v>
                </c:pt>
                <c:pt idx="1298">
                  <c:v>0.25869999999999999</c:v>
                </c:pt>
                <c:pt idx="1299">
                  <c:v>0.24210000000000001</c:v>
                </c:pt>
                <c:pt idx="1300">
                  <c:v>0.2392</c:v>
                </c:pt>
                <c:pt idx="1301">
                  <c:v>0.22950000000000001</c:v>
                </c:pt>
                <c:pt idx="1302">
                  <c:v>0.21210000000000001</c:v>
                </c:pt>
                <c:pt idx="1303">
                  <c:v>0.19339999999999999</c:v>
                </c:pt>
                <c:pt idx="1304">
                  <c:v>0.17449999999999999</c:v>
                </c:pt>
                <c:pt idx="1305">
                  <c:v>0.19489999999999999</c:v>
                </c:pt>
                <c:pt idx="1306">
                  <c:v>0.17799999999999999</c:v>
                </c:pt>
                <c:pt idx="1307">
                  <c:v>0.1789</c:v>
                </c:pt>
                <c:pt idx="1308">
                  <c:v>0.2082</c:v>
                </c:pt>
                <c:pt idx="1309">
                  <c:v>0.22800000000000001</c:v>
                </c:pt>
                <c:pt idx="1310">
                  <c:v>0.2394</c:v>
                </c:pt>
                <c:pt idx="1311">
                  <c:v>0.23930000000000001</c:v>
                </c:pt>
                <c:pt idx="1312">
                  <c:v>0.23139999999999999</c:v>
                </c:pt>
                <c:pt idx="1313">
                  <c:v>0.23150000000000001</c:v>
                </c:pt>
                <c:pt idx="1314">
                  <c:v>0.25779999999999997</c:v>
                </c:pt>
                <c:pt idx="1315">
                  <c:v>0.25419999999999998</c:v>
                </c:pt>
                <c:pt idx="1316">
                  <c:v>0.24360000000000001</c:v>
                </c:pt>
                <c:pt idx="1317">
                  <c:v>0.26719999999999999</c:v>
                </c:pt>
                <c:pt idx="1318">
                  <c:v>0.26479999999999998</c:v>
                </c:pt>
                <c:pt idx="1319">
                  <c:v>0.254</c:v>
                </c:pt>
                <c:pt idx="1320">
                  <c:v>0.2492</c:v>
                </c:pt>
                <c:pt idx="1321">
                  <c:v>0.24840000000000001</c:v>
                </c:pt>
                <c:pt idx="1322">
                  <c:v>0.24460000000000001</c:v>
                </c:pt>
                <c:pt idx="1323">
                  <c:v>0.2492</c:v>
                </c:pt>
                <c:pt idx="1324">
                  <c:v>0.24049999999999999</c:v>
                </c:pt>
                <c:pt idx="1325">
                  <c:v>0.23200000000000001</c:v>
                </c:pt>
                <c:pt idx="1326">
                  <c:v>0.23899999999999999</c:v>
                </c:pt>
                <c:pt idx="1327">
                  <c:v>0.2455</c:v>
                </c:pt>
                <c:pt idx="1328">
                  <c:v>0.2606</c:v>
                </c:pt>
                <c:pt idx="1329">
                  <c:v>0.26850000000000002</c:v>
                </c:pt>
                <c:pt idx="1330">
                  <c:v>0.30680000000000002</c:v>
                </c:pt>
                <c:pt idx="1331">
                  <c:v>0.318</c:v>
                </c:pt>
                <c:pt idx="1332">
                  <c:v>0.28249999999999997</c:v>
                </c:pt>
                <c:pt idx="1333">
                  <c:v>0.32919999999999999</c:v>
                </c:pt>
                <c:pt idx="1334">
                  <c:v>0.33779999999999999</c:v>
                </c:pt>
                <c:pt idx="1335">
                  <c:v>0.3478</c:v>
                </c:pt>
                <c:pt idx="1336">
                  <c:v>0.33500000000000002</c:v>
                </c:pt>
                <c:pt idx="1337">
                  <c:v>0.31719999999999998</c:v>
                </c:pt>
                <c:pt idx="1338">
                  <c:v>0.3019</c:v>
                </c:pt>
                <c:pt idx="1339">
                  <c:v>0.29160000000000003</c:v>
                </c:pt>
                <c:pt idx="1340">
                  <c:v>0.29630000000000001</c:v>
                </c:pt>
                <c:pt idx="1341">
                  <c:v>0.29049999999999998</c:v>
                </c:pt>
                <c:pt idx="1342">
                  <c:v>0.29370000000000002</c:v>
                </c:pt>
                <c:pt idx="1343">
                  <c:v>0.27850000000000003</c:v>
                </c:pt>
                <c:pt idx="1344">
                  <c:v>0.26850000000000002</c:v>
                </c:pt>
                <c:pt idx="1345">
                  <c:v>0.28320000000000001</c:v>
                </c:pt>
                <c:pt idx="1346">
                  <c:v>0.29480000000000001</c:v>
                </c:pt>
                <c:pt idx="1347">
                  <c:v>0.31019999999999998</c:v>
                </c:pt>
                <c:pt idx="1348">
                  <c:v>0.29759999999999998</c:v>
                </c:pt>
                <c:pt idx="1349">
                  <c:v>0.29320000000000002</c:v>
                </c:pt>
                <c:pt idx="1350">
                  <c:v>0.29039999999999999</c:v>
                </c:pt>
                <c:pt idx="1351">
                  <c:v>0.28620000000000001</c:v>
                </c:pt>
                <c:pt idx="1352">
                  <c:v>0.28179999999999999</c:v>
                </c:pt>
                <c:pt idx="1353">
                  <c:v>0.29239999999999999</c:v>
                </c:pt>
                <c:pt idx="1354">
                  <c:v>0.31309999999999999</c:v>
                </c:pt>
                <c:pt idx="1355">
                  <c:v>0.31130000000000002</c:v>
                </c:pt>
                <c:pt idx="1356">
                  <c:v>0.3054</c:v>
                </c:pt>
                <c:pt idx="1357">
                  <c:v>0.30130000000000001</c:v>
                </c:pt>
                <c:pt idx="1358">
                  <c:v>0.31330000000000002</c:v>
                </c:pt>
                <c:pt idx="1359">
                  <c:v>0.3039</c:v>
                </c:pt>
                <c:pt idx="1360">
                  <c:v>0.28439999999999999</c:v>
                </c:pt>
                <c:pt idx="1361">
                  <c:v>0.27010000000000001</c:v>
                </c:pt>
                <c:pt idx="1362">
                  <c:v>0.2467</c:v>
                </c:pt>
                <c:pt idx="1363">
                  <c:v>0.24210000000000001</c:v>
                </c:pt>
                <c:pt idx="1364">
                  <c:v>0.21959999999999999</c:v>
                </c:pt>
                <c:pt idx="1365">
                  <c:v>0.2014</c:v>
                </c:pt>
                <c:pt idx="1366">
                  <c:v>0.191</c:v>
                </c:pt>
                <c:pt idx="1367">
                  <c:v>0.1905</c:v>
                </c:pt>
                <c:pt idx="1368">
                  <c:v>0.18640000000000001</c:v>
                </c:pt>
                <c:pt idx="1369">
                  <c:v>0.1837</c:v>
                </c:pt>
                <c:pt idx="1370">
                  <c:v>0.17369999999999999</c:v>
                </c:pt>
                <c:pt idx="1371">
                  <c:v>0.17799999999999999</c:v>
                </c:pt>
                <c:pt idx="1372">
                  <c:v>0.1762</c:v>
                </c:pt>
                <c:pt idx="1373">
                  <c:v>0.17519999999999999</c:v>
                </c:pt>
                <c:pt idx="1374">
                  <c:v>0.18290000000000001</c:v>
                </c:pt>
                <c:pt idx="1375">
                  <c:v>0.18379999999999999</c:v>
                </c:pt>
                <c:pt idx="1376">
                  <c:v>0.1731</c:v>
                </c:pt>
                <c:pt idx="1377">
                  <c:v>0.1764</c:v>
                </c:pt>
                <c:pt idx="1378">
                  <c:v>0.17449999999999999</c:v>
                </c:pt>
                <c:pt idx="1379">
                  <c:v>0.16470000000000001</c:v>
                </c:pt>
                <c:pt idx="1380">
                  <c:v>0.15679999999999999</c:v>
                </c:pt>
                <c:pt idx="1381">
                  <c:v>0.156</c:v>
                </c:pt>
                <c:pt idx="1382">
                  <c:v>0.14940000000000001</c:v>
                </c:pt>
                <c:pt idx="1383">
                  <c:v>0.1416</c:v>
                </c:pt>
                <c:pt idx="1384">
                  <c:v>0.15529999999999999</c:v>
                </c:pt>
                <c:pt idx="1385">
                  <c:v>0.16700000000000001</c:v>
                </c:pt>
                <c:pt idx="1386">
                  <c:v>0.1681</c:v>
                </c:pt>
                <c:pt idx="1387">
                  <c:v>0.1691</c:v>
                </c:pt>
                <c:pt idx="1388">
                  <c:v>0.17979999999999999</c:v>
                </c:pt>
                <c:pt idx="1389">
                  <c:v>0.21279999999999999</c:v>
                </c:pt>
                <c:pt idx="1390">
                  <c:v>0.20849999999999999</c:v>
                </c:pt>
                <c:pt idx="1391">
                  <c:v>0.25009999999999999</c:v>
                </c:pt>
                <c:pt idx="1392">
                  <c:v>0.25459999999999999</c:v>
                </c:pt>
                <c:pt idx="1393">
                  <c:v>0.2535</c:v>
                </c:pt>
                <c:pt idx="1394">
                  <c:v>0.25159999999999999</c:v>
                </c:pt>
                <c:pt idx="1395">
                  <c:v>0.24440000000000001</c:v>
                </c:pt>
                <c:pt idx="1396">
                  <c:v>0.23880000000000001</c:v>
                </c:pt>
                <c:pt idx="1397">
                  <c:v>0.2281</c:v>
                </c:pt>
                <c:pt idx="1398">
                  <c:v>0.21690000000000001</c:v>
                </c:pt>
                <c:pt idx="1399">
                  <c:v>0.19950000000000001</c:v>
                </c:pt>
                <c:pt idx="1400">
                  <c:v>0.17910000000000001</c:v>
                </c:pt>
                <c:pt idx="1401">
                  <c:v>0.1613</c:v>
                </c:pt>
                <c:pt idx="1402">
                  <c:v>0.15840000000000001</c:v>
                </c:pt>
                <c:pt idx="1403">
                  <c:v>0.14630000000000001</c:v>
                </c:pt>
                <c:pt idx="1404">
                  <c:v>0.14330000000000001</c:v>
                </c:pt>
                <c:pt idx="1405">
                  <c:v>0.1452</c:v>
                </c:pt>
                <c:pt idx="1406">
                  <c:v>0.1615</c:v>
                </c:pt>
                <c:pt idx="1407">
                  <c:v>0.17</c:v>
                </c:pt>
                <c:pt idx="1408">
                  <c:v>0.17169999999999999</c:v>
                </c:pt>
                <c:pt idx="1409">
                  <c:v>0.16209999999999999</c:v>
                </c:pt>
                <c:pt idx="1410">
                  <c:v>0.15709999999999999</c:v>
                </c:pt>
                <c:pt idx="1411">
                  <c:v>0.16250000000000001</c:v>
                </c:pt>
                <c:pt idx="1412">
                  <c:v>0.1605</c:v>
                </c:pt>
                <c:pt idx="1413">
                  <c:v>0.1552</c:v>
                </c:pt>
                <c:pt idx="1414">
                  <c:v>0.13800000000000001</c:v>
                </c:pt>
                <c:pt idx="1415">
                  <c:v>0.14940000000000001</c:v>
                </c:pt>
                <c:pt idx="1416">
                  <c:v>0.15110000000000001</c:v>
                </c:pt>
                <c:pt idx="1417">
                  <c:v>0.1525</c:v>
                </c:pt>
                <c:pt idx="1418">
                  <c:v>0.15359999999999999</c:v>
                </c:pt>
                <c:pt idx="1419">
                  <c:v>0.189</c:v>
                </c:pt>
                <c:pt idx="1420">
                  <c:v>0.20860000000000001</c:v>
                </c:pt>
                <c:pt idx="1421">
                  <c:v>0.22059999999999999</c:v>
                </c:pt>
                <c:pt idx="1422">
                  <c:v>0.22420000000000001</c:v>
                </c:pt>
                <c:pt idx="1423">
                  <c:v>0.2457</c:v>
                </c:pt>
                <c:pt idx="1424">
                  <c:v>0.24640000000000001</c:v>
                </c:pt>
                <c:pt idx="1425">
                  <c:v>0.26179999999999998</c:v>
                </c:pt>
                <c:pt idx="1426">
                  <c:v>0.24790000000000001</c:v>
                </c:pt>
                <c:pt idx="1427">
                  <c:v>0.25640000000000002</c:v>
                </c:pt>
                <c:pt idx="1428">
                  <c:v>0.2707</c:v>
                </c:pt>
                <c:pt idx="1429">
                  <c:v>0.35499999999999998</c:v>
                </c:pt>
                <c:pt idx="1430">
                  <c:v>0.4118</c:v>
                </c:pt>
                <c:pt idx="1431">
                  <c:v>0.44190000000000002</c:v>
                </c:pt>
                <c:pt idx="1432">
                  <c:v>0.45689999999999997</c:v>
                </c:pt>
                <c:pt idx="1433">
                  <c:v>0.46660000000000001</c:v>
                </c:pt>
                <c:pt idx="1434">
                  <c:v>0.46050000000000002</c:v>
                </c:pt>
                <c:pt idx="1435">
                  <c:v>0.45279999999999998</c:v>
                </c:pt>
                <c:pt idx="1436">
                  <c:v>0.4602</c:v>
                </c:pt>
                <c:pt idx="1437">
                  <c:v>0.45390000000000003</c:v>
                </c:pt>
                <c:pt idx="1438">
                  <c:v>0.44130000000000003</c:v>
                </c:pt>
                <c:pt idx="1439">
                  <c:v>0.42409999999999998</c:v>
                </c:pt>
                <c:pt idx="1440">
                  <c:v>0.40849999999999997</c:v>
                </c:pt>
                <c:pt idx="1441">
                  <c:v>0.40479999999999999</c:v>
                </c:pt>
                <c:pt idx="1442">
                  <c:v>0.39119999999999999</c:v>
                </c:pt>
                <c:pt idx="1443">
                  <c:v>0.38009999999999999</c:v>
                </c:pt>
                <c:pt idx="1444">
                  <c:v>0.37490000000000001</c:v>
                </c:pt>
                <c:pt idx="1445">
                  <c:v>0.36209999999999998</c:v>
                </c:pt>
                <c:pt idx="1446">
                  <c:v>0.31859999999999999</c:v>
                </c:pt>
                <c:pt idx="1447">
                  <c:v>0.33139999999999997</c:v>
                </c:pt>
                <c:pt idx="1448">
                  <c:v>0.31979999999999997</c:v>
                </c:pt>
                <c:pt idx="1449">
                  <c:v>0.308</c:v>
                </c:pt>
                <c:pt idx="1450">
                  <c:v>0.29520000000000002</c:v>
                </c:pt>
                <c:pt idx="1451">
                  <c:v>0.28199999999999997</c:v>
                </c:pt>
                <c:pt idx="1452">
                  <c:v>0.28620000000000001</c:v>
                </c:pt>
                <c:pt idx="1453">
                  <c:v>0.2762</c:v>
                </c:pt>
                <c:pt idx="1454">
                  <c:v>0.26879999999999998</c:v>
                </c:pt>
                <c:pt idx="1455">
                  <c:v>0.25740000000000002</c:v>
                </c:pt>
                <c:pt idx="1456">
                  <c:v>0.28039999999999998</c:v>
                </c:pt>
                <c:pt idx="1457">
                  <c:v>0.26700000000000002</c:v>
                </c:pt>
                <c:pt idx="1458">
                  <c:v>0.2838</c:v>
                </c:pt>
                <c:pt idx="1459">
                  <c:v>0.28360000000000002</c:v>
                </c:pt>
                <c:pt idx="1460">
                  <c:v>0.27810000000000001</c:v>
                </c:pt>
                <c:pt idx="1461">
                  <c:v>0.27389999999999998</c:v>
                </c:pt>
                <c:pt idx="1462">
                  <c:v>0.26019999999999999</c:v>
                </c:pt>
                <c:pt idx="1463">
                  <c:v>0.24610000000000001</c:v>
                </c:pt>
                <c:pt idx="1464">
                  <c:v>0.23230000000000001</c:v>
                </c:pt>
                <c:pt idx="1465">
                  <c:v>0.21990000000000001</c:v>
                </c:pt>
                <c:pt idx="1466">
                  <c:v>0.20499999999999999</c:v>
                </c:pt>
                <c:pt idx="1467">
                  <c:v>0.19850000000000001</c:v>
                </c:pt>
                <c:pt idx="1468">
                  <c:v>0.18590000000000001</c:v>
                </c:pt>
                <c:pt idx="1469">
                  <c:v>0.1852</c:v>
                </c:pt>
                <c:pt idx="1470">
                  <c:v>0.18210000000000001</c:v>
                </c:pt>
                <c:pt idx="1471">
                  <c:v>0.18110000000000001</c:v>
                </c:pt>
                <c:pt idx="1472">
                  <c:v>0.17430000000000001</c:v>
                </c:pt>
                <c:pt idx="1473">
                  <c:v>0.16850000000000001</c:v>
                </c:pt>
                <c:pt idx="1474">
                  <c:v>0.1532</c:v>
                </c:pt>
                <c:pt idx="1475">
                  <c:v>0.1477</c:v>
                </c:pt>
                <c:pt idx="1476">
                  <c:v>0.1429</c:v>
                </c:pt>
                <c:pt idx="1477">
                  <c:v>0.14000000000000001</c:v>
                </c:pt>
                <c:pt idx="1478">
                  <c:v>0.14119999999999999</c:v>
                </c:pt>
                <c:pt idx="1479">
                  <c:v>0.1288</c:v>
                </c:pt>
                <c:pt idx="1480">
                  <c:v>0.11899999999999999</c:v>
                </c:pt>
                <c:pt idx="1481">
                  <c:v>0.1118</c:v>
                </c:pt>
                <c:pt idx="1482">
                  <c:v>0.1169</c:v>
                </c:pt>
                <c:pt idx="1483">
                  <c:v>0.11890000000000001</c:v>
                </c:pt>
                <c:pt idx="1484">
                  <c:v>0.1081</c:v>
                </c:pt>
                <c:pt idx="1485">
                  <c:v>0.1138</c:v>
                </c:pt>
                <c:pt idx="1486">
                  <c:v>0.13469999999999999</c:v>
                </c:pt>
                <c:pt idx="1487">
                  <c:v>0.13370000000000001</c:v>
                </c:pt>
                <c:pt idx="1488">
                  <c:v>0.129</c:v>
                </c:pt>
                <c:pt idx="1489">
                  <c:v>0.1376</c:v>
                </c:pt>
                <c:pt idx="1490">
                  <c:v>0.13669999999999999</c:v>
                </c:pt>
                <c:pt idx="1491">
                  <c:v>0.13880000000000001</c:v>
                </c:pt>
                <c:pt idx="1492">
                  <c:v>0.128</c:v>
                </c:pt>
                <c:pt idx="1493">
                  <c:v>0.15759999999999999</c:v>
                </c:pt>
                <c:pt idx="1494">
                  <c:v>0.1807</c:v>
                </c:pt>
                <c:pt idx="1495">
                  <c:v>0.20069999999999999</c:v>
                </c:pt>
                <c:pt idx="1496">
                  <c:v>0.20669999999999999</c:v>
                </c:pt>
                <c:pt idx="1497">
                  <c:v>0.20419999999999999</c:v>
                </c:pt>
                <c:pt idx="1498">
                  <c:v>0.1978</c:v>
                </c:pt>
                <c:pt idx="1499">
                  <c:v>0.19009999999999999</c:v>
                </c:pt>
                <c:pt idx="1500">
                  <c:v>0.1883</c:v>
                </c:pt>
                <c:pt idx="1501">
                  <c:v>0.17219999999999999</c:v>
                </c:pt>
                <c:pt idx="1502">
                  <c:v>0.1757</c:v>
                </c:pt>
                <c:pt idx="1503">
                  <c:v>0.16800000000000001</c:v>
                </c:pt>
                <c:pt idx="1504">
                  <c:v>0.1704</c:v>
                </c:pt>
                <c:pt idx="1505">
                  <c:v>0.16900000000000001</c:v>
                </c:pt>
                <c:pt idx="1506">
                  <c:v>0.15690000000000001</c:v>
                </c:pt>
                <c:pt idx="1507">
                  <c:v>0.14449999999999999</c:v>
                </c:pt>
                <c:pt idx="1508">
                  <c:v>0.1527</c:v>
                </c:pt>
                <c:pt idx="1509">
                  <c:v>0.15459999999999999</c:v>
                </c:pt>
                <c:pt idx="1510">
                  <c:v>0.15970000000000001</c:v>
                </c:pt>
                <c:pt idx="1511">
                  <c:v>0.17460000000000001</c:v>
                </c:pt>
                <c:pt idx="1512">
                  <c:v>0.17100000000000001</c:v>
                </c:pt>
                <c:pt idx="1513">
                  <c:v>0.16789999999999999</c:v>
                </c:pt>
                <c:pt idx="1514">
                  <c:v>0.14990000000000001</c:v>
                </c:pt>
                <c:pt idx="1515">
                  <c:v>0.14399999999999999</c:v>
                </c:pt>
                <c:pt idx="1516">
                  <c:v>0.13969999999999999</c:v>
                </c:pt>
                <c:pt idx="1517">
                  <c:v>0.1389</c:v>
                </c:pt>
                <c:pt idx="1518">
                  <c:v>0.14080000000000001</c:v>
                </c:pt>
                <c:pt idx="1519">
                  <c:v>0.13730000000000001</c:v>
                </c:pt>
                <c:pt idx="1520">
                  <c:v>0.1457</c:v>
                </c:pt>
                <c:pt idx="1521">
                  <c:v>0.1416</c:v>
                </c:pt>
                <c:pt idx="1522">
                  <c:v>0.15140000000000001</c:v>
                </c:pt>
                <c:pt idx="1523">
                  <c:v>0.16769999999999999</c:v>
                </c:pt>
                <c:pt idx="1524">
                  <c:v>0.16950000000000001</c:v>
                </c:pt>
                <c:pt idx="1525">
                  <c:v>0.1583</c:v>
                </c:pt>
                <c:pt idx="1526">
                  <c:v>0.15629999999999999</c:v>
                </c:pt>
                <c:pt idx="1527">
                  <c:v>0.15859999999999999</c:v>
                </c:pt>
                <c:pt idx="1528">
                  <c:v>0.16719999999999999</c:v>
                </c:pt>
                <c:pt idx="1529">
                  <c:v>0.1711</c:v>
                </c:pt>
                <c:pt idx="1530">
                  <c:v>0.16220000000000001</c:v>
                </c:pt>
                <c:pt idx="1531">
                  <c:v>0.1666</c:v>
                </c:pt>
                <c:pt idx="1532">
                  <c:v>0.1699</c:v>
                </c:pt>
                <c:pt idx="1533">
                  <c:v>0.16900000000000001</c:v>
                </c:pt>
                <c:pt idx="1534">
                  <c:v>0.16539999999999999</c:v>
                </c:pt>
                <c:pt idx="1535">
                  <c:v>0.16320000000000001</c:v>
                </c:pt>
                <c:pt idx="1536">
                  <c:v>0.17299999999999999</c:v>
                </c:pt>
                <c:pt idx="1537">
                  <c:v>0.17150000000000001</c:v>
                </c:pt>
                <c:pt idx="1538">
                  <c:v>0.16109999999999999</c:v>
                </c:pt>
                <c:pt idx="1539">
                  <c:v>0.1598</c:v>
                </c:pt>
                <c:pt idx="1540">
                  <c:v>0.16550000000000001</c:v>
                </c:pt>
                <c:pt idx="1541">
                  <c:v>0.15989999999999999</c:v>
                </c:pt>
                <c:pt idx="1542">
                  <c:v>0.15870000000000001</c:v>
                </c:pt>
                <c:pt idx="1543">
                  <c:v>0.1515</c:v>
                </c:pt>
                <c:pt idx="1544">
                  <c:v>0.17150000000000001</c:v>
                </c:pt>
                <c:pt idx="1545">
                  <c:v>0.1641</c:v>
                </c:pt>
                <c:pt idx="1546">
                  <c:v>0.17150000000000001</c:v>
                </c:pt>
                <c:pt idx="1547">
                  <c:v>0.17330000000000001</c:v>
                </c:pt>
                <c:pt idx="1548">
                  <c:v>0.17380000000000001</c:v>
                </c:pt>
                <c:pt idx="1549">
                  <c:v>0.18540000000000001</c:v>
                </c:pt>
                <c:pt idx="1550">
                  <c:v>0.1913</c:v>
                </c:pt>
                <c:pt idx="1551">
                  <c:v>0.19189999999999999</c:v>
                </c:pt>
                <c:pt idx="1552">
                  <c:v>0.20419999999999999</c:v>
                </c:pt>
                <c:pt idx="1553">
                  <c:v>0.20499999999999999</c:v>
                </c:pt>
                <c:pt idx="1554">
                  <c:v>0.20100000000000001</c:v>
                </c:pt>
                <c:pt idx="1555">
                  <c:v>0.2054</c:v>
                </c:pt>
                <c:pt idx="1556">
                  <c:v>0.1986</c:v>
                </c:pt>
                <c:pt idx="1557">
                  <c:v>0.19170000000000001</c:v>
                </c:pt>
                <c:pt idx="1558">
                  <c:v>0.187</c:v>
                </c:pt>
                <c:pt idx="1559">
                  <c:v>0.1734</c:v>
                </c:pt>
                <c:pt idx="1560">
                  <c:v>0.1583</c:v>
                </c:pt>
                <c:pt idx="1561">
                  <c:v>0.14549999999999999</c:v>
                </c:pt>
                <c:pt idx="1562">
                  <c:v>0.1318</c:v>
                </c:pt>
                <c:pt idx="1563">
                  <c:v>0.123</c:v>
                </c:pt>
                <c:pt idx="1564">
                  <c:v>0.1154</c:v>
                </c:pt>
                <c:pt idx="1565">
                  <c:v>0.1021</c:v>
                </c:pt>
                <c:pt idx="1566">
                  <c:v>0.1045</c:v>
                </c:pt>
                <c:pt idx="1567">
                  <c:v>9.9199999999999997E-2</c:v>
                </c:pt>
                <c:pt idx="1568">
                  <c:v>9.69E-2</c:v>
                </c:pt>
                <c:pt idx="1569">
                  <c:v>9.5000000000000001E-2</c:v>
                </c:pt>
                <c:pt idx="1570">
                  <c:v>9.64E-2</c:v>
                </c:pt>
                <c:pt idx="1571">
                  <c:v>9.8400000000000001E-2</c:v>
                </c:pt>
                <c:pt idx="1572">
                  <c:v>9.7100000000000006E-2</c:v>
                </c:pt>
                <c:pt idx="1573">
                  <c:v>9.7100000000000006E-2</c:v>
                </c:pt>
                <c:pt idx="1574">
                  <c:v>9.01E-2</c:v>
                </c:pt>
                <c:pt idx="1575">
                  <c:v>9.0499999999999997E-2</c:v>
                </c:pt>
                <c:pt idx="1576">
                  <c:v>9.9299999999999999E-2</c:v>
                </c:pt>
                <c:pt idx="1577">
                  <c:v>0.1004</c:v>
                </c:pt>
                <c:pt idx="1578">
                  <c:v>0.1003</c:v>
                </c:pt>
                <c:pt idx="1579">
                  <c:v>9.8000000000000004E-2</c:v>
                </c:pt>
                <c:pt idx="1580">
                  <c:v>0.1012</c:v>
                </c:pt>
                <c:pt idx="1581">
                  <c:v>9.7699999999999995E-2</c:v>
                </c:pt>
                <c:pt idx="1582">
                  <c:v>9.8500000000000004E-2</c:v>
                </c:pt>
                <c:pt idx="1583">
                  <c:v>9.7199999999999995E-2</c:v>
                </c:pt>
                <c:pt idx="1584">
                  <c:v>9.8599999999999993E-2</c:v>
                </c:pt>
                <c:pt idx="1585">
                  <c:v>0.1007</c:v>
                </c:pt>
                <c:pt idx="1586">
                  <c:v>0.1038</c:v>
                </c:pt>
                <c:pt idx="1587">
                  <c:v>0.10879999999999999</c:v>
                </c:pt>
                <c:pt idx="1588">
                  <c:v>0.1192</c:v>
                </c:pt>
                <c:pt idx="1589">
                  <c:v>0.1193</c:v>
                </c:pt>
                <c:pt idx="1590">
                  <c:v>0.1313</c:v>
                </c:pt>
                <c:pt idx="1591">
                  <c:v>0.13589999999999999</c:v>
                </c:pt>
                <c:pt idx="1592">
                  <c:v>0.1429</c:v>
                </c:pt>
                <c:pt idx="1593">
                  <c:v>0.13</c:v>
                </c:pt>
                <c:pt idx="1594">
                  <c:v>0.1205</c:v>
                </c:pt>
                <c:pt idx="1595">
                  <c:v>0.1084</c:v>
                </c:pt>
                <c:pt idx="1596">
                  <c:v>0.1023</c:v>
                </c:pt>
                <c:pt idx="1597">
                  <c:v>9.5799999999999996E-2</c:v>
                </c:pt>
                <c:pt idx="1598">
                  <c:v>9.1399999999999995E-2</c:v>
                </c:pt>
                <c:pt idx="1599">
                  <c:v>0.09</c:v>
                </c:pt>
                <c:pt idx="1600">
                  <c:v>8.4900000000000003E-2</c:v>
                </c:pt>
                <c:pt idx="1601">
                  <c:v>7.7399999999999997E-2</c:v>
                </c:pt>
                <c:pt idx="1602">
                  <c:v>7.7899999999999997E-2</c:v>
                </c:pt>
                <c:pt idx="1603">
                  <c:v>7.9399999999999998E-2</c:v>
                </c:pt>
                <c:pt idx="1604">
                  <c:v>8.14E-2</c:v>
                </c:pt>
                <c:pt idx="1605">
                  <c:v>7.8799999999999995E-2</c:v>
                </c:pt>
                <c:pt idx="1606">
                  <c:v>7.51E-2</c:v>
                </c:pt>
                <c:pt idx="1607">
                  <c:v>7.7299999999999994E-2</c:v>
                </c:pt>
                <c:pt idx="1608">
                  <c:v>8.1199999999999994E-2</c:v>
                </c:pt>
                <c:pt idx="1609">
                  <c:v>7.9500000000000001E-2</c:v>
                </c:pt>
                <c:pt idx="1610">
                  <c:v>8.3400000000000002E-2</c:v>
                </c:pt>
                <c:pt idx="1611">
                  <c:v>8.5900000000000004E-2</c:v>
                </c:pt>
                <c:pt idx="1612">
                  <c:v>8.72E-2</c:v>
                </c:pt>
                <c:pt idx="1613">
                  <c:v>8.6400000000000005E-2</c:v>
                </c:pt>
                <c:pt idx="1614">
                  <c:v>8.7499999999999994E-2</c:v>
                </c:pt>
                <c:pt idx="1615">
                  <c:v>9.4200000000000006E-2</c:v>
                </c:pt>
                <c:pt idx="1616">
                  <c:v>9.1800000000000007E-2</c:v>
                </c:pt>
                <c:pt idx="1617">
                  <c:v>8.3199999999999996E-2</c:v>
                </c:pt>
                <c:pt idx="1618">
                  <c:v>8.5699999999999998E-2</c:v>
                </c:pt>
                <c:pt idx="1619">
                  <c:v>8.14E-2</c:v>
                </c:pt>
                <c:pt idx="1620">
                  <c:v>7.8299999999999995E-2</c:v>
                </c:pt>
                <c:pt idx="1621">
                  <c:v>6.7199999999999996E-2</c:v>
                </c:pt>
                <c:pt idx="1622">
                  <c:v>6.5799999999999997E-2</c:v>
                </c:pt>
                <c:pt idx="1623">
                  <c:v>5.9700000000000003E-2</c:v>
                </c:pt>
                <c:pt idx="1624">
                  <c:v>5.8599999999999999E-2</c:v>
                </c:pt>
                <c:pt idx="1625">
                  <c:v>5.0900000000000001E-2</c:v>
                </c:pt>
                <c:pt idx="1626">
                  <c:v>4.87E-2</c:v>
                </c:pt>
                <c:pt idx="1627">
                  <c:v>4.9799999999999997E-2</c:v>
                </c:pt>
                <c:pt idx="1628">
                  <c:v>4.8800000000000003E-2</c:v>
                </c:pt>
                <c:pt idx="1629">
                  <c:v>5.0299999999999997E-2</c:v>
                </c:pt>
                <c:pt idx="1630">
                  <c:v>5.8599999999999999E-2</c:v>
                </c:pt>
                <c:pt idx="1631">
                  <c:v>6.6799999999999998E-2</c:v>
                </c:pt>
                <c:pt idx="1632">
                  <c:v>6.7400000000000002E-2</c:v>
                </c:pt>
                <c:pt idx="1633">
                  <c:v>6.7699999999999996E-2</c:v>
                </c:pt>
                <c:pt idx="1634">
                  <c:v>6.7199999999999996E-2</c:v>
                </c:pt>
                <c:pt idx="1635">
                  <c:v>6.0499999999999998E-2</c:v>
                </c:pt>
                <c:pt idx="1636">
                  <c:v>5.1900000000000002E-2</c:v>
                </c:pt>
                <c:pt idx="1637">
                  <c:v>5.2699999999999997E-2</c:v>
                </c:pt>
                <c:pt idx="1638">
                  <c:v>4.65E-2</c:v>
                </c:pt>
                <c:pt idx="1639">
                  <c:v>4.7300000000000002E-2</c:v>
                </c:pt>
                <c:pt idx="1640">
                  <c:v>4.5699999999999998E-2</c:v>
                </c:pt>
                <c:pt idx="1641">
                  <c:v>3.9E-2</c:v>
                </c:pt>
                <c:pt idx="1642">
                  <c:v>3.7699999999999997E-2</c:v>
                </c:pt>
                <c:pt idx="1643">
                  <c:v>3.6999999999999998E-2</c:v>
                </c:pt>
                <c:pt idx="1644">
                  <c:v>3.8300000000000001E-2</c:v>
                </c:pt>
                <c:pt idx="1645">
                  <c:v>4.1200000000000001E-2</c:v>
                </c:pt>
                <c:pt idx="1646">
                  <c:v>6.3799999999999996E-2</c:v>
                </c:pt>
                <c:pt idx="1647">
                  <c:v>7.4099999999999999E-2</c:v>
                </c:pt>
                <c:pt idx="1648">
                  <c:v>8.2000000000000003E-2</c:v>
                </c:pt>
                <c:pt idx="1649">
                  <c:v>8.2299999999999998E-2</c:v>
                </c:pt>
                <c:pt idx="1650">
                  <c:v>8.0500000000000002E-2</c:v>
                </c:pt>
                <c:pt idx="1651">
                  <c:v>7.7799999999999994E-2</c:v>
                </c:pt>
                <c:pt idx="1652">
                  <c:v>6.7699999999999996E-2</c:v>
                </c:pt>
                <c:pt idx="1653">
                  <c:v>7.1800000000000003E-2</c:v>
                </c:pt>
                <c:pt idx="1654">
                  <c:v>7.0699999999999999E-2</c:v>
                </c:pt>
                <c:pt idx="1655">
                  <c:v>5.9400000000000001E-2</c:v>
                </c:pt>
                <c:pt idx="1656">
                  <c:v>5.3800000000000001E-2</c:v>
                </c:pt>
                <c:pt idx="1657">
                  <c:v>4.5900000000000003E-2</c:v>
                </c:pt>
                <c:pt idx="1658">
                  <c:v>3.7199999999999997E-2</c:v>
                </c:pt>
                <c:pt idx="1659">
                  <c:v>3.6900000000000002E-2</c:v>
                </c:pt>
                <c:pt idx="1660">
                  <c:v>3.44E-2</c:v>
                </c:pt>
                <c:pt idx="1661">
                  <c:v>3.0499999999999999E-2</c:v>
                </c:pt>
                <c:pt idx="1662">
                  <c:v>4.0300000000000002E-2</c:v>
                </c:pt>
                <c:pt idx="1663">
                  <c:v>3.8800000000000001E-2</c:v>
                </c:pt>
                <c:pt idx="1664">
                  <c:v>3.9899999999999998E-2</c:v>
                </c:pt>
                <c:pt idx="1665">
                  <c:v>3.6999999999999998E-2</c:v>
                </c:pt>
                <c:pt idx="1666">
                  <c:v>3.0200000000000001E-2</c:v>
                </c:pt>
                <c:pt idx="1667">
                  <c:v>2.3300000000000001E-2</c:v>
                </c:pt>
                <c:pt idx="1668">
                  <c:v>1.84E-2</c:v>
                </c:pt>
                <c:pt idx="1669">
                  <c:v>1.8200000000000001E-2</c:v>
                </c:pt>
                <c:pt idx="1670">
                  <c:v>1.6199999999999999E-2</c:v>
                </c:pt>
                <c:pt idx="1671">
                  <c:v>1.3899999999999999E-2</c:v>
                </c:pt>
                <c:pt idx="1672">
                  <c:v>1.0800000000000001E-2</c:v>
                </c:pt>
                <c:pt idx="1673">
                  <c:v>9.1000000000000004E-3</c:v>
                </c:pt>
                <c:pt idx="1674">
                  <c:v>8.3000000000000001E-3</c:v>
                </c:pt>
                <c:pt idx="1675">
                  <c:v>6.7999999999999996E-3</c:v>
                </c:pt>
                <c:pt idx="1676">
                  <c:v>4.4999999999999997E-3</c:v>
                </c:pt>
                <c:pt idx="1677">
                  <c:v>4.5999999999999999E-3</c:v>
                </c:pt>
                <c:pt idx="1678">
                  <c:v>4.4000000000000003E-3</c:v>
                </c:pt>
                <c:pt idx="1679">
                  <c:v>1.04E-2</c:v>
                </c:pt>
                <c:pt idx="1680">
                  <c:v>9.4000000000000004E-3</c:v>
                </c:pt>
                <c:pt idx="1681">
                  <c:v>1.1599999999999999E-2</c:v>
                </c:pt>
                <c:pt idx="1682">
                  <c:v>1.14E-2</c:v>
                </c:pt>
                <c:pt idx="1683">
                  <c:v>6.3E-3</c:v>
                </c:pt>
                <c:pt idx="1684">
                  <c:v>6.6E-3</c:v>
                </c:pt>
                <c:pt idx="1685">
                  <c:v>6.8999999999999999E-3</c:v>
                </c:pt>
                <c:pt idx="1686">
                  <c:v>7.6E-3</c:v>
                </c:pt>
                <c:pt idx="1687">
                  <c:v>8.3999999999999995E-3</c:v>
                </c:pt>
                <c:pt idx="1688">
                  <c:v>9.2999999999999992E-3</c:v>
                </c:pt>
                <c:pt idx="1689">
                  <c:v>8.8000000000000005E-3</c:v>
                </c:pt>
                <c:pt idx="1690">
                  <c:v>9.1999999999999998E-3</c:v>
                </c:pt>
                <c:pt idx="1691">
                  <c:v>8.6999999999999994E-3</c:v>
                </c:pt>
                <c:pt idx="1692">
                  <c:v>9.2999999999999992E-3</c:v>
                </c:pt>
                <c:pt idx="1693">
                  <c:v>1.7100000000000001E-2</c:v>
                </c:pt>
                <c:pt idx="1694">
                  <c:v>1.6899999999999998E-2</c:v>
                </c:pt>
                <c:pt idx="1695">
                  <c:v>1.6400000000000001E-2</c:v>
                </c:pt>
                <c:pt idx="1696">
                  <c:v>1.4500000000000001E-2</c:v>
                </c:pt>
                <c:pt idx="1697">
                  <c:v>1.2E-2</c:v>
                </c:pt>
                <c:pt idx="1698">
                  <c:v>1.44E-2</c:v>
                </c:pt>
                <c:pt idx="1699">
                  <c:v>1.1900000000000001E-2</c:v>
                </c:pt>
                <c:pt idx="1700">
                  <c:v>1.14E-2</c:v>
                </c:pt>
                <c:pt idx="1701">
                  <c:v>8.6999999999999994E-3</c:v>
                </c:pt>
                <c:pt idx="1702">
                  <c:v>1.2E-2</c:v>
                </c:pt>
                <c:pt idx="1703">
                  <c:v>1.14E-2</c:v>
                </c:pt>
                <c:pt idx="1704">
                  <c:v>1.0800000000000001E-2</c:v>
                </c:pt>
                <c:pt idx="1705">
                  <c:v>1.0500000000000001E-2</c:v>
                </c:pt>
                <c:pt idx="1706">
                  <c:v>8.6999999999999994E-3</c:v>
                </c:pt>
                <c:pt idx="1707">
                  <c:v>8.6999999999999994E-3</c:v>
                </c:pt>
                <c:pt idx="1708">
                  <c:v>7.7000000000000002E-3</c:v>
                </c:pt>
                <c:pt idx="1709">
                  <c:v>8.6999999999999994E-3</c:v>
                </c:pt>
                <c:pt idx="1710">
                  <c:v>7.3000000000000001E-3</c:v>
                </c:pt>
                <c:pt idx="1711">
                  <c:v>7.4999999999999997E-3</c:v>
                </c:pt>
                <c:pt idx="1712">
                  <c:v>6.6E-3</c:v>
                </c:pt>
                <c:pt idx="1713">
                  <c:v>6.0000000000000001E-3</c:v>
                </c:pt>
                <c:pt idx="1714">
                  <c:v>5.0000000000000001E-3</c:v>
                </c:pt>
                <c:pt idx="1715">
                  <c:v>3.8E-3</c:v>
                </c:pt>
                <c:pt idx="1716">
                  <c:v>4.4999999999999997E-3</c:v>
                </c:pt>
                <c:pt idx="1717">
                  <c:v>4.0000000000000001E-3</c:v>
                </c:pt>
                <c:pt idx="1718">
                  <c:v>4.4999999999999997E-3</c:v>
                </c:pt>
                <c:pt idx="1719">
                  <c:v>4.1999999999999997E-3</c:v>
                </c:pt>
                <c:pt idx="1720">
                  <c:v>4.3E-3</c:v>
                </c:pt>
                <c:pt idx="1721">
                  <c:v>4.5999999999999999E-3</c:v>
                </c:pt>
                <c:pt idx="1722">
                  <c:v>7.1000000000000004E-3</c:v>
                </c:pt>
                <c:pt idx="1723">
                  <c:v>8.2000000000000007E-3</c:v>
                </c:pt>
                <c:pt idx="1724">
                  <c:v>0.01</c:v>
                </c:pt>
                <c:pt idx="1725">
                  <c:v>1.0699999999999999E-2</c:v>
                </c:pt>
                <c:pt idx="1726">
                  <c:v>9.1000000000000004E-3</c:v>
                </c:pt>
                <c:pt idx="1727">
                  <c:v>7.7999999999999996E-3</c:v>
                </c:pt>
                <c:pt idx="1728">
                  <c:v>7.1999999999999998E-3</c:v>
                </c:pt>
                <c:pt idx="1729">
                  <c:v>6.4999999999999997E-3</c:v>
                </c:pt>
                <c:pt idx="1730">
                  <c:v>5.7999999999999996E-3</c:v>
                </c:pt>
                <c:pt idx="1731">
                  <c:v>5.5999999999999999E-3</c:v>
                </c:pt>
                <c:pt idx="1732">
                  <c:v>4.3E-3</c:v>
                </c:pt>
                <c:pt idx="1733">
                  <c:v>3.8E-3</c:v>
                </c:pt>
                <c:pt idx="1734">
                  <c:v>1.8E-3</c:v>
                </c:pt>
                <c:pt idx="1735">
                  <c:v>1.6000000000000001E-3</c:v>
                </c:pt>
                <c:pt idx="1736">
                  <c:v>3.2000000000000002E-3</c:v>
                </c:pt>
                <c:pt idx="1737">
                  <c:v>4.0000000000000001E-3</c:v>
                </c:pt>
                <c:pt idx="1738">
                  <c:v>3.0999999999999999E-3</c:v>
                </c:pt>
                <c:pt idx="1739">
                  <c:v>2.3999999999999998E-3</c:v>
                </c:pt>
                <c:pt idx="1740">
                  <c:v>2E-3</c:v>
                </c:pt>
                <c:pt idx="1741">
                  <c:v>2.5999999999999999E-3</c:v>
                </c:pt>
                <c:pt idx="1742">
                  <c:v>1.9E-3</c:v>
                </c:pt>
                <c:pt idx="1743">
                  <c:v>1.8E-3</c:v>
                </c:pt>
                <c:pt idx="1744">
                  <c:v>1.9E-3</c:v>
                </c:pt>
                <c:pt idx="1745">
                  <c:v>3.2000000000000002E-3</c:v>
                </c:pt>
                <c:pt idx="1746">
                  <c:v>7.3000000000000001E-3</c:v>
                </c:pt>
                <c:pt idx="1747">
                  <c:v>6.8999999999999999E-3</c:v>
                </c:pt>
                <c:pt idx="1748">
                  <c:v>8.8000000000000005E-3</c:v>
                </c:pt>
                <c:pt idx="1749">
                  <c:v>1.01E-2</c:v>
                </c:pt>
                <c:pt idx="1750">
                  <c:v>9.7999999999999997E-3</c:v>
                </c:pt>
                <c:pt idx="1751">
                  <c:v>9.1000000000000004E-3</c:v>
                </c:pt>
                <c:pt idx="1752">
                  <c:v>7.3000000000000001E-3</c:v>
                </c:pt>
                <c:pt idx="1753">
                  <c:v>6.8999999999999999E-3</c:v>
                </c:pt>
                <c:pt idx="1754">
                  <c:v>8.5000000000000006E-3</c:v>
                </c:pt>
                <c:pt idx="1755">
                  <c:v>5.3E-3</c:v>
                </c:pt>
                <c:pt idx="1756">
                  <c:v>5.7999999999999996E-3</c:v>
                </c:pt>
                <c:pt idx="1757">
                  <c:v>4.7000000000000002E-3</c:v>
                </c:pt>
                <c:pt idx="1758">
                  <c:v>5.8999999999999999E-3</c:v>
                </c:pt>
                <c:pt idx="1759">
                  <c:v>7.7999999999999996E-3</c:v>
                </c:pt>
                <c:pt idx="1760">
                  <c:v>7.7000000000000002E-3</c:v>
                </c:pt>
                <c:pt idx="1761">
                  <c:v>1.0200000000000001E-2</c:v>
                </c:pt>
                <c:pt idx="1762">
                  <c:v>9.2999999999999992E-3</c:v>
                </c:pt>
                <c:pt idx="1763">
                  <c:v>1.12E-2</c:v>
                </c:pt>
                <c:pt idx="1764">
                  <c:v>1.2E-2</c:v>
                </c:pt>
                <c:pt idx="1765">
                  <c:v>1.43E-2</c:v>
                </c:pt>
                <c:pt idx="1766">
                  <c:v>1.3299999999999999E-2</c:v>
                </c:pt>
                <c:pt idx="1767">
                  <c:v>1.2500000000000001E-2</c:v>
                </c:pt>
                <c:pt idx="1768">
                  <c:v>1.2E-2</c:v>
                </c:pt>
                <c:pt idx="1769">
                  <c:v>8.9999999999999993E-3</c:v>
                </c:pt>
                <c:pt idx="1770">
                  <c:v>7.1000000000000004E-3</c:v>
                </c:pt>
                <c:pt idx="1771">
                  <c:v>6.1000000000000004E-3</c:v>
                </c:pt>
                <c:pt idx="1772">
                  <c:v>3.3999999999999998E-3</c:v>
                </c:pt>
                <c:pt idx="1773">
                  <c:v>4.4000000000000003E-3</c:v>
                </c:pt>
                <c:pt idx="1774">
                  <c:v>4.1000000000000003E-3</c:v>
                </c:pt>
                <c:pt idx="1775">
                  <c:v>3.8E-3</c:v>
                </c:pt>
                <c:pt idx="1776">
                  <c:v>4.0000000000000001E-3</c:v>
                </c:pt>
                <c:pt idx="1777">
                  <c:v>3.5999999999999999E-3</c:v>
                </c:pt>
                <c:pt idx="1778">
                  <c:v>7.4000000000000003E-3</c:v>
                </c:pt>
                <c:pt idx="1779">
                  <c:v>8.9999999999999993E-3</c:v>
                </c:pt>
                <c:pt idx="1780">
                  <c:v>8.3999999999999995E-3</c:v>
                </c:pt>
                <c:pt idx="1781">
                  <c:v>8.0999999999999996E-3</c:v>
                </c:pt>
                <c:pt idx="1782">
                  <c:v>6.7999999999999996E-3</c:v>
                </c:pt>
                <c:pt idx="1783">
                  <c:v>8.3999999999999995E-3</c:v>
                </c:pt>
                <c:pt idx="1784">
                  <c:v>7.0000000000000001E-3</c:v>
                </c:pt>
                <c:pt idx="1785">
                  <c:v>6.4999999999999997E-3</c:v>
                </c:pt>
                <c:pt idx="1786">
                  <c:v>5.4999999999999997E-3</c:v>
                </c:pt>
                <c:pt idx="1787">
                  <c:v>7.1000000000000004E-3</c:v>
                </c:pt>
                <c:pt idx="1788">
                  <c:v>2.8E-3</c:v>
                </c:pt>
                <c:pt idx="1789">
                  <c:v>3.2000000000000002E-3</c:v>
                </c:pt>
                <c:pt idx="1790">
                  <c:v>3.5999999999999999E-3</c:v>
                </c:pt>
                <c:pt idx="1791">
                  <c:v>1.9E-3</c:v>
                </c:pt>
                <c:pt idx="1792">
                  <c:v>2E-3</c:v>
                </c:pt>
                <c:pt idx="1793">
                  <c:v>2.3E-3</c:v>
                </c:pt>
                <c:pt idx="1794">
                  <c:v>1.9E-3</c:v>
                </c:pt>
                <c:pt idx="1795">
                  <c:v>2.7000000000000001E-3</c:v>
                </c:pt>
                <c:pt idx="1796">
                  <c:v>2.8999999999999998E-3</c:v>
                </c:pt>
                <c:pt idx="1797">
                  <c:v>2E-3</c:v>
                </c:pt>
                <c:pt idx="1798">
                  <c:v>2.3E-3</c:v>
                </c:pt>
                <c:pt idx="1799">
                  <c:v>1.1000000000000001E-3</c:v>
                </c:pt>
                <c:pt idx="1800">
                  <c:v>8.0000000000000004E-4</c:v>
                </c:pt>
                <c:pt idx="1801">
                  <c:v>1.1999999999999999E-3</c:v>
                </c:pt>
                <c:pt idx="1802">
                  <c:v>8.9999999999999998E-4</c:v>
                </c:pt>
                <c:pt idx="1803">
                  <c:v>8.9999999999999998E-4</c:v>
                </c:pt>
                <c:pt idx="1804">
                  <c:v>3.8999999999999998E-3</c:v>
                </c:pt>
                <c:pt idx="1805">
                  <c:v>4.7999999999999996E-3</c:v>
                </c:pt>
                <c:pt idx="1806">
                  <c:v>3.8E-3</c:v>
                </c:pt>
                <c:pt idx="1807">
                  <c:v>3.8999999999999998E-3</c:v>
                </c:pt>
                <c:pt idx="1808">
                  <c:v>2.7000000000000001E-3</c:v>
                </c:pt>
                <c:pt idx="1809">
                  <c:v>2.5999999999999999E-3</c:v>
                </c:pt>
                <c:pt idx="1810">
                  <c:v>2.5999999999999999E-3</c:v>
                </c:pt>
                <c:pt idx="1811">
                  <c:v>2.5000000000000001E-3</c:v>
                </c:pt>
                <c:pt idx="1812">
                  <c:v>1.6000000000000001E-3</c:v>
                </c:pt>
                <c:pt idx="1813">
                  <c:v>1.1999999999999999E-3</c:v>
                </c:pt>
                <c:pt idx="1814">
                  <c:v>1.6000000000000001E-3</c:v>
                </c:pt>
                <c:pt idx="1815">
                  <c:v>1.6000000000000001E-3</c:v>
                </c:pt>
                <c:pt idx="1816">
                  <c:v>2.5999999999999999E-3</c:v>
                </c:pt>
                <c:pt idx="1817">
                  <c:v>3.3E-3</c:v>
                </c:pt>
                <c:pt idx="1818">
                  <c:v>2.2000000000000001E-3</c:v>
                </c:pt>
                <c:pt idx="1819">
                  <c:v>1.8E-3</c:v>
                </c:pt>
                <c:pt idx="1820">
                  <c:v>1.5E-3</c:v>
                </c:pt>
                <c:pt idx="1821">
                  <c:v>1.5E-3</c:v>
                </c:pt>
                <c:pt idx="1822">
                  <c:v>1.6999999999999999E-3</c:v>
                </c:pt>
                <c:pt idx="1823">
                  <c:v>1.6000000000000001E-3</c:v>
                </c:pt>
                <c:pt idx="1824">
                  <c:v>1.5E-3</c:v>
                </c:pt>
                <c:pt idx="1825">
                  <c:v>1.6999999999999999E-3</c:v>
                </c:pt>
                <c:pt idx="1826">
                  <c:v>1.2999999999999999E-3</c:v>
                </c:pt>
                <c:pt idx="1827">
                  <c:v>1.2999999999999999E-3</c:v>
                </c:pt>
                <c:pt idx="1828">
                  <c:v>2E-3</c:v>
                </c:pt>
                <c:pt idx="1829">
                  <c:v>1.5E-3</c:v>
                </c:pt>
                <c:pt idx="1830">
                  <c:v>1.4E-3</c:v>
                </c:pt>
                <c:pt idx="1831">
                  <c:v>1.4E-3</c:v>
                </c:pt>
                <c:pt idx="1832">
                  <c:v>2.3999999999999998E-3</c:v>
                </c:pt>
                <c:pt idx="1833">
                  <c:v>4.7000000000000002E-3</c:v>
                </c:pt>
                <c:pt idx="1834">
                  <c:v>7.7999999999999996E-3</c:v>
                </c:pt>
                <c:pt idx="1835">
                  <c:v>4.4999999999999997E-3</c:v>
                </c:pt>
                <c:pt idx="1836">
                  <c:v>2.5999999999999999E-3</c:v>
                </c:pt>
                <c:pt idx="1837">
                  <c:v>3.0999999999999999E-3</c:v>
                </c:pt>
                <c:pt idx="1838">
                  <c:v>1.4E-3</c:v>
                </c:pt>
                <c:pt idx="1839">
                  <c:v>8.9999999999999998E-4</c:v>
                </c:pt>
                <c:pt idx="1840">
                  <c:v>8.0000000000000004E-4</c:v>
                </c:pt>
                <c:pt idx="1841">
                  <c:v>8.0000000000000004E-4</c:v>
                </c:pt>
                <c:pt idx="1842">
                  <c:v>1.9E-3</c:v>
                </c:pt>
                <c:pt idx="1843">
                  <c:v>1.6000000000000001E-3</c:v>
                </c:pt>
                <c:pt idx="1844">
                  <c:v>1E-3</c:v>
                </c:pt>
                <c:pt idx="1845">
                  <c:v>1.2999999999999999E-3</c:v>
                </c:pt>
                <c:pt idx="1846">
                  <c:v>1.9E-3</c:v>
                </c:pt>
                <c:pt idx="1847">
                  <c:v>1E-3</c:v>
                </c:pt>
                <c:pt idx="1848">
                  <c:v>1.5E-3</c:v>
                </c:pt>
                <c:pt idx="1849">
                  <c:v>7.0000000000000001E-3</c:v>
                </c:pt>
                <c:pt idx="1850">
                  <c:v>2.07E-2</c:v>
                </c:pt>
                <c:pt idx="1851">
                  <c:v>3.44E-2</c:v>
                </c:pt>
                <c:pt idx="1852">
                  <c:v>4.48E-2</c:v>
                </c:pt>
                <c:pt idx="1853">
                  <c:v>5.0299999999999997E-2</c:v>
                </c:pt>
                <c:pt idx="1854">
                  <c:v>4.9799999999999997E-2</c:v>
                </c:pt>
                <c:pt idx="1855">
                  <c:v>4.5900000000000003E-2</c:v>
                </c:pt>
                <c:pt idx="1856">
                  <c:v>4.1700000000000001E-2</c:v>
                </c:pt>
                <c:pt idx="1857">
                  <c:v>3.5700000000000003E-2</c:v>
                </c:pt>
                <c:pt idx="1858">
                  <c:v>3.1800000000000002E-2</c:v>
                </c:pt>
                <c:pt idx="1859">
                  <c:v>3.2000000000000001E-2</c:v>
                </c:pt>
                <c:pt idx="1860">
                  <c:v>3.0599999999999999E-2</c:v>
                </c:pt>
                <c:pt idx="1861">
                  <c:v>2.5399999999999999E-2</c:v>
                </c:pt>
                <c:pt idx="1862">
                  <c:v>2.1999999999999999E-2</c:v>
                </c:pt>
                <c:pt idx="1863">
                  <c:v>1.9300000000000001E-2</c:v>
                </c:pt>
                <c:pt idx="1864">
                  <c:v>1.6799999999999999E-2</c:v>
                </c:pt>
                <c:pt idx="1865">
                  <c:v>1.4200000000000001E-2</c:v>
                </c:pt>
                <c:pt idx="1866">
                  <c:v>1.18E-2</c:v>
                </c:pt>
                <c:pt idx="1867">
                  <c:v>9.1999999999999998E-3</c:v>
                </c:pt>
                <c:pt idx="1868">
                  <c:v>1.0999999999999999E-2</c:v>
                </c:pt>
                <c:pt idx="1869">
                  <c:v>1.5900000000000001E-2</c:v>
                </c:pt>
                <c:pt idx="1870">
                  <c:v>1.6E-2</c:v>
                </c:pt>
                <c:pt idx="1871">
                  <c:v>1.37E-2</c:v>
                </c:pt>
                <c:pt idx="1872">
                  <c:v>1.32E-2</c:v>
                </c:pt>
                <c:pt idx="1873">
                  <c:v>1.11E-2</c:v>
                </c:pt>
                <c:pt idx="1874">
                  <c:v>9.7000000000000003E-3</c:v>
                </c:pt>
                <c:pt idx="1875">
                  <c:v>8.6999999999999994E-3</c:v>
                </c:pt>
                <c:pt idx="1876">
                  <c:v>8.8999999999999999E-3</c:v>
                </c:pt>
                <c:pt idx="1877">
                  <c:v>7.7000000000000002E-3</c:v>
                </c:pt>
                <c:pt idx="1878">
                  <c:v>6.0000000000000001E-3</c:v>
                </c:pt>
                <c:pt idx="1879">
                  <c:v>5.1999999999999998E-3</c:v>
                </c:pt>
                <c:pt idx="1880">
                  <c:v>6.3E-3</c:v>
                </c:pt>
                <c:pt idx="1881">
                  <c:v>5.4000000000000003E-3</c:v>
                </c:pt>
                <c:pt idx="1882">
                  <c:v>4.8999999999999998E-3</c:v>
                </c:pt>
                <c:pt idx="1883">
                  <c:v>1.5900000000000001E-2</c:v>
                </c:pt>
                <c:pt idx="1884">
                  <c:v>2.3199999999999998E-2</c:v>
                </c:pt>
                <c:pt idx="1885">
                  <c:v>3.1800000000000002E-2</c:v>
                </c:pt>
                <c:pt idx="1886">
                  <c:v>3.5299999999999998E-2</c:v>
                </c:pt>
                <c:pt idx="1887">
                  <c:v>3.6600000000000001E-2</c:v>
                </c:pt>
                <c:pt idx="1888">
                  <c:v>3.4200000000000001E-2</c:v>
                </c:pt>
                <c:pt idx="1889">
                  <c:v>0.03</c:v>
                </c:pt>
                <c:pt idx="1890">
                  <c:v>2.4500000000000001E-2</c:v>
                </c:pt>
                <c:pt idx="1891">
                  <c:v>2.0199999999999999E-2</c:v>
                </c:pt>
                <c:pt idx="1892">
                  <c:v>1.7600000000000001E-2</c:v>
                </c:pt>
                <c:pt idx="1893">
                  <c:v>2.0199999999999999E-2</c:v>
                </c:pt>
                <c:pt idx="1894">
                  <c:v>1.84E-2</c:v>
                </c:pt>
                <c:pt idx="1895">
                  <c:v>1.8200000000000001E-2</c:v>
                </c:pt>
                <c:pt idx="1896">
                  <c:v>1.67E-2</c:v>
                </c:pt>
                <c:pt idx="1897">
                  <c:v>1.6199999999999999E-2</c:v>
                </c:pt>
                <c:pt idx="1898">
                  <c:v>1.32E-2</c:v>
                </c:pt>
                <c:pt idx="1899">
                  <c:v>1.3299999999999999E-2</c:v>
                </c:pt>
                <c:pt idx="1900">
                  <c:v>1.17E-2</c:v>
                </c:pt>
                <c:pt idx="1901">
                  <c:v>1.21E-2</c:v>
                </c:pt>
                <c:pt idx="1902">
                  <c:v>9.1000000000000004E-3</c:v>
                </c:pt>
                <c:pt idx="1903">
                  <c:v>4.4000000000000003E-3</c:v>
                </c:pt>
                <c:pt idx="1904">
                  <c:v>3.7000000000000002E-3</c:v>
                </c:pt>
                <c:pt idx="1905">
                  <c:v>2.5999999999999999E-3</c:v>
                </c:pt>
                <c:pt idx="1906">
                  <c:v>2.5999999999999999E-3</c:v>
                </c:pt>
                <c:pt idx="1907">
                  <c:v>2.7000000000000001E-3</c:v>
                </c:pt>
                <c:pt idx="1908">
                  <c:v>2.0999999999999999E-3</c:v>
                </c:pt>
                <c:pt idx="1909">
                  <c:v>2.0999999999999999E-3</c:v>
                </c:pt>
                <c:pt idx="1910">
                  <c:v>2.3E-3</c:v>
                </c:pt>
                <c:pt idx="1911">
                  <c:v>2.5000000000000001E-3</c:v>
                </c:pt>
                <c:pt idx="1912">
                  <c:v>2.3999999999999998E-3</c:v>
                </c:pt>
                <c:pt idx="1913">
                  <c:v>2E-3</c:v>
                </c:pt>
                <c:pt idx="1914">
                  <c:v>2.2000000000000001E-3</c:v>
                </c:pt>
                <c:pt idx="1915">
                  <c:v>3.2000000000000002E-3</c:v>
                </c:pt>
                <c:pt idx="1916">
                  <c:v>3.0000000000000001E-3</c:v>
                </c:pt>
                <c:pt idx="1917">
                  <c:v>3.7000000000000002E-3</c:v>
                </c:pt>
                <c:pt idx="1918">
                  <c:v>4.7999999999999996E-3</c:v>
                </c:pt>
                <c:pt idx="1919">
                  <c:v>5.8999999999999999E-3</c:v>
                </c:pt>
                <c:pt idx="1920">
                  <c:v>4.7000000000000002E-3</c:v>
                </c:pt>
                <c:pt idx="1921">
                  <c:v>4.1999999999999997E-3</c:v>
                </c:pt>
                <c:pt idx="1922">
                  <c:v>2.7000000000000001E-3</c:v>
                </c:pt>
                <c:pt idx="1923">
                  <c:v>3.7000000000000002E-3</c:v>
                </c:pt>
                <c:pt idx="1924">
                  <c:v>6.1999999999999998E-3</c:v>
                </c:pt>
                <c:pt idx="1925">
                  <c:v>1.0699999999999999E-2</c:v>
                </c:pt>
                <c:pt idx="1926">
                  <c:v>1.37E-2</c:v>
                </c:pt>
                <c:pt idx="1927">
                  <c:v>1.3100000000000001E-2</c:v>
                </c:pt>
                <c:pt idx="1928">
                  <c:v>1.7999999999999999E-2</c:v>
                </c:pt>
                <c:pt idx="1929">
                  <c:v>2.3900000000000001E-2</c:v>
                </c:pt>
                <c:pt idx="1930">
                  <c:v>3.0099999999999998E-2</c:v>
                </c:pt>
                <c:pt idx="1931">
                  <c:v>5.7700000000000001E-2</c:v>
                </c:pt>
                <c:pt idx="1932">
                  <c:v>7.3400000000000007E-2</c:v>
                </c:pt>
                <c:pt idx="1933">
                  <c:v>8.5199999999999998E-2</c:v>
                </c:pt>
                <c:pt idx="1934">
                  <c:v>8.5400000000000004E-2</c:v>
                </c:pt>
                <c:pt idx="1935">
                  <c:v>8.4699999999999998E-2</c:v>
                </c:pt>
                <c:pt idx="1936">
                  <c:v>8.6999999999999994E-2</c:v>
                </c:pt>
                <c:pt idx="1937">
                  <c:v>9.1300000000000006E-2</c:v>
                </c:pt>
                <c:pt idx="1938">
                  <c:v>8.6900000000000005E-2</c:v>
                </c:pt>
                <c:pt idx="1939">
                  <c:v>8.7499999999999994E-2</c:v>
                </c:pt>
                <c:pt idx="1940">
                  <c:v>8.6699999999999999E-2</c:v>
                </c:pt>
                <c:pt idx="1941">
                  <c:v>8.2600000000000007E-2</c:v>
                </c:pt>
                <c:pt idx="1942">
                  <c:v>7.8799999999999995E-2</c:v>
                </c:pt>
                <c:pt idx="1943">
                  <c:v>8.3699999999999997E-2</c:v>
                </c:pt>
                <c:pt idx="1944">
                  <c:v>9.4600000000000004E-2</c:v>
                </c:pt>
                <c:pt idx="1945">
                  <c:v>8.9300000000000004E-2</c:v>
                </c:pt>
                <c:pt idx="1946">
                  <c:v>8.7099999999999997E-2</c:v>
                </c:pt>
                <c:pt idx="1947">
                  <c:v>7.9799999999999996E-2</c:v>
                </c:pt>
                <c:pt idx="1948">
                  <c:v>7.5600000000000001E-2</c:v>
                </c:pt>
                <c:pt idx="1949">
                  <c:v>7.0400000000000004E-2</c:v>
                </c:pt>
                <c:pt idx="1950">
                  <c:v>6.9099999999999995E-2</c:v>
                </c:pt>
                <c:pt idx="1951">
                  <c:v>6.4899999999999999E-2</c:v>
                </c:pt>
                <c:pt idx="1952">
                  <c:v>6.6000000000000003E-2</c:v>
                </c:pt>
                <c:pt idx="1953">
                  <c:v>6.2199999999999998E-2</c:v>
                </c:pt>
                <c:pt idx="1954">
                  <c:v>6.5799999999999997E-2</c:v>
                </c:pt>
                <c:pt idx="1955">
                  <c:v>7.0900000000000005E-2</c:v>
                </c:pt>
                <c:pt idx="1956">
                  <c:v>6.93E-2</c:v>
                </c:pt>
                <c:pt idx="1957">
                  <c:v>6.2300000000000001E-2</c:v>
                </c:pt>
                <c:pt idx="1958">
                  <c:v>5.8000000000000003E-2</c:v>
                </c:pt>
                <c:pt idx="1959">
                  <c:v>5.45E-2</c:v>
                </c:pt>
                <c:pt idx="1960">
                  <c:v>4.9799999999999997E-2</c:v>
                </c:pt>
                <c:pt idx="1961">
                  <c:v>4.8899999999999999E-2</c:v>
                </c:pt>
                <c:pt idx="1962">
                  <c:v>5.04E-2</c:v>
                </c:pt>
                <c:pt idx="1963">
                  <c:v>5.1799999999999999E-2</c:v>
                </c:pt>
                <c:pt idx="1964">
                  <c:v>5.1900000000000002E-2</c:v>
                </c:pt>
                <c:pt idx="1965">
                  <c:v>4.9500000000000002E-2</c:v>
                </c:pt>
                <c:pt idx="1966">
                  <c:v>4.5900000000000003E-2</c:v>
                </c:pt>
                <c:pt idx="1967">
                  <c:v>4.7699999999999999E-2</c:v>
                </c:pt>
                <c:pt idx="1968">
                  <c:v>4.3999999999999997E-2</c:v>
                </c:pt>
                <c:pt idx="1969">
                  <c:v>3.78E-2</c:v>
                </c:pt>
                <c:pt idx="1970">
                  <c:v>3.5799999999999998E-2</c:v>
                </c:pt>
                <c:pt idx="1971">
                  <c:v>3.15E-2</c:v>
                </c:pt>
                <c:pt idx="1972">
                  <c:v>3.44E-2</c:v>
                </c:pt>
                <c:pt idx="1973">
                  <c:v>0.03</c:v>
                </c:pt>
                <c:pt idx="1974">
                  <c:v>3.2599999999999997E-2</c:v>
                </c:pt>
                <c:pt idx="1975">
                  <c:v>2.5600000000000001E-2</c:v>
                </c:pt>
                <c:pt idx="1976">
                  <c:v>2.5600000000000001E-2</c:v>
                </c:pt>
                <c:pt idx="1977">
                  <c:v>1.9300000000000001E-2</c:v>
                </c:pt>
                <c:pt idx="1978">
                  <c:v>1.35E-2</c:v>
                </c:pt>
                <c:pt idx="1979">
                  <c:v>1.3899999999999999E-2</c:v>
                </c:pt>
                <c:pt idx="1980">
                  <c:v>1.66E-2</c:v>
                </c:pt>
                <c:pt idx="1981">
                  <c:v>1.5800000000000002E-2</c:v>
                </c:pt>
                <c:pt idx="1982">
                  <c:v>1.5599999999999999E-2</c:v>
                </c:pt>
                <c:pt idx="1983">
                  <c:v>1.4200000000000001E-2</c:v>
                </c:pt>
                <c:pt idx="1984">
                  <c:v>1.23E-2</c:v>
                </c:pt>
                <c:pt idx="1985">
                  <c:v>1.6500000000000001E-2</c:v>
                </c:pt>
                <c:pt idx="1986">
                  <c:v>1.8100000000000002E-2</c:v>
                </c:pt>
                <c:pt idx="1987">
                  <c:v>0.02</c:v>
                </c:pt>
                <c:pt idx="1988">
                  <c:v>1.9900000000000001E-2</c:v>
                </c:pt>
                <c:pt idx="1989">
                  <c:v>1.8599999999999998E-2</c:v>
                </c:pt>
                <c:pt idx="1990">
                  <c:v>1.8499999999999999E-2</c:v>
                </c:pt>
                <c:pt idx="1991">
                  <c:v>1.4800000000000001E-2</c:v>
                </c:pt>
                <c:pt idx="1992">
                  <c:v>1.35E-2</c:v>
                </c:pt>
                <c:pt idx="1993">
                  <c:v>1.37E-2</c:v>
                </c:pt>
                <c:pt idx="1994">
                  <c:v>1.23E-2</c:v>
                </c:pt>
                <c:pt idx="1995">
                  <c:v>1.12E-2</c:v>
                </c:pt>
                <c:pt idx="1996">
                  <c:v>1.34E-2</c:v>
                </c:pt>
                <c:pt idx="1997">
                  <c:v>8.6E-3</c:v>
                </c:pt>
                <c:pt idx="1998">
                  <c:v>9.4000000000000004E-3</c:v>
                </c:pt>
                <c:pt idx="1999">
                  <c:v>1.5100000000000001E-2</c:v>
                </c:pt>
                <c:pt idx="2000">
                  <c:v>2.0500000000000001E-2</c:v>
                </c:pt>
                <c:pt idx="2001">
                  <c:v>2.2499999999999999E-2</c:v>
                </c:pt>
                <c:pt idx="2002">
                  <c:v>2.5499999999999998E-2</c:v>
                </c:pt>
                <c:pt idx="2003">
                  <c:v>3.0800000000000001E-2</c:v>
                </c:pt>
                <c:pt idx="2004">
                  <c:v>3.4200000000000001E-2</c:v>
                </c:pt>
                <c:pt idx="2005">
                  <c:v>3.4299999999999997E-2</c:v>
                </c:pt>
                <c:pt idx="2006">
                  <c:v>3.4099999999999998E-2</c:v>
                </c:pt>
                <c:pt idx="2007">
                  <c:v>3.4799999999999998E-2</c:v>
                </c:pt>
                <c:pt idx="2008">
                  <c:v>2.6800000000000001E-2</c:v>
                </c:pt>
                <c:pt idx="2009">
                  <c:v>2.3699999999999999E-2</c:v>
                </c:pt>
                <c:pt idx="2010">
                  <c:v>2.24E-2</c:v>
                </c:pt>
                <c:pt idx="2011">
                  <c:v>2.24E-2</c:v>
                </c:pt>
                <c:pt idx="2012">
                  <c:v>2.1700000000000001E-2</c:v>
                </c:pt>
                <c:pt idx="2013">
                  <c:v>1.37E-2</c:v>
                </c:pt>
                <c:pt idx="2014">
                  <c:v>1.29E-2</c:v>
                </c:pt>
                <c:pt idx="2015">
                  <c:v>1.2200000000000001E-2</c:v>
                </c:pt>
                <c:pt idx="2016">
                  <c:v>1.21E-2</c:v>
                </c:pt>
                <c:pt idx="2017">
                  <c:v>1.2699999999999999E-2</c:v>
                </c:pt>
                <c:pt idx="2018">
                  <c:v>1.17E-2</c:v>
                </c:pt>
                <c:pt idx="2019">
                  <c:v>1.17E-2</c:v>
                </c:pt>
                <c:pt idx="2020">
                  <c:v>1.55E-2</c:v>
                </c:pt>
                <c:pt idx="2021">
                  <c:v>2.4500000000000001E-2</c:v>
                </c:pt>
                <c:pt idx="2022">
                  <c:v>2.93E-2</c:v>
                </c:pt>
                <c:pt idx="2023">
                  <c:v>3.1399999999999997E-2</c:v>
                </c:pt>
                <c:pt idx="2024">
                  <c:v>3.5499999999999997E-2</c:v>
                </c:pt>
                <c:pt idx="2025">
                  <c:v>4.4200000000000003E-2</c:v>
                </c:pt>
                <c:pt idx="2026">
                  <c:v>4.8599999999999997E-2</c:v>
                </c:pt>
                <c:pt idx="2027">
                  <c:v>6.2100000000000002E-2</c:v>
                </c:pt>
                <c:pt idx="2028">
                  <c:v>8.6800000000000002E-2</c:v>
                </c:pt>
                <c:pt idx="2029">
                  <c:v>0.1003</c:v>
                </c:pt>
                <c:pt idx="2030">
                  <c:v>0.10539999999999999</c:v>
                </c:pt>
                <c:pt idx="2031">
                  <c:v>0.1108</c:v>
                </c:pt>
                <c:pt idx="2032">
                  <c:v>0.10970000000000001</c:v>
                </c:pt>
                <c:pt idx="2033">
                  <c:v>0.11260000000000001</c:v>
                </c:pt>
                <c:pt idx="2034">
                  <c:v>0.1104</c:v>
                </c:pt>
                <c:pt idx="2035">
                  <c:v>0.1099</c:v>
                </c:pt>
                <c:pt idx="2036">
                  <c:v>0.13059999999999999</c:v>
                </c:pt>
                <c:pt idx="2037">
                  <c:v>0.1265</c:v>
                </c:pt>
                <c:pt idx="2038">
                  <c:v>0.129</c:v>
                </c:pt>
                <c:pt idx="2039">
                  <c:v>0.13880000000000001</c:v>
                </c:pt>
                <c:pt idx="2040">
                  <c:v>0.14799999999999999</c:v>
                </c:pt>
                <c:pt idx="2041">
                  <c:v>0.14130000000000001</c:v>
                </c:pt>
                <c:pt idx="2042">
                  <c:v>0.13239999999999999</c:v>
                </c:pt>
                <c:pt idx="2043">
                  <c:v>0.1105</c:v>
                </c:pt>
                <c:pt idx="2044">
                  <c:v>0.1135</c:v>
                </c:pt>
                <c:pt idx="2045">
                  <c:v>0.11890000000000001</c:v>
                </c:pt>
                <c:pt idx="2046">
                  <c:v>0.1158</c:v>
                </c:pt>
                <c:pt idx="2047">
                  <c:v>0.1244</c:v>
                </c:pt>
                <c:pt idx="2048">
                  <c:v>0.1191</c:v>
                </c:pt>
                <c:pt idx="2049">
                  <c:v>0.108</c:v>
                </c:pt>
                <c:pt idx="2050">
                  <c:v>8.7999999999999995E-2</c:v>
                </c:pt>
                <c:pt idx="2051">
                  <c:v>8.3799999999999999E-2</c:v>
                </c:pt>
                <c:pt idx="2052">
                  <c:v>8.8400000000000006E-2</c:v>
                </c:pt>
                <c:pt idx="2053">
                  <c:v>9.5000000000000001E-2</c:v>
                </c:pt>
                <c:pt idx="2054">
                  <c:v>9.8000000000000004E-2</c:v>
                </c:pt>
                <c:pt idx="2055">
                  <c:v>0.1104</c:v>
                </c:pt>
                <c:pt idx="2056">
                  <c:v>0.13200000000000001</c:v>
                </c:pt>
                <c:pt idx="2057">
                  <c:v>0.1459</c:v>
                </c:pt>
                <c:pt idx="2058">
                  <c:v>0.16209999999999999</c:v>
                </c:pt>
                <c:pt idx="2059">
                  <c:v>0.1532</c:v>
                </c:pt>
                <c:pt idx="2060">
                  <c:v>0.16059999999999999</c:v>
                </c:pt>
                <c:pt idx="2061">
                  <c:v>0.16309999999999999</c:v>
                </c:pt>
                <c:pt idx="2062">
                  <c:v>0.14979999999999999</c:v>
                </c:pt>
                <c:pt idx="2063">
                  <c:v>0.14779999999999999</c:v>
                </c:pt>
                <c:pt idx="2064">
                  <c:v>0.13250000000000001</c:v>
                </c:pt>
                <c:pt idx="2065">
                  <c:v>0.1447</c:v>
                </c:pt>
                <c:pt idx="2066">
                  <c:v>0.1414</c:v>
                </c:pt>
                <c:pt idx="2067">
                  <c:v>0.14680000000000001</c:v>
                </c:pt>
                <c:pt idx="2068">
                  <c:v>0.1608</c:v>
                </c:pt>
                <c:pt idx="2069">
                  <c:v>0.16619999999999999</c:v>
                </c:pt>
                <c:pt idx="2070">
                  <c:v>0.19639999999999999</c:v>
                </c:pt>
                <c:pt idx="2071">
                  <c:v>0.20200000000000001</c:v>
                </c:pt>
                <c:pt idx="2072">
                  <c:v>0.20760000000000001</c:v>
                </c:pt>
                <c:pt idx="2073">
                  <c:v>0.2109</c:v>
                </c:pt>
                <c:pt idx="2074">
                  <c:v>0.20030000000000001</c:v>
                </c:pt>
                <c:pt idx="2075">
                  <c:v>0.2059</c:v>
                </c:pt>
                <c:pt idx="2076">
                  <c:v>0.2036</c:v>
                </c:pt>
                <c:pt idx="2077">
                  <c:v>0.19900000000000001</c:v>
                </c:pt>
                <c:pt idx="2078">
                  <c:v>0.20180000000000001</c:v>
                </c:pt>
                <c:pt idx="2079">
                  <c:v>0.18410000000000001</c:v>
                </c:pt>
                <c:pt idx="2080">
                  <c:v>0.18459999999999999</c:v>
                </c:pt>
                <c:pt idx="2081">
                  <c:v>0.1787</c:v>
                </c:pt>
                <c:pt idx="2082">
                  <c:v>0.16589999999999999</c:v>
                </c:pt>
                <c:pt idx="2083">
                  <c:v>0.16669999999999999</c:v>
                </c:pt>
                <c:pt idx="2084">
                  <c:v>0.1762</c:v>
                </c:pt>
                <c:pt idx="2085">
                  <c:v>0.17380000000000001</c:v>
                </c:pt>
                <c:pt idx="2086">
                  <c:v>0.17599999999999999</c:v>
                </c:pt>
                <c:pt idx="2087">
                  <c:v>0.1135</c:v>
                </c:pt>
                <c:pt idx="2088">
                  <c:v>0.13089999999999999</c:v>
                </c:pt>
                <c:pt idx="2089">
                  <c:v>0.156</c:v>
                </c:pt>
                <c:pt idx="2090">
                  <c:v>0.16300000000000001</c:v>
                </c:pt>
                <c:pt idx="2091">
                  <c:v>0.16719999999999999</c:v>
                </c:pt>
                <c:pt idx="2092">
                  <c:v>0.16120000000000001</c:v>
                </c:pt>
                <c:pt idx="2093">
                  <c:v>0.16220000000000001</c:v>
                </c:pt>
                <c:pt idx="2094">
                  <c:v>0.15160000000000001</c:v>
                </c:pt>
                <c:pt idx="2095">
                  <c:v>0.155</c:v>
                </c:pt>
                <c:pt idx="2096">
                  <c:v>0.14760000000000001</c:v>
                </c:pt>
                <c:pt idx="2097">
                  <c:v>0.15279999999999999</c:v>
                </c:pt>
                <c:pt idx="2098">
                  <c:v>0.15679999999999999</c:v>
                </c:pt>
                <c:pt idx="2099">
                  <c:v>0.17399999999999999</c:v>
                </c:pt>
                <c:pt idx="2100">
                  <c:v>0.1769</c:v>
                </c:pt>
                <c:pt idx="2101">
                  <c:v>0.17649999999999999</c:v>
                </c:pt>
                <c:pt idx="2102">
                  <c:v>0.17760000000000001</c:v>
                </c:pt>
                <c:pt idx="2103">
                  <c:v>0.1552</c:v>
                </c:pt>
                <c:pt idx="2104">
                  <c:v>0.13900000000000001</c:v>
                </c:pt>
                <c:pt idx="2105">
                  <c:v>0.1489</c:v>
                </c:pt>
                <c:pt idx="2106">
                  <c:v>0.15279999999999999</c:v>
                </c:pt>
                <c:pt idx="2107">
                  <c:v>0.14399999999999999</c:v>
                </c:pt>
                <c:pt idx="2108">
                  <c:v>0.13869999999999999</c:v>
                </c:pt>
                <c:pt idx="2109">
                  <c:v>0.1298</c:v>
                </c:pt>
                <c:pt idx="2110">
                  <c:v>0.1203</c:v>
                </c:pt>
                <c:pt idx="2111">
                  <c:v>0.12820000000000001</c:v>
                </c:pt>
                <c:pt idx="2112">
                  <c:v>0.1244</c:v>
                </c:pt>
                <c:pt idx="2113">
                  <c:v>0.129</c:v>
                </c:pt>
                <c:pt idx="2114">
                  <c:v>0.1288</c:v>
                </c:pt>
                <c:pt idx="2115">
                  <c:v>0.1234</c:v>
                </c:pt>
                <c:pt idx="2116">
                  <c:v>0.1177</c:v>
                </c:pt>
                <c:pt idx="2117">
                  <c:v>0.1148</c:v>
                </c:pt>
                <c:pt idx="2118">
                  <c:v>0.1149</c:v>
                </c:pt>
                <c:pt idx="2119">
                  <c:v>0.1237</c:v>
                </c:pt>
                <c:pt idx="2120">
                  <c:v>0.1225</c:v>
                </c:pt>
                <c:pt idx="2121">
                  <c:v>0.1212</c:v>
                </c:pt>
                <c:pt idx="2122">
                  <c:v>0.1232</c:v>
                </c:pt>
                <c:pt idx="2123">
                  <c:v>0.11119999999999999</c:v>
                </c:pt>
                <c:pt idx="2124">
                  <c:v>0.1018</c:v>
                </c:pt>
                <c:pt idx="2125">
                  <c:v>9.6000000000000002E-2</c:v>
                </c:pt>
                <c:pt idx="2126">
                  <c:v>8.8599999999999998E-2</c:v>
                </c:pt>
                <c:pt idx="2127">
                  <c:v>8.3099999999999993E-2</c:v>
                </c:pt>
                <c:pt idx="2128">
                  <c:v>8.2900000000000001E-2</c:v>
                </c:pt>
                <c:pt idx="2129">
                  <c:v>8.0600000000000005E-2</c:v>
                </c:pt>
                <c:pt idx="2130">
                  <c:v>7.4999999999999997E-2</c:v>
                </c:pt>
                <c:pt idx="2131">
                  <c:v>7.4399999999999994E-2</c:v>
                </c:pt>
                <c:pt idx="2132">
                  <c:v>6.9099999999999995E-2</c:v>
                </c:pt>
                <c:pt idx="2133">
                  <c:v>4.8500000000000001E-2</c:v>
                </c:pt>
                <c:pt idx="2134">
                  <c:v>6.2700000000000006E-2</c:v>
                </c:pt>
                <c:pt idx="2135">
                  <c:v>7.9600000000000004E-2</c:v>
                </c:pt>
                <c:pt idx="2136">
                  <c:v>8.6699999999999999E-2</c:v>
                </c:pt>
                <c:pt idx="2137">
                  <c:v>9.4399999999999998E-2</c:v>
                </c:pt>
                <c:pt idx="2138">
                  <c:v>9.2799999999999994E-2</c:v>
                </c:pt>
                <c:pt idx="2139">
                  <c:v>9.0700000000000003E-2</c:v>
                </c:pt>
                <c:pt idx="2140">
                  <c:v>9.4200000000000006E-2</c:v>
                </c:pt>
                <c:pt idx="2141">
                  <c:v>8.77E-2</c:v>
                </c:pt>
                <c:pt idx="2142">
                  <c:v>8.7499999999999994E-2</c:v>
                </c:pt>
                <c:pt idx="2143">
                  <c:v>8.8700000000000001E-2</c:v>
                </c:pt>
                <c:pt idx="2144">
                  <c:v>8.8499999999999995E-2</c:v>
                </c:pt>
                <c:pt idx="2145">
                  <c:v>0.10340000000000001</c:v>
                </c:pt>
                <c:pt idx="2146">
                  <c:v>0.1069</c:v>
                </c:pt>
                <c:pt idx="2147">
                  <c:v>0.1205</c:v>
                </c:pt>
                <c:pt idx="2148">
                  <c:v>0.128</c:v>
                </c:pt>
                <c:pt idx="2149">
                  <c:v>0.1245</c:v>
                </c:pt>
                <c:pt idx="2150">
                  <c:v>0.12709999999999999</c:v>
                </c:pt>
                <c:pt idx="2151">
                  <c:v>0.1242</c:v>
                </c:pt>
                <c:pt idx="2152">
                  <c:v>0.11609999999999999</c:v>
                </c:pt>
                <c:pt idx="2153">
                  <c:v>0.11360000000000001</c:v>
                </c:pt>
                <c:pt idx="2154">
                  <c:v>0.1051</c:v>
                </c:pt>
                <c:pt idx="2155">
                  <c:v>9.74E-2</c:v>
                </c:pt>
                <c:pt idx="2156">
                  <c:v>8.5199999999999998E-2</c:v>
                </c:pt>
                <c:pt idx="2157">
                  <c:v>7.5700000000000003E-2</c:v>
                </c:pt>
                <c:pt idx="2158">
                  <c:v>6.8099999999999994E-2</c:v>
                </c:pt>
                <c:pt idx="2159">
                  <c:v>6.5299999999999997E-2</c:v>
                </c:pt>
                <c:pt idx="2160">
                  <c:v>6.1600000000000002E-2</c:v>
                </c:pt>
                <c:pt idx="2161">
                  <c:v>5.7200000000000001E-2</c:v>
                </c:pt>
                <c:pt idx="2162">
                  <c:v>5.1900000000000002E-2</c:v>
                </c:pt>
                <c:pt idx="2163">
                  <c:v>4.8899999999999999E-2</c:v>
                </c:pt>
                <c:pt idx="2164">
                  <c:v>4.6899999999999997E-2</c:v>
                </c:pt>
                <c:pt idx="2165">
                  <c:v>4.5499999999999999E-2</c:v>
                </c:pt>
                <c:pt idx="2166">
                  <c:v>4.3499999999999997E-2</c:v>
                </c:pt>
                <c:pt idx="2167">
                  <c:v>4.3900000000000002E-2</c:v>
                </c:pt>
                <c:pt idx="2168">
                  <c:v>4.0599999999999997E-2</c:v>
                </c:pt>
                <c:pt idx="2169">
                  <c:v>3.8899999999999997E-2</c:v>
                </c:pt>
                <c:pt idx="2170">
                  <c:v>3.4599999999999999E-2</c:v>
                </c:pt>
                <c:pt idx="2171">
                  <c:v>3.0599999999999999E-2</c:v>
                </c:pt>
                <c:pt idx="2172">
                  <c:v>2.9000000000000001E-2</c:v>
                </c:pt>
                <c:pt idx="2173">
                  <c:v>2.64E-2</c:v>
                </c:pt>
                <c:pt idx="2174">
                  <c:v>2.2800000000000001E-2</c:v>
                </c:pt>
                <c:pt idx="2175">
                  <c:v>1.6199999999999999E-2</c:v>
                </c:pt>
                <c:pt idx="2176">
                  <c:v>1.43E-2</c:v>
                </c:pt>
                <c:pt idx="2177">
                  <c:v>0.02</c:v>
                </c:pt>
                <c:pt idx="2178">
                  <c:v>3.2099999999999997E-2</c:v>
                </c:pt>
                <c:pt idx="2179">
                  <c:v>4.02E-2</c:v>
                </c:pt>
                <c:pt idx="2180">
                  <c:v>5.2999999999999999E-2</c:v>
                </c:pt>
                <c:pt idx="2181">
                  <c:v>6.4100000000000004E-2</c:v>
                </c:pt>
                <c:pt idx="2182">
                  <c:v>6.93E-2</c:v>
                </c:pt>
                <c:pt idx="2183">
                  <c:v>7.5499999999999998E-2</c:v>
                </c:pt>
                <c:pt idx="2184">
                  <c:v>7.6100000000000001E-2</c:v>
                </c:pt>
                <c:pt idx="2185">
                  <c:v>8.72E-2</c:v>
                </c:pt>
                <c:pt idx="2186">
                  <c:v>8.5099999999999995E-2</c:v>
                </c:pt>
                <c:pt idx="2187">
                  <c:v>8.5400000000000004E-2</c:v>
                </c:pt>
                <c:pt idx="2188">
                  <c:v>9.8299999999999998E-2</c:v>
                </c:pt>
                <c:pt idx="2189">
                  <c:v>0.1037</c:v>
                </c:pt>
                <c:pt idx="2190">
                  <c:v>0.1046</c:v>
                </c:pt>
                <c:pt idx="2191">
                  <c:v>9.9400000000000002E-2</c:v>
                </c:pt>
                <c:pt idx="2192">
                  <c:v>0.11409999999999999</c:v>
                </c:pt>
                <c:pt idx="2193">
                  <c:v>0.11559999999999999</c:v>
                </c:pt>
                <c:pt idx="2194">
                  <c:v>0.1164</c:v>
                </c:pt>
                <c:pt idx="2195">
                  <c:v>0.1149</c:v>
                </c:pt>
                <c:pt idx="2196">
                  <c:v>0.1211</c:v>
                </c:pt>
                <c:pt idx="2197">
                  <c:v>0.1183</c:v>
                </c:pt>
                <c:pt idx="2198">
                  <c:v>0.11269999999999999</c:v>
                </c:pt>
                <c:pt idx="2199">
                  <c:v>0.10929999999999999</c:v>
                </c:pt>
                <c:pt idx="2200">
                  <c:v>0.1003</c:v>
                </c:pt>
                <c:pt idx="2201">
                  <c:v>9.7500000000000003E-2</c:v>
                </c:pt>
                <c:pt idx="2202">
                  <c:v>9.4600000000000004E-2</c:v>
                </c:pt>
                <c:pt idx="2203">
                  <c:v>8.9200000000000002E-2</c:v>
                </c:pt>
                <c:pt idx="2204">
                  <c:v>8.1600000000000006E-2</c:v>
                </c:pt>
                <c:pt idx="2205">
                  <c:v>7.0599999999999996E-2</c:v>
                </c:pt>
                <c:pt idx="2206">
                  <c:v>5.16E-2</c:v>
                </c:pt>
                <c:pt idx="2207">
                  <c:v>4.0599999999999997E-2</c:v>
                </c:pt>
                <c:pt idx="2208">
                  <c:v>4.19E-2</c:v>
                </c:pt>
                <c:pt idx="2209">
                  <c:v>3.5400000000000001E-2</c:v>
                </c:pt>
                <c:pt idx="2210">
                  <c:v>3.6700000000000003E-2</c:v>
                </c:pt>
                <c:pt idx="2211">
                  <c:v>3.6799999999999999E-2</c:v>
                </c:pt>
                <c:pt idx="2212">
                  <c:v>3.5700000000000003E-2</c:v>
                </c:pt>
                <c:pt idx="2213">
                  <c:v>3.7499999999999999E-2</c:v>
                </c:pt>
                <c:pt idx="2214">
                  <c:v>3.7999999999999999E-2</c:v>
                </c:pt>
                <c:pt idx="2215">
                  <c:v>3.3300000000000003E-2</c:v>
                </c:pt>
                <c:pt idx="2216">
                  <c:v>3.2000000000000001E-2</c:v>
                </c:pt>
                <c:pt idx="2217">
                  <c:v>2.9600000000000001E-2</c:v>
                </c:pt>
                <c:pt idx="2218">
                  <c:v>2.9700000000000001E-2</c:v>
                </c:pt>
                <c:pt idx="2219">
                  <c:v>2.46E-2</c:v>
                </c:pt>
                <c:pt idx="2220">
                  <c:v>2.7E-2</c:v>
                </c:pt>
                <c:pt idx="2221">
                  <c:v>2.7099999999999999E-2</c:v>
                </c:pt>
                <c:pt idx="2222">
                  <c:v>2.52E-2</c:v>
                </c:pt>
                <c:pt idx="2223">
                  <c:v>2.64E-2</c:v>
                </c:pt>
                <c:pt idx="2224">
                  <c:v>2.8000000000000001E-2</c:v>
                </c:pt>
                <c:pt idx="2225">
                  <c:v>2.93E-2</c:v>
                </c:pt>
                <c:pt idx="2226">
                  <c:v>2.35E-2</c:v>
                </c:pt>
                <c:pt idx="2227">
                  <c:v>2.2700000000000001E-2</c:v>
                </c:pt>
                <c:pt idx="2228">
                  <c:v>1.9199999999999998E-2</c:v>
                </c:pt>
                <c:pt idx="2229">
                  <c:v>1.7000000000000001E-2</c:v>
                </c:pt>
                <c:pt idx="2230">
                  <c:v>1.6799999999999999E-2</c:v>
                </c:pt>
                <c:pt idx="2231">
                  <c:v>1.2E-2</c:v>
                </c:pt>
                <c:pt idx="2232">
                  <c:v>1.11E-2</c:v>
                </c:pt>
                <c:pt idx="2233">
                  <c:v>1.01E-2</c:v>
                </c:pt>
                <c:pt idx="2234">
                  <c:v>8.3999999999999995E-3</c:v>
                </c:pt>
                <c:pt idx="2235">
                  <c:v>5.8999999999999999E-3</c:v>
                </c:pt>
                <c:pt idx="2236">
                  <c:v>1.09E-2</c:v>
                </c:pt>
                <c:pt idx="2237">
                  <c:v>1.41E-2</c:v>
                </c:pt>
                <c:pt idx="2238">
                  <c:v>1.61E-2</c:v>
                </c:pt>
                <c:pt idx="2239">
                  <c:v>3.44E-2</c:v>
                </c:pt>
                <c:pt idx="2240">
                  <c:v>5.8999999999999997E-2</c:v>
                </c:pt>
                <c:pt idx="2241">
                  <c:v>7.2499999999999995E-2</c:v>
                </c:pt>
                <c:pt idx="2242">
                  <c:v>8.0600000000000005E-2</c:v>
                </c:pt>
                <c:pt idx="2243">
                  <c:v>8.7999999999999995E-2</c:v>
                </c:pt>
                <c:pt idx="2244">
                  <c:v>0.1113</c:v>
                </c:pt>
                <c:pt idx="2245">
                  <c:v>0.12379999999999999</c:v>
                </c:pt>
                <c:pt idx="2246">
                  <c:v>0.11749999999999999</c:v>
                </c:pt>
                <c:pt idx="2247">
                  <c:v>0.1275</c:v>
                </c:pt>
                <c:pt idx="2248">
                  <c:v>0.1368</c:v>
                </c:pt>
                <c:pt idx="2249">
                  <c:v>0.15</c:v>
                </c:pt>
                <c:pt idx="2250">
                  <c:v>0.15240000000000001</c:v>
                </c:pt>
                <c:pt idx="2251">
                  <c:v>0.1578</c:v>
                </c:pt>
                <c:pt idx="2252">
                  <c:v>0.15279999999999999</c:v>
                </c:pt>
                <c:pt idx="2253">
                  <c:v>0.16389999999999999</c:v>
                </c:pt>
                <c:pt idx="2254">
                  <c:v>0.16550000000000001</c:v>
                </c:pt>
                <c:pt idx="2255">
                  <c:v>0.15859999999999999</c:v>
                </c:pt>
                <c:pt idx="2256">
                  <c:v>0.15190000000000001</c:v>
                </c:pt>
                <c:pt idx="2257">
                  <c:v>0.14849999999999999</c:v>
                </c:pt>
                <c:pt idx="2258">
                  <c:v>0.14080000000000001</c:v>
                </c:pt>
                <c:pt idx="2259">
                  <c:v>0.1196</c:v>
                </c:pt>
                <c:pt idx="2260">
                  <c:v>0.1082</c:v>
                </c:pt>
                <c:pt idx="2261">
                  <c:v>0.1037</c:v>
                </c:pt>
                <c:pt idx="2262">
                  <c:v>9.1499999999999998E-2</c:v>
                </c:pt>
                <c:pt idx="2263">
                  <c:v>0.1071</c:v>
                </c:pt>
                <c:pt idx="2264">
                  <c:v>0.1123</c:v>
                </c:pt>
                <c:pt idx="2265">
                  <c:v>0.1105</c:v>
                </c:pt>
                <c:pt idx="2266">
                  <c:v>0.109</c:v>
                </c:pt>
                <c:pt idx="2267">
                  <c:v>0.10630000000000001</c:v>
                </c:pt>
                <c:pt idx="2268">
                  <c:v>9.98E-2</c:v>
                </c:pt>
                <c:pt idx="2269">
                  <c:v>0.1203</c:v>
                </c:pt>
                <c:pt idx="2270">
                  <c:v>0.1071</c:v>
                </c:pt>
                <c:pt idx="2271">
                  <c:v>9.7299999999999998E-2</c:v>
                </c:pt>
                <c:pt idx="2272">
                  <c:v>9.8400000000000001E-2</c:v>
                </c:pt>
                <c:pt idx="2273">
                  <c:v>9.9299999999999999E-2</c:v>
                </c:pt>
                <c:pt idx="2274">
                  <c:v>9.1399999999999995E-2</c:v>
                </c:pt>
                <c:pt idx="2275">
                  <c:v>9.5299999999999996E-2</c:v>
                </c:pt>
                <c:pt idx="2276">
                  <c:v>9.2100000000000001E-2</c:v>
                </c:pt>
                <c:pt idx="2277">
                  <c:v>8.5099999999999995E-2</c:v>
                </c:pt>
                <c:pt idx="2278">
                  <c:v>8.2799999999999999E-2</c:v>
                </c:pt>
                <c:pt idx="2279">
                  <c:v>7.8799999999999995E-2</c:v>
                </c:pt>
                <c:pt idx="2280">
                  <c:v>7.3800000000000004E-2</c:v>
                </c:pt>
                <c:pt idx="2281">
                  <c:v>6.2899999999999998E-2</c:v>
                </c:pt>
                <c:pt idx="2282">
                  <c:v>5.96E-2</c:v>
                </c:pt>
                <c:pt idx="2283">
                  <c:v>7.0699999999999999E-2</c:v>
                </c:pt>
                <c:pt idx="2284">
                  <c:v>7.2999999999999995E-2</c:v>
                </c:pt>
                <c:pt idx="2285">
                  <c:v>7.5300000000000006E-2</c:v>
                </c:pt>
                <c:pt idx="2286">
                  <c:v>7.3499999999999996E-2</c:v>
                </c:pt>
                <c:pt idx="2287">
                  <c:v>6.6600000000000006E-2</c:v>
                </c:pt>
                <c:pt idx="2288">
                  <c:v>7.2499999999999995E-2</c:v>
                </c:pt>
                <c:pt idx="2289">
                  <c:v>9.5100000000000004E-2</c:v>
                </c:pt>
                <c:pt idx="2290">
                  <c:v>0.1037</c:v>
                </c:pt>
                <c:pt idx="2291">
                  <c:v>0.1118</c:v>
                </c:pt>
                <c:pt idx="2292">
                  <c:v>0.1113</c:v>
                </c:pt>
                <c:pt idx="2293">
                  <c:v>0.1065</c:v>
                </c:pt>
                <c:pt idx="2294">
                  <c:v>0.10100000000000001</c:v>
                </c:pt>
                <c:pt idx="2295">
                  <c:v>0.10059999999999999</c:v>
                </c:pt>
                <c:pt idx="2296">
                  <c:v>9.6600000000000005E-2</c:v>
                </c:pt>
                <c:pt idx="2297">
                  <c:v>9.3899999999999997E-2</c:v>
                </c:pt>
                <c:pt idx="2298">
                  <c:v>8.8599999999999998E-2</c:v>
                </c:pt>
                <c:pt idx="2299">
                  <c:v>8.5599999999999996E-2</c:v>
                </c:pt>
                <c:pt idx="2300">
                  <c:v>8.09E-2</c:v>
                </c:pt>
                <c:pt idx="2301">
                  <c:v>7.5200000000000003E-2</c:v>
                </c:pt>
                <c:pt idx="2302">
                  <c:v>7.1499999999999994E-2</c:v>
                </c:pt>
                <c:pt idx="2303">
                  <c:v>7.0000000000000007E-2</c:v>
                </c:pt>
                <c:pt idx="2304">
                  <c:v>6.7199999999999996E-2</c:v>
                </c:pt>
                <c:pt idx="2305">
                  <c:v>6.5299999999999997E-2</c:v>
                </c:pt>
                <c:pt idx="2306">
                  <c:v>6.2100000000000002E-2</c:v>
                </c:pt>
                <c:pt idx="2307">
                  <c:v>5.6500000000000002E-2</c:v>
                </c:pt>
                <c:pt idx="2308">
                  <c:v>6.0400000000000002E-2</c:v>
                </c:pt>
                <c:pt idx="2309">
                  <c:v>5.8999999999999997E-2</c:v>
                </c:pt>
                <c:pt idx="2310">
                  <c:v>5.5100000000000003E-2</c:v>
                </c:pt>
                <c:pt idx="2311">
                  <c:v>5.0500000000000003E-2</c:v>
                </c:pt>
                <c:pt idx="2312">
                  <c:v>5.5E-2</c:v>
                </c:pt>
                <c:pt idx="2313">
                  <c:v>5.6099999999999997E-2</c:v>
                </c:pt>
                <c:pt idx="2314">
                  <c:v>5.4899999999999997E-2</c:v>
                </c:pt>
                <c:pt idx="2315">
                  <c:v>0.05</c:v>
                </c:pt>
                <c:pt idx="2316">
                  <c:v>4.4200000000000003E-2</c:v>
                </c:pt>
                <c:pt idx="2317">
                  <c:v>4.0899999999999999E-2</c:v>
                </c:pt>
                <c:pt idx="2318">
                  <c:v>3.9E-2</c:v>
                </c:pt>
                <c:pt idx="2319">
                  <c:v>4.0599999999999997E-2</c:v>
                </c:pt>
                <c:pt idx="2320">
                  <c:v>3.61E-2</c:v>
                </c:pt>
                <c:pt idx="2321">
                  <c:v>3.8600000000000002E-2</c:v>
                </c:pt>
                <c:pt idx="2322">
                  <c:v>3.3500000000000002E-2</c:v>
                </c:pt>
                <c:pt idx="2323">
                  <c:v>3.1600000000000003E-2</c:v>
                </c:pt>
                <c:pt idx="2324">
                  <c:v>3.1600000000000003E-2</c:v>
                </c:pt>
                <c:pt idx="2325">
                  <c:v>1.84E-2</c:v>
                </c:pt>
                <c:pt idx="2326">
                  <c:v>2.6200000000000001E-2</c:v>
                </c:pt>
                <c:pt idx="2327">
                  <c:v>3.0800000000000001E-2</c:v>
                </c:pt>
                <c:pt idx="2328">
                  <c:v>3.5700000000000003E-2</c:v>
                </c:pt>
                <c:pt idx="2329">
                  <c:v>3.7400000000000003E-2</c:v>
                </c:pt>
                <c:pt idx="2330">
                  <c:v>3.7100000000000001E-2</c:v>
                </c:pt>
                <c:pt idx="2331">
                  <c:v>3.49E-2</c:v>
                </c:pt>
                <c:pt idx="2332">
                  <c:v>3.56E-2</c:v>
                </c:pt>
                <c:pt idx="2333">
                  <c:v>3.2199999999999999E-2</c:v>
                </c:pt>
                <c:pt idx="2334">
                  <c:v>3.2099999999999997E-2</c:v>
                </c:pt>
                <c:pt idx="2335">
                  <c:v>3.2300000000000002E-2</c:v>
                </c:pt>
                <c:pt idx="2336">
                  <c:v>3.4599999999999999E-2</c:v>
                </c:pt>
                <c:pt idx="2337">
                  <c:v>3.5900000000000001E-2</c:v>
                </c:pt>
                <c:pt idx="2338">
                  <c:v>3.4799999999999998E-2</c:v>
                </c:pt>
                <c:pt idx="2339">
                  <c:v>3.15E-2</c:v>
                </c:pt>
                <c:pt idx="2340">
                  <c:v>3.5000000000000003E-2</c:v>
                </c:pt>
                <c:pt idx="2341">
                  <c:v>3.73E-2</c:v>
                </c:pt>
                <c:pt idx="2342">
                  <c:v>3.7100000000000001E-2</c:v>
                </c:pt>
                <c:pt idx="2343">
                  <c:v>3.7900000000000003E-2</c:v>
                </c:pt>
                <c:pt idx="2344">
                  <c:v>3.5799999999999998E-2</c:v>
                </c:pt>
                <c:pt idx="2345">
                  <c:v>2.87E-2</c:v>
                </c:pt>
                <c:pt idx="2346">
                  <c:v>3.8699999999999998E-2</c:v>
                </c:pt>
                <c:pt idx="2347">
                  <c:v>4.0500000000000001E-2</c:v>
                </c:pt>
                <c:pt idx="2348">
                  <c:v>2.92E-2</c:v>
                </c:pt>
                <c:pt idx="2349">
                  <c:v>3.2599999999999997E-2</c:v>
                </c:pt>
                <c:pt idx="2350">
                  <c:v>3.1099999999999999E-2</c:v>
                </c:pt>
                <c:pt idx="2351">
                  <c:v>2.8799999999999999E-2</c:v>
                </c:pt>
                <c:pt idx="2352">
                  <c:v>2.8500000000000001E-2</c:v>
                </c:pt>
                <c:pt idx="2353">
                  <c:v>2.6800000000000001E-2</c:v>
                </c:pt>
                <c:pt idx="2354">
                  <c:v>2.6499999999999999E-2</c:v>
                </c:pt>
                <c:pt idx="2355">
                  <c:v>2.8799999999999999E-2</c:v>
                </c:pt>
                <c:pt idx="2356">
                  <c:v>2.81E-2</c:v>
                </c:pt>
                <c:pt idx="2357">
                  <c:v>2.4E-2</c:v>
                </c:pt>
                <c:pt idx="2358">
                  <c:v>2.1600000000000001E-2</c:v>
                </c:pt>
                <c:pt idx="2359">
                  <c:v>1.6199999999999999E-2</c:v>
                </c:pt>
                <c:pt idx="2360">
                  <c:v>1.37E-2</c:v>
                </c:pt>
                <c:pt idx="2361">
                  <c:v>1.21E-2</c:v>
                </c:pt>
                <c:pt idx="2362">
                  <c:v>1.1299999999999999E-2</c:v>
                </c:pt>
                <c:pt idx="2363">
                  <c:v>1.04E-2</c:v>
                </c:pt>
                <c:pt idx="2364">
                  <c:v>8.3999999999999995E-3</c:v>
                </c:pt>
                <c:pt idx="2365">
                  <c:v>2.12E-2</c:v>
                </c:pt>
                <c:pt idx="2366">
                  <c:v>2.3E-2</c:v>
                </c:pt>
                <c:pt idx="2367">
                  <c:v>2.0899999999999998E-2</c:v>
                </c:pt>
                <c:pt idx="2368">
                  <c:v>2.3800000000000002E-2</c:v>
                </c:pt>
                <c:pt idx="2369">
                  <c:v>3.1600000000000003E-2</c:v>
                </c:pt>
                <c:pt idx="2370">
                  <c:v>2.8899999999999999E-2</c:v>
                </c:pt>
                <c:pt idx="2371">
                  <c:v>3.2399999999999998E-2</c:v>
                </c:pt>
                <c:pt idx="2372">
                  <c:v>3.4299999999999997E-2</c:v>
                </c:pt>
                <c:pt idx="2373">
                  <c:v>3.0800000000000001E-2</c:v>
                </c:pt>
                <c:pt idx="2374">
                  <c:v>2.4899999999999999E-2</c:v>
                </c:pt>
                <c:pt idx="2375">
                  <c:v>2.1899999999999999E-2</c:v>
                </c:pt>
                <c:pt idx="2376">
                  <c:v>2.23E-2</c:v>
                </c:pt>
                <c:pt idx="2377">
                  <c:v>2.18E-2</c:v>
                </c:pt>
                <c:pt idx="2378">
                  <c:v>2.1899999999999999E-2</c:v>
                </c:pt>
                <c:pt idx="2379">
                  <c:v>1.9900000000000001E-2</c:v>
                </c:pt>
                <c:pt idx="2380">
                  <c:v>1.9300000000000001E-2</c:v>
                </c:pt>
                <c:pt idx="2381">
                  <c:v>1.6899999999999998E-2</c:v>
                </c:pt>
                <c:pt idx="2382">
                  <c:v>1.3100000000000001E-2</c:v>
                </c:pt>
                <c:pt idx="2383">
                  <c:v>1.29E-2</c:v>
                </c:pt>
                <c:pt idx="2384">
                  <c:v>1.17E-2</c:v>
                </c:pt>
                <c:pt idx="2385">
                  <c:v>3.0300000000000001E-2</c:v>
                </c:pt>
                <c:pt idx="2386">
                  <c:v>4.24E-2</c:v>
                </c:pt>
                <c:pt idx="2387">
                  <c:v>5.9499999999999997E-2</c:v>
                </c:pt>
                <c:pt idx="2388">
                  <c:v>0.1072</c:v>
                </c:pt>
                <c:pt idx="2389">
                  <c:v>0.16470000000000001</c:v>
                </c:pt>
                <c:pt idx="2390">
                  <c:v>0.20930000000000001</c:v>
                </c:pt>
                <c:pt idx="2391">
                  <c:v>0.24640000000000001</c:v>
                </c:pt>
                <c:pt idx="2392">
                  <c:v>0.2477</c:v>
                </c:pt>
                <c:pt idx="2393">
                  <c:v>0.2737</c:v>
                </c:pt>
                <c:pt idx="2394">
                  <c:v>0.30840000000000001</c:v>
                </c:pt>
                <c:pt idx="2395">
                  <c:v>0.39829999999999999</c:v>
                </c:pt>
                <c:pt idx="2396">
                  <c:v>0.45069999999999999</c:v>
                </c:pt>
                <c:pt idx="2397">
                  <c:v>0.48630000000000001</c:v>
                </c:pt>
                <c:pt idx="2398">
                  <c:v>0.53810000000000002</c:v>
                </c:pt>
                <c:pt idx="2399">
                  <c:v>0.62370000000000003</c:v>
                </c:pt>
                <c:pt idx="2400">
                  <c:v>0.62629999999999997</c:v>
                </c:pt>
                <c:pt idx="2401">
                  <c:v>0.66979999999999995</c:v>
                </c:pt>
                <c:pt idx="2402">
                  <c:v>0.66100000000000003</c:v>
                </c:pt>
                <c:pt idx="2403">
                  <c:v>0.63859999999999995</c:v>
                </c:pt>
                <c:pt idx="2404">
                  <c:v>0.66930000000000001</c:v>
                </c:pt>
                <c:pt idx="2405">
                  <c:v>0.65820000000000001</c:v>
                </c:pt>
                <c:pt idx="2406">
                  <c:v>0.6452</c:v>
                </c:pt>
                <c:pt idx="2407">
                  <c:v>0.65359999999999996</c:v>
                </c:pt>
                <c:pt idx="2408">
                  <c:v>0.63219999999999998</c:v>
                </c:pt>
                <c:pt idx="2409">
                  <c:v>0.64180000000000004</c:v>
                </c:pt>
                <c:pt idx="2410">
                  <c:v>0.65090000000000003</c:v>
                </c:pt>
                <c:pt idx="2411">
                  <c:v>0.62919999999999998</c:v>
                </c:pt>
                <c:pt idx="2412">
                  <c:v>0.63380000000000003</c:v>
                </c:pt>
                <c:pt idx="2413">
                  <c:v>0.62070000000000003</c:v>
                </c:pt>
                <c:pt idx="2414">
                  <c:v>0.61529999999999996</c:v>
                </c:pt>
                <c:pt idx="2415">
                  <c:v>0.59150000000000003</c:v>
                </c:pt>
                <c:pt idx="2416">
                  <c:v>0.5726</c:v>
                </c:pt>
                <c:pt idx="2417">
                  <c:v>0.56769999999999998</c:v>
                </c:pt>
                <c:pt idx="2418">
                  <c:v>0.56589999999999996</c:v>
                </c:pt>
                <c:pt idx="2419">
                  <c:v>0.55149999999999999</c:v>
                </c:pt>
                <c:pt idx="2420">
                  <c:v>0.55020000000000002</c:v>
                </c:pt>
                <c:pt idx="2421">
                  <c:v>0.52390000000000003</c:v>
                </c:pt>
                <c:pt idx="2422">
                  <c:v>0.53520000000000001</c:v>
                </c:pt>
                <c:pt idx="2423">
                  <c:v>0.52629999999999999</c:v>
                </c:pt>
                <c:pt idx="2424">
                  <c:v>0.50439999999999996</c:v>
                </c:pt>
                <c:pt idx="2425">
                  <c:v>0.48180000000000001</c:v>
                </c:pt>
                <c:pt idx="2426">
                  <c:v>0.50719999999999998</c:v>
                </c:pt>
                <c:pt idx="2427">
                  <c:v>0.50800000000000001</c:v>
                </c:pt>
                <c:pt idx="2428">
                  <c:v>0.49469999999999997</c:v>
                </c:pt>
                <c:pt idx="2429">
                  <c:v>0.48409999999999997</c:v>
                </c:pt>
                <c:pt idx="2430">
                  <c:v>0.46239999999999998</c:v>
                </c:pt>
                <c:pt idx="2431">
                  <c:v>0.44040000000000001</c:v>
                </c:pt>
                <c:pt idx="2432">
                  <c:v>0.41489999999999999</c:v>
                </c:pt>
                <c:pt idx="2433">
                  <c:v>0.40439999999999998</c:v>
                </c:pt>
                <c:pt idx="2434">
                  <c:v>0.41370000000000001</c:v>
                </c:pt>
                <c:pt idx="2435">
                  <c:v>0.40849999999999997</c:v>
                </c:pt>
                <c:pt idx="2436">
                  <c:v>0.40279999999999999</c:v>
                </c:pt>
                <c:pt idx="2437">
                  <c:v>0.40970000000000001</c:v>
                </c:pt>
                <c:pt idx="2438">
                  <c:v>0.4052</c:v>
                </c:pt>
                <c:pt idx="2439">
                  <c:v>0.39639999999999997</c:v>
                </c:pt>
                <c:pt idx="2440">
                  <c:v>0.37809999999999999</c:v>
                </c:pt>
                <c:pt idx="2441">
                  <c:v>0.38229999999999997</c:v>
                </c:pt>
                <c:pt idx="2442">
                  <c:v>0.376</c:v>
                </c:pt>
                <c:pt idx="2443">
                  <c:v>0.3735</c:v>
                </c:pt>
                <c:pt idx="2444">
                  <c:v>0.3851</c:v>
                </c:pt>
                <c:pt idx="2445">
                  <c:v>0.35749999999999998</c:v>
                </c:pt>
                <c:pt idx="2446">
                  <c:v>0.35139999999999999</c:v>
                </c:pt>
                <c:pt idx="2447">
                  <c:v>0.3407</c:v>
                </c:pt>
                <c:pt idx="2448">
                  <c:v>0.33789999999999998</c:v>
                </c:pt>
                <c:pt idx="2449">
                  <c:v>0.3175</c:v>
                </c:pt>
                <c:pt idx="2450">
                  <c:v>0.30909999999999999</c:v>
                </c:pt>
                <c:pt idx="2451">
                  <c:v>0.30630000000000002</c:v>
                </c:pt>
                <c:pt idx="2452">
                  <c:v>0.31040000000000001</c:v>
                </c:pt>
                <c:pt idx="2453">
                  <c:v>0.29010000000000002</c:v>
                </c:pt>
                <c:pt idx="2454">
                  <c:v>0.28770000000000001</c:v>
                </c:pt>
                <c:pt idx="2455">
                  <c:v>0.29730000000000001</c:v>
                </c:pt>
                <c:pt idx="2456">
                  <c:v>0.27150000000000002</c:v>
                </c:pt>
                <c:pt idx="2457">
                  <c:v>0.26229999999999998</c:v>
                </c:pt>
                <c:pt idx="2458">
                  <c:v>0.25240000000000001</c:v>
                </c:pt>
                <c:pt idx="2459">
                  <c:v>0.24390000000000001</c:v>
                </c:pt>
                <c:pt idx="2460">
                  <c:v>0.2492</c:v>
                </c:pt>
                <c:pt idx="2461">
                  <c:v>0.25080000000000002</c:v>
                </c:pt>
                <c:pt idx="2462">
                  <c:v>0.24929999999999999</c:v>
                </c:pt>
                <c:pt idx="2463">
                  <c:v>0.27579999999999999</c:v>
                </c:pt>
                <c:pt idx="2464">
                  <c:v>0.2732</c:v>
                </c:pt>
                <c:pt idx="2465">
                  <c:v>0.26090000000000002</c:v>
                </c:pt>
                <c:pt idx="2466">
                  <c:v>0.2492</c:v>
                </c:pt>
                <c:pt idx="2467">
                  <c:v>0.2457</c:v>
                </c:pt>
                <c:pt idx="2468">
                  <c:v>0.2419</c:v>
                </c:pt>
                <c:pt idx="2469">
                  <c:v>0.23119999999999999</c:v>
                </c:pt>
                <c:pt idx="2470">
                  <c:v>0.21479999999999999</c:v>
                </c:pt>
                <c:pt idx="2471">
                  <c:v>0.20200000000000001</c:v>
                </c:pt>
                <c:pt idx="2472">
                  <c:v>0.20019999999999999</c:v>
                </c:pt>
                <c:pt idx="2473">
                  <c:v>0.20150000000000001</c:v>
                </c:pt>
                <c:pt idx="2474">
                  <c:v>0.20039999999999999</c:v>
                </c:pt>
                <c:pt idx="2475">
                  <c:v>0.19409999999999999</c:v>
                </c:pt>
                <c:pt idx="2476">
                  <c:v>0.1963</c:v>
                </c:pt>
                <c:pt idx="2477">
                  <c:v>0.20880000000000001</c:v>
                </c:pt>
                <c:pt idx="2478">
                  <c:v>0.21890000000000001</c:v>
                </c:pt>
                <c:pt idx="2479">
                  <c:v>0.21529999999999999</c:v>
                </c:pt>
                <c:pt idx="2480">
                  <c:v>0.20569999999999999</c:v>
                </c:pt>
                <c:pt idx="2481">
                  <c:v>0.20039999999999999</c:v>
                </c:pt>
                <c:pt idx="2482">
                  <c:v>0.19289999999999999</c:v>
                </c:pt>
                <c:pt idx="2483">
                  <c:v>0.18229999999999999</c:v>
                </c:pt>
                <c:pt idx="2484">
                  <c:v>0.17369999999999999</c:v>
                </c:pt>
                <c:pt idx="2485">
                  <c:v>0.17330000000000001</c:v>
                </c:pt>
                <c:pt idx="2486">
                  <c:v>0.1767</c:v>
                </c:pt>
                <c:pt idx="2487">
                  <c:v>0.1835</c:v>
                </c:pt>
                <c:pt idx="2488">
                  <c:v>0.18010000000000001</c:v>
                </c:pt>
                <c:pt idx="2489">
                  <c:v>0.17</c:v>
                </c:pt>
                <c:pt idx="2490">
                  <c:v>0.16470000000000001</c:v>
                </c:pt>
                <c:pt idx="2491">
                  <c:v>0.1454</c:v>
                </c:pt>
                <c:pt idx="2492">
                  <c:v>0.1351</c:v>
                </c:pt>
                <c:pt idx="2493">
                  <c:v>0.1288</c:v>
                </c:pt>
                <c:pt idx="2494">
                  <c:v>0.1258</c:v>
                </c:pt>
                <c:pt idx="2495">
                  <c:v>0.1191</c:v>
                </c:pt>
                <c:pt idx="2496">
                  <c:v>0.1114</c:v>
                </c:pt>
                <c:pt idx="2497">
                  <c:v>0.104</c:v>
                </c:pt>
                <c:pt idx="2498">
                  <c:v>0.12770000000000001</c:v>
                </c:pt>
                <c:pt idx="2499">
                  <c:v>0.1236</c:v>
                </c:pt>
                <c:pt idx="2500">
                  <c:v>0.13220000000000001</c:v>
                </c:pt>
                <c:pt idx="2501">
                  <c:v>0.12740000000000001</c:v>
                </c:pt>
                <c:pt idx="2502">
                  <c:v>0.1211</c:v>
                </c:pt>
                <c:pt idx="2503">
                  <c:v>0.1295</c:v>
                </c:pt>
                <c:pt idx="2504">
                  <c:v>0.1215</c:v>
                </c:pt>
                <c:pt idx="2505">
                  <c:v>0.112</c:v>
                </c:pt>
                <c:pt idx="2506">
                  <c:v>0.1231</c:v>
                </c:pt>
                <c:pt idx="2507">
                  <c:v>0.1129</c:v>
                </c:pt>
                <c:pt idx="2508">
                  <c:v>0.1178</c:v>
                </c:pt>
                <c:pt idx="2509">
                  <c:v>0.12139999999999999</c:v>
                </c:pt>
                <c:pt idx="2510">
                  <c:v>0.1236</c:v>
                </c:pt>
                <c:pt idx="2511">
                  <c:v>0.11</c:v>
                </c:pt>
                <c:pt idx="2512">
                  <c:v>0.1014</c:v>
                </c:pt>
                <c:pt idx="2513">
                  <c:v>9.7900000000000001E-2</c:v>
                </c:pt>
                <c:pt idx="2514">
                  <c:v>8.6999999999999994E-2</c:v>
                </c:pt>
                <c:pt idx="2515">
                  <c:v>9.6100000000000005E-2</c:v>
                </c:pt>
                <c:pt idx="2516">
                  <c:v>8.3000000000000004E-2</c:v>
                </c:pt>
                <c:pt idx="2517">
                  <c:v>7.9500000000000001E-2</c:v>
                </c:pt>
                <c:pt idx="2518">
                  <c:v>8.3799999999999999E-2</c:v>
                </c:pt>
                <c:pt idx="2519">
                  <c:v>7.3599999999999999E-2</c:v>
                </c:pt>
                <c:pt idx="2520">
                  <c:v>7.0300000000000001E-2</c:v>
                </c:pt>
                <c:pt idx="2521">
                  <c:v>6.1800000000000001E-2</c:v>
                </c:pt>
                <c:pt idx="2522">
                  <c:v>6.5600000000000006E-2</c:v>
                </c:pt>
                <c:pt idx="2523">
                  <c:v>6.7500000000000004E-2</c:v>
                </c:pt>
                <c:pt idx="2524">
                  <c:v>7.0800000000000002E-2</c:v>
                </c:pt>
                <c:pt idx="2525">
                  <c:v>6.2199999999999998E-2</c:v>
                </c:pt>
                <c:pt idx="2526">
                  <c:v>6.4199999999999993E-2</c:v>
                </c:pt>
                <c:pt idx="2527">
                  <c:v>7.1800000000000003E-2</c:v>
                </c:pt>
                <c:pt idx="2528">
                  <c:v>8.3500000000000005E-2</c:v>
                </c:pt>
                <c:pt idx="2529">
                  <c:v>9.6799999999999997E-2</c:v>
                </c:pt>
              </c:numCache>
            </c:numRef>
          </c:val>
          <c:smooth val="0"/>
          <c:extLst>
            <c:ext xmlns:c16="http://schemas.microsoft.com/office/drawing/2014/chart" uri="{C3380CC4-5D6E-409C-BE32-E72D297353CC}">
              <c16:uniqueId val="{00000000-D511-4DAD-A719-CC1586DC7FD4}"/>
            </c:ext>
          </c:extLst>
        </c:ser>
        <c:ser>
          <c:idx val="1"/>
          <c:order val="1"/>
          <c:tx>
            <c:strRef>
              <c:f>CISS!$D$1</c:f>
              <c:strCache>
                <c:ptCount val="1"/>
                <c:pt idx="0">
                  <c:v>Composite indicator of systemic stress (weekly)</c:v>
                </c:pt>
              </c:strCache>
            </c:strRef>
          </c:tx>
          <c:spPr>
            <a:ln w="22225" cap="rnd">
              <a:solidFill>
                <a:schemeClr val="accent6">
                  <a:lumMod val="60000"/>
                  <a:lumOff val="40000"/>
                </a:schemeClr>
              </a:solidFill>
              <a:round/>
            </a:ln>
            <a:effectLst/>
          </c:spPr>
          <c:marker>
            <c:symbol val="none"/>
          </c:marker>
          <c:cat>
            <c:numRef>
              <c:f>CISS!$A$3137:$A$5666</c:f>
              <c:numCache>
                <c:formatCode>m/d/yyyy</c:formatCode>
                <c:ptCount val="2530"/>
                <c:pt idx="0">
                  <c:v>40546</c:v>
                </c:pt>
                <c:pt idx="1">
                  <c:v>40547</c:v>
                </c:pt>
                <c:pt idx="2">
                  <c:v>40548</c:v>
                </c:pt>
                <c:pt idx="3">
                  <c:v>40549</c:v>
                </c:pt>
                <c:pt idx="4">
                  <c:v>40550</c:v>
                </c:pt>
                <c:pt idx="5">
                  <c:v>40553</c:v>
                </c:pt>
                <c:pt idx="6">
                  <c:v>40554</c:v>
                </c:pt>
                <c:pt idx="7">
                  <c:v>40555</c:v>
                </c:pt>
                <c:pt idx="8">
                  <c:v>40556</c:v>
                </c:pt>
                <c:pt idx="9">
                  <c:v>40557</c:v>
                </c:pt>
                <c:pt idx="10">
                  <c:v>40560</c:v>
                </c:pt>
                <c:pt idx="11">
                  <c:v>40561</c:v>
                </c:pt>
                <c:pt idx="12">
                  <c:v>40562</c:v>
                </c:pt>
                <c:pt idx="13">
                  <c:v>40563</c:v>
                </c:pt>
                <c:pt idx="14">
                  <c:v>40564</c:v>
                </c:pt>
                <c:pt idx="15">
                  <c:v>40567</c:v>
                </c:pt>
                <c:pt idx="16">
                  <c:v>40568</c:v>
                </c:pt>
                <c:pt idx="17">
                  <c:v>40569</c:v>
                </c:pt>
                <c:pt idx="18">
                  <c:v>40570</c:v>
                </c:pt>
                <c:pt idx="19">
                  <c:v>40571</c:v>
                </c:pt>
                <c:pt idx="20">
                  <c:v>40574</c:v>
                </c:pt>
                <c:pt idx="21">
                  <c:v>40575</c:v>
                </c:pt>
                <c:pt idx="22">
                  <c:v>40576</c:v>
                </c:pt>
                <c:pt idx="23">
                  <c:v>40577</c:v>
                </c:pt>
                <c:pt idx="24">
                  <c:v>40578</c:v>
                </c:pt>
                <c:pt idx="25">
                  <c:v>40581</c:v>
                </c:pt>
                <c:pt idx="26">
                  <c:v>40582</c:v>
                </c:pt>
                <c:pt idx="27">
                  <c:v>40583</c:v>
                </c:pt>
                <c:pt idx="28">
                  <c:v>40584</c:v>
                </c:pt>
                <c:pt idx="29">
                  <c:v>40585</c:v>
                </c:pt>
                <c:pt idx="30">
                  <c:v>40588</c:v>
                </c:pt>
                <c:pt idx="31">
                  <c:v>40589</c:v>
                </c:pt>
                <c:pt idx="32">
                  <c:v>40590</c:v>
                </c:pt>
                <c:pt idx="33">
                  <c:v>40591</c:v>
                </c:pt>
                <c:pt idx="34">
                  <c:v>40592</c:v>
                </c:pt>
                <c:pt idx="35">
                  <c:v>40595</c:v>
                </c:pt>
                <c:pt idx="36">
                  <c:v>40596</c:v>
                </c:pt>
                <c:pt idx="37">
                  <c:v>40597</c:v>
                </c:pt>
                <c:pt idx="38">
                  <c:v>40598</c:v>
                </c:pt>
                <c:pt idx="39">
                  <c:v>40599</c:v>
                </c:pt>
                <c:pt idx="40">
                  <c:v>40602</c:v>
                </c:pt>
                <c:pt idx="41">
                  <c:v>40603</c:v>
                </c:pt>
                <c:pt idx="42">
                  <c:v>40604</c:v>
                </c:pt>
                <c:pt idx="43">
                  <c:v>40605</c:v>
                </c:pt>
                <c:pt idx="44">
                  <c:v>40606</c:v>
                </c:pt>
                <c:pt idx="45">
                  <c:v>40609</c:v>
                </c:pt>
                <c:pt idx="46">
                  <c:v>40610</c:v>
                </c:pt>
                <c:pt idx="47">
                  <c:v>40611</c:v>
                </c:pt>
                <c:pt idx="48">
                  <c:v>40612</c:v>
                </c:pt>
                <c:pt idx="49">
                  <c:v>40613</c:v>
                </c:pt>
                <c:pt idx="50">
                  <c:v>40616</c:v>
                </c:pt>
                <c:pt idx="51">
                  <c:v>40617</c:v>
                </c:pt>
                <c:pt idx="52">
                  <c:v>40618</c:v>
                </c:pt>
                <c:pt idx="53">
                  <c:v>40619</c:v>
                </c:pt>
                <c:pt idx="54">
                  <c:v>40620</c:v>
                </c:pt>
                <c:pt idx="55">
                  <c:v>40623</c:v>
                </c:pt>
                <c:pt idx="56">
                  <c:v>40624</c:v>
                </c:pt>
                <c:pt idx="57">
                  <c:v>40625</c:v>
                </c:pt>
                <c:pt idx="58">
                  <c:v>40626</c:v>
                </c:pt>
                <c:pt idx="59">
                  <c:v>40627</c:v>
                </c:pt>
                <c:pt idx="60">
                  <c:v>40630</c:v>
                </c:pt>
                <c:pt idx="61">
                  <c:v>40631</c:v>
                </c:pt>
                <c:pt idx="62">
                  <c:v>40632</c:v>
                </c:pt>
                <c:pt idx="63">
                  <c:v>40633</c:v>
                </c:pt>
                <c:pt idx="64">
                  <c:v>40634</c:v>
                </c:pt>
                <c:pt idx="65">
                  <c:v>40637</c:v>
                </c:pt>
                <c:pt idx="66">
                  <c:v>40638</c:v>
                </c:pt>
                <c:pt idx="67">
                  <c:v>40639</c:v>
                </c:pt>
                <c:pt idx="68">
                  <c:v>40640</c:v>
                </c:pt>
                <c:pt idx="69">
                  <c:v>40641</c:v>
                </c:pt>
                <c:pt idx="70">
                  <c:v>40644</c:v>
                </c:pt>
                <c:pt idx="71">
                  <c:v>40645</c:v>
                </c:pt>
                <c:pt idx="72">
                  <c:v>40646</c:v>
                </c:pt>
                <c:pt idx="73">
                  <c:v>40647</c:v>
                </c:pt>
                <c:pt idx="74">
                  <c:v>40648</c:v>
                </c:pt>
                <c:pt idx="75">
                  <c:v>40651</c:v>
                </c:pt>
                <c:pt idx="76">
                  <c:v>40652</c:v>
                </c:pt>
                <c:pt idx="77">
                  <c:v>40653</c:v>
                </c:pt>
                <c:pt idx="78">
                  <c:v>40654</c:v>
                </c:pt>
                <c:pt idx="79">
                  <c:v>40655</c:v>
                </c:pt>
                <c:pt idx="80">
                  <c:v>40658</c:v>
                </c:pt>
                <c:pt idx="81">
                  <c:v>40659</c:v>
                </c:pt>
                <c:pt idx="82">
                  <c:v>40660</c:v>
                </c:pt>
                <c:pt idx="83">
                  <c:v>40661</c:v>
                </c:pt>
                <c:pt idx="84">
                  <c:v>40662</c:v>
                </c:pt>
                <c:pt idx="85">
                  <c:v>40665</c:v>
                </c:pt>
                <c:pt idx="86">
                  <c:v>40666</c:v>
                </c:pt>
                <c:pt idx="87">
                  <c:v>40667</c:v>
                </c:pt>
                <c:pt idx="88">
                  <c:v>40668</c:v>
                </c:pt>
                <c:pt idx="89">
                  <c:v>40669</c:v>
                </c:pt>
                <c:pt idx="90">
                  <c:v>40672</c:v>
                </c:pt>
                <c:pt idx="91">
                  <c:v>40673</c:v>
                </c:pt>
                <c:pt idx="92">
                  <c:v>40674</c:v>
                </c:pt>
                <c:pt idx="93">
                  <c:v>40675</c:v>
                </c:pt>
                <c:pt idx="94">
                  <c:v>40676</c:v>
                </c:pt>
                <c:pt idx="95">
                  <c:v>40679</c:v>
                </c:pt>
                <c:pt idx="96">
                  <c:v>40680</c:v>
                </c:pt>
                <c:pt idx="97">
                  <c:v>40681</c:v>
                </c:pt>
                <c:pt idx="98">
                  <c:v>40682</c:v>
                </c:pt>
                <c:pt idx="99">
                  <c:v>40683</c:v>
                </c:pt>
                <c:pt idx="100">
                  <c:v>40686</c:v>
                </c:pt>
                <c:pt idx="101">
                  <c:v>40687</c:v>
                </c:pt>
                <c:pt idx="102">
                  <c:v>40688</c:v>
                </c:pt>
                <c:pt idx="103">
                  <c:v>40689</c:v>
                </c:pt>
                <c:pt idx="104">
                  <c:v>40690</c:v>
                </c:pt>
                <c:pt idx="105">
                  <c:v>40693</c:v>
                </c:pt>
                <c:pt idx="106">
                  <c:v>40694</c:v>
                </c:pt>
                <c:pt idx="107">
                  <c:v>40695</c:v>
                </c:pt>
                <c:pt idx="108">
                  <c:v>40696</c:v>
                </c:pt>
                <c:pt idx="109">
                  <c:v>40697</c:v>
                </c:pt>
                <c:pt idx="110">
                  <c:v>40700</c:v>
                </c:pt>
                <c:pt idx="111">
                  <c:v>40701</c:v>
                </c:pt>
                <c:pt idx="112">
                  <c:v>40702</c:v>
                </c:pt>
                <c:pt idx="113">
                  <c:v>40703</c:v>
                </c:pt>
                <c:pt idx="114">
                  <c:v>40704</c:v>
                </c:pt>
                <c:pt idx="115">
                  <c:v>40707</c:v>
                </c:pt>
                <c:pt idx="116">
                  <c:v>40708</c:v>
                </c:pt>
                <c:pt idx="117">
                  <c:v>40709</c:v>
                </c:pt>
                <c:pt idx="118">
                  <c:v>40710</c:v>
                </c:pt>
                <c:pt idx="119">
                  <c:v>40711</c:v>
                </c:pt>
                <c:pt idx="120">
                  <c:v>40714</c:v>
                </c:pt>
                <c:pt idx="121">
                  <c:v>40715</c:v>
                </c:pt>
                <c:pt idx="122">
                  <c:v>40716</c:v>
                </c:pt>
                <c:pt idx="123">
                  <c:v>40717</c:v>
                </c:pt>
                <c:pt idx="124">
                  <c:v>40718</c:v>
                </c:pt>
                <c:pt idx="125">
                  <c:v>40721</c:v>
                </c:pt>
                <c:pt idx="126">
                  <c:v>40722</c:v>
                </c:pt>
                <c:pt idx="127">
                  <c:v>40723</c:v>
                </c:pt>
                <c:pt idx="128">
                  <c:v>40724</c:v>
                </c:pt>
                <c:pt idx="129">
                  <c:v>40725</c:v>
                </c:pt>
                <c:pt idx="130">
                  <c:v>40728</c:v>
                </c:pt>
                <c:pt idx="131">
                  <c:v>40729</c:v>
                </c:pt>
                <c:pt idx="132">
                  <c:v>40730</c:v>
                </c:pt>
                <c:pt idx="133">
                  <c:v>40731</c:v>
                </c:pt>
                <c:pt idx="134">
                  <c:v>40732</c:v>
                </c:pt>
                <c:pt idx="135">
                  <c:v>40735</c:v>
                </c:pt>
                <c:pt idx="136">
                  <c:v>40736</c:v>
                </c:pt>
                <c:pt idx="137">
                  <c:v>40737</c:v>
                </c:pt>
                <c:pt idx="138">
                  <c:v>40738</c:v>
                </c:pt>
                <c:pt idx="139">
                  <c:v>40739</c:v>
                </c:pt>
                <c:pt idx="140">
                  <c:v>40742</c:v>
                </c:pt>
                <c:pt idx="141">
                  <c:v>40743</c:v>
                </c:pt>
                <c:pt idx="142">
                  <c:v>40744</c:v>
                </c:pt>
                <c:pt idx="143">
                  <c:v>40745</c:v>
                </c:pt>
                <c:pt idx="144">
                  <c:v>40746</c:v>
                </c:pt>
                <c:pt idx="145">
                  <c:v>40749</c:v>
                </c:pt>
                <c:pt idx="146">
                  <c:v>40750</c:v>
                </c:pt>
                <c:pt idx="147">
                  <c:v>40751</c:v>
                </c:pt>
                <c:pt idx="148">
                  <c:v>40752</c:v>
                </c:pt>
                <c:pt idx="149">
                  <c:v>40753</c:v>
                </c:pt>
                <c:pt idx="150">
                  <c:v>40756</c:v>
                </c:pt>
                <c:pt idx="151">
                  <c:v>40757</c:v>
                </c:pt>
                <c:pt idx="152">
                  <c:v>40758</c:v>
                </c:pt>
                <c:pt idx="153">
                  <c:v>40759</c:v>
                </c:pt>
                <c:pt idx="154">
                  <c:v>40760</c:v>
                </c:pt>
                <c:pt idx="155">
                  <c:v>40763</c:v>
                </c:pt>
                <c:pt idx="156">
                  <c:v>40764</c:v>
                </c:pt>
                <c:pt idx="157">
                  <c:v>40765</c:v>
                </c:pt>
                <c:pt idx="158">
                  <c:v>40766</c:v>
                </c:pt>
                <c:pt idx="159">
                  <c:v>40767</c:v>
                </c:pt>
                <c:pt idx="160">
                  <c:v>40770</c:v>
                </c:pt>
                <c:pt idx="161">
                  <c:v>40771</c:v>
                </c:pt>
                <c:pt idx="162">
                  <c:v>40772</c:v>
                </c:pt>
                <c:pt idx="163">
                  <c:v>40773</c:v>
                </c:pt>
                <c:pt idx="164">
                  <c:v>40774</c:v>
                </c:pt>
                <c:pt idx="165">
                  <c:v>40777</c:v>
                </c:pt>
                <c:pt idx="166">
                  <c:v>40778</c:v>
                </c:pt>
                <c:pt idx="167">
                  <c:v>40779</c:v>
                </c:pt>
                <c:pt idx="168">
                  <c:v>40780</c:v>
                </c:pt>
                <c:pt idx="169">
                  <c:v>40781</c:v>
                </c:pt>
                <c:pt idx="170">
                  <c:v>40784</c:v>
                </c:pt>
                <c:pt idx="171">
                  <c:v>40785</c:v>
                </c:pt>
                <c:pt idx="172">
                  <c:v>40786</c:v>
                </c:pt>
                <c:pt idx="173">
                  <c:v>40787</c:v>
                </c:pt>
                <c:pt idx="174">
                  <c:v>40788</c:v>
                </c:pt>
                <c:pt idx="175">
                  <c:v>40791</c:v>
                </c:pt>
                <c:pt idx="176">
                  <c:v>40792</c:v>
                </c:pt>
                <c:pt idx="177">
                  <c:v>40793</c:v>
                </c:pt>
                <c:pt idx="178">
                  <c:v>40794</c:v>
                </c:pt>
                <c:pt idx="179">
                  <c:v>40795</c:v>
                </c:pt>
                <c:pt idx="180">
                  <c:v>40798</c:v>
                </c:pt>
                <c:pt idx="181">
                  <c:v>40799</c:v>
                </c:pt>
                <c:pt idx="182">
                  <c:v>40800</c:v>
                </c:pt>
                <c:pt idx="183">
                  <c:v>40801</c:v>
                </c:pt>
                <c:pt idx="184">
                  <c:v>40802</c:v>
                </c:pt>
                <c:pt idx="185">
                  <c:v>40805</c:v>
                </c:pt>
                <c:pt idx="186">
                  <c:v>40806</c:v>
                </c:pt>
                <c:pt idx="187">
                  <c:v>40807</c:v>
                </c:pt>
                <c:pt idx="188">
                  <c:v>40808</c:v>
                </c:pt>
                <c:pt idx="189">
                  <c:v>40809</c:v>
                </c:pt>
                <c:pt idx="190">
                  <c:v>40812</c:v>
                </c:pt>
                <c:pt idx="191">
                  <c:v>40813</c:v>
                </c:pt>
                <c:pt idx="192">
                  <c:v>40814</c:v>
                </c:pt>
                <c:pt idx="193">
                  <c:v>40815</c:v>
                </c:pt>
                <c:pt idx="194">
                  <c:v>40816</c:v>
                </c:pt>
                <c:pt idx="195">
                  <c:v>40819</c:v>
                </c:pt>
                <c:pt idx="196">
                  <c:v>40820</c:v>
                </c:pt>
                <c:pt idx="197">
                  <c:v>40821</c:v>
                </c:pt>
                <c:pt idx="198">
                  <c:v>40822</c:v>
                </c:pt>
                <c:pt idx="199">
                  <c:v>40823</c:v>
                </c:pt>
                <c:pt idx="200">
                  <c:v>40826</c:v>
                </c:pt>
                <c:pt idx="201">
                  <c:v>40827</c:v>
                </c:pt>
                <c:pt idx="202">
                  <c:v>40828</c:v>
                </c:pt>
                <c:pt idx="203">
                  <c:v>40829</c:v>
                </c:pt>
                <c:pt idx="204">
                  <c:v>40830</c:v>
                </c:pt>
                <c:pt idx="205">
                  <c:v>40833</c:v>
                </c:pt>
                <c:pt idx="206">
                  <c:v>40834</c:v>
                </c:pt>
                <c:pt idx="207">
                  <c:v>40835</c:v>
                </c:pt>
                <c:pt idx="208">
                  <c:v>40836</c:v>
                </c:pt>
                <c:pt idx="209">
                  <c:v>40837</c:v>
                </c:pt>
                <c:pt idx="210">
                  <c:v>40840</c:v>
                </c:pt>
                <c:pt idx="211">
                  <c:v>40841</c:v>
                </c:pt>
                <c:pt idx="212">
                  <c:v>40842</c:v>
                </c:pt>
                <c:pt idx="213">
                  <c:v>40843</c:v>
                </c:pt>
                <c:pt idx="214">
                  <c:v>40844</c:v>
                </c:pt>
                <c:pt idx="215">
                  <c:v>40847</c:v>
                </c:pt>
                <c:pt idx="216">
                  <c:v>40848</c:v>
                </c:pt>
                <c:pt idx="217">
                  <c:v>40849</c:v>
                </c:pt>
                <c:pt idx="218">
                  <c:v>40850</c:v>
                </c:pt>
                <c:pt idx="219">
                  <c:v>40851</c:v>
                </c:pt>
                <c:pt idx="220">
                  <c:v>40854</c:v>
                </c:pt>
                <c:pt idx="221">
                  <c:v>40855</c:v>
                </c:pt>
                <c:pt idx="222">
                  <c:v>40856</c:v>
                </c:pt>
                <c:pt idx="223">
                  <c:v>40857</c:v>
                </c:pt>
                <c:pt idx="224">
                  <c:v>40858</c:v>
                </c:pt>
                <c:pt idx="225">
                  <c:v>40861</c:v>
                </c:pt>
                <c:pt idx="226">
                  <c:v>40862</c:v>
                </c:pt>
                <c:pt idx="227">
                  <c:v>40863</c:v>
                </c:pt>
                <c:pt idx="228">
                  <c:v>40864</c:v>
                </c:pt>
                <c:pt idx="229">
                  <c:v>40865</c:v>
                </c:pt>
                <c:pt idx="230">
                  <c:v>40868</c:v>
                </c:pt>
                <c:pt idx="231">
                  <c:v>40869</c:v>
                </c:pt>
                <c:pt idx="232">
                  <c:v>40870</c:v>
                </c:pt>
                <c:pt idx="233">
                  <c:v>40871</c:v>
                </c:pt>
                <c:pt idx="234">
                  <c:v>40872</c:v>
                </c:pt>
                <c:pt idx="235">
                  <c:v>40875</c:v>
                </c:pt>
                <c:pt idx="236">
                  <c:v>40876</c:v>
                </c:pt>
                <c:pt idx="237">
                  <c:v>40877</c:v>
                </c:pt>
                <c:pt idx="238">
                  <c:v>40878</c:v>
                </c:pt>
                <c:pt idx="239">
                  <c:v>40879</c:v>
                </c:pt>
                <c:pt idx="240">
                  <c:v>40882</c:v>
                </c:pt>
                <c:pt idx="241">
                  <c:v>40883</c:v>
                </c:pt>
                <c:pt idx="242">
                  <c:v>40884</c:v>
                </c:pt>
                <c:pt idx="243">
                  <c:v>40885</c:v>
                </c:pt>
                <c:pt idx="244">
                  <c:v>40886</c:v>
                </c:pt>
                <c:pt idx="245">
                  <c:v>40889</c:v>
                </c:pt>
                <c:pt idx="246">
                  <c:v>40890</c:v>
                </c:pt>
                <c:pt idx="247">
                  <c:v>40891</c:v>
                </c:pt>
                <c:pt idx="248">
                  <c:v>40892</c:v>
                </c:pt>
                <c:pt idx="249">
                  <c:v>40893</c:v>
                </c:pt>
                <c:pt idx="250">
                  <c:v>40896</c:v>
                </c:pt>
                <c:pt idx="251">
                  <c:v>40897</c:v>
                </c:pt>
                <c:pt idx="252">
                  <c:v>40898</c:v>
                </c:pt>
                <c:pt idx="253">
                  <c:v>40899</c:v>
                </c:pt>
                <c:pt idx="254">
                  <c:v>40900</c:v>
                </c:pt>
                <c:pt idx="255">
                  <c:v>40903</c:v>
                </c:pt>
                <c:pt idx="256">
                  <c:v>40904</c:v>
                </c:pt>
                <c:pt idx="257">
                  <c:v>40905</c:v>
                </c:pt>
                <c:pt idx="258">
                  <c:v>40906</c:v>
                </c:pt>
                <c:pt idx="259">
                  <c:v>40907</c:v>
                </c:pt>
                <c:pt idx="260">
                  <c:v>40910</c:v>
                </c:pt>
                <c:pt idx="261">
                  <c:v>40911</c:v>
                </c:pt>
                <c:pt idx="262">
                  <c:v>40912</c:v>
                </c:pt>
                <c:pt idx="263">
                  <c:v>40913</c:v>
                </c:pt>
                <c:pt idx="264">
                  <c:v>40914</c:v>
                </c:pt>
                <c:pt idx="265">
                  <c:v>40917</c:v>
                </c:pt>
                <c:pt idx="266">
                  <c:v>40918</c:v>
                </c:pt>
                <c:pt idx="267">
                  <c:v>40919</c:v>
                </c:pt>
                <c:pt idx="268">
                  <c:v>40920</c:v>
                </c:pt>
                <c:pt idx="269">
                  <c:v>40921</c:v>
                </c:pt>
                <c:pt idx="270">
                  <c:v>40924</c:v>
                </c:pt>
                <c:pt idx="271">
                  <c:v>40925</c:v>
                </c:pt>
                <c:pt idx="272">
                  <c:v>40926</c:v>
                </c:pt>
                <c:pt idx="273">
                  <c:v>40927</c:v>
                </c:pt>
                <c:pt idx="274">
                  <c:v>40928</c:v>
                </c:pt>
                <c:pt idx="275">
                  <c:v>40931</c:v>
                </c:pt>
                <c:pt idx="276">
                  <c:v>40932</c:v>
                </c:pt>
                <c:pt idx="277">
                  <c:v>40933</c:v>
                </c:pt>
                <c:pt idx="278">
                  <c:v>40934</c:v>
                </c:pt>
                <c:pt idx="279">
                  <c:v>40935</c:v>
                </c:pt>
                <c:pt idx="280">
                  <c:v>40938</c:v>
                </c:pt>
                <c:pt idx="281">
                  <c:v>40939</c:v>
                </c:pt>
                <c:pt idx="282">
                  <c:v>40940</c:v>
                </c:pt>
                <c:pt idx="283">
                  <c:v>40941</c:v>
                </c:pt>
                <c:pt idx="284">
                  <c:v>40942</c:v>
                </c:pt>
                <c:pt idx="285">
                  <c:v>40945</c:v>
                </c:pt>
                <c:pt idx="286">
                  <c:v>40946</c:v>
                </c:pt>
                <c:pt idx="287">
                  <c:v>40947</c:v>
                </c:pt>
                <c:pt idx="288">
                  <c:v>40948</c:v>
                </c:pt>
                <c:pt idx="289">
                  <c:v>40949</c:v>
                </c:pt>
                <c:pt idx="290">
                  <c:v>40952</c:v>
                </c:pt>
                <c:pt idx="291">
                  <c:v>40953</c:v>
                </c:pt>
                <c:pt idx="292">
                  <c:v>40954</c:v>
                </c:pt>
                <c:pt idx="293">
                  <c:v>40955</c:v>
                </c:pt>
                <c:pt idx="294">
                  <c:v>40956</c:v>
                </c:pt>
                <c:pt idx="295">
                  <c:v>40959</c:v>
                </c:pt>
                <c:pt idx="296">
                  <c:v>40960</c:v>
                </c:pt>
                <c:pt idx="297">
                  <c:v>40961</c:v>
                </c:pt>
                <c:pt idx="298">
                  <c:v>40962</c:v>
                </c:pt>
                <c:pt idx="299">
                  <c:v>40963</c:v>
                </c:pt>
                <c:pt idx="300">
                  <c:v>40966</c:v>
                </c:pt>
                <c:pt idx="301">
                  <c:v>40967</c:v>
                </c:pt>
                <c:pt idx="302">
                  <c:v>40968</c:v>
                </c:pt>
                <c:pt idx="303">
                  <c:v>40969</c:v>
                </c:pt>
                <c:pt idx="304">
                  <c:v>40970</c:v>
                </c:pt>
                <c:pt idx="305">
                  <c:v>40973</c:v>
                </c:pt>
                <c:pt idx="306">
                  <c:v>40974</c:v>
                </c:pt>
                <c:pt idx="307">
                  <c:v>40975</c:v>
                </c:pt>
                <c:pt idx="308">
                  <c:v>40976</c:v>
                </c:pt>
                <c:pt idx="309">
                  <c:v>40977</c:v>
                </c:pt>
                <c:pt idx="310">
                  <c:v>40980</c:v>
                </c:pt>
                <c:pt idx="311">
                  <c:v>40981</c:v>
                </c:pt>
                <c:pt idx="312">
                  <c:v>40982</c:v>
                </c:pt>
                <c:pt idx="313">
                  <c:v>40983</c:v>
                </c:pt>
                <c:pt idx="314">
                  <c:v>40984</c:v>
                </c:pt>
                <c:pt idx="315">
                  <c:v>40987</c:v>
                </c:pt>
                <c:pt idx="316">
                  <c:v>40988</c:v>
                </c:pt>
                <c:pt idx="317">
                  <c:v>40989</c:v>
                </c:pt>
                <c:pt idx="318">
                  <c:v>40990</c:v>
                </c:pt>
                <c:pt idx="319">
                  <c:v>40991</c:v>
                </c:pt>
                <c:pt idx="320">
                  <c:v>40994</c:v>
                </c:pt>
                <c:pt idx="321">
                  <c:v>40995</c:v>
                </c:pt>
                <c:pt idx="322">
                  <c:v>40996</c:v>
                </c:pt>
                <c:pt idx="323">
                  <c:v>40997</c:v>
                </c:pt>
                <c:pt idx="324">
                  <c:v>40998</c:v>
                </c:pt>
                <c:pt idx="325">
                  <c:v>41001</c:v>
                </c:pt>
                <c:pt idx="326">
                  <c:v>41002</c:v>
                </c:pt>
                <c:pt idx="327">
                  <c:v>41003</c:v>
                </c:pt>
                <c:pt idx="328">
                  <c:v>41004</c:v>
                </c:pt>
                <c:pt idx="329">
                  <c:v>41005</c:v>
                </c:pt>
                <c:pt idx="330">
                  <c:v>41008</c:v>
                </c:pt>
                <c:pt idx="331">
                  <c:v>41009</c:v>
                </c:pt>
                <c:pt idx="332">
                  <c:v>41010</c:v>
                </c:pt>
                <c:pt idx="333">
                  <c:v>41011</c:v>
                </c:pt>
                <c:pt idx="334">
                  <c:v>41012</c:v>
                </c:pt>
                <c:pt idx="335">
                  <c:v>41015</c:v>
                </c:pt>
                <c:pt idx="336">
                  <c:v>41016</c:v>
                </c:pt>
                <c:pt idx="337">
                  <c:v>41017</c:v>
                </c:pt>
                <c:pt idx="338">
                  <c:v>41018</c:v>
                </c:pt>
                <c:pt idx="339">
                  <c:v>41019</c:v>
                </c:pt>
                <c:pt idx="340">
                  <c:v>41022</c:v>
                </c:pt>
                <c:pt idx="341">
                  <c:v>41023</c:v>
                </c:pt>
                <c:pt idx="342">
                  <c:v>41024</c:v>
                </c:pt>
                <c:pt idx="343">
                  <c:v>41025</c:v>
                </c:pt>
                <c:pt idx="344">
                  <c:v>41026</c:v>
                </c:pt>
                <c:pt idx="345">
                  <c:v>41029</c:v>
                </c:pt>
                <c:pt idx="346">
                  <c:v>41030</c:v>
                </c:pt>
                <c:pt idx="347">
                  <c:v>41031</c:v>
                </c:pt>
                <c:pt idx="348">
                  <c:v>41032</c:v>
                </c:pt>
                <c:pt idx="349">
                  <c:v>41033</c:v>
                </c:pt>
                <c:pt idx="350">
                  <c:v>41036</c:v>
                </c:pt>
                <c:pt idx="351">
                  <c:v>41037</c:v>
                </c:pt>
                <c:pt idx="352">
                  <c:v>41038</c:v>
                </c:pt>
                <c:pt idx="353">
                  <c:v>41039</c:v>
                </c:pt>
                <c:pt idx="354">
                  <c:v>41040</c:v>
                </c:pt>
                <c:pt idx="355">
                  <c:v>41043</c:v>
                </c:pt>
                <c:pt idx="356">
                  <c:v>41044</c:v>
                </c:pt>
                <c:pt idx="357">
                  <c:v>41045</c:v>
                </c:pt>
                <c:pt idx="358">
                  <c:v>41046</c:v>
                </c:pt>
                <c:pt idx="359">
                  <c:v>41047</c:v>
                </c:pt>
                <c:pt idx="360">
                  <c:v>41050</c:v>
                </c:pt>
                <c:pt idx="361">
                  <c:v>41051</c:v>
                </c:pt>
                <c:pt idx="362">
                  <c:v>41052</c:v>
                </c:pt>
                <c:pt idx="363">
                  <c:v>41053</c:v>
                </c:pt>
                <c:pt idx="364">
                  <c:v>41054</c:v>
                </c:pt>
                <c:pt idx="365">
                  <c:v>41057</c:v>
                </c:pt>
                <c:pt idx="366">
                  <c:v>41058</c:v>
                </c:pt>
                <c:pt idx="367">
                  <c:v>41059</c:v>
                </c:pt>
                <c:pt idx="368">
                  <c:v>41060</c:v>
                </c:pt>
                <c:pt idx="369">
                  <c:v>41061</c:v>
                </c:pt>
                <c:pt idx="370">
                  <c:v>41064</c:v>
                </c:pt>
                <c:pt idx="371">
                  <c:v>41065</c:v>
                </c:pt>
                <c:pt idx="372">
                  <c:v>41066</c:v>
                </c:pt>
                <c:pt idx="373">
                  <c:v>41067</c:v>
                </c:pt>
                <c:pt idx="374">
                  <c:v>41068</c:v>
                </c:pt>
                <c:pt idx="375">
                  <c:v>41071</c:v>
                </c:pt>
                <c:pt idx="376">
                  <c:v>41072</c:v>
                </c:pt>
                <c:pt idx="377">
                  <c:v>41073</c:v>
                </c:pt>
                <c:pt idx="378">
                  <c:v>41074</c:v>
                </c:pt>
                <c:pt idx="379">
                  <c:v>41075</c:v>
                </c:pt>
                <c:pt idx="380">
                  <c:v>41078</c:v>
                </c:pt>
                <c:pt idx="381">
                  <c:v>41079</c:v>
                </c:pt>
                <c:pt idx="382">
                  <c:v>41080</c:v>
                </c:pt>
                <c:pt idx="383">
                  <c:v>41081</c:v>
                </c:pt>
                <c:pt idx="384">
                  <c:v>41082</c:v>
                </c:pt>
                <c:pt idx="385">
                  <c:v>41085</c:v>
                </c:pt>
                <c:pt idx="386">
                  <c:v>41086</c:v>
                </c:pt>
                <c:pt idx="387">
                  <c:v>41087</c:v>
                </c:pt>
                <c:pt idx="388">
                  <c:v>41088</c:v>
                </c:pt>
                <c:pt idx="389">
                  <c:v>41089</c:v>
                </c:pt>
                <c:pt idx="390">
                  <c:v>41092</c:v>
                </c:pt>
                <c:pt idx="391">
                  <c:v>41093</c:v>
                </c:pt>
                <c:pt idx="392">
                  <c:v>41094</c:v>
                </c:pt>
                <c:pt idx="393">
                  <c:v>41095</c:v>
                </c:pt>
                <c:pt idx="394">
                  <c:v>41096</c:v>
                </c:pt>
                <c:pt idx="395">
                  <c:v>41099</c:v>
                </c:pt>
                <c:pt idx="396">
                  <c:v>41100</c:v>
                </c:pt>
                <c:pt idx="397">
                  <c:v>41101</c:v>
                </c:pt>
                <c:pt idx="398">
                  <c:v>41102</c:v>
                </c:pt>
                <c:pt idx="399">
                  <c:v>41103</c:v>
                </c:pt>
                <c:pt idx="400">
                  <c:v>41106</c:v>
                </c:pt>
                <c:pt idx="401">
                  <c:v>41107</c:v>
                </c:pt>
                <c:pt idx="402">
                  <c:v>41108</c:v>
                </c:pt>
                <c:pt idx="403">
                  <c:v>41109</c:v>
                </c:pt>
                <c:pt idx="404">
                  <c:v>41110</c:v>
                </c:pt>
                <c:pt idx="405">
                  <c:v>41113</c:v>
                </c:pt>
                <c:pt idx="406">
                  <c:v>41114</c:v>
                </c:pt>
                <c:pt idx="407">
                  <c:v>41115</c:v>
                </c:pt>
                <c:pt idx="408">
                  <c:v>41116</c:v>
                </c:pt>
                <c:pt idx="409">
                  <c:v>41117</c:v>
                </c:pt>
                <c:pt idx="410">
                  <c:v>41120</c:v>
                </c:pt>
                <c:pt idx="411">
                  <c:v>41121</c:v>
                </c:pt>
                <c:pt idx="412">
                  <c:v>41122</c:v>
                </c:pt>
                <c:pt idx="413">
                  <c:v>41123</c:v>
                </c:pt>
                <c:pt idx="414">
                  <c:v>41124</c:v>
                </c:pt>
                <c:pt idx="415">
                  <c:v>41127</c:v>
                </c:pt>
                <c:pt idx="416">
                  <c:v>41128</c:v>
                </c:pt>
                <c:pt idx="417">
                  <c:v>41129</c:v>
                </c:pt>
                <c:pt idx="418">
                  <c:v>41130</c:v>
                </c:pt>
                <c:pt idx="419">
                  <c:v>41131</c:v>
                </c:pt>
                <c:pt idx="420">
                  <c:v>41134</c:v>
                </c:pt>
                <c:pt idx="421">
                  <c:v>41135</c:v>
                </c:pt>
                <c:pt idx="422">
                  <c:v>41136</c:v>
                </c:pt>
                <c:pt idx="423">
                  <c:v>41137</c:v>
                </c:pt>
                <c:pt idx="424">
                  <c:v>41138</c:v>
                </c:pt>
                <c:pt idx="425">
                  <c:v>41141</c:v>
                </c:pt>
                <c:pt idx="426">
                  <c:v>41142</c:v>
                </c:pt>
                <c:pt idx="427">
                  <c:v>41143</c:v>
                </c:pt>
                <c:pt idx="428">
                  <c:v>41144</c:v>
                </c:pt>
                <c:pt idx="429">
                  <c:v>41145</c:v>
                </c:pt>
                <c:pt idx="430">
                  <c:v>41148</c:v>
                </c:pt>
                <c:pt idx="431">
                  <c:v>41149</c:v>
                </c:pt>
                <c:pt idx="432">
                  <c:v>41150</c:v>
                </c:pt>
                <c:pt idx="433">
                  <c:v>41151</c:v>
                </c:pt>
                <c:pt idx="434">
                  <c:v>41152</c:v>
                </c:pt>
                <c:pt idx="435">
                  <c:v>41155</c:v>
                </c:pt>
                <c:pt idx="436">
                  <c:v>41156</c:v>
                </c:pt>
                <c:pt idx="437">
                  <c:v>41157</c:v>
                </c:pt>
                <c:pt idx="438">
                  <c:v>41158</c:v>
                </c:pt>
                <c:pt idx="439">
                  <c:v>41159</c:v>
                </c:pt>
                <c:pt idx="440">
                  <c:v>41162</c:v>
                </c:pt>
                <c:pt idx="441">
                  <c:v>41163</c:v>
                </c:pt>
                <c:pt idx="442">
                  <c:v>41164</c:v>
                </c:pt>
                <c:pt idx="443">
                  <c:v>41165</c:v>
                </c:pt>
                <c:pt idx="444">
                  <c:v>41166</c:v>
                </c:pt>
                <c:pt idx="445">
                  <c:v>41169</c:v>
                </c:pt>
                <c:pt idx="446">
                  <c:v>41170</c:v>
                </c:pt>
                <c:pt idx="447">
                  <c:v>41171</c:v>
                </c:pt>
                <c:pt idx="448">
                  <c:v>41172</c:v>
                </c:pt>
                <c:pt idx="449">
                  <c:v>41173</c:v>
                </c:pt>
                <c:pt idx="450">
                  <c:v>41176</c:v>
                </c:pt>
                <c:pt idx="451">
                  <c:v>41177</c:v>
                </c:pt>
                <c:pt idx="452">
                  <c:v>41178</c:v>
                </c:pt>
                <c:pt idx="453">
                  <c:v>41179</c:v>
                </c:pt>
                <c:pt idx="454">
                  <c:v>41180</c:v>
                </c:pt>
                <c:pt idx="455">
                  <c:v>41183</c:v>
                </c:pt>
                <c:pt idx="456">
                  <c:v>41184</c:v>
                </c:pt>
                <c:pt idx="457">
                  <c:v>41185</c:v>
                </c:pt>
                <c:pt idx="458">
                  <c:v>41186</c:v>
                </c:pt>
                <c:pt idx="459">
                  <c:v>41187</c:v>
                </c:pt>
                <c:pt idx="460">
                  <c:v>41190</c:v>
                </c:pt>
                <c:pt idx="461">
                  <c:v>41191</c:v>
                </c:pt>
                <c:pt idx="462">
                  <c:v>41192</c:v>
                </c:pt>
                <c:pt idx="463">
                  <c:v>41193</c:v>
                </c:pt>
                <c:pt idx="464">
                  <c:v>41194</c:v>
                </c:pt>
                <c:pt idx="465">
                  <c:v>41197</c:v>
                </c:pt>
                <c:pt idx="466">
                  <c:v>41198</c:v>
                </c:pt>
                <c:pt idx="467">
                  <c:v>41199</c:v>
                </c:pt>
                <c:pt idx="468">
                  <c:v>41200</c:v>
                </c:pt>
                <c:pt idx="469">
                  <c:v>41201</c:v>
                </c:pt>
                <c:pt idx="470">
                  <c:v>41204</c:v>
                </c:pt>
                <c:pt idx="471">
                  <c:v>41205</c:v>
                </c:pt>
                <c:pt idx="472">
                  <c:v>41206</c:v>
                </c:pt>
                <c:pt idx="473">
                  <c:v>41207</c:v>
                </c:pt>
                <c:pt idx="474">
                  <c:v>41208</c:v>
                </c:pt>
                <c:pt idx="475">
                  <c:v>41211</c:v>
                </c:pt>
                <c:pt idx="476">
                  <c:v>41212</c:v>
                </c:pt>
                <c:pt idx="477">
                  <c:v>41213</c:v>
                </c:pt>
                <c:pt idx="478">
                  <c:v>41214</c:v>
                </c:pt>
                <c:pt idx="479">
                  <c:v>41215</c:v>
                </c:pt>
                <c:pt idx="480">
                  <c:v>41218</c:v>
                </c:pt>
                <c:pt idx="481">
                  <c:v>41219</c:v>
                </c:pt>
                <c:pt idx="482">
                  <c:v>41220</c:v>
                </c:pt>
                <c:pt idx="483">
                  <c:v>41221</c:v>
                </c:pt>
                <c:pt idx="484">
                  <c:v>41222</c:v>
                </c:pt>
                <c:pt idx="485">
                  <c:v>41225</c:v>
                </c:pt>
                <c:pt idx="486">
                  <c:v>41226</c:v>
                </c:pt>
                <c:pt idx="487">
                  <c:v>41227</c:v>
                </c:pt>
                <c:pt idx="488">
                  <c:v>41228</c:v>
                </c:pt>
                <c:pt idx="489">
                  <c:v>41229</c:v>
                </c:pt>
                <c:pt idx="490">
                  <c:v>41232</c:v>
                </c:pt>
                <c:pt idx="491">
                  <c:v>41233</c:v>
                </c:pt>
                <c:pt idx="492">
                  <c:v>41234</c:v>
                </c:pt>
                <c:pt idx="493">
                  <c:v>41235</c:v>
                </c:pt>
                <c:pt idx="494">
                  <c:v>41236</c:v>
                </c:pt>
                <c:pt idx="495">
                  <c:v>41239</c:v>
                </c:pt>
                <c:pt idx="496">
                  <c:v>41240</c:v>
                </c:pt>
                <c:pt idx="497">
                  <c:v>41241</c:v>
                </c:pt>
                <c:pt idx="498">
                  <c:v>41242</c:v>
                </c:pt>
                <c:pt idx="499">
                  <c:v>41243</c:v>
                </c:pt>
                <c:pt idx="500">
                  <c:v>41246</c:v>
                </c:pt>
                <c:pt idx="501">
                  <c:v>41247</c:v>
                </c:pt>
                <c:pt idx="502">
                  <c:v>41248</c:v>
                </c:pt>
                <c:pt idx="503">
                  <c:v>41249</c:v>
                </c:pt>
                <c:pt idx="504">
                  <c:v>41250</c:v>
                </c:pt>
                <c:pt idx="505">
                  <c:v>41253</c:v>
                </c:pt>
                <c:pt idx="506">
                  <c:v>41254</c:v>
                </c:pt>
                <c:pt idx="507">
                  <c:v>41255</c:v>
                </c:pt>
                <c:pt idx="508">
                  <c:v>41256</c:v>
                </c:pt>
                <c:pt idx="509">
                  <c:v>41257</c:v>
                </c:pt>
                <c:pt idx="510">
                  <c:v>41260</c:v>
                </c:pt>
                <c:pt idx="511">
                  <c:v>41261</c:v>
                </c:pt>
                <c:pt idx="512">
                  <c:v>41262</c:v>
                </c:pt>
                <c:pt idx="513">
                  <c:v>41263</c:v>
                </c:pt>
                <c:pt idx="514">
                  <c:v>41264</c:v>
                </c:pt>
                <c:pt idx="515">
                  <c:v>41267</c:v>
                </c:pt>
                <c:pt idx="516">
                  <c:v>41268</c:v>
                </c:pt>
                <c:pt idx="517">
                  <c:v>41269</c:v>
                </c:pt>
                <c:pt idx="518">
                  <c:v>41270</c:v>
                </c:pt>
                <c:pt idx="519">
                  <c:v>41271</c:v>
                </c:pt>
                <c:pt idx="520">
                  <c:v>41274</c:v>
                </c:pt>
                <c:pt idx="521">
                  <c:v>41275</c:v>
                </c:pt>
                <c:pt idx="522">
                  <c:v>41276</c:v>
                </c:pt>
                <c:pt idx="523">
                  <c:v>41277</c:v>
                </c:pt>
                <c:pt idx="524">
                  <c:v>41278</c:v>
                </c:pt>
                <c:pt idx="525">
                  <c:v>41281</c:v>
                </c:pt>
                <c:pt idx="526">
                  <c:v>41282</c:v>
                </c:pt>
                <c:pt idx="527">
                  <c:v>41283</c:v>
                </c:pt>
                <c:pt idx="528">
                  <c:v>41284</c:v>
                </c:pt>
                <c:pt idx="529">
                  <c:v>41285</c:v>
                </c:pt>
                <c:pt idx="530">
                  <c:v>41288</c:v>
                </c:pt>
                <c:pt idx="531">
                  <c:v>41289</c:v>
                </c:pt>
                <c:pt idx="532">
                  <c:v>41290</c:v>
                </c:pt>
                <c:pt idx="533">
                  <c:v>41291</c:v>
                </c:pt>
                <c:pt idx="534">
                  <c:v>41292</c:v>
                </c:pt>
                <c:pt idx="535">
                  <c:v>41295</c:v>
                </c:pt>
                <c:pt idx="536">
                  <c:v>41296</c:v>
                </c:pt>
                <c:pt idx="537">
                  <c:v>41297</c:v>
                </c:pt>
                <c:pt idx="538">
                  <c:v>41298</c:v>
                </c:pt>
                <c:pt idx="539">
                  <c:v>41299</c:v>
                </c:pt>
                <c:pt idx="540">
                  <c:v>41302</c:v>
                </c:pt>
                <c:pt idx="541">
                  <c:v>41303</c:v>
                </c:pt>
                <c:pt idx="542">
                  <c:v>41304</c:v>
                </c:pt>
                <c:pt idx="543">
                  <c:v>41305</c:v>
                </c:pt>
                <c:pt idx="544">
                  <c:v>41306</c:v>
                </c:pt>
                <c:pt idx="545">
                  <c:v>41309</c:v>
                </c:pt>
                <c:pt idx="546">
                  <c:v>41310</c:v>
                </c:pt>
                <c:pt idx="547">
                  <c:v>41311</c:v>
                </c:pt>
                <c:pt idx="548">
                  <c:v>41312</c:v>
                </c:pt>
                <c:pt idx="549">
                  <c:v>41313</c:v>
                </c:pt>
                <c:pt idx="550">
                  <c:v>41316</c:v>
                </c:pt>
                <c:pt idx="551">
                  <c:v>41317</c:v>
                </c:pt>
                <c:pt idx="552">
                  <c:v>41318</c:v>
                </c:pt>
                <c:pt idx="553">
                  <c:v>41319</c:v>
                </c:pt>
                <c:pt idx="554">
                  <c:v>41320</c:v>
                </c:pt>
                <c:pt idx="555">
                  <c:v>41323</c:v>
                </c:pt>
                <c:pt idx="556">
                  <c:v>41324</c:v>
                </c:pt>
                <c:pt idx="557">
                  <c:v>41325</c:v>
                </c:pt>
                <c:pt idx="558">
                  <c:v>41326</c:v>
                </c:pt>
                <c:pt idx="559">
                  <c:v>41327</c:v>
                </c:pt>
                <c:pt idx="560">
                  <c:v>41330</c:v>
                </c:pt>
                <c:pt idx="561">
                  <c:v>41331</c:v>
                </c:pt>
                <c:pt idx="562">
                  <c:v>41332</c:v>
                </c:pt>
                <c:pt idx="563">
                  <c:v>41333</c:v>
                </c:pt>
                <c:pt idx="564">
                  <c:v>41334</c:v>
                </c:pt>
                <c:pt idx="565">
                  <c:v>41337</c:v>
                </c:pt>
                <c:pt idx="566">
                  <c:v>41338</c:v>
                </c:pt>
                <c:pt idx="567">
                  <c:v>41339</c:v>
                </c:pt>
                <c:pt idx="568">
                  <c:v>41340</c:v>
                </c:pt>
                <c:pt idx="569">
                  <c:v>41341</c:v>
                </c:pt>
                <c:pt idx="570">
                  <c:v>41344</c:v>
                </c:pt>
                <c:pt idx="571">
                  <c:v>41345</c:v>
                </c:pt>
                <c:pt idx="572">
                  <c:v>41346</c:v>
                </c:pt>
                <c:pt idx="573">
                  <c:v>41347</c:v>
                </c:pt>
                <c:pt idx="574">
                  <c:v>41348</c:v>
                </c:pt>
                <c:pt idx="575">
                  <c:v>41351</c:v>
                </c:pt>
                <c:pt idx="576">
                  <c:v>41352</c:v>
                </c:pt>
                <c:pt idx="577">
                  <c:v>41353</c:v>
                </c:pt>
                <c:pt idx="578">
                  <c:v>41354</c:v>
                </c:pt>
                <c:pt idx="579">
                  <c:v>41355</c:v>
                </c:pt>
                <c:pt idx="580">
                  <c:v>41358</c:v>
                </c:pt>
                <c:pt idx="581">
                  <c:v>41359</c:v>
                </c:pt>
                <c:pt idx="582">
                  <c:v>41360</c:v>
                </c:pt>
                <c:pt idx="583">
                  <c:v>41361</c:v>
                </c:pt>
                <c:pt idx="584">
                  <c:v>41362</c:v>
                </c:pt>
                <c:pt idx="585">
                  <c:v>41365</c:v>
                </c:pt>
                <c:pt idx="586">
                  <c:v>41366</c:v>
                </c:pt>
                <c:pt idx="587">
                  <c:v>41367</c:v>
                </c:pt>
                <c:pt idx="588">
                  <c:v>41368</c:v>
                </c:pt>
                <c:pt idx="589">
                  <c:v>41369</c:v>
                </c:pt>
                <c:pt idx="590">
                  <c:v>41372</c:v>
                </c:pt>
                <c:pt idx="591">
                  <c:v>41373</c:v>
                </c:pt>
                <c:pt idx="592">
                  <c:v>41374</c:v>
                </c:pt>
                <c:pt idx="593">
                  <c:v>41375</c:v>
                </c:pt>
                <c:pt idx="594">
                  <c:v>41376</c:v>
                </c:pt>
                <c:pt idx="595">
                  <c:v>41379</c:v>
                </c:pt>
                <c:pt idx="596">
                  <c:v>41380</c:v>
                </c:pt>
                <c:pt idx="597">
                  <c:v>41381</c:v>
                </c:pt>
                <c:pt idx="598">
                  <c:v>41382</c:v>
                </c:pt>
                <c:pt idx="599">
                  <c:v>41383</c:v>
                </c:pt>
                <c:pt idx="600">
                  <c:v>41386</c:v>
                </c:pt>
                <c:pt idx="601">
                  <c:v>41387</c:v>
                </c:pt>
                <c:pt idx="602">
                  <c:v>41388</c:v>
                </c:pt>
                <c:pt idx="603">
                  <c:v>41389</c:v>
                </c:pt>
                <c:pt idx="604">
                  <c:v>41390</c:v>
                </c:pt>
                <c:pt idx="605">
                  <c:v>41393</c:v>
                </c:pt>
                <c:pt idx="606">
                  <c:v>41394</c:v>
                </c:pt>
                <c:pt idx="607">
                  <c:v>41395</c:v>
                </c:pt>
                <c:pt idx="608">
                  <c:v>41396</c:v>
                </c:pt>
                <c:pt idx="609">
                  <c:v>41397</c:v>
                </c:pt>
                <c:pt idx="610">
                  <c:v>41400</c:v>
                </c:pt>
                <c:pt idx="611">
                  <c:v>41401</c:v>
                </c:pt>
                <c:pt idx="612">
                  <c:v>41402</c:v>
                </c:pt>
                <c:pt idx="613">
                  <c:v>41403</c:v>
                </c:pt>
                <c:pt idx="614">
                  <c:v>41404</c:v>
                </c:pt>
                <c:pt idx="615">
                  <c:v>41407</c:v>
                </c:pt>
                <c:pt idx="616">
                  <c:v>41408</c:v>
                </c:pt>
                <c:pt idx="617">
                  <c:v>41409</c:v>
                </c:pt>
                <c:pt idx="618">
                  <c:v>41410</c:v>
                </c:pt>
                <c:pt idx="619">
                  <c:v>41411</c:v>
                </c:pt>
                <c:pt idx="620">
                  <c:v>41414</c:v>
                </c:pt>
                <c:pt idx="621">
                  <c:v>41415</c:v>
                </c:pt>
                <c:pt idx="622">
                  <c:v>41416</c:v>
                </c:pt>
                <c:pt idx="623">
                  <c:v>41417</c:v>
                </c:pt>
                <c:pt idx="624">
                  <c:v>41418</c:v>
                </c:pt>
                <c:pt idx="625">
                  <c:v>41421</c:v>
                </c:pt>
                <c:pt idx="626">
                  <c:v>41422</c:v>
                </c:pt>
                <c:pt idx="627">
                  <c:v>41423</c:v>
                </c:pt>
                <c:pt idx="628">
                  <c:v>41424</c:v>
                </c:pt>
                <c:pt idx="629">
                  <c:v>41425</c:v>
                </c:pt>
                <c:pt idx="630">
                  <c:v>41428</c:v>
                </c:pt>
                <c:pt idx="631">
                  <c:v>41429</c:v>
                </c:pt>
                <c:pt idx="632">
                  <c:v>41430</c:v>
                </c:pt>
                <c:pt idx="633">
                  <c:v>41431</c:v>
                </c:pt>
                <c:pt idx="634">
                  <c:v>41432</c:v>
                </c:pt>
                <c:pt idx="635">
                  <c:v>41435</c:v>
                </c:pt>
                <c:pt idx="636">
                  <c:v>41436</c:v>
                </c:pt>
                <c:pt idx="637">
                  <c:v>41437</c:v>
                </c:pt>
                <c:pt idx="638">
                  <c:v>41438</c:v>
                </c:pt>
                <c:pt idx="639">
                  <c:v>41439</c:v>
                </c:pt>
                <c:pt idx="640">
                  <c:v>41442</c:v>
                </c:pt>
                <c:pt idx="641">
                  <c:v>41443</c:v>
                </c:pt>
                <c:pt idx="642">
                  <c:v>41444</c:v>
                </c:pt>
                <c:pt idx="643">
                  <c:v>41445</c:v>
                </c:pt>
                <c:pt idx="644">
                  <c:v>41446</c:v>
                </c:pt>
                <c:pt idx="645">
                  <c:v>41449</c:v>
                </c:pt>
                <c:pt idx="646">
                  <c:v>41450</c:v>
                </c:pt>
                <c:pt idx="647">
                  <c:v>41451</c:v>
                </c:pt>
                <c:pt idx="648">
                  <c:v>41452</c:v>
                </c:pt>
                <c:pt idx="649">
                  <c:v>41453</c:v>
                </c:pt>
                <c:pt idx="650">
                  <c:v>41456</c:v>
                </c:pt>
                <c:pt idx="651">
                  <c:v>41457</c:v>
                </c:pt>
                <c:pt idx="652">
                  <c:v>41458</c:v>
                </c:pt>
                <c:pt idx="653">
                  <c:v>41459</c:v>
                </c:pt>
                <c:pt idx="654">
                  <c:v>41460</c:v>
                </c:pt>
                <c:pt idx="655">
                  <c:v>41463</c:v>
                </c:pt>
                <c:pt idx="656">
                  <c:v>41464</c:v>
                </c:pt>
                <c:pt idx="657">
                  <c:v>41465</c:v>
                </c:pt>
                <c:pt idx="658">
                  <c:v>41466</c:v>
                </c:pt>
                <c:pt idx="659">
                  <c:v>41467</c:v>
                </c:pt>
                <c:pt idx="660">
                  <c:v>41470</c:v>
                </c:pt>
                <c:pt idx="661">
                  <c:v>41471</c:v>
                </c:pt>
                <c:pt idx="662">
                  <c:v>41472</c:v>
                </c:pt>
                <c:pt idx="663">
                  <c:v>41473</c:v>
                </c:pt>
                <c:pt idx="664">
                  <c:v>41474</c:v>
                </c:pt>
                <c:pt idx="665">
                  <c:v>41477</c:v>
                </c:pt>
                <c:pt idx="666">
                  <c:v>41478</c:v>
                </c:pt>
                <c:pt idx="667">
                  <c:v>41479</c:v>
                </c:pt>
                <c:pt idx="668">
                  <c:v>41480</c:v>
                </c:pt>
                <c:pt idx="669">
                  <c:v>41481</c:v>
                </c:pt>
                <c:pt idx="670">
                  <c:v>41484</c:v>
                </c:pt>
                <c:pt idx="671">
                  <c:v>41485</c:v>
                </c:pt>
                <c:pt idx="672">
                  <c:v>41486</c:v>
                </c:pt>
                <c:pt idx="673">
                  <c:v>41487</c:v>
                </c:pt>
                <c:pt idx="674">
                  <c:v>41488</c:v>
                </c:pt>
                <c:pt idx="675">
                  <c:v>41491</c:v>
                </c:pt>
                <c:pt idx="676">
                  <c:v>41492</c:v>
                </c:pt>
                <c:pt idx="677">
                  <c:v>41493</c:v>
                </c:pt>
                <c:pt idx="678">
                  <c:v>41494</c:v>
                </c:pt>
                <c:pt idx="679">
                  <c:v>41495</c:v>
                </c:pt>
                <c:pt idx="680">
                  <c:v>41498</c:v>
                </c:pt>
                <c:pt idx="681">
                  <c:v>41499</c:v>
                </c:pt>
                <c:pt idx="682">
                  <c:v>41500</c:v>
                </c:pt>
                <c:pt idx="683">
                  <c:v>41501</c:v>
                </c:pt>
                <c:pt idx="684">
                  <c:v>41502</c:v>
                </c:pt>
                <c:pt idx="685">
                  <c:v>41505</c:v>
                </c:pt>
                <c:pt idx="686">
                  <c:v>41506</c:v>
                </c:pt>
                <c:pt idx="687">
                  <c:v>41507</c:v>
                </c:pt>
                <c:pt idx="688">
                  <c:v>41508</c:v>
                </c:pt>
                <c:pt idx="689">
                  <c:v>41509</c:v>
                </c:pt>
                <c:pt idx="690">
                  <c:v>41512</c:v>
                </c:pt>
                <c:pt idx="691">
                  <c:v>41513</c:v>
                </c:pt>
                <c:pt idx="692">
                  <c:v>41514</c:v>
                </c:pt>
                <c:pt idx="693">
                  <c:v>41515</c:v>
                </c:pt>
                <c:pt idx="694">
                  <c:v>41516</c:v>
                </c:pt>
                <c:pt idx="695">
                  <c:v>41519</c:v>
                </c:pt>
                <c:pt idx="696">
                  <c:v>41520</c:v>
                </c:pt>
                <c:pt idx="697">
                  <c:v>41521</c:v>
                </c:pt>
                <c:pt idx="698">
                  <c:v>41522</c:v>
                </c:pt>
                <c:pt idx="699">
                  <c:v>41523</c:v>
                </c:pt>
                <c:pt idx="700">
                  <c:v>41526</c:v>
                </c:pt>
                <c:pt idx="701">
                  <c:v>41527</c:v>
                </c:pt>
                <c:pt idx="702">
                  <c:v>41528</c:v>
                </c:pt>
                <c:pt idx="703">
                  <c:v>41529</c:v>
                </c:pt>
                <c:pt idx="704">
                  <c:v>41530</c:v>
                </c:pt>
                <c:pt idx="705">
                  <c:v>41533</c:v>
                </c:pt>
                <c:pt idx="706">
                  <c:v>41534</c:v>
                </c:pt>
                <c:pt idx="707">
                  <c:v>41535</c:v>
                </c:pt>
                <c:pt idx="708">
                  <c:v>41536</c:v>
                </c:pt>
                <c:pt idx="709">
                  <c:v>41537</c:v>
                </c:pt>
                <c:pt idx="710">
                  <c:v>41540</c:v>
                </c:pt>
                <c:pt idx="711">
                  <c:v>41541</c:v>
                </c:pt>
                <c:pt idx="712">
                  <c:v>41542</c:v>
                </c:pt>
                <c:pt idx="713">
                  <c:v>41543</c:v>
                </c:pt>
                <c:pt idx="714">
                  <c:v>41544</c:v>
                </c:pt>
                <c:pt idx="715">
                  <c:v>41547</c:v>
                </c:pt>
                <c:pt idx="716">
                  <c:v>41548</c:v>
                </c:pt>
                <c:pt idx="717">
                  <c:v>41549</c:v>
                </c:pt>
                <c:pt idx="718">
                  <c:v>41550</c:v>
                </c:pt>
                <c:pt idx="719">
                  <c:v>41551</c:v>
                </c:pt>
                <c:pt idx="720">
                  <c:v>41554</c:v>
                </c:pt>
                <c:pt idx="721">
                  <c:v>41555</c:v>
                </c:pt>
                <c:pt idx="722">
                  <c:v>41556</c:v>
                </c:pt>
                <c:pt idx="723">
                  <c:v>41557</c:v>
                </c:pt>
                <c:pt idx="724">
                  <c:v>41558</c:v>
                </c:pt>
                <c:pt idx="725">
                  <c:v>41561</c:v>
                </c:pt>
                <c:pt idx="726">
                  <c:v>41562</c:v>
                </c:pt>
                <c:pt idx="727">
                  <c:v>41563</c:v>
                </c:pt>
                <c:pt idx="728">
                  <c:v>41564</c:v>
                </c:pt>
                <c:pt idx="729">
                  <c:v>41565</c:v>
                </c:pt>
                <c:pt idx="730">
                  <c:v>41568</c:v>
                </c:pt>
                <c:pt idx="731">
                  <c:v>41569</c:v>
                </c:pt>
                <c:pt idx="732">
                  <c:v>41570</c:v>
                </c:pt>
                <c:pt idx="733">
                  <c:v>41571</c:v>
                </c:pt>
                <c:pt idx="734">
                  <c:v>41572</c:v>
                </c:pt>
                <c:pt idx="735">
                  <c:v>41575</c:v>
                </c:pt>
                <c:pt idx="736">
                  <c:v>41576</c:v>
                </c:pt>
                <c:pt idx="737">
                  <c:v>41577</c:v>
                </c:pt>
                <c:pt idx="738">
                  <c:v>41578</c:v>
                </c:pt>
                <c:pt idx="739">
                  <c:v>41579</c:v>
                </c:pt>
                <c:pt idx="740">
                  <c:v>41582</c:v>
                </c:pt>
                <c:pt idx="741">
                  <c:v>41583</c:v>
                </c:pt>
                <c:pt idx="742">
                  <c:v>41584</c:v>
                </c:pt>
                <c:pt idx="743">
                  <c:v>41585</c:v>
                </c:pt>
                <c:pt idx="744">
                  <c:v>41586</c:v>
                </c:pt>
                <c:pt idx="745">
                  <c:v>41589</c:v>
                </c:pt>
                <c:pt idx="746">
                  <c:v>41590</c:v>
                </c:pt>
                <c:pt idx="747">
                  <c:v>41591</c:v>
                </c:pt>
                <c:pt idx="748">
                  <c:v>41592</c:v>
                </c:pt>
                <c:pt idx="749">
                  <c:v>41593</c:v>
                </c:pt>
                <c:pt idx="750">
                  <c:v>41596</c:v>
                </c:pt>
                <c:pt idx="751">
                  <c:v>41597</c:v>
                </c:pt>
                <c:pt idx="752">
                  <c:v>41598</c:v>
                </c:pt>
                <c:pt idx="753">
                  <c:v>41599</c:v>
                </c:pt>
                <c:pt idx="754">
                  <c:v>41600</c:v>
                </c:pt>
                <c:pt idx="755">
                  <c:v>41603</c:v>
                </c:pt>
                <c:pt idx="756">
                  <c:v>41604</c:v>
                </c:pt>
                <c:pt idx="757">
                  <c:v>41605</c:v>
                </c:pt>
                <c:pt idx="758">
                  <c:v>41606</c:v>
                </c:pt>
                <c:pt idx="759">
                  <c:v>41607</c:v>
                </c:pt>
                <c:pt idx="760">
                  <c:v>41610</c:v>
                </c:pt>
                <c:pt idx="761">
                  <c:v>41611</c:v>
                </c:pt>
                <c:pt idx="762">
                  <c:v>41612</c:v>
                </c:pt>
                <c:pt idx="763">
                  <c:v>41613</c:v>
                </c:pt>
                <c:pt idx="764">
                  <c:v>41614</c:v>
                </c:pt>
                <c:pt idx="765">
                  <c:v>41617</c:v>
                </c:pt>
                <c:pt idx="766">
                  <c:v>41618</c:v>
                </c:pt>
                <c:pt idx="767">
                  <c:v>41619</c:v>
                </c:pt>
                <c:pt idx="768">
                  <c:v>41620</c:v>
                </c:pt>
                <c:pt idx="769">
                  <c:v>41621</c:v>
                </c:pt>
                <c:pt idx="770">
                  <c:v>41624</c:v>
                </c:pt>
                <c:pt idx="771">
                  <c:v>41625</c:v>
                </c:pt>
                <c:pt idx="772">
                  <c:v>41626</c:v>
                </c:pt>
                <c:pt idx="773">
                  <c:v>41627</c:v>
                </c:pt>
                <c:pt idx="774">
                  <c:v>41628</c:v>
                </c:pt>
                <c:pt idx="775">
                  <c:v>41631</c:v>
                </c:pt>
                <c:pt idx="776">
                  <c:v>41632</c:v>
                </c:pt>
                <c:pt idx="777">
                  <c:v>41633</c:v>
                </c:pt>
                <c:pt idx="778">
                  <c:v>41634</c:v>
                </c:pt>
                <c:pt idx="779">
                  <c:v>41635</c:v>
                </c:pt>
                <c:pt idx="780">
                  <c:v>41638</c:v>
                </c:pt>
                <c:pt idx="781">
                  <c:v>41639</c:v>
                </c:pt>
                <c:pt idx="782">
                  <c:v>41640</c:v>
                </c:pt>
                <c:pt idx="783">
                  <c:v>41641</c:v>
                </c:pt>
                <c:pt idx="784">
                  <c:v>41642</c:v>
                </c:pt>
                <c:pt idx="785">
                  <c:v>41645</c:v>
                </c:pt>
                <c:pt idx="786">
                  <c:v>41646</c:v>
                </c:pt>
                <c:pt idx="787">
                  <c:v>41647</c:v>
                </c:pt>
                <c:pt idx="788">
                  <c:v>41648</c:v>
                </c:pt>
                <c:pt idx="789">
                  <c:v>41649</c:v>
                </c:pt>
                <c:pt idx="790">
                  <c:v>41652</c:v>
                </c:pt>
                <c:pt idx="791">
                  <c:v>41653</c:v>
                </c:pt>
                <c:pt idx="792">
                  <c:v>41654</c:v>
                </c:pt>
                <c:pt idx="793">
                  <c:v>41655</c:v>
                </c:pt>
                <c:pt idx="794">
                  <c:v>41656</c:v>
                </c:pt>
                <c:pt idx="795">
                  <c:v>41659</c:v>
                </c:pt>
                <c:pt idx="796">
                  <c:v>41660</c:v>
                </c:pt>
                <c:pt idx="797">
                  <c:v>41661</c:v>
                </c:pt>
                <c:pt idx="798">
                  <c:v>41662</c:v>
                </c:pt>
                <c:pt idx="799">
                  <c:v>41663</c:v>
                </c:pt>
                <c:pt idx="800">
                  <c:v>41666</c:v>
                </c:pt>
                <c:pt idx="801">
                  <c:v>41667</c:v>
                </c:pt>
                <c:pt idx="802">
                  <c:v>41668</c:v>
                </c:pt>
                <c:pt idx="803">
                  <c:v>41669</c:v>
                </c:pt>
                <c:pt idx="804">
                  <c:v>41670</c:v>
                </c:pt>
                <c:pt idx="805">
                  <c:v>41673</c:v>
                </c:pt>
                <c:pt idx="806">
                  <c:v>41674</c:v>
                </c:pt>
                <c:pt idx="807">
                  <c:v>41675</c:v>
                </c:pt>
                <c:pt idx="808">
                  <c:v>41676</c:v>
                </c:pt>
                <c:pt idx="809">
                  <c:v>41677</c:v>
                </c:pt>
                <c:pt idx="810">
                  <c:v>41680</c:v>
                </c:pt>
                <c:pt idx="811">
                  <c:v>41681</c:v>
                </c:pt>
                <c:pt idx="812">
                  <c:v>41682</c:v>
                </c:pt>
                <c:pt idx="813">
                  <c:v>41683</c:v>
                </c:pt>
                <c:pt idx="814">
                  <c:v>41684</c:v>
                </c:pt>
                <c:pt idx="815">
                  <c:v>41687</c:v>
                </c:pt>
                <c:pt idx="816">
                  <c:v>41688</c:v>
                </c:pt>
                <c:pt idx="817">
                  <c:v>41689</c:v>
                </c:pt>
                <c:pt idx="818">
                  <c:v>41690</c:v>
                </c:pt>
                <c:pt idx="819">
                  <c:v>41691</c:v>
                </c:pt>
                <c:pt idx="820">
                  <c:v>41694</c:v>
                </c:pt>
                <c:pt idx="821">
                  <c:v>41695</c:v>
                </c:pt>
                <c:pt idx="822">
                  <c:v>41696</c:v>
                </c:pt>
                <c:pt idx="823">
                  <c:v>41697</c:v>
                </c:pt>
                <c:pt idx="824">
                  <c:v>41698</c:v>
                </c:pt>
                <c:pt idx="825">
                  <c:v>41701</c:v>
                </c:pt>
                <c:pt idx="826">
                  <c:v>41702</c:v>
                </c:pt>
                <c:pt idx="827">
                  <c:v>41703</c:v>
                </c:pt>
                <c:pt idx="828">
                  <c:v>41704</c:v>
                </c:pt>
                <c:pt idx="829">
                  <c:v>41705</c:v>
                </c:pt>
                <c:pt idx="830">
                  <c:v>41708</c:v>
                </c:pt>
                <c:pt idx="831">
                  <c:v>41709</c:v>
                </c:pt>
                <c:pt idx="832">
                  <c:v>41710</c:v>
                </c:pt>
                <c:pt idx="833">
                  <c:v>41711</c:v>
                </c:pt>
                <c:pt idx="834">
                  <c:v>41712</c:v>
                </c:pt>
                <c:pt idx="835">
                  <c:v>41715</c:v>
                </c:pt>
                <c:pt idx="836">
                  <c:v>41716</c:v>
                </c:pt>
                <c:pt idx="837">
                  <c:v>41717</c:v>
                </c:pt>
                <c:pt idx="838">
                  <c:v>41718</c:v>
                </c:pt>
                <c:pt idx="839">
                  <c:v>41719</c:v>
                </c:pt>
                <c:pt idx="840">
                  <c:v>41722</c:v>
                </c:pt>
                <c:pt idx="841">
                  <c:v>41723</c:v>
                </c:pt>
                <c:pt idx="842">
                  <c:v>41724</c:v>
                </c:pt>
                <c:pt idx="843">
                  <c:v>41725</c:v>
                </c:pt>
                <c:pt idx="844">
                  <c:v>41726</c:v>
                </c:pt>
                <c:pt idx="845">
                  <c:v>41729</c:v>
                </c:pt>
                <c:pt idx="846">
                  <c:v>41730</c:v>
                </c:pt>
                <c:pt idx="847">
                  <c:v>41731</c:v>
                </c:pt>
                <c:pt idx="848">
                  <c:v>41732</c:v>
                </c:pt>
                <c:pt idx="849">
                  <c:v>41733</c:v>
                </c:pt>
                <c:pt idx="850">
                  <c:v>41736</c:v>
                </c:pt>
                <c:pt idx="851">
                  <c:v>41737</c:v>
                </c:pt>
                <c:pt idx="852">
                  <c:v>41738</c:v>
                </c:pt>
                <c:pt idx="853">
                  <c:v>41739</c:v>
                </c:pt>
                <c:pt idx="854">
                  <c:v>41740</c:v>
                </c:pt>
                <c:pt idx="855">
                  <c:v>41743</c:v>
                </c:pt>
                <c:pt idx="856">
                  <c:v>41744</c:v>
                </c:pt>
                <c:pt idx="857">
                  <c:v>41745</c:v>
                </c:pt>
                <c:pt idx="858">
                  <c:v>41746</c:v>
                </c:pt>
                <c:pt idx="859">
                  <c:v>41747</c:v>
                </c:pt>
                <c:pt idx="860">
                  <c:v>41750</c:v>
                </c:pt>
                <c:pt idx="861">
                  <c:v>41751</c:v>
                </c:pt>
                <c:pt idx="862">
                  <c:v>41752</c:v>
                </c:pt>
                <c:pt idx="863">
                  <c:v>41753</c:v>
                </c:pt>
                <c:pt idx="864">
                  <c:v>41754</c:v>
                </c:pt>
                <c:pt idx="865">
                  <c:v>41757</c:v>
                </c:pt>
                <c:pt idx="866">
                  <c:v>41758</c:v>
                </c:pt>
                <c:pt idx="867">
                  <c:v>41759</c:v>
                </c:pt>
                <c:pt idx="868">
                  <c:v>41760</c:v>
                </c:pt>
                <c:pt idx="869">
                  <c:v>41761</c:v>
                </c:pt>
                <c:pt idx="870">
                  <c:v>41764</c:v>
                </c:pt>
                <c:pt idx="871">
                  <c:v>41765</c:v>
                </c:pt>
                <c:pt idx="872">
                  <c:v>41766</c:v>
                </c:pt>
                <c:pt idx="873">
                  <c:v>41767</c:v>
                </c:pt>
                <c:pt idx="874">
                  <c:v>41768</c:v>
                </c:pt>
                <c:pt idx="875">
                  <c:v>41771</c:v>
                </c:pt>
                <c:pt idx="876">
                  <c:v>41772</c:v>
                </c:pt>
                <c:pt idx="877">
                  <c:v>41773</c:v>
                </c:pt>
                <c:pt idx="878">
                  <c:v>41774</c:v>
                </c:pt>
                <c:pt idx="879">
                  <c:v>41775</c:v>
                </c:pt>
                <c:pt idx="880">
                  <c:v>41778</c:v>
                </c:pt>
                <c:pt idx="881">
                  <c:v>41779</c:v>
                </c:pt>
                <c:pt idx="882">
                  <c:v>41780</c:v>
                </c:pt>
                <c:pt idx="883">
                  <c:v>41781</c:v>
                </c:pt>
                <c:pt idx="884">
                  <c:v>41782</c:v>
                </c:pt>
                <c:pt idx="885">
                  <c:v>41785</c:v>
                </c:pt>
                <c:pt idx="886">
                  <c:v>41786</c:v>
                </c:pt>
                <c:pt idx="887">
                  <c:v>41787</c:v>
                </c:pt>
                <c:pt idx="888">
                  <c:v>41788</c:v>
                </c:pt>
                <c:pt idx="889">
                  <c:v>41789</c:v>
                </c:pt>
                <c:pt idx="890">
                  <c:v>41792</c:v>
                </c:pt>
                <c:pt idx="891">
                  <c:v>41793</c:v>
                </c:pt>
                <c:pt idx="892">
                  <c:v>41794</c:v>
                </c:pt>
                <c:pt idx="893">
                  <c:v>41795</c:v>
                </c:pt>
                <c:pt idx="894">
                  <c:v>41796</c:v>
                </c:pt>
                <c:pt idx="895">
                  <c:v>41799</c:v>
                </c:pt>
                <c:pt idx="896">
                  <c:v>41800</c:v>
                </c:pt>
                <c:pt idx="897">
                  <c:v>41801</c:v>
                </c:pt>
                <c:pt idx="898">
                  <c:v>41802</c:v>
                </c:pt>
                <c:pt idx="899">
                  <c:v>41803</c:v>
                </c:pt>
                <c:pt idx="900">
                  <c:v>41806</c:v>
                </c:pt>
                <c:pt idx="901">
                  <c:v>41807</c:v>
                </c:pt>
                <c:pt idx="902">
                  <c:v>41808</c:v>
                </c:pt>
                <c:pt idx="903">
                  <c:v>41809</c:v>
                </c:pt>
                <c:pt idx="904">
                  <c:v>41810</c:v>
                </c:pt>
                <c:pt idx="905">
                  <c:v>41813</c:v>
                </c:pt>
                <c:pt idx="906">
                  <c:v>41814</c:v>
                </c:pt>
                <c:pt idx="907">
                  <c:v>41815</c:v>
                </c:pt>
                <c:pt idx="908">
                  <c:v>41816</c:v>
                </c:pt>
                <c:pt idx="909">
                  <c:v>41817</c:v>
                </c:pt>
                <c:pt idx="910">
                  <c:v>41820</c:v>
                </c:pt>
                <c:pt idx="911">
                  <c:v>41821</c:v>
                </c:pt>
                <c:pt idx="912">
                  <c:v>41822</c:v>
                </c:pt>
                <c:pt idx="913">
                  <c:v>41823</c:v>
                </c:pt>
                <c:pt idx="914">
                  <c:v>41824</c:v>
                </c:pt>
                <c:pt idx="915">
                  <c:v>41827</c:v>
                </c:pt>
                <c:pt idx="916">
                  <c:v>41828</c:v>
                </c:pt>
                <c:pt idx="917">
                  <c:v>41829</c:v>
                </c:pt>
                <c:pt idx="918">
                  <c:v>41830</c:v>
                </c:pt>
                <c:pt idx="919">
                  <c:v>41831</c:v>
                </c:pt>
                <c:pt idx="920">
                  <c:v>41834</c:v>
                </c:pt>
                <c:pt idx="921">
                  <c:v>41835</c:v>
                </c:pt>
                <c:pt idx="922">
                  <c:v>41836</c:v>
                </c:pt>
                <c:pt idx="923">
                  <c:v>41837</c:v>
                </c:pt>
                <c:pt idx="924">
                  <c:v>41838</c:v>
                </c:pt>
                <c:pt idx="925">
                  <c:v>41841</c:v>
                </c:pt>
                <c:pt idx="926">
                  <c:v>41842</c:v>
                </c:pt>
                <c:pt idx="927">
                  <c:v>41843</c:v>
                </c:pt>
                <c:pt idx="928">
                  <c:v>41844</c:v>
                </c:pt>
                <c:pt idx="929">
                  <c:v>41845</c:v>
                </c:pt>
                <c:pt idx="930">
                  <c:v>41848</c:v>
                </c:pt>
                <c:pt idx="931">
                  <c:v>41849</c:v>
                </c:pt>
                <c:pt idx="932">
                  <c:v>41850</c:v>
                </c:pt>
                <c:pt idx="933">
                  <c:v>41851</c:v>
                </c:pt>
                <c:pt idx="934">
                  <c:v>41852</c:v>
                </c:pt>
                <c:pt idx="935">
                  <c:v>41855</c:v>
                </c:pt>
                <c:pt idx="936">
                  <c:v>41856</c:v>
                </c:pt>
                <c:pt idx="937">
                  <c:v>41857</c:v>
                </c:pt>
                <c:pt idx="938">
                  <c:v>41858</c:v>
                </c:pt>
                <c:pt idx="939">
                  <c:v>41859</c:v>
                </c:pt>
                <c:pt idx="940">
                  <c:v>41862</c:v>
                </c:pt>
                <c:pt idx="941">
                  <c:v>41863</c:v>
                </c:pt>
                <c:pt idx="942">
                  <c:v>41864</c:v>
                </c:pt>
                <c:pt idx="943">
                  <c:v>41865</c:v>
                </c:pt>
                <c:pt idx="944">
                  <c:v>41866</c:v>
                </c:pt>
                <c:pt idx="945">
                  <c:v>41869</c:v>
                </c:pt>
                <c:pt idx="946">
                  <c:v>41870</c:v>
                </c:pt>
                <c:pt idx="947">
                  <c:v>41871</c:v>
                </c:pt>
                <c:pt idx="948">
                  <c:v>41872</c:v>
                </c:pt>
                <c:pt idx="949">
                  <c:v>41873</c:v>
                </c:pt>
                <c:pt idx="950">
                  <c:v>41876</c:v>
                </c:pt>
                <c:pt idx="951">
                  <c:v>41877</c:v>
                </c:pt>
                <c:pt idx="952">
                  <c:v>41878</c:v>
                </c:pt>
                <c:pt idx="953">
                  <c:v>41879</c:v>
                </c:pt>
                <c:pt idx="954">
                  <c:v>41880</c:v>
                </c:pt>
                <c:pt idx="955">
                  <c:v>41883</c:v>
                </c:pt>
                <c:pt idx="956">
                  <c:v>41884</c:v>
                </c:pt>
                <c:pt idx="957">
                  <c:v>41885</c:v>
                </c:pt>
                <c:pt idx="958">
                  <c:v>41886</c:v>
                </c:pt>
                <c:pt idx="959">
                  <c:v>41887</c:v>
                </c:pt>
                <c:pt idx="960">
                  <c:v>41890</c:v>
                </c:pt>
                <c:pt idx="961">
                  <c:v>41891</c:v>
                </c:pt>
                <c:pt idx="962">
                  <c:v>41892</c:v>
                </c:pt>
                <c:pt idx="963">
                  <c:v>41893</c:v>
                </c:pt>
                <c:pt idx="964">
                  <c:v>41894</c:v>
                </c:pt>
                <c:pt idx="965">
                  <c:v>41897</c:v>
                </c:pt>
                <c:pt idx="966">
                  <c:v>41898</c:v>
                </c:pt>
                <c:pt idx="967">
                  <c:v>41899</c:v>
                </c:pt>
                <c:pt idx="968">
                  <c:v>41900</c:v>
                </c:pt>
                <c:pt idx="969">
                  <c:v>41901</c:v>
                </c:pt>
                <c:pt idx="970">
                  <c:v>41904</c:v>
                </c:pt>
                <c:pt idx="971">
                  <c:v>41905</c:v>
                </c:pt>
                <c:pt idx="972">
                  <c:v>41906</c:v>
                </c:pt>
                <c:pt idx="973">
                  <c:v>41907</c:v>
                </c:pt>
                <c:pt idx="974">
                  <c:v>41908</c:v>
                </c:pt>
                <c:pt idx="975">
                  <c:v>41911</c:v>
                </c:pt>
                <c:pt idx="976">
                  <c:v>41912</c:v>
                </c:pt>
                <c:pt idx="977">
                  <c:v>41913</c:v>
                </c:pt>
                <c:pt idx="978">
                  <c:v>41914</c:v>
                </c:pt>
                <c:pt idx="979">
                  <c:v>41915</c:v>
                </c:pt>
                <c:pt idx="980">
                  <c:v>41918</c:v>
                </c:pt>
                <c:pt idx="981">
                  <c:v>41919</c:v>
                </c:pt>
                <c:pt idx="982">
                  <c:v>41920</c:v>
                </c:pt>
                <c:pt idx="983">
                  <c:v>41921</c:v>
                </c:pt>
                <c:pt idx="984">
                  <c:v>41922</c:v>
                </c:pt>
                <c:pt idx="985">
                  <c:v>41925</c:v>
                </c:pt>
                <c:pt idx="986">
                  <c:v>41926</c:v>
                </c:pt>
                <c:pt idx="987">
                  <c:v>41927</c:v>
                </c:pt>
                <c:pt idx="988">
                  <c:v>41928</c:v>
                </c:pt>
                <c:pt idx="989">
                  <c:v>41929</c:v>
                </c:pt>
                <c:pt idx="990">
                  <c:v>41932</c:v>
                </c:pt>
                <c:pt idx="991">
                  <c:v>41933</c:v>
                </c:pt>
                <c:pt idx="992">
                  <c:v>41934</c:v>
                </c:pt>
                <c:pt idx="993">
                  <c:v>41935</c:v>
                </c:pt>
                <c:pt idx="994">
                  <c:v>41936</c:v>
                </c:pt>
                <c:pt idx="995">
                  <c:v>41939</c:v>
                </c:pt>
                <c:pt idx="996">
                  <c:v>41940</c:v>
                </c:pt>
                <c:pt idx="997">
                  <c:v>41941</c:v>
                </c:pt>
                <c:pt idx="998">
                  <c:v>41942</c:v>
                </c:pt>
                <c:pt idx="999">
                  <c:v>41943</c:v>
                </c:pt>
                <c:pt idx="1000">
                  <c:v>41946</c:v>
                </c:pt>
                <c:pt idx="1001">
                  <c:v>41947</c:v>
                </c:pt>
                <c:pt idx="1002">
                  <c:v>41948</c:v>
                </c:pt>
                <c:pt idx="1003">
                  <c:v>41949</c:v>
                </c:pt>
                <c:pt idx="1004">
                  <c:v>41950</c:v>
                </c:pt>
                <c:pt idx="1005">
                  <c:v>41953</c:v>
                </c:pt>
                <c:pt idx="1006">
                  <c:v>41954</c:v>
                </c:pt>
                <c:pt idx="1007">
                  <c:v>41955</c:v>
                </c:pt>
                <c:pt idx="1008">
                  <c:v>41956</c:v>
                </c:pt>
                <c:pt idx="1009">
                  <c:v>41957</c:v>
                </c:pt>
                <c:pt idx="1010">
                  <c:v>41960</c:v>
                </c:pt>
                <c:pt idx="1011">
                  <c:v>41961</c:v>
                </c:pt>
                <c:pt idx="1012">
                  <c:v>41962</c:v>
                </c:pt>
                <c:pt idx="1013">
                  <c:v>41963</c:v>
                </c:pt>
                <c:pt idx="1014">
                  <c:v>41964</c:v>
                </c:pt>
                <c:pt idx="1015">
                  <c:v>41967</c:v>
                </c:pt>
                <c:pt idx="1016">
                  <c:v>41968</c:v>
                </c:pt>
                <c:pt idx="1017">
                  <c:v>41969</c:v>
                </c:pt>
                <c:pt idx="1018">
                  <c:v>41970</c:v>
                </c:pt>
                <c:pt idx="1019">
                  <c:v>41971</c:v>
                </c:pt>
                <c:pt idx="1020">
                  <c:v>41974</c:v>
                </c:pt>
                <c:pt idx="1021">
                  <c:v>41975</c:v>
                </c:pt>
                <c:pt idx="1022">
                  <c:v>41976</c:v>
                </c:pt>
                <c:pt idx="1023">
                  <c:v>41977</c:v>
                </c:pt>
                <c:pt idx="1024">
                  <c:v>41978</c:v>
                </c:pt>
                <c:pt idx="1025">
                  <c:v>41981</c:v>
                </c:pt>
                <c:pt idx="1026">
                  <c:v>41982</c:v>
                </c:pt>
                <c:pt idx="1027">
                  <c:v>41983</c:v>
                </c:pt>
                <c:pt idx="1028">
                  <c:v>41984</c:v>
                </c:pt>
                <c:pt idx="1029">
                  <c:v>41985</c:v>
                </c:pt>
                <c:pt idx="1030">
                  <c:v>41988</c:v>
                </c:pt>
                <c:pt idx="1031">
                  <c:v>41989</c:v>
                </c:pt>
                <c:pt idx="1032">
                  <c:v>41990</c:v>
                </c:pt>
                <c:pt idx="1033">
                  <c:v>41991</c:v>
                </c:pt>
                <c:pt idx="1034">
                  <c:v>41992</c:v>
                </c:pt>
                <c:pt idx="1035">
                  <c:v>41995</c:v>
                </c:pt>
                <c:pt idx="1036">
                  <c:v>41996</c:v>
                </c:pt>
                <c:pt idx="1037">
                  <c:v>41997</c:v>
                </c:pt>
                <c:pt idx="1038">
                  <c:v>41998</c:v>
                </c:pt>
                <c:pt idx="1039">
                  <c:v>41999</c:v>
                </c:pt>
                <c:pt idx="1040">
                  <c:v>42002</c:v>
                </c:pt>
                <c:pt idx="1041">
                  <c:v>42003</c:v>
                </c:pt>
                <c:pt idx="1042">
                  <c:v>42004</c:v>
                </c:pt>
                <c:pt idx="1043">
                  <c:v>42005</c:v>
                </c:pt>
                <c:pt idx="1044">
                  <c:v>42006</c:v>
                </c:pt>
                <c:pt idx="1045">
                  <c:v>42009</c:v>
                </c:pt>
                <c:pt idx="1046">
                  <c:v>42010</c:v>
                </c:pt>
                <c:pt idx="1047">
                  <c:v>42011</c:v>
                </c:pt>
                <c:pt idx="1048">
                  <c:v>42012</c:v>
                </c:pt>
                <c:pt idx="1049">
                  <c:v>42013</c:v>
                </c:pt>
                <c:pt idx="1050">
                  <c:v>42016</c:v>
                </c:pt>
                <c:pt idx="1051">
                  <c:v>42017</c:v>
                </c:pt>
                <c:pt idx="1052">
                  <c:v>42018</c:v>
                </c:pt>
                <c:pt idx="1053">
                  <c:v>42019</c:v>
                </c:pt>
                <c:pt idx="1054">
                  <c:v>42020</c:v>
                </c:pt>
                <c:pt idx="1055">
                  <c:v>42023</c:v>
                </c:pt>
                <c:pt idx="1056">
                  <c:v>42024</c:v>
                </c:pt>
                <c:pt idx="1057">
                  <c:v>42025</c:v>
                </c:pt>
                <c:pt idx="1058">
                  <c:v>42026</c:v>
                </c:pt>
                <c:pt idx="1059">
                  <c:v>42027</c:v>
                </c:pt>
                <c:pt idx="1060">
                  <c:v>42030</c:v>
                </c:pt>
                <c:pt idx="1061">
                  <c:v>42031</c:v>
                </c:pt>
                <c:pt idx="1062">
                  <c:v>42032</c:v>
                </c:pt>
                <c:pt idx="1063">
                  <c:v>42033</c:v>
                </c:pt>
                <c:pt idx="1064">
                  <c:v>42034</c:v>
                </c:pt>
                <c:pt idx="1065">
                  <c:v>42037</c:v>
                </c:pt>
                <c:pt idx="1066">
                  <c:v>42038</c:v>
                </c:pt>
                <c:pt idx="1067">
                  <c:v>42039</c:v>
                </c:pt>
                <c:pt idx="1068">
                  <c:v>42040</c:v>
                </c:pt>
                <c:pt idx="1069">
                  <c:v>42041</c:v>
                </c:pt>
                <c:pt idx="1070">
                  <c:v>42044</c:v>
                </c:pt>
                <c:pt idx="1071">
                  <c:v>42045</c:v>
                </c:pt>
                <c:pt idx="1072">
                  <c:v>42046</c:v>
                </c:pt>
                <c:pt idx="1073">
                  <c:v>42047</c:v>
                </c:pt>
                <c:pt idx="1074">
                  <c:v>42048</c:v>
                </c:pt>
                <c:pt idx="1075">
                  <c:v>42051</c:v>
                </c:pt>
                <c:pt idx="1076">
                  <c:v>42052</c:v>
                </c:pt>
                <c:pt idx="1077">
                  <c:v>42053</c:v>
                </c:pt>
                <c:pt idx="1078">
                  <c:v>42054</c:v>
                </c:pt>
                <c:pt idx="1079">
                  <c:v>42055</c:v>
                </c:pt>
                <c:pt idx="1080">
                  <c:v>42058</c:v>
                </c:pt>
                <c:pt idx="1081">
                  <c:v>42059</c:v>
                </c:pt>
                <c:pt idx="1082">
                  <c:v>42060</c:v>
                </c:pt>
                <c:pt idx="1083">
                  <c:v>42061</c:v>
                </c:pt>
                <c:pt idx="1084">
                  <c:v>42062</c:v>
                </c:pt>
                <c:pt idx="1085">
                  <c:v>42065</c:v>
                </c:pt>
                <c:pt idx="1086">
                  <c:v>42066</c:v>
                </c:pt>
                <c:pt idx="1087">
                  <c:v>42067</c:v>
                </c:pt>
                <c:pt idx="1088">
                  <c:v>42068</c:v>
                </c:pt>
                <c:pt idx="1089">
                  <c:v>42069</c:v>
                </c:pt>
                <c:pt idx="1090">
                  <c:v>42072</c:v>
                </c:pt>
                <c:pt idx="1091">
                  <c:v>42073</c:v>
                </c:pt>
                <c:pt idx="1092">
                  <c:v>42074</c:v>
                </c:pt>
                <c:pt idx="1093">
                  <c:v>42075</c:v>
                </c:pt>
                <c:pt idx="1094">
                  <c:v>42076</c:v>
                </c:pt>
                <c:pt idx="1095">
                  <c:v>42079</c:v>
                </c:pt>
                <c:pt idx="1096">
                  <c:v>42080</c:v>
                </c:pt>
                <c:pt idx="1097">
                  <c:v>42081</c:v>
                </c:pt>
                <c:pt idx="1098">
                  <c:v>42082</c:v>
                </c:pt>
                <c:pt idx="1099">
                  <c:v>42083</c:v>
                </c:pt>
                <c:pt idx="1100">
                  <c:v>42086</c:v>
                </c:pt>
                <c:pt idx="1101">
                  <c:v>42087</c:v>
                </c:pt>
                <c:pt idx="1102">
                  <c:v>42088</c:v>
                </c:pt>
                <c:pt idx="1103">
                  <c:v>42089</c:v>
                </c:pt>
                <c:pt idx="1104">
                  <c:v>42090</c:v>
                </c:pt>
                <c:pt idx="1105">
                  <c:v>42093</c:v>
                </c:pt>
                <c:pt idx="1106">
                  <c:v>42094</c:v>
                </c:pt>
                <c:pt idx="1107">
                  <c:v>42095</c:v>
                </c:pt>
                <c:pt idx="1108">
                  <c:v>42096</c:v>
                </c:pt>
                <c:pt idx="1109">
                  <c:v>42097</c:v>
                </c:pt>
                <c:pt idx="1110">
                  <c:v>42100</c:v>
                </c:pt>
                <c:pt idx="1111">
                  <c:v>42101</c:v>
                </c:pt>
                <c:pt idx="1112">
                  <c:v>42102</c:v>
                </c:pt>
                <c:pt idx="1113">
                  <c:v>42103</c:v>
                </c:pt>
                <c:pt idx="1114">
                  <c:v>42104</c:v>
                </c:pt>
                <c:pt idx="1115">
                  <c:v>42107</c:v>
                </c:pt>
                <c:pt idx="1116">
                  <c:v>42108</c:v>
                </c:pt>
                <c:pt idx="1117">
                  <c:v>42109</c:v>
                </c:pt>
                <c:pt idx="1118">
                  <c:v>42110</c:v>
                </c:pt>
                <c:pt idx="1119">
                  <c:v>42111</c:v>
                </c:pt>
                <c:pt idx="1120">
                  <c:v>42114</c:v>
                </c:pt>
                <c:pt idx="1121">
                  <c:v>42115</c:v>
                </c:pt>
                <c:pt idx="1122">
                  <c:v>42116</c:v>
                </c:pt>
                <c:pt idx="1123">
                  <c:v>42117</c:v>
                </c:pt>
                <c:pt idx="1124">
                  <c:v>42118</c:v>
                </c:pt>
                <c:pt idx="1125">
                  <c:v>42121</c:v>
                </c:pt>
                <c:pt idx="1126">
                  <c:v>42122</c:v>
                </c:pt>
                <c:pt idx="1127">
                  <c:v>42123</c:v>
                </c:pt>
                <c:pt idx="1128">
                  <c:v>42124</c:v>
                </c:pt>
                <c:pt idx="1129">
                  <c:v>42125</c:v>
                </c:pt>
                <c:pt idx="1130">
                  <c:v>42128</c:v>
                </c:pt>
                <c:pt idx="1131">
                  <c:v>42129</c:v>
                </c:pt>
                <c:pt idx="1132">
                  <c:v>42130</c:v>
                </c:pt>
                <c:pt idx="1133">
                  <c:v>42131</c:v>
                </c:pt>
                <c:pt idx="1134">
                  <c:v>42132</c:v>
                </c:pt>
                <c:pt idx="1135">
                  <c:v>42135</c:v>
                </c:pt>
                <c:pt idx="1136">
                  <c:v>42136</c:v>
                </c:pt>
                <c:pt idx="1137">
                  <c:v>42137</c:v>
                </c:pt>
                <c:pt idx="1138">
                  <c:v>42138</c:v>
                </c:pt>
                <c:pt idx="1139">
                  <c:v>42139</c:v>
                </c:pt>
                <c:pt idx="1140">
                  <c:v>42142</c:v>
                </c:pt>
                <c:pt idx="1141">
                  <c:v>42143</c:v>
                </c:pt>
                <c:pt idx="1142">
                  <c:v>42144</c:v>
                </c:pt>
                <c:pt idx="1143">
                  <c:v>42145</c:v>
                </c:pt>
                <c:pt idx="1144">
                  <c:v>42146</c:v>
                </c:pt>
                <c:pt idx="1145">
                  <c:v>42149</c:v>
                </c:pt>
                <c:pt idx="1146">
                  <c:v>42150</c:v>
                </c:pt>
                <c:pt idx="1147">
                  <c:v>42151</c:v>
                </c:pt>
                <c:pt idx="1148">
                  <c:v>42152</c:v>
                </c:pt>
                <c:pt idx="1149">
                  <c:v>42153</c:v>
                </c:pt>
                <c:pt idx="1150">
                  <c:v>42156</c:v>
                </c:pt>
                <c:pt idx="1151">
                  <c:v>42157</c:v>
                </c:pt>
                <c:pt idx="1152">
                  <c:v>42158</c:v>
                </c:pt>
                <c:pt idx="1153">
                  <c:v>42159</c:v>
                </c:pt>
                <c:pt idx="1154">
                  <c:v>42160</c:v>
                </c:pt>
                <c:pt idx="1155">
                  <c:v>42163</c:v>
                </c:pt>
                <c:pt idx="1156">
                  <c:v>42164</c:v>
                </c:pt>
                <c:pt idx="1157">
                  <c:v>42165</c:v>
                </c:pt>
                <c:pt idx="1158">
                  <c:v>42166</c:v>
                </c:pt>
                <c:pt idx="1159">
                  <c:v>42167</c:v>
                </c:pt>
                <c:pt idx="1160">
                  <c:v>42170</c:v>
                </c:pt>
                <c:pt idx="1161">
                  <c:v>42171</c:v>
                </c:pt>
                <c:pt idx="1162">
                  <c:v>42172</c:v>
                </c:pt>
                <c:pt idx="1163">
                  <c:v>42173</c:v>
                </c:pt>
                <c:pt idx="1164">
                  <c:v>42174</c:v>
                </c:pt>
                <c:pt idx="1165">
                  <c:v>42177</c:v>
                </c:pt>
                <c:pt idx="1166">
                  <c:v>42178</c:v>
                </c:pt>
                <c:pt idx="1167">
                  <c:v>42179</c:v>
                </c:pt>
                <c:pt idx="1168">
                  <c:v>42180</c:v>
                </c:pt>
                <c:pt idx="1169">
                  <c:v>42181</c:v>
                </c:pt>
                <c:pt idx="1170">
                  <c:v>42184</c:v>
                </c:pt>
                <c:pt idx="1171">
                  <c:v>42185</c:v>
                </c:pt>
                <c:pt idx="1172">
                  <c:v>42186</c:v>
                </c:pt>
                <c:pt idx="1173">
                  <c:v>42187</c:v>
                </c:pt>
                <c:pt idx="1174">
                  <c:v>42188</c:v>
                </c:pt>
                <c:pt idx="1175">
                  <c:v>42191</c:v>
                </c:pt>
                <c:pt idx="1176">
                  <c:v>42192</c:v>
                </c:pt>
                <c:pt idx="1177">
                  <c:v>42193</c:v>
                </c:pt>
                <c:pt idx="1178">
                  <c:v>42194</c:v>
                </c:pt>
                <c:pt idx="1179">
                  <c:v>42195</c:v>
                </c:pt>
                <c:pt idx="1180">
                  <c:v>42198</c:v>
                </c:pt>
                <c:pt idx="1181">
                  <c:v>42199</c:v>
                </c:pt>
                <c:pt idx="1182">
                  <c:v>42200</c:v>
                </c:pt>
                <c:pt idx="1183">
                  <c:v>42201</c:v>
                </c:pt>
                <c:pt idx="1184">
                  <c:v>42202</c:v>
                </c:pt>
                <c:pt idx="1185">
                  <c:v>42205</c:v>
                </c:pt>
                <c:pt idx="1186">
                  <c:v>42206</c:v>
                </c:pt>
                <c:pt idx="1187">
                  <c:v>42207</c:v>
                </c:pt>
                <c:pt idx="1188">
                  <c:v>42208</c:v>
                </c:pt>
                <c:pt idx="1189">
                  <c:v>42209</c:v>
                </c:pt>
                <c:pt idx="1190">
                  <c:v>42212</c:v>
                </c:pt>
                <c:pt idx="1191">
                  <c:v>42213</c:v>
                </c:pt>
                <c:pt idx="1192">
                  <c:v>42214</c:v>
                </c:pt>
                <c:pt idx="1193">
                  <c:v>42215</c:v>
                </c:pt>
                <c:pt idx="1194">
                  <c:v>42216</c:v>
                </c:pt>
                <c:pt idx="1195">
                  <c:v>42219</c:v>
                </c:pt>
                <c:pt idx="1196">
                  <c:v>42220</c:v>
                </c:pt>
                <c:pt idx="1197">
                  <c:v>42221</c:v>
                </c:pt>
                <c:pt idx="1198">
                  <c:v>42222</c:v>
                </c:pt>
                <c:pt idx="1199">
                  <c:v>42223</c:v>
                </c:pt>
                <c:pt idx="1200">
                  <c:v>42226</c:v>
                </c:pt>
                <c:pt idx="1201">
                  <c:v>42227</c:v>
                </c:pt>
                <c:pt idx="1202">
                  <c:v>42228</c:v>
                </c:pt>
                <c:pt idx="1203">
                  <c:v>42229</c:v>
                </c:pt>
                <c:pt idx="1204">
                  <c:v>42230</c:v>
                </c:pt>
                <c:pt idx="1205">
                  <c:v>42233</c:v>
                </c:pt>
                <c:pt idx="1206">
                  <c:v>42234</c:v>
                </c:pt>
                <c:pt idx="1207">
                  <c:v>42235</c:v>
                </c:pt>
                <c:pt idx="1208">
                  <c:v>42236</c:v>
                </c:pt>
                <c:pt idx="1209">
                  <c:v>42237</c:v>
                </c:pt>
                <c:pt idx="1210">
                  <c:v>42240</c:v>
                </c:pt>
                <c:pt idx="1211">
                  <c:v>42241</c:v>
                </c:pt>
                <c:pt idx="1212">
                  <c:v>42242</c:v>
                </c:pt>
                <c:pt idx="1213">
                  <c:v>42243</c:v>
                </c:pt>
                <c:pt idx="1214">
                  <c:v>42244</c:v>
                </c:pt>
                <c:pt idx="1215">
                  <c:v>42247</c:v>
                </c:pt>
                <c:pt idx="1216">
                  <c:v>42248</c:v>
                </c:pt>
                <c:pt idx="1217">
                  <c:v>42249</c:v>
                </c:pt>
                <c:pt idx="1218">
                  <c:v>42250</c:v>
                </c:pt>
                <c:pt idx="1219">
                  <c:v>42251</c:v>
                </c:pt>
                <c:pt idx="1220">
                  <c:v>42254</c:v>
                </c:pt>
                <c:pt idx="1221">
                  <c:v>42255</c:v>
                </c:pt>
                <c:pt idx="1222">
                  <c:v>42256</c:v>
                </c:pt>
                <c:pt idx="1223">
                  <c:v>42257</c:v>
                </c:pt>
                <c:pt idx="1224">
                  <c:v>42258</c:v>
                </c:pt>
                <c:pt idx="1225">
                  <c:v>42261</c:v>
                </c:pt>
                <c:pt idx="1226">
                  <c:v>42262</c:v>
                </c:pt>
                <c:pt idx="1227">
                  <c:v>42263</c:v>
                </c:pt>
                <c:pt idx="1228">
                  <c:v>42264</c:v>
                </c:pt>
                <c:pt idx="1229">
                  <c:v>42265</c:v>
                </c:pt>
                <c:pt idx="1230">
                  <c:v>42268</c:v>
                </c:pt>
                <c:pt idx="1231">
                  <c:v>42269</c:v>
                </c:pt>
                <c:pt idx="1232">
                  <c:v>42270</c:v>
                </c:pt>
                <c:pt idx="1233">
                  <c:v>42271</c:v>
                </c:pt>
                <c:pt idx="1234">
                  <c:v>42272</c:v>
                </c:pt>
                <c:pt idx="1235">
                  <c:v>42275</c:v>
                </c:pt>
                <c:pt idx="1236">
                  <c:v>42276</c:v>
                </c:pt>
                <c:pt idx="1237">
                  <c:v>42277</c:v>
                </c:pt>
                <c:pt idx="1238">
                  <c:v>42278</c:v>
                </c:pt>
                <c:pt idx="1239">
                  <c:v>42279</c:v>
                </c:pt>
                <c:pt idx="1240">
                  <c:v>42282</c:v>
                </c:pt>
                <c:pt idx="1241">
                  <c:v>42283</c:v>
                </c:pt>
                <c:pt idx="1242">
                  <c:v>42284</c:v>
                </c:pt>
                <c:pt idx="1243">
                  <c:v>42285</c:v>
                </c:pt>
                <c:pt idx="1244">
                  <c:v>42286</c:v>
                </c:pt>
                <c:pt idx="1245">
                  <c:v>42289</c:v>
                </c:pt>
                <c:pt idx="1246">
                  <c:v>42290</c:v>
                </c:pt>
                <c:pt idx="1247">
                  <c:v>42291</c:v>
                </c:pt>
                <c:pt idx="1248">
                  <c:v>42292</c:v>
                </c:pt>
                <c:pt idx="1249">
                  <c:v>42293</c:v>
                </c:pt>
                <c:pt idx="1250">
                  <c:v>42296</c:v>
                </c:pt>
                <c:pt idx="1251">
                  <c:v>42297</c:v>
                </c:pt>
                <c:pt idx="1252">
                  <c:v>42298</c:v>
                </c:pt>
                <c:pt idx="1253">
                  <c:v>42299</c:v>
                </c:pt>
                <c:pt idx="1254">
                  <c:v>42300</c:v>
                </c:pt>
                <c:pt idx="1255">
                  <c:v>42303</c:v>
                </c:pt>
                <c:pt idx="1256">
                  <c:v>42304</c:v>
                </c:pt>
                <c:pt idx="1257">
                  <c:v>42305</c:v>
                </c:pt>
                <c:pt idx="1258">
                  <c:v>42306</c:v>
                </c:pt>
                <c:pt idx="1259">
                  <c:v>42307</c:v>
                </c:pt>
                <c:pt idx="1260">
                  <c:v>42310</c:v>
                </c:pt>
                <c:pt idx="1261">
                  <c:v>42311</c:v>
                </c:pt>
                <c:pt idx="1262">
                  <c:v>42312</c:v>
                </c:pt>
                <c:pt idx="1263">
                  <c:v>42313</c:v>
                </c:pt>
                <c:pt idx="1264">
                  <c:v>42314</c:v>
                </c:pt>
                <c:pt idx="1265">
                  <c:v>42317</c:v>
                </c:pt>
                <c:pt idx="1266">
                  <c:v>42318</c:v>
                </c:pt>
                <c:pt idx="1267">
                  <c:v>42319</c:v>
                </c:pt>
                <c:pt idx="1268">
                  <c:v>42320</c:v>
                </c:pt>
                <c:pt idx="1269">
                  <c:v>42321</c:v>
                </c:pt>
                <c:pt idx="1270">
                  <c:v>42324</c:v>
                </c:pt>
                <c:pt idx="1271">
                  <c:v>42325</c:v>
                </c:pt>
                <c:pt idx="1272">
                  <c:v>42326</c:v>
                </c:pt>
                <c:pt idx="1273">
                  <c:v>42327</c:v>
                </c:pt>
                <c:pt idx="1274">
                  <c:v>42328</c:v>
                </c:pt>
                <c:pt idx="1275">
                  <c:v>42331</c:v>
                </c:pt>
                <c:pt idx="1276">
                  <c:v>42332</c:v>
                </c:pt>
                <c:pt idx="1277">
                  <c:v>42333</c:v>
                </c:pt>
                <c:pt idx="1278">
                  <c:v>42334</c:v>
                </c:pt>
                <c:pt idx="1279">
                  <c:v>42335</c:v>
                </c:pt>
                <c:pt idx="1280">
                  <c:v>42338</c:v>
                </c:pt>
                <c:pt idx="1281">
                  <c:v>42339</c:v>
                </c:pt>
                <c:pt idx="1282">
                  <c:v>42340</c:v>
                </c:pt>
                <c:pt idx="1283">
                  <c:v>42341</c:v>
                </c:pt>
                <c:pt idx="1284">
                  <c:v>42342</c:v>
                </c:pt>
                <c:pt idx="1285">
                  <c:v>42345</c:v>
                </c:pt>
                <c:pt idx="1286">
                  <c:v>42346</c:v>
                </c:pt>
                <c:pt idx="1287">
                  <c:v>42347</c:v>
                </c:pt>
                <c:pt idx="1288">
                  <c:v>42348</c:v>
                </c:pt>
                <c:pt idx="1289">
                  <c:v>42349</c:v>
                </c:pt>
                <c:pt idx="1290">
                  <c:v>42352</c:v>
                </c:pt>
                <c:pt idx="1291">
                  <c:v>42353</c:v>
                </c:pt>
                <c:pt idx="1292">
                  <c:v>42354</c:v>
                </c:pt>
                <c:pt idx="1293">
                  <c:v>42355</c:v>
                </c:pt>
                <c:pt idx="1294">
                  <c:v>42356</c:v>
                </c:pt>
                <c:pt idx="1295">
                  <c:v>42359</c:v>
                </c:pt>
                <c:pt idx="1296">
                  <c:v>42360</c:v>
                </c:pt>
                <c:pt idx="1297">
                  <c:v>42361</c:v>
                </c:pt>
                <c:pt idx="1298">
                  <c:v>42362</c:v>
                </c:pt>
                <c:pt idx="1299">
                  <c:v>42363</c:v>
                </c:pt>
                <c:pt idx="1300">
                  <c:v>42366</c:v>
                </c:pt>
                <c:pt idx="1301">
                  <c:v>42367</c:v>
                </c:pt>
                <c:pt idx="1302">
                  <c:v>42368</c:v>
                </c:pt>
                <c:pt idx="1303">
                  <c:v>42369</c:v>
                </c:pt>
                <c:pt idx="1304">
                  <c:v>42370</c:v>
                </c:pt>
                <c:pt idx="1305">
                  <c:v>42373</c:v>
                </c:pt>
                <c:pt idx="1306">
                  <c:v>42374</c:v>
                </c:pt>
                <c:pt idx="1307">
                  <c:v>42375</c:v>
                </c:pt>
                <c:pt idx="1308">
                  <c:v>42376</c:v>
                </c:pt>
                <c:pt idx="1309">
                  <c:v>42377</c:v>
                </c:pt>
                <c:pt idx="1310">
                  <c:v>42380</c:v>
                </c:pt>
                <c:pt idx="1311">
                  <c:v>42381</c:v>
                </c:pt>
                <c:pt idx="1312">
                  <c:v>42382</c:v>
                </c:pt>
                <c:pt idx="1313">
                  <c:v>42383</c:v>
                </c:pt>
                <c:pt idx="1314">
                  <c:v>42384</c:v>
                </c:pt>
                <c:pt idx="1315">
                  <c:v>42387</c:v>
                </c:pt>
                <c:pt idx="1316">
                  <c:v>42388</c:v>
                </c:pt>
                <c:pt idx="1317">
                  <c:v>42389</c:v>
                </c:pt>
                <c:pt idx="1318">
                  <c:v>42390</c:v>
                </c:pt>
                <c:pt idx="1319">
                  <c:v>42391</c:v>
                </c:pt>
                <c:pt idx="1320">
                  <c:v>42394</c:v>
                </c:pt>
                <c:pt idx="1321">
                  <c:v>42395</c:v>
                </c:pt>
                <c:pt idx="1322">
                  <c:v>42396</c:v>
                </c:pt>
                <c:pt idx="1323">
                  <c:v>42397</c:v>
                </c:pt>
                <c:pt idx="1324">
                  <c:v>42398</c:v>
                </c:pt>
                <c:pt idx="1325">
                  <c:v>42401</c:v>
                </c:pt>
                <c:pt idx="1326">
                  <c:v>42402</c:v>
                </c:pt>
                <c:pt idx="1327">
                  <c:v>42403</c:v>
                </c:pt>
                <c:pt idx="1328">
                  <c:v>42404</c:v>
                </c:pt>
                <c:pt idx="1329">
                  <c:v>42405</c:v>
                </c:pt>
                <c:pt idx="1330">
                  <c:v>42408</c:v>
                </c:pt>
                <c:pt idx="1331">
                  <c:v>42409</c:v>
                </c:pt>
                <c:pt idx="1332">
                  <c:v>42410</c:v>
                </c:pt>
                <c:pt idx="1333">
                  <c:v>42411</c:v>
                </c:pt>
                <c:pt idx="1334">
                  <c:v>42412</c:v>
                </c:pt>
                <c:pt idx="1335">
                  <c:v>42415</c:v>
                </c:pt>
                <c:pt idx="1336">
                  <c:v>42416</c:v>
                </c:pt>
                <c:pt idx="1337">
                  <c:v>42417</c:v>
                </c:pt>
                <c:pt idx="1338">
                  <c:v>42418</c:v>
                </c:pt>
                <c:pt idx="1339">
                  <c:v>42419</c:v>
                </c:pt>
                <c:pt idx="1340">
                  <c:v>42422</c:v>
                </c:pt>
                <c:pt idx="1341">
                  <c:v>42423</c:v>
                </c:pt>
                <c:pt idx="1342">
                  <c:v>42424</c:v>
                </c:pt>
                <c:pt idx="1343">
                  <c:v>42425</c:v>
                </c:pt>
                <c:pt idx="1344">
                  <c:v>42426</c:v>
                </c:pt>
                <c:pt idx="1345">
                  <c:v>42429</c:v>
                </c:pt>
                <c:pt idx="1346">
                  <c:v>42430</c:v>
                </c:pt>
                <c:pt idx="1347">
                  <c:v>42431</c:v>
                </c:pt>
                <c:pt idx="1348">
                  <c:v>42432</c:v>
                </c:pt>
                <c:pt idx="1349">
                  <c:v>42433</c:v>
                </c:pt>
                <c:pt idx="1350">
                  <c:v>42436</c:v>
                </c:pt>
                <c:pt idx="1351">
                  <c:v>42437</c:v>
                </c:pt>
                <c:pt idx="1352">
                  <c:v>42438</c:v>
                </c:pt>
                <c:pt idx="1353">
                  <c:v>42439</c:v>
                </c:pt>
                <c:pt idx="1354">
                  <c:v>42440</c:v>
                </c:pt>
                <c:pt idx="1355">
                  <c:v>42443</c:v>
                </c:pt>
                <c:pt idx="1356">
                  <c:v>42444</c:v>
                </c:pt>
                <c:pt idx="1357">
                  <c:v>42445</c:v>
                </c:pt>
                <c:pt idx="1358">
                  <c:v>42446</c:v>
                </c:pt>
                <c:pt idx="1359">
                  <c:v>42447</c:v>
                </c:pt>
                <c:pt idx="1360">
                  <c:v>42450</c:v>
                </c:pt>
                <c:pt idx="1361">
                  <c:v>42451</c:v>
                </c:pt>
                <c:pt idx="1362">
                  <c:v>42452</c:v>
                </c:pt>
                <c:pt idx="1363">
                  <c:v>42453</c:v>
                </c:pt>
                <c:pt idx="1364">
                  <c:v>42454</c:v>
                </c:pt>
                <c:pt idx="1365">
                  <c:v>42457</c:v>
                </c:pt>
                <c:pt idx="1366">
                  <c:v>42458</c:v>
                </c:pt>
                <c:pt idx="1367">
                  <c:v>42459</c:v>
                </c:pt>
                <c:pt idx="1368">
                  <c:v>42460</c:v>
                </c:pt>
                <c:pt idx="1369">
                  <c:v>42461</c:v>
                </c:pt>
                <c:pt idx="1370">
                  <c:v>42464</c:v>
                </c:pt>
                <c:pt idx="1371">
                  <c:v>42465</c:v>
                </c:pt>
                <c:pt idx="1372">
                  <c:v>42466</c:v>
                </c:pt>
                <c:pt idx="1373">
                  <c:v>42467</c:v>
                </c:pt>
                <c:pt idx="1374">
                  <c:v>42468</c:v>
                </c:pt>
                <c:pt idx="1375">
                  <c:v>42471</c:v>
                </c:pt>
                <c:pt idx="1376">
                  <c:v>42472</c:v>
                </c:pt>
                <c:pt idx="1377">
                  <c:v>42473</c:v>
                </c:pt>
                <c:pt idx="1378">
                  <c:v>42474</c:v>
                </c:pt>
                <c:pt idx="1379">
                  <c:v>42475</c:v>
                </c:pt>
                <c:pt idx="1380">
                  <c:v>42478</c:v>
                </c:pt>
                <c:pt idx="1381">
                  <c:v>42479</c:v>
                </c:pt>
                <c:pt idx="1382">
                  <c:v>42480</c:v>
                </c:pt>
                <c:pt idx="1383">
                  <c:v>42481</c:v>
                </c:pt>
                <c:pt idx="1384">
                  <c:v>42482</c:v>
                </c:pt>
                <c:pt idx="1385">
                  <c:v>42485</c:v>
                </c:pt>
                <c:pt idx="1386">
                  <c:v>42486</c:v>
                </c:pt>
                <c:pt idx="1387">
                  <c:v>42487</c:v>
                </c:pt>
                <c:pt idx="1388">
                  <c:v>42488</c:v>
                </c:pt>
                <c:pt idx="1389">
                  <c:v>42489</c:v>
                </c:pt>
                <c:pt idx="1390">
                  <c:v>42492</c:v>
                </c:pt>
                <c:pt idx="1391">
                  <c:v>42493</c:v>
                </c:pt>
                <c:pt idx="1392">
                  <c:v>42494</c:v>
                </c:pt>
                <c:pt idx="1393">
                  <c:v>42495</c:v>
                </c:pt>
                <c:pt idx="1394">
                  <c:v>42496</c:v>
                </c:pt>
                <c:pt idx="1395">
                  <c:v>42499</c:v>
                </c:pt>
                <c:pt idx="1396">
                  <c:v>42500</c:v>
                </c:pt>
                <c:pt idx="1397">
                  <c:v>42501</c:v>
                </c:pt>
                <c:pt idx="1398">
                  <c:v>42502</c:v>
                </c:pt>
                <c:pt idx="1399">
                  <c:v>42503</c:v>
                </c:pt>
                <c:pt idx="1400">
                  <c:v>42506</c:v>
                </c:pt>
                <c:pt idx="1401">
                  <c:v>42507</c:v>
                </c:pt>
                <c:pt idx="1402">
                  <c:v>42508</c:v>
                </c:pt>
                <c:pt idx="1403">
                  <c:v>42509</c:v>
                </c:pt>
                <c:pt idx="1404">
                  <c:v>42510</c:v>
                </c:pt>
                <c:pt idx="1405">
                  <c:v>42513</c:v>
                </c:pt>
                <c:pt idx="1406">
                  <c:v>42514</c:v>
                </c:pt>
                <c:pt idx="1407">
                  <c:v>42515</c:v>
                </c:pt>
                <c:pt idx="1408">
                  <c:v>42516</c:v>
                </c:pt>
                <c:pt idx="1409">
                  <c:v>42517</c:v>
                </c:pt>
                <c:pt idx="1410">
                  <c:v>42520</c:v>
                </c:pt>
                <c:pt idx="1411">
                  <c:v>42521</c:v>
                </c:pt>
                <c:pt idx="1412">
                  <c:v>42522</c:v>
                </c:pt>
                <c:pt idx="1413">
                  <c:v>42523</c:v>
                </c:pt>
                <c:pt idx="1414">
                  <c:v>42524</c:v>
                </c:pt>
                <c:pt idx="1415">
                  <c:v>42527</c:v>
                </c:pt>
                <c:pt idx="1416">
                  <c:v>42528</c:v>
                </c:pt>
                <c:pt idx="1417">
                  <c:v>42529</c:v>
                </c:pt>
                <c:pt idx="1418">
                  <c:v>42530</c:v>
                </c:pt>
                <c:pt idx="1419">
                  <c:v>42531</c:v>
                </c:pt>
                <c:pt idx="1420">
                  <c:v>42534</c:v>
                </c:pt>
                <c:pt idx="1421">
                  <c:v>42535</c:v>
                </c:pt>
                <c:pt idx="1422">
                  <c:v>42536</c:v>
                </c:pt>
                <c:pt idx="1423">
                  <c:v>42537</c:v>
                </c:pt>
                <c:pt idx="1424">
                  <c:v>42538</c:v>
                </c:pt>
                <c:pt idx="1425">
                  <c:v>42541</c:v>
                </c:pt>
                <c:pt idx="1426">
                  <c:v>42542</c:v>
                </c:pt>
                <c:pt idx="1427">
                  <c:v>42543</c:v>
                </c:pt>
                <c:pt idx="1428">
                  <c:v>42544</c:v>
                </c:pt>
                <c:pt idx="1429">
                  <c:v>42545</c:v>
                </c:pt>
                <c:pt idx="1430">
                  <c:v>42548</c:v>
                </c:pt>
                <c:pt idx="1431">
                  <c:v>42549</c:v>
                </c:pt>
                <c:pt idx="1432">
                  <c:v>42550</c:v>
                </c:pt>
                <c:pt idx="1433">
                  <c:v>42551</c:v>
                </c:pt>
                <c:pt idx="1434">
                  <c:v>42552</c:v>
                </c:pt>
                <c:pt idx="1435">
                  <c:v>42555</c:v>
                </c:pt>
                <c:pt idx="1436">
                  <c:v>42556</c:v>
                </c:pt>
                <c:pt idx="1437">
                  <c:v>42557</c:v>
                </c:pt>
                <c:pt idx="1438">
                  <c:v>42558</c:v>
                </c:pt>
                <c:pt idx="1439">
                  <c:v>42559</c:v>
                </c:pt>
                <c:pt idx="1440">
                  <c:v>42562</c:v>
                </c:pt>
                <c:pt idx="1441">
                  <c:v>42563</c:v>
                </c:pt>
                <c:pt idx="1442">
                  <c:v>42564</c:v>
                </c:pt>
                <c:pt idx="1443">
                  <c:v>42565</c:v>
                </c:pt>
                <c:pt idx="1444">
                  <c:v>42566</c:v>
                </c:pt>
                <c:pt idx="1445">
                  <c:v>42569</c:v>
                </c:pt>
                <c:pt idx="1446">
                  <c:v>42570</c:v>
                </c:pt>
                <c:pt idx="1447">
                  <c:v>42571</c:v>
                </c:pt>
                <c:pt idx="1448">
                  <c:v>42572</c:v>
                </c:pt>
                <c:pt idx="1449">
                  <c:v>42573</c:v>
                </c:pt>
                <c:pt idx="1450">
                  <c:v>42576</c:v>
                </c:pt>
                <c:pt idx="1451">
                  <c:v>42577</c:v>
                </c:pt>
                <c:pt idx="1452">
                  <c:v>42578</c:v>
                </c:pt>
                <c:pt idx="1453">
                  <c:v>42579</c:v>
                </c:pt>
                <c:pt idx="1454">
                  <c:v>42580</c:v>
                </c:pt>
                <c:pt idx="1455">
                  <c:v>42583</c:v>
                </c:pt>
                <c:pt idx="1456">
                  <c:v>42584</c:v>
                </c:pt>
                <c:pt idx="1457">
                  <c:v>42585</c:v>
                </c:pt>
                <c:pt idx="1458">
                  <c:v>42586</c:v>
                </c:pt>
                <c:pt idx="1459">
                  <c:v>42587</c:v>
                </c:pt>
                <c:pt idx="1460">
                  <c:v>42590</c:v>
                </c:pt>
                <c:pt idx="1461">
                  <c:v>42591</c:v>
                </c:pt>
                <c:pt idx="1462">
                  <c:v>42592</c:v>
                </c:pt>
                <c:pt idx="1463">
                  <c:v>42593</c:v>
                </c:pt>
                <c:pt idx="1464">
                  <c:v>42594</c:v>
                </c:pt>
                <c:pt idx="1465">
                  <c:v>42597</c:v>
                </c:pt>
                <c:pt idx="1466">
                  <c:v>42598</c:v>
                </c:pt>
                <c:pt idx="1467">
                  <c:v>42599</c:v>
                </c:pt>
                <c:pt idx="1468">
                  <c:v>42600</c:v>
                </c:pt>
                <c:pt idx="1469">
                  <c:v>42601</c:v>
                </c:pt>
                <c:pt idx="1470">
                  <c:v>42604</c:v>
                </c:pt>
                <c:pt idx="1471">
                  <c:v>42605</c:v>
                </c:pt>
                <c:pt idx="1472">
                  <c:v>42606</c:v>
                </c:pt>
                <c:pt idx="1473">
                  <c:v>42607</c:v>
                </c:pt>
                <c:pt idx="1474">
                  <c:v>42608</c:v>
                </c:pt>
                <c:pt idx="1475">
                  <c:v>42611</c:v>
                </c:pt>
                <c:pt idx="1476">
                  <c:v>42612</c:v>
                </c:pt>
                <c:pt idx="1477">
                  <c:v>42613</c:v>
                </c:pt>
                <c:pt idx="1478">
                  <c:v>42614</c:v>
                </c:pt>
                <c:pt idx="1479">
                  <c:v>42615</c:v>
                </c:pt>
                <c:pt idx="1480">
                  <c:v>42618</c:v>
                </c:pt>
                <c:pt idx="1481">
                  <c:v>42619</c:v>
                </c:pt>
                <c:pt idx="1482">
                  <c:v>42620</c:v>
                </c:pt>
                <c:pt idx="1483">
                  <c:v>42621</c:v>
                </c:pt>
                <c:pt idx="1484">
                  <c:v>42622</c:v>
                </c:pt>
                <c:pt idx="1485">
                  <c:v>42625</c:v>
                </c:pt>
                <c:pt idx="1486">
                  <c:v>42626</c:v>
                </c:pt>
                <c:pt idx="1487">
                  <c:v>42627</c:v>
                </c:pt>
                <c:pt idx="1488">
                  <c:v>42628</c:v>
                </c:pt>
                <c:pt idx="1489">
                  <c:v>42629</c:v>
                </c:pt>
                <c:pt idx="1490">
                  <c:v>42632</c:v>
                </c:pt>
                <c:pt idx="1491">
                  <c:v>42633</c:v>
                </c:pt>
                <c:pt idx="1492">
                  <c:v>42634</c:v>
                </c:pt>
                <c:pt idx="1493">
                  <c:v>42635</c:v>
                </c:pt>
                <c:pt idx="1494">
                  <c:v>42636</c:v>
                </c:pt>
                <c:pt idx="1495">
                  <c:v>42639</c:v>
                </c:pt>
                <c:pt idx="1496">
                  <c:v>42640</c:v>
                </c:pt>
                <c:pt idx="1497">
                  <c:v>42641</c:v>
                </c:pt>
                <c:pt idx="1498">
                  <c:v>42642</c:v>
                </c:pt>
                <c:pt idx="1499">
                  <c:v>42643</c:v>
                </c:pt>
                <c:pt idx="1500">
                  <c:v>42646</c:v>
                </c:pt>
                <c:pt idx="1501">
                  <c:v>42647</c:v>
                </c:pt>
                <c:pt idx="1502">
                  <c:v>42648</c:v>
                </c:pt>
                <c:pt idx="1503">
                  <c:v>42649</c:v>
                </c:pt>
                <c:pt idx="1504">
                  <c:v>42650</c:v>
                </c:pt>
                <c:pt idx="1505">
                  <c:v>42653</c:v>
                </c:pt>
                <c:pt idx="1506">
                  <c:v>42654</c:v>
                </c:pt>
                <c:pt idx="1507">
                  <c:v>42655</c:v>
                </c:pt>
                <c:pt idx="1508">
                  <c:v>42656</c:v>
                </c:pt>
                <c:pt idx="1509">
                  <c:v>42657</c:v>
                </c:pt>
                <c:pt idx="1510">
                  <c:v>42660</c:v>
                </c:pt>
                <c:pt idx="1511">
                  <c:v>42661</c:v>
                </c:pt>
                <c:pt idx="1512">
                  <c:v>42662</c:v>
                </c:pt>
                <c:pt idx="1513">
                  <c:v>42663</c:v>
                </c:pt>
                <c:pt idx="1514">
                  <c:v>42664</c:v>
                </c:pt>
                <c:pt idx="1515">
                  <c:v>42667</c:v>
                </c:pt>
                <c:pt idx="1516">
                  <c:v>42668</c:v>
                </c:pt>
                <c:pt idx="1517">
                  <c:v>42669</c:v>
                </c:pt>
                <c:pt idx="1518">
                  <c:v>42670</c:v>
                </c:pt>
                <c:pt idx="1519">
                  <c:v>42671</c:v>
                </c:pt>
                <c:pt idx="1520">
                  <c:v>42674</c:v>
                </c:pt>
                <c:pt idx="1521">
                  <c:v>42675</c:v>
                </c:pt>
                <c:pt idx="1522">
                  <c:v>42676</c:v>
                </c:pt>
                <c:pt idx="1523">
                  <c:v>42677</c:v>
                </c:pt>
                <c:pt idx="1524">
                  <c:v>42678</c:v>
                </c:pt>
                <c:pt idx="1525">
                  <c:v>42681</c:v>
                </c:pt>
                <c:pt idx="1526">
                  <c:v>42682</c:v>
                </c:pt>
                <c:pt idx="1527">
                  <c:v>42683</c:v>
                </c:pt>
                <c:pt idx="1528">
                  <c:v>42684</c:v>
                </c:pt>
                <c:pt idx="1529">
                  <c:v>42685</c:v>
                </c:pt>
                <c:pt idx="1530">
                  <c:v>42688</c:v>
                </c:pt>
                <c:pt idx="1531">
                  <c:v>42689</c:v>
                </c:pt>
                <c:pt idx="1532">
                  <c:v>42690</c:v>
                </c:pt>
                <c:pt idx="1533">
                  <c:v>42691</c:v>
                </c:pt>
                <c:pt idx="1534">
                  <c:v>42692</c:v>
                </c:pt>
                <c:pt idx="1535">
                  <c:v>42695</c:v>
                </c:pt>
                <c:pt idx="1536">
                  <c:v>42696</c:v>
                </c:pt>
                <c:pt idx="1537">
                  <c:v>42697</c:v>
                </c:pt>
                <c:pt idx="1538">
                  <c:v>42698</c:v>
                </c:pt>
                <c:pt idx="1539">
                  <c:v>42699</c:v>
                </c:pt>
                <c:pt idx="1540">
                  <c:v>42702</c:v>
                </c:pt>
                <c:pt idx="1541">
                  <c:v>42703</c:v>
                </c:pt>
                <c:pt idx="1542">
                  <c:v>42704</c:v>
                </c:pt>
                <c:pt idx="1543">
                  <c:v>42705</c:v>
                </c:pt>
                <c:pt idx="1544">
                  <c:v>42706</c:v>
                </c:pt>
                <c:pt idx="1545">
                  <c:v>42709</c:v>
                </c:pt>
                <c:pt idx="1546">
                  <c:v>42710</c:v>
                </c:pt>
                <c:pt idx="1547">
                  <c:v>42711</c:v>
                </c:pt>
                <c:pt idx="1548">
                  <c:v>42712</c:v>
                </c:pt>
                <c:pt idx="1549">
                  <c:v>42713</c:v>
                </c:pt>
                <c:pt idx="1550">
                  <c:v>42716</c:v>
                </c:pt>
                <c:pt idx="1551">
                  <c:v>42717</c:v>
                </c:pt>
                <c:pt idx="1552">
                  <c:v>42718</c:v>
                </c:pt>
                <c:pt idx="1553">
                  <c:v>42719</c:v>
                </c:pt>
                <c:pt idx="1554">
                  <c:v>42720</c:v>
                </c:pt>
                <c:pt idx="1555">
                  <c:v>42723</c:v>
                </c:pt>
                <c:pt idx="1556">
                  <c:v>42724</c:v>
                </c:pt>
                <c:pt idx="1557">
                  <c:v>42725</c:v>
                </c:pt>
                <c:pt idx="1558">
                  <c:v>42726</c:v>
                </c:pt>
                <c:pt idx="1559">
                  <c:v>42727</c:v>
                </c:pt>
                <c:pt idx="1560">
                  <c:v>42730</c:v>
                </c:pt>
                <c:pt idx="1561">
                  <c:v>42731</c:v>
                </c:pt>
                <c:pt idx="1562">
                  <c:v>42732</c:v>
                </c:pt>
                <c:pt idx="1563">
                  <c:v>42733</c:v>
                </c:pt>
                <c:pt idx="1564">
                  <c:v>42734</c:v>
                </c:pt>
                <c:pt idx="1565">
                  <c:v>42737</c:v>
                </c:pt>
                <c:pt idx="1566">
                  <c:v>42738</c:v>
                </c:pt>
                <c:pt idx="1567">
                  <c:v>42739</c:v>
                </c:pt>
                <c:pt idx="1568">
                  <c:v>42740</c:v>
                </c:pt>
                <c:pt idx="1569">
                  <c:v>42741</c:v>
                </c:pt>
                <c:pt idx="1570">
                  <c:v>42744</c:v>
                </c:pt>
                <c:pt idx="1571">
                  <c:v>42745</c:v>
                </c:pt>
                <c:pt idx="1572">
                  <c:v>42746</c:v>
                </c:pt>
                <c:pt idx="1573">
                  <c:v>42747</c:v>
                </c:pt>
                <c:pt idx="1574">
                  <c:v>42748</c:v>
                </c:pt>
                <c:pt idx="1575">
                  <c:v>42751</c:v>
                </c:pt>
                <c:pt idx="1576">
                  <c:v>42752</c:v>
                </c:pt>
                <c:pt idx="1577">
                  <c:v>42753</c:v>
                </c:pt>
                <c:pt idx="1578">
                  <c:v>42754</c:v>
                </c:pt>
                <c:pt idx="1579">
                  <c:v>42755</c:v>
                </c:pt>
                <c:pt idx="1580">
                  <c:v>42758</c:v>
                </c:pt>
                <c:pt idx="1581">
                  <c:v>42759</c:v>
                </c:pt>
                <c:pt idx="1582">
                  <c:v>42760</c:v>
                </c:pt>
                <c:pt idx="1583">
                  <c:v>42761</c:v>
                </c:pt>
                <c:pt idx="1584">
                  <c:v>42762</c:v>
                </c:pt>
                <c:pt idx="1585">
                  <c:v>42765</c:v>
                </c:pt>
                <c:pt idx="1586">
                  <c:v>42766</c:v>
                </c:pt>
                <c:pt idx="1587">
                  <c:v>42767</c:v>
                </c:pt>
                <c:pt idx="1588">
                  <c:v>42768</c:v>
                </c:pt>
                <c:pt idx="1589">
                  <c:v>42769</c:v>
                </c:pt>
                <c:pt idx="1590">
                  <c:v>42772</c:v>
                </c:pt>
                <c:pt idx="1591">
                  <c:v>42773</c:v>
                </c:pt>
                <c:pt idx="1592">
                  <c:v>42774</c:v>
                </c:pt>
                <c:pt idx="1593">
                  <c:v>42775</c:v>
                </c:pt>
                <c:pt idx="1594">
                  <c:v>42776</c:v>
                </c:pt>
                <c:pt idx="1595">
                  <c:v>42779</c:v>
                </c:pt>
                <c:pt idx="1596">
                  <c:v>42780</c:v>
                </c:pt>
                <c:pt idx="1597">
                  <c:v>42781</c:v>
                </c:pt>
                <c:pt idx="1598">
                  <c:v>42782</c:v>
                </c:pt>
                <c:pt idx="1599">
                  <c:v>42783</c:v>
                </c:pt>
                <c:pt idx="1600">
                  <c:v>42786</c:v>
                </c:pt>
                <c:pt idx="1601">
                  <c:v>42787</c:v>
                </c:pt>
                <c:pt idx="1602">
                  <c:v>42788</c:v>
                </c:pt>
                <c:pt idx="1603">
                  <c:v>42789</c:v>
                </c:pt>
                <c:pt idx="1604">
                  <c:v>42790</c:v>
                </c:pt>
                <c:pt idx="1605">
                  <c:v>42793</c:v>
                </c:pt>
                <c:pt idx="1606">
                  <c:v>42794</c:v>
                </c:pt>
                <c:pt idx="1607">
                  <c:v>42795</c:v>
                </c:pt>
                <c:pt idx="1608">
                  <c:v>42796</c:v>
                </c:pt>
                <c:pt idx="1609">
                  <c:v>42797</c:v>
                </c:pt>
                <c:pt idx="1610">
                  <c:v>42800</c:v>
                </c:pt>
                <c:pt idx="1611">
                  <c:v>42801</c:v>
                </c:pt>
                <c:pt idx="1612">
                  <c:v>42802</c:v>
                </c:pt>
                <c:pt idx="1613">
                  <c:v>42803</c:v>
                </c:pt>
                <c:pt idx="1614">
                  <c:v>42804</c:v>
                </c:pt>
                <c:pt idx="1615">
                  <c:v>42807</c:v>
                </c:pt>
                <c:pt idx="1616">
                  <c:v>42808</c:v>
                </c:pt>
                <c:pt idx="1617">
                  <c:v>42809</c:v>
                </c:pt>
                <c:pt idx="1618">
                  <c:v>42810</c:v>
                </c:pt>
                <c:pt idx="1619">
                  <c:v>42811</c:v>
                </c:pt>
                <c:pt idx="1620">
                  <c:v>42814</c:v>
                </c:pt>
                <c:pt idx="1621">
                  <c:v>42815</c:v>
                </c:pt>
                <c:pt idx="1622">
                  <c:v>42816</c:v>
                </c:pt>
                <c:pt idx="1623">
                  <c:v>42817</c:v>
                </c:pt>
                <c:pt idx="1624">
                  <c:v>42818</c:v>
                </c:pt>
                <c:pt idx="1625">
                  <c:v>42821</c:v>
                </c:pt>
                <c:pt idx="1626">
                  <c:v>42822</c:v>
                </c:pt>
                <c:pt idx="1627">
                  <c:v>42823</c:v>
                </c:pt>
                <c:pt idx="1628">
                  <c:v>42824</c:v>
                </c:pt>
                <c:pt idx="1629">
                  <c:v>42825</c:v>
                </c:pt>
                <c:pt idx="1630">
                  <c:v>42828</c:v>
                </c:pt>
                <c:pt idx="1631">
                  <c:v>42829</c:v>
                </c:pt>
                <c:pt idx="1632">
                  <c:v>42830</c:v>
                </c:pt>
                <c:pt idx="1633">
                  <c:v>42831</c:v>
                </c:pt>
                <c:pt idx="1634">
                  <c:v>42832</c:v>
                </c:pt>
                <c:pt idx="1635">
                  <c:v>42835</c:v>
                </c:pt>
                <c:pt idx="1636">
                  <c:v>42836</c:v>
                </c:pt>
                <c:pt idx="1637">
                  <c:v>42837</c:v>
                </c:pt>
                <c:pt idx="1638">
                  <c:v>42838</c:v>
                </c:pt>
                <c:pt idx="1639">
                  <c:v>42839</c:v>
                </c:pt>
                <c:pt idx="1640">
                  <c:v>42842</c:v>
                </c:pt>
                <c:pt idx="1641">
                  <c:v>42843</c:v>
                </c:pt>
                <c:pt idx="1642">
                  <c:v>42844</c:v>
                </c:pt>
                <c:pt idx="1643">
                  <c:v>42845</c:v>
                </c:pt>
                <c:pt idx="1644">
                  <c:v>42846</c:v>
                </c:pt>
                <c:pt idx="1645">
                  <c:v>42849</c:v>
                </c:pt>
                <c:pt idx="1646">
                  <c:v>42850</c:v>
                </c:pt>
                <c:pt idx="1647">
                  <c:v>42851</c:v>
                </c:pt>
                <c:pt idx="1648">
                  <c:v>42852</c:v>
                </c:pt>
                <c:pt idx="1649">
                  <c:v>42853</c:v>
                </c:pt>
                <c:pt idx="1650">
                  <c:v>42856</c:v>
                </c:pt>
                <c:pt idx="1651">
                  <c:v>42857</c:v>
                </c:pt>
                <c:pt idx="1652">
                  <c:v>42858</c:v>
                </c:pt>
                <c:pt idx="1653">
                  <c:v>42859</c:v>
                </c:pt>
                <c:pt idx="1654">
                  <c:v>42860</c:v>
                </c:pt>
                <c:pt idx="1655">
                  <c:v>42863</c:v>
                </c:pt>
                <c:pt idx="1656">
                  <c:v>42864</c:v>
                </c:pt>
                <c:pt idx="1657">
                  <c:v>42865</c:v>
                </c:pt>
                <c:pt idx="1658">
                  <c:v>42866</c:v>
                </c:pt>
                <c:pt idx="1659">
                  <c:v>42867</c:v>
                </c:pt>
                <c:pt idx="1660">
                  <c:v>42870</c:v>
                </c:pt>
                <c:pt idx="1661">
                  <c:v>42871</c:v>
                </c:pt>
                <c:pt idx="1662">
                  <c:v>42872</c:v>
                </c:pt>
                <c:pt idx="1663">
                  <c:v>42873</c:v>
                </c:pt>
                <c:pt idx="1664">
                  <c:v>42874</c:v>
                </c:pt>
                <c:pt idx="1665">
                  <c:v>42877</c:v>
                </c:pt>
                <c:pt idx="1666">
                  <c:v>42878</c:v>
                </c:pt>
                <c:pt idx="1667">
                  <c:v>42879</c:v>
                </c:pt>
                <c:pt idx="1668">
                  <c:v>42880</c:v>
                </c:pt>
                <c:pt idx="1669">
                  <c:v>42881</c:v>
                </c:pt>
                <c:pt idx="1670">
                  <c:v>42884</c:v>
                </c:pt>
                <c:pt idx="1671">
                  <c:v>42885</c:v>
                </c:pt>
                <c:pt idx="1672">
                  <c:v>42886</c:v>
                </c:pt>
                <c:pt idx="1673">
                  <c:v>42887</c:v>
                </c:pt>
                <c:pt idx="1674">
                  <c:v>42888</c:v>
                </c:pt>
                <c:pt idx="1675">
                  <c:v>42891</c:v>
                </c:pt>
                <c:pt idx="1676">
                  <c:v>42892</c:v>
                </c:pt>
                <c:pt idx="1677">
                  <c:v>42893</c:v>
                </c:pt>
                <c:pt idx="1678">
                  <c:v>42894</c:v>
                </c:pt>
                <c:pt idx="1679">
                  <c:v>42895</c:v>
                </c:pt>
                <c:pt idx="1680">
                  <c:v>42898</c:v>
                </c:pt>
                <c:pt idx="1681">
                  <c:v>42899</c:v>
                </c:pt>
                <c:pt idx="1682">
                  <c:v>42900</c:v>
                </c:pt>
                <c:pt idx="1683">
                  <c:v>42901</c:v>
                </c:pt>
                <c:pt idx="1684">
                  <c:v>42902</c:v>
                </c:pt>
                <c:pt idx="1685">
                  <c:v>42905</c:v>
                </c:pt>
                <c:pt idx="1686">
                  <c:v>42906</c:v>
                </c:pt>
                <c:pt idx="1687">
                  <c:v>42907</c:v>
                </c:pt>
                <c:pt idx="1688">
                  <c:v>42908</c:v>
                </c:pt>
                <c:pt idx="1689">
                  <c:v>42909</c:v>
                </c:pt>
                <c:pt idx="1690">
                  <c:v>42912</c:v>
                </c:pt>
                <c:pt idx="1691">
                  <c:v>42913</c:v>
                </c:pt>
                <c:pt idx="1692">
                  <c:v>42914</c:v>
                </c:pt>
                <c:pt idx="1693">
                  <c:v>42915</c:v>
                </c:pt>
                <c:pt idx="1694">
                  <c:v>42916</c:v>
                </c:pt>
                <c:pt idx="1695">
                  <c:v>42919</c:v>
                </c:pt>
                <c:pt idx="1696">
                  <c:v>42920</c:v>
                </c:pt>
                <c:pt idx="1697">
                  <c:v>42921</c:v>
                </c:pt>
                <c:pt idx="1698">
                  <c:v>42922</c:v>
                </c:pt>
                <c:pt idx="1699">
                  <c:v>42923</c:v>
                </c:pt>
                <c:pt idx="1700">
                  <c:v>42926</c:v>
                </c:pt>
                <c:pt idx="1701">
                  <c:v>42927</c:v>
                </c:pt>
                <c:pt idx="1702">
                  <c:v>42928</c:v>
                </c:pt>
                <c:pt idx="1703">
                  <c:v>42929</c:v>
                </c:pt>
                <c:pt idx="1704">
                  <c:v>42930</c:v>
                </c:pt>
                <c:pt idx="1705">
                  <c:v>42933</c:v>
                </c:pt>
                <c:pt idx="1706">
                  <c:v>42934</c:v>
                </c:pt>
                <c:pt idx="1707">
                  <c:v>42935</c:v>
                </c:pt>
                <c:pt idx="1708">
                  <c:v>42936</c:v>
                </c:pt>
                <c:pt idx="1709">
                  <c:v>42937</c:v>
                </c:pt>
                <c:pt idx="1710">
                  <c:v>42940</c:v>
                </c:pt>
                <c:pt idx="1711">
                  <c:v>42941</c:v>
                </c:pt>
                <c:pt idx="1712">
                  <c:v>42942</c:v>
                </c:pt>
                <c:pt idx="1713">
                  <c:v>42943</c:v>
                </c:pt>
                <c:pt idx="1714">
                  <c:v>42944</c:v>
                </c:pt>
                <c:pt idx="1715">
                  <c:v>42947</c:v>
                </c:pt>
                <c:pt idx="1716">
                  <c:v>42948</c:v>
                </c:pt>
                <c:pt idx="1717">
                  <c:v>42949</c:v>
                </c:pt>
                <c:pt idx="1718">
                  <c:v>42950</c:v>
                </c:pt>
                <c:pt idx="1719">
                  <c:v>42951</c:v>
                </c:pt>
                <c:pt idx="1720">
                  <c:v>42954</c:v>
                </c:pt>
                <c:pt idx="1721">
                  <c:v>42955</c:v>
                </c:pt>
                <c:pt idx="1722">
                  <c:v>42956</c:v>
                </c:pt>
                <c:pt idx="1723">
                  <c:v>42957</c:v>
                </c:pt>
                <c:pt idx="1724">
                  <c:v>42958</c:v>
                </c:pt>
                <c:pt idx="1725">
                  <c:v>42961</c:v>
                </c:pt>
                <c:pt idx="1726">
                  <c:v>42962</c:v>
                </c:pt>
                <c:pt idx="1727">
                  <c:v>42963</c:v>
                </c:pt>
                <c:pt idx="1728">
                  <c:v>42964</c:v>
                </c:pt>
                <c:pt idx="1729">
                  <c:v>42965</c:v>
                </c:pt>
                <c:pt idx="1730">
                  <c:v>42968</c:v>
                </c:pt>
                <c:pt idx="1731">
                  <c:v>42969</c:v>
                </c:pt>
                <c:pt idx="1732">
                  <c:v>42970</c:v>
                </c:pt>
                <c:pt idx="1733">
                  <c:v>42971</c:v>
                </c:pt>
                <c:pt idx="1734">
                  <c:v>42972</c:v>
                </c:pt>
                <c:pt idx="1735">
                  <c:v>42975</c:v>
                </c:pt>
                <c:pt idx="1736">
                  <c:v>42976</c:v>
                </c:pt>
                <c:pt idx="1737">
                  <c:v>42977</c:v>
                </c:pt>
                <c:pt idx="1738">
                  <c:v>42978</c:v>
                </c:pt>
                <c:pt idx="1739">
                  <c:v>42979</c:v>
                </c:pt>
                <c:pt idx="1740">
                  <c:v>42982</c:v>
                </c:pt>
                <c:pt idx="1741">
                  <c:v>42983</c:v>
                </c:pt>
                <c:pt idx="1742">
                  <c:v>42984</c:v>
                </c:pt>
                <c:pt idx="1743">
                  <c:v>42985</c:v>
                </c:pt>
                <c:pt idx="1744">
                  <c:v>42986</c:v>
                </c:pt>
                <c:pt idx="1745">
                  <c:v>42989</c:v>
                </c:pt>
                <c:pt idx="1746">
                  <c:v>42990</c:v>
                </c:pt>
                <c:pt idx="1747">
                  <c:v>42991</c:v>
                </c:pt>
                <c:pt idx="1748">
                  <c:v>42992</c:v>
                </c:pt>
                <c:pt idx="1749">
                  <c:v>42993</c:v>
                </c:pt>
                <c:pt idx="1750">
                  <c:v>42996</c:v>
                </c:pt>
                <c:pt idx="1751">
                  <c:v>42997</c:v>
                </c:pt>
                <c:pt idx="1752">
                  <c:v>42998</c:v>
                </c:pt>
                <c:pt idx="1753">
                  <c:v>42999</c:v>
                </c:pt>
                <c:pt idx="1754">
                  <c:v>43000</c:v>
                </c:pt>
                <c:pt idx="1755">
                  <c:v>43003</c:v>
                </c:pt>
                <c:pt idx="1756">
                  <c:v>43004</c:v>
                </c:pt>
                <c:pt idx="1757">
                  <c:v>43005</c:v>
                </c:pt>
                <c:pt idx="1758">
                  <c:v>43006</c:v>
                </c:pt>
                <c:pt idx="1759">
                  <c:v>43007</c:v>
                </c:pt>
                <c:pt idx="1760">
                  <c:v>43010</c:v>
                </c:pt>
                <c:pt idx="1761">
                  <c:v>43011</c:v>
                </c:pt>
                <c:pt idx="1762">
                  <c:v>43012</c:v>
                </c:pt>
                <c:pt idx="1763">
                  <c:v>43013</c:v>
                </c:pt>
                <c:pt idx="1764">
                  <c:v>43014</c:v>
                </c:pt>
                <c:pt idx="1765">
                  <c:v>43017</c:v>
                </c:pt>
                <c:pt idx="1766">
                  <c:v>43018</c:v>
                </c:pt>
                <c:pt idx="1767">
                  <c:v>43019</c:v>
                </c:pt>
                <c:pt idx="1768">
                  <c:v>43020</c:v>
                </c:pt>
                <c:pt idx="1769">
                  <c:v>43021</c:v>
                </c:pt>
                <c:pt idx="1770">
                  <c:v>43024</c:v>
                </c:pt>
                <c:pt idx="1771">
                  <c:v>43025</c:v>
                </c:pt>
                <c:pt idx="1772">
                  <c:v>43026</c:v>
                </c:pt>
                <c:pt idx="1773">
                  <c:v>43027</c:v>
                </c:pt>
                <c:pt idx="1774">
                  <c:v>43028</c:v>
                </c:pt>
                <c:pt idx="1775">
                  <c:v>43031</c:v>
                </c:pt>
                <c:pt idx="1776">
                  <c:v>43032</c:v>
                </c:pt>
                <c:pt idx="1777">
                  <c:v>43033</c:v>
                </c:pt>
                <c:pt idx="1778">
                  <c:v>43034</c:v>
                </c:pt>
                <c:pt idx="1779">
                  <c:v>43035</c:v>
                </c:pt>
                <c:pt idx="1780">
                  <c:v>43038</c:v>
                </c:pt>
                <c:pt idx="1781">
                  <c:v>43039</c:v>
                </c:pt>
                <c:pt idx="1782">
                  <c:v>43040</c:v>
                </c:pt>
                <c:pt idx="1783">
                  <c:v>43041</c:v>
                </c:pt>
                <c:pt idx="1784">
                  <c:v>43042</c:v>
                </c:pt>
                <c:pt idx="1785">
                  <c:v>43045</c:v>
                </c:pt>
                <c:pt idx="1786">
                  <c:v>43046</c:v>
                </c:pt>
                <c:pt idx="1787">
                  <c:v>43047</c:v>
                </c:pt>
                <c:pt idx="1788">
                  <c:v>43048</c:v>
                </c:pt>
                <c:pt idx="1789">
                  <c:v>43049</c:v>
                </c:pt>
                <c:pt idx="1790">
                  <c:v>43052</c:v>
                </c:pt>
                <c:pt idx="1791">
                  <c:v>43053</c:v>
                </c:pt>
                <c:pt idx="1792">
                  <c:v>43054</c:v>
                </c:pt>
                <c:pt idx="1793">
                  <c:v>43055</c:v>
                </c:pt>
                <c:pt idx="1794">
                  <c:v>43056</c:v>
                </c:pt>
                <c:pt idx="1795">
                  <c:v>43059</c:v>
                </c:pt>
                <c:pt idx="1796">
                  <c:v>43060</c:v>
                </c:pt>
                <c:pt idx="1797">
                  <c:v>43061</c:v>
                </c:pt>
                <c:pt idx="1798">
                  <c:v>43062</c:v>
                </c:pt>
                <c:pt idx="1799">
                  <c:v>43063</c:v>
                </c:pt>
                <c:pt idx="1800">
                  <c:v>43066</c:v>
                </c:pt>
                <c:pt idx="1801">
                  <c:v>43067</c:v>
                </c:pt>
                <c:pt idx="1802">
                  <c:v>43068</c:v>
                </c:pt>
                <c:pt idx="1803">
                  <c:v>43069</c:v>
                </c:pt>
                <c:pt idx="1804">
                  <c:v>43070</c:v>
                </c:pt>
                <c:pt idx="1805">
                  <c:v>43073</c:v>
                </c:pt>
                <c:pt idx="1806">
                  <c:v>43074</c:v>
                </c:pt>
                <c:pt idx="1807">
                  <c:v>43075</c:v>
                </c:pt>
                <c:pt idx="1808">
                  <c:v>43076</c:v>
                </c:pt>
                <c:pt idx="1809">
                  <c:v>43077</c:v>
                </c:pt>
                <c:pt idx="1810">
                  <c:v>43080</c:v>
                </c:pt>
                <c:pt idx="1811">
                  <c:v>43081</c:v>
                </c:pt>
                <c:pt idx="1812">
                  <c:v>43082</c:v>
                </c:pt>
                <c:pt idx="1813">
                  <c:v>43083</c:v>
                </c:pt>
                <c:pt idx="1814">
                  <c:v>43084</c:v>
                </c:pt>
                <c:pt idx="1815">
                  <c:v>43087</c:v>
                </c:pt>
                <c:pt idx="1816">
                  <c:v>43088</c:v>
                </c:pt>
                <c:pt idx="1817">
                  <c:v>43089</c:v>
                </c:pt>
                <c:pt idx="1818">
                  <c:v>43090</c:v>
                </c:pt>
                <c:pt idx="1819">
                  <c:v>43091</c:v>
                </c:pt>
                <c:pt idx="1820">
                  <c:v>43094</c:v>
                </c:pt>
                <c:pt idx="1821">
                  <c:v>43095</c:v>
                </c:pt>
                <c:pt idx="1822">
                  <c:v>43096</c:v>
                </c:pt>
                <c:pt idx="1823">
                  <c:v>43097</c:v>
                </c:pt>
                <c:pt idx="1824">
                  <c:v>43098</c:v>
                </c:pt>
                <c:pt idx="1825">
                  <c:v>43101</c:v>
                </c:pt>
                <c:pt idx="1826">
                  <c:v>43102</c:v>
                </c:pt>
                <c:pt idx="1827">
                  <c:v>43103</c:v>
                </c:pt>
                <c:pt idx="1828">
                  <c:v>43104</c:v>
                </c:pt>
                <c:pt idx="1829">
                  <c:v>43105</c:v>
                </c:pt>
                <c:pt idx="1830">
                  <c:v>43108</c:v>
                </c:pt>
                <c:pt idx="1831">
                  <c:v>43109</c:v>
                </c:pt>
                <c:pt idx="1832">
                  <c:v>43110</c:v>
                </c:pt>
                <c:pt idx="1833">
                  <c:v>43111</c:v>
                </c:pt>
                <c:pt idx="1834">
                  <c:v>43112</c:v>
                </c:pt>
                <c:pt idx="1835">
                  <c:v>43115</c:v>
                </c:pt>
                <c:pt idx="1836">
                  <c:v>43116</c:v>
                </c:pt>
                <c:pt idx="1837">
                  <c:v>43117</c:v>
                </c:pt>
                <c:pt idx="1838">
                  <c:v>43118</c:v>
                </c:pt>
                <c:pt idx="1839">
                  <c:v>43119</c:v>
                </c:pt>
                <c:pt idx="1840">
                  <c:v>43122</c:v>
                </c:pt>
                <c:pt idx="1841">
                  <c:v>43123</c:v>
                </c:pt>
                <c:pt idx="1842">
                  <c:v>43124</c:v>
                </c:pt>
                <c:pt idx="1843">
                  <c:v>43125</c:v>
                </c:pt>
                <c:pt idx="1844">
                  <c:v>43126</c:v>
                </c:pt>
                <c:pt idx="1845">
                  <c:v>43129</c:v>
                </c:pt>
                <c:pt idx="1846">
                  <c:v>43130</c:v>
                </c:pt>
                <c:pt idx="1847">
                  <c:v>43131</c:v>
                </c:pt>
                <c:pt idx="1848">
                  <c:v>43132</c:v>
                </c:pt>
                <c:pt idx="1849">
                  <c:v>43133</c:v>
                </c:pt>
                <c:pt idx="1850">
                  <c:v>43136</c:v>
                </c:pt>
                <c:pt idx="1851">
                  <c:v>43137</c:v>
                </c:pt>
                <c:pt idx="1852">
                  <c:v>43138</c:v>
                </c:pt>
                <c:pt idx="1853">
                  <c:v>43139</c:v>
                </c:pt>
                <c:pt idx="1854">
                  <c:v>43140</c:v>
                </c:pt>
                <c:pt idx="1855">
                  <c:v>43143</c:v>
                </c:pt>
                <c:pt idx="1856">
                  <c:v>43144</c:v>
                </c:pt>
                <c:pt idx="1857">
                  <c:v>43145</c:v>
                </c:pt>
                <c:pt idx="1858">
                  <c:v>43146</c:v>
                </c:pt>
                <c:pt idx="1859">
                  <c:v>43147</c:v>
                </c:pt>
                <c:pt idx="1860">
                  <c:v>43150</c:v>
                </c:pt>
                <c:pt idx="1861">
                  <c:v>43151</c:v>
                </c:pt>
                <c:pt idx="1862">
                  <c:v>43152</c:v>
                </c:pt>
                <c:pt idx="1863">
                  <c:v>43153</c:v>
                </c:pt>
                <c:pt idx="1864">
                  <c:v>43154</c:v>
                </c:pt>
                <c:pt idx="1865">
                  <c:v>43157</c:v>
                </c:pt>
                <c:pt idx="1866">
                  <c:v>43158</c:v>
                </c:pt>
                <c:pt idx="1867">
                  <c:v>43159</c:v>
                </c:pt>
                <c:pt idx="1868">
                  <c:v>43160</c:v>
                </c:pt>
                <c:pt idx="1869">
                  <c:v>43161</c:v>
                </c:pt>
                <c:pt idx="1870">
                  <c:v>43164</c:v>
                </c:pt>
                <c:pt idx="1871">
                  <c:v>43165</c:v>
                </c:pt>
                <c:pt idx="1872">
                  <c:v>43166</c:v>
                </c:pt>
                <c:pt idx="1873">
                  <c:v>43167</c:v>
                </c:pt>
                <c:pt idx="1874">
                  <c:v>43168</c:v>
                </c:pt>
                <c:pt idx="1875">
                  <c:v>43171</c:v>
                </c:pt>
                <c:pt idx="1876">
                  <c:v>43172</c:v>
                </c:pt>
                <c:pt idx="1877">
                  <c:v>43173</c:v>
                </c:pt>
                <c:pt idx="1878">
                  <c:v>43174</c:v>
                </c:pt>
                <c:pt idx="1879">
                  <c:v>43175</c:v>
                </c:pt>
                <c:pt idx="1880">
                  <c:v>43178</c:v>
                </c:pt>
                <c:pt idx="1881">
                  <c:v>43179</c:v>
                </c:pt>
                <c:pt idx="1882">
                  <c:v>43180</c:v>
                </c:pt>
                <c:pt idx="1883">
                  <c:v>43181</c:v>
                </c:pt>
                <c:pt idx="1884">
                  <c:v>43182</c:v>
                </c:pt>
                <c:pt idx="1885">
                  <c:v>43185</c:v>
                </c:pt>
                <c:pt idx="1886">
                  <c:v>43186</c:v>
                </c:pt>
                <c:pt idx="1887">
                  <c:v>43187</c:v>
                </c:pt>
                <c:pt idx="1888">
                  <c:v>43188</c:v>
                </c:pt>
                <c:pt idx="1889">
                  <c:v>43189</c:v>
                </c:pt>
                <c:pt idx="1890">
                  <c:v>43192</c:v>
                </c:pt>
                <c:pt idx="1891">
                  <c:v>43193</c:v>
                </c:pt>
                <c:pt idx="1892">
                  <c:v>43194</c:v>
                </c:pt>
                <c:pt idx="1893">
                  <c:v>43195</c:v>
                </c:pt>
                <c:pt idx="1894">
                  <c:v>43196</c:v>
                </c:pt>
                <c:pt idx="1895">
                  <c:v>43199</c:v>
                </c:pt>
                <c:pt idx="1896">
                  <c:v>43200</c:v>
                </c:pt>
                <c:pt idx="1897">
                  <c:v>43201</c:v>
                </c:pt>
                <c:pt idx="1898">
                  <c:v>43202</c:v>
                </c:pt>
                <c:pt idx="1899">
                  <c:v>43203</c:v>
                </c:pt>
                <c:pt idx="1900">
                  <c:v>43206</c:v>
                </c:pt>
                <c:pt idx="1901">
                  <c:v>43207</c:v>
                </c:pt>
                <c:pt idx="1902">
                  <c:v>43208</c:v>
                </c:pt>
                <c:pt idx="1903">
                  <c:v>43209</c:v>
                </c:pt>
                <c:pt idx="1904">
                  <c:v>43210</c:v>
                </c:pt>
                <c:pt idx="1905">
                  <c:v>43213</c:v>
                </c:pt>
                <c:pt idx="1906">
                  <c:v>43214</c:v>
                </c:pt>
                <c:pt idx="1907">
                  <c:v>43215</c:v>
                </c:pt>
                <c:pt idx="1908">
                  <c:v>43216</c:v>
                </c:pt>
                <c:pt idx="1909">
                  <c:v>43217</c:v>
                </c:pt>
                <c:pt idx="1910">
                  <c:v>43220</c:v>
                </c:pt>
                <c:pt idx="1911">
                  <c:v>43221</c:v>
                </c:pt>
                <c:pt idx="1912">
                  <c:v>43222</c:v>
                </c:pt>
                <c:pt idx="1913">
                  <c:v>43223</c:v>
                </c:pt>
                <c:pt idx="1914">
                  <c:v>43224</c:v>
                </c:pt>
                <c:pt idx="1915">
                  <c:v>43227</c:v>
                </c:pt>
                <c:pt idx="1916">
                  <c:v>43228</c:v>
                </c:pt>
                <c:pt idx="1917">
                  <c:v>43229</c:v>
                </c:pt>
                <c:pt idx="1918">
                  <c:v>43230</c:v>
                </c:pt>
                <c:pt idx="1919">
                  <c:v>43231</c:v>
                </c:pt>
                <c:pt idx="1920">
                  <c:v>43234</c:v>
                </c:pt>
                <c:pt idx="1921">
                  <c:v>43235</c:v>
                </c:pt>
                <c:pt idx="1922">
                  <c:v>43236</c:v>
                </c:pt>
                <c:pt idx="1923">
                  <c:v>43237</c:v>
                </c:pt>
                <c:pt idx="1924">
                  <c:v>43238</c:v>
                </c:pt>
                <c:pt idx="1925">
                  <c:v>43241</c:v>
                </c:pt>
                <c:pt idx="1926">
                  <c:v>43242</c:v>
                </c:pt>
                <c:pt idx="1927">
                  <c:v>43243</c:v>
                </c:pt>
                <c:pt idx="1928">
                  <c:v>43244</c:v>
                </c:pt>
                <c:pt idx="1929">
                  <c:v>43245</c:v>
                </c:pt>
                <c:pt idx="1930">
                  <c:v>43248</c:v>
                </c:pt>
                <c:pt idx="1931">
                  <c:v>43249</c:v>
                </c:pt>
                <c:pt idx="1932">
                  <c:v>43250</c:v>
                </c:pt>
                <c:pt idx="1933">
                  <c:v>43251</c:v>
                </c:pt>
                <c:pt idx="1934">
                  <c:v>43252</c:v>
                </c:pt>
                <c:pt idx="1935">
                  <c:v>43255</c:v>
                </c:pt>
                <c:pt idx="1936">
                  <c:v>43256</c:v>
                </c:pt>
                <c:pt idx="1937">
                  <c:v>43257</c:v>
                </c:pt>
                <c:pt idx="1938">
                  <c:v>43258</c:v>
                </c:pt>
                <c:pt idx="1939">
                  <c:v>43259</c:v>
                </c:pt>
                <c:pt idx="1940">
                  <c:v>43262</c:v>
                </c:pt>
                <c:pt idx="1941">
                  <c:v>43263</c:v>
                </c:pt>
                <c:pt idx="1942">
                  <c:v>43264</c:v>
                </c:pt>
                <c:pt idx="1943">
                  <c:v>43265</c:v>
                </c:pt>
                <c:pt idx="1944">
                  <c:v>43266</c:v>
                </c:pt>
                <c:pt idx="1945">
                  <c:v>43269</c:v>
                </c:pt>
                <c:pt idx="1946">
                  <c:v>43270</c:v>
                </c:pt>
                <c:pt idx="1947">
                  <c:v>43271</c:v>
                </c:pt>
                <c:pt idx="1948">
                  <c:v>43272</c:v>
                </c:pt>
                <c:pt idx="1949">
                  <c:v>43273</c:v>
                </c:pt>
                <c:pt idx="1950">
                  <c:v>43276</c:v>
                </c:pt>
                <c:pt idx="1951">
                  <c:v>43277</c:v>
                </c:pt>
                <c:pt idx="1952">
                  <c:v>43278</c:v>
                </c:pt>
                <c:pt idx="1953">
                  <c:v>43279</c:v>
                </c:pt>
                <c:pt idx="1954">
                  <c:v>43280</c:v>
                </c:pt>
                <c:pt idx="1955">
                  <c:v>43283</c:v>
                </c:pt>
                <c:pt idx="1956">
                  <c:v>43284</c:v>
                </c:pt>
                <c:pt idx="1957">
                  <c:v>43285</c:v>
                </c:pt>
                <c:pt idx="1958">
                  <c:v>43286</c:v>
                </c:pt>
                <c:pt idx="1959">
                  <c:v>43287</c:v>
                </c:pt>
                <c:pt idx="1960">
                  <c:v>43290</c:v>
                </c:pt>
                <c:pt idx="1961">
                  <c:v>43291</c:v>
                </c:pt>
                <c:pt idx="1962">
                  <c:v>43292</c:v>
                </c:pt>
                <c:pt idx="1963">
                  <c:v>43293</c:v>
                </c:pt>
                <c:pt idx="1964">
                  <c:v>43294</c:v>
                </c:pt>
                <c:pt idx="1965">
                  <c:v>43297</c:v>
                </c:pt>
                <c:pt idx="1966">
                  <c:v>43298</c:v>
                </c:pt>
                <c:pt idx="1967">
                  <c:v>43299</c:v>
                </c:pt>
                <c:pt idx="1968">
                  <c:v>43300</c:v>
                </c:pt>
                <c:pt idx="1969">
                  <c:v>43301</c:v>
                </c:pt>
                <c:pt idx="1970">
                  <c:v>43304</c:v>
                </c:pt>
                <c:pt idx="1971">
                  <c:v>43305</c:v>
                </c:pt>
                <c:pt idx="1972">
                  <c:v>43306</c:v>
                </c:pt>
                <c:pt idx="1973">
                  <c:v>43307</c:v>
                </c:pt>
                <c:pt idx="1974">
                  <c:v>43308</c:v>
                </c:pt>
                <c:pt idx="1975">
                  <c:v>43311</c:v>
                </c:pt>
                <c:pt idx="1976">
                  <c:v>43312</c:v>
                </c:pt>
                <c:pt idx="1977">
                  <c:v>43313</c:v>
                </c:pt>
                <c:pt idx="1978">
                  <c:v>43314</c:v>
                </c:pt>
                <c:pt idx="1979">
                  <c:v>43315</c:v>
                </c:pt>
                <c:pt idx="1980">
                  <c:v>43318</c:v>
                </c:pt>
                <c:pt idx="1981">
                  <c:v>43319</c:v>
                </c:pt>
                <c:pt idx="1982">
                  <c:v>43320</c:v>
                </c:pt>
                <c:pt idx="1983">
                  <c:v>43321</c:v>
                </c:pt>
                <c:pt idx="1984">
                  <c:v>43322</c:v>
                </c:pt>
                <c:pt idx="1985">
                  <c:v>43325</c:v>
                </c:pt>
                <c:pt idx="1986">
                  <c:v>43326</c:v>
                </c:pt>
                <c:pt idx="1987">
                  <c:v>43327</c:v>
                </c:pt>
                <c:pt idx="1988">
                  <c:v>43328</c:v>
                </c:pt>
                <c:pt idx="1989">
                  <c:v>43329</c:v>
                </c:pt>
                <c:pt idx="1990">
                  <c:v>43332</c:v>
                </c:pt>
                <c:pt idx="1991">
                  <c:v>43333</c:v>
                </c:pt>
                <c:pt idx="1992">
                  <c:v>43334</c:v>
                </c:pt>
                <c:pt idx="1993">
                  <c:v>43335</c:v>
                </c:pt>
                <c:pt idx="1994">
                  <c:v>43336</c:v>
                </c:pt>
                <c:pt idx="1995">
                  <c:v>43339</c:v>
                </c:pt>
                <c:pt idx="1996">
                  <c:v>43340</c:v>
                </c:pt>
                <c:pt idx="1997">
                  <c:v>43341</c:v>
                </c:pt>
                <c:pt idx="1998">
                  <c:v>43342</c:v>
                </c:pt>
                <c:pt idx="1999">
                  <c:v>43343</c:v>
                </c:pt>
                <c:pt idx="2000">
                  <c:v>43346</c:v>
                </c:pt>
                <c:pt idx="2001">
                  <c:v>43347</c:v>
                </c:pt>
                <c:pt idx="2002">
                  <c:v>43348</c:v>
                </c:pt>
                <c:pt idx="2003">
                  <c:v>43349</c:v>
                </c:pt>
                <c:pt idx="2004">
                  <c:v>43350</c:v>
                </c:pt>
                <c:pt idx="2005">
                  <c:v>43353</c:v>
                </c:pt>
                <c:pt idx="2006">
                  <c:v>43354</c:v>
                </c:pt>
                <c:pt idx="2007">
                  <c:v>43355</c:v>
                </c:pt>
                <c:pt idx="2008">
                  <c:v>43356</c:v>
                </c:pt>
                <c:pt idx="2009">
                  <c:v>43357</c:v>
                </c:pt>
                <c:pt idx="2010">
                  <c:v>43360</c:v>
                </c:pt>
                <c:pt idx="2011">
                  <c:v>43361</c:v>
                </c:pt>
                <c:pt idx="2012">
                  <c:v>43362</c:v>
                </c:pt>
                <c:pt idx="2013">
                  <c:v>43363</c:v>
                </c:pt>
                <c:pt idx="2014">
                  <c:v>43364</c:v>
                </c:pt>
                <c:pt idx="2015">
                  <c:v>43367</c:v>
                </c:pt>
                <c:pt idx="2016">
                  <c:v>43368</c:v>
                </c:pt>
                <c:pt idx="2017">
                  <c:v>43369</c:v>
                </c:pt>
                <c:pt idx="2018">
                  <c:v>43370</c:v>
                </c:pt>
                <c:pt idx="2019">
                  <c:v>43371</c:v>
                </c:pt>
                <c:pt idx="2020">
                  <c:v>43374</c:v>
                </c:pt>
                <c:pt idx="2021">
                  <c:v>43375</c:v>
                </c:pt>
                <c:pt idx="2022">
                  <c:v>43376</c:v>
                </c:pt>
                <c:pt idx="2023">
                  <c:v>43377</c:v>
                </c:pt>
                <c:pt idx="2024">
                  <c:v>43378</c:v>
                </c:pt>
                <c:pt idx="2025">
                  <c:v>43381</c:v>
                </c:pt>
                <c:pt idx="2026">
                  <c:v>43382</c:v>
                </c:pt>
                <c:pt idx="2027">
                  <c:v>43383</c:v>
                </c:pt>
                <c:pt idx="2028">
                  <c:v>43384</c:v>
                </c:pt>
                <c:pt idx="2029">
                  <c:v>43385</c:v>
                </c:pt>
                <c:pt idx="2030">
                  <c:v>43388</c:v>
                </c:pt>
                <c:pt idx="2031">
                  <c:v>43389</c:v>
                </c:pt>
                <c:pt idx="2032">
                  <c:v>43390</c:v>
                </c:pt>
                <c:pt idx="2033">
                  <c:v>43391</c:v>
                </c:pt>
                <c:pt idx="2034">
                  <c:v>43392</c:v>
                </c:pt>
                <c:pt idx="2035">
                  <c:v>43395</c:v>
                </c:pt>
                <c:pt idx="2036">
                  <c:v>43396</c:v>
                </c:pt>
                <c:pt idx="2037">
                  <c:v>43397</c:v>
                </c:pt>
                <c:pt idx="2038">
                  <c:v>43398</c:v>
                </c:pt>
                <c:pt idx="2039">
                  <c:v>43399</c:v>
                </c:pt>
                <c:pt idx="2040">
                  <c:v>43402</c:v>
                </c:pt>
                <c:pt idx="2041">
                  <c:v>43403</c:v>
                </c:pt>
                <c:pt idx="2042">
                  <c:v>43404</c:v>
                </c:pt>
                <c:pt idx="2043">
                  <c:v>43405</c:v>
                </c:pt>
                <c:pt idx="2044">
                  <c:v>43406</c:v>
                </c:pt>
                <c:pt idx="2045">
                  <c:v>43409</c:v>
                </c:pt>
                <c:pt idx="2046">
                  <c:v>43410</c:v>
                </c:pt>
                <c:pt idx="2047">
                  <c:v>43411</c:v>
                </c:pt>
                <c:pt idx="2048">
                  <c:v>43412</c:v>
                </c:pt>
                <c:pt idx="2049">
                  <c:v>43413</c:v>
                </c:pt>
                <c:pt idx="2050">
                  <c:v>43416</c:v>
                </c:pt>
                <c:pt idx="2051">
                  <c:v>43417</c:v>
                </c:pt>
                <c:pt idx="2052">
                  <c:v>43418</c:v>
                </c:pt>
                <c:pt idx="2053">
                  <c:v>43419</c:v>
                </c:pt>
                <c:pt idx="2054">
                  <c:v>43420</c:v>
                </c:pt>
                <c:pt idx="2055">
                  <c:v>43423</c:v>
                </c:pt>
                <c:pt idx="2056">
                  <c:v>43424</c:v>
                </c:pt>
                <c:pt idx="2057">
                  <c:v>43425</c:v>
                </c:pt>
                <c:pt idx="2058">
                  <c:v>43426</c:v>
                </c:pt>
                <c:pt idx="2059">
                  <c:v>43427</c:v>
                </c:pt>
                <c:pt idx="2060">
                  <c:v>43430</c:v>
                </c:pt>
                <c:pt idx="2061">
                  <c:v>43431</c:v>
                </c:pt>
                <c:pt idx="2062">
                  <c:v>43432</c:v>
                </c:pt>
                <c:pt idx="2063">
                  <c:v>43433</c:v>
                </c:pt>
                <c:pt idx="2064">
                  <c:v>43434</c:v>
                </c:pt>
                <c:pt idx="2065">
                  <c:v>43437</c:v>
                </c:pt>
                <c:pt idx="2066">
                  <c:v>43438</c:v>
                </c:pt>
                <c:pt idx="2067">
                  <c:v>43439</c:v>
                </c:pt>
                <c:pt idx="2068">
                  <c:v>43440</c:v>
                </c:pt>
                <c:pt idx="2069">
                  <c:v>43441</c:v>
                </c:pt>
                <c:pt idx="2070">
                  <c:v>43444</c:v>
                </c:pt>
                <c:pt idx="2071">
                  <c:v>43445</c:v>
                </c:pt>
                <c:pt idx="2072">
                  <c:v>43446</c:v>
                </c:pt>
                <c:pt idx="2073">
                  <c:v>43447</c:v>
                </c:pt>
                <c:pt idx="2074">
                  <c:v>43448</c:v>
                </c:pt>
                <c:pt idx="2075">
                  <c:v>43451</c:v>
                </c:pt>
                <c:pt idx="2076">
                  <c:v>43452</c:v>
                </c:pt>
                <c:pt idx="2077">
                  <c:v>43453</c:v>
                </c:pt>
                <c:pt idx="2078">
                  <c:v>43454</c:v>
                </c:pt>
                <c:pt idx="2079">
                  <c:v>43455</c:v>
                </c:pt>
                <c:pt idx="2080">
                  <c:v>43458</c:v>
                </c:pt>
                <c:pt idx="2081">
                  <c:v>43459</c:v>
                </c:pt>
                <c:pt idx="2082">
                  <c:v>43460</c:v>
                </c:pt>
                <c:pt idx="2083">
                  <c:v>43461</c:v>
                </c:pt>
                <c:pt idx="2084">
                  <c:v>43462</c:v>
                </c:pt>
                <c:pt idx="2085">
                  <c:v>43465</c:v>
                </c:pt>
                <c:pt idx="2086">
                  <c:v>43466</c:v>
                </c:pt>
                <c:pt idx="2087">
                  <c:v>43467</c:v>
                </c:pt>
                <c:pt idx="2088">
                  <c:v>43468</c:v>
                </c:pt>
                <c:pt idx="2089">
                  <c:v>43469</c:v>
                </c:pt>
                <c:pt idx="2090">
                  <c:v>43472</c:v>
                </c:pt>
                <c:pt idx="2091">
                  <c:v>43473</c:v>
                </c:pt>
                <c:pt idx="2092">
                  <c:v>43474</c:v>
                </c:pt>
                <c:pt idx="2093">
                  <c:v>43475</c:v>
                </c:pt>
                <c:pt idx="2094">
                  <c:v>43476</c:v>
                </c:pt>
                <c:pt idx="2095">
                  <c:v>43479</c:v>
                </c:pt>
                <c:pt idx="2096">
                  <c:v>43480</c:v>
                </c:pt>
                <c:pt idx="2097">
                  <c:v>43481</c:v>
                </c:pt>
                <c:pt idx="2098">
                  <c:v>43482</c:v>
                </c:pt>
                <c:pt idx="2099">
                  <c:v>43483</c:v>
                </c:pt>
                <c:pt idx="2100">
                  <c:v>43486</c:v>
                </c:pt>
                <c:pt idx="2101">
                  <c:v>43487</c:v>
                </c:pt>
                <c:pt idx="2102">
                  <c:v>43488</c:v>
                </c:pt>
                <c:pt idx="2103">
                  <c:v>43489</c:v>
                </c:pt>
                <c:pt idx="2104">
                  <c:v>43490</c:v>
                </c:pt>
                <c:pt idx="2105">
                  <c:v>43493</c:v>
                </c:pt>
                <c:pt idx="2106">
                  <c:v>43494</c:v>
                </c:pt>
                <c:pt idx="2107">
                  <c:v>43495</c:v>
                </c:pt>
                <c:pt idx="2108">
                  <c:v>43496</c:v>
                </c:pt>
                <c:pt idx="2109">
                  <c:v>43497</c:v>
                </c:pt>
                <c:pt idx="2110">
                  <c:v>43500</c:v>
                </c:pt>
                <c:pt idx="2111">
                  <c:v>43501</c:v>
                </c:pt>
                <c:pt idx="2112">
                  <c:v>43502</c:v>
                </c:pt>
                <c:pt idx="2113">
                  <c:v>43503</c:v>
                </c:pt>
                <c:pt idx="2114">
                  <c:v>43504</c:v>
                </c:pt>
                <c:pt idx="2115">
                  <c:v>43507</c:v>
                </c:pt>
                <c:pt idx="2116">
                  <c:v>43508</c:v>
                </c:pt>
                <c:pt idx="2117">
                  <c:v>43509</c:v>
                </c:pt>
                <c:pt idx="2118">
                  <c:v>43510</c:v>
                </c:pt>
                <c:pt idx="2119">
                  <c:v>43511</c:v>
                </c:pt>
                <c:pt idx="2120">
                  <c:v>43514</c:v>
                </c:pt>
                <c:pt idx="2121">
                  <c:v>43515</c:v>
                </c:pt>
                <c:pt idx="2122">
                  <c:v>43516</c:v>
                </c:pt>
                <c:pt idx="2123">
                  <c:v>43517</c:v>
                </c:pt>
                <c:pt idx="2124">
                  <c:v>43518</c:v>
                </c:pt>
                <c:pt idx="2125">
                  <c:v>43521</c:v>
                </c:pt>
                <c:pt idx="2126">
                  <c:v>43522</c:v>
                </c:pt>
                <c:pt idx="2127">
                  <c:v>43523</c:v>
                </c:pt>
                <c:pt idx="2128">
                  <c:v>43524</c:v>
                </c:pt>
                <c:pt idx="2129">
                  <c:v>43525</c:v>
                </c:pt>
                <c:pt idx="2130">
                  <c:v>43528</c:v>
                </c:pt>
                <c:pt idx="2131">
                  <c:v>43529</c:v>
                </c:pt>
                <c:pt idx="2132">
                  <c:v>43530</c:v>
                </c:pt>
                <c:pt idx="2133">
                  <c:v>43531</c:v>
                </c:pt>
                <c:pt idx="2134">
                  <c:v>43532</c:v>
                </c:pt>
                <c:pt idx="2135">
                  <c:v>43535</c:v>
                </c:pt>
                <c:pt idx="2136">
                  <c:v>43536</c:v>
                </c:pt>
                <c:pt idx="2137">
                  <c:v>43537</c:v>
                </c:pt>
                <c:pt idx="2138">
                  <c:v>43538</c:v>
                </c:pt>
                <c:pt idx="2139">
                  <c:v>43539</c:v>
                </c:pt>
                <c:pt idx="2140">
                  <c:v>43542</c:v>
                </c:pt>
                <c:pt idx="2141">
                  <c:v>43543</c:v>
                </c:pt>
                <c:pt idx="2142">
                  <c:v>43544</c:v>
                </c:pt>
                <c:pt idx="2143">
                  <c:v>43545</c:v>
                </c:pt>
                <c:pt idx="2144">
                  <c:v>43546</c:v>
                </c:pt>
                <c:pt idx="2145">
                  <c:v>43549</c:v>
                </c:pt>
                <c:pt idx="2146">
                  <c:v>43550</c:v>
                </c:pt>
                <c:pt idx="2147">
                  <c:v>43551</c:v>
                </c:pt>
                <c:pt idx="2148">
                  <c:v>43552</c:v>
                </c:pt>
                <c:pt idx="2149">
                  <c:v>43553</c:v>
                </c:pt>
                <c:pt idx="2150">
                  <c:v>43556</c:v>
                </c:pt>
                <c:pt idx="2151">
                  <c:v>43557</c:v>
                </c:pt>
                <c:pt idx="2152">
                  <c:v>43558</c:v>
                </c:pt>
                <c:pt idx="2153">
                  <c:v>43559</c:v>
                </c:pt>
                <c:pt idx="2154">
                  <c:v>43560</c:v>
                </c:pt>
                <c:pt idx="2155">
                  <c:v>43563</c:v>
                </c:pt>
                <c:pt idx="2156">
                  <c:v>43564</c:v>
                </c:pt>
                <c:pt idx="2157">
                  <c:v>43565</c:v>
                </c:pt>
                <c:pt idx="2158">
                  <c:v>43566</c:v>
                </c:pt>
                <c:pt idx="2159">
                  <c:v>43567</c:v>
                </c:pt>
                <c:pt idx="2160">
                  <c:v>43570</c:v>
                </c:pt>
                <c:pt idx="2161">
                  <c:v>43571</c:v>
                </c:pt>
                <c:pt idx="2162">
                  <c:v>43572</c:v>
                </c:pt>
                <c:pt idx="2163">
                  <c:v>43573</c:v>
                </c:pt>
                <c:pt idx="2164">
                  <c:v>43574</c:v>
                </c:pt>
                <c:pt idx="2165">
                  <c:v>43577</c:v>
                </c:pt>
                <c:pt idx="2166">
                  <c:v>43578</c:v>
                </c:pt>
                <c:pt idx="2167">
                  <c:v>43579</c:v>
                </c:pt>
                <c:pt idx="2168">
                  <c:v>43580</c:v>
                </c:pt>
                <c:pt idx="2169">
                  <c:v>43581</c:v>
                </c:pt>
                <c:pt idx="2170">
                  <c:v>43584</c:v>
                </c:pt>
                <c:pt idx="2171">
                  <c:v>43585</c:v>
                </c:pt>
                <c:pt idx="2172">
                  <c:v>43586</c:v>
                </c:pt>
                <c:pt idx="2173">
                  <c:v>43587</c:v>
                </c:pt>
                <c:pt idx="2174">
                  <c:v>43588</c:v>
                </c:pt>
                <c:pt idx="2175">
                  <c:v>43591</c:v>
                </c:pt>
                <c:pt idx="2176">
                  <c:v>43592</c:v>
                </c:pt>
                <c:pt idx="2177">
                  <c:v>43593</c:v>
                </c:pt>
                <c:pt idx="2178">
                  <c:v>43594</c:v>
                </c:pt>
                <c:pt idx="2179">
                  <c:v>43595</c:v>
                </c:pt>
                <c:pt idx="2180">
                  <c:v>43598</c:v>
                </c:pt>
                <c:pt idx="2181">
                  <c:v>43599</c:v>
                </c:pt>
                <c:pt idx="2182">
                  <c:v>43600</c:v>
                </c:pt>
                <c:pt idx="2183">
                  <c:v>43601</c:v>
                </c:pt>
                <c:pt idx="2184">
                  <c:v>43602</c:v>
                </c:pt>
                <c:pt idx="2185">
                  <c:v>43605</c:v>
                </c:pt>
                <c:pt idx="2186">
                  <c:v>43606</c:v>
                </c:pt>
                <c:pt idx="2187">
                  <c:v>43607</c:v>
                </c:pt>
                <c:pt idx="2188">
                  <c:v>43608</c:v>
                </c:pt>
                <c:pt idx="2189">
                  <c:v>43609</c:v>
                </c:pt>
                <c:pt idx="2190">
                  <c:v>43612</c:v>
                </c:pt>
                <c:pt idx="2191">
                  <c:v>43613</c:v>
                </c:pt>
                <c:pt idx="2192">
                  <c:v>43614</c:v>
                </c:pt>
                <c:pt idx="2193">
                  <c:v>43615</c:v>
                </c:pt>
                <c:pt idx="2194">
                  <c:v>43616</c:v>
                </c:pt>
                <c:pt idx="2195">
                  <c:v>43619</c:v>
                </c:pt>
                <c:pt idx="2196">
                  <c:v>43620</c:v>
                </c:pt>
                <c:pt idx="2197">
                  <c:v>43621</c:v>
                </c:pt>
                <c:pt idx="2198">
                  <c:v>43622</c:v>
                </c:pt>
                <c:pt idx="2199">
                  <c:v>43623</c:v>
                </c:pt>
                <c:pt idx="2200">
                  <c:v>43626</c:v>
                </c:pt>
                <c:pt idx="2201">
                  <c:v>43627</c:v>
                </c:pt>
                <c:pt idx="2202">
                  <c:v>43628</c:v>
                </c:pt>
                <c:pt idx="2203">
                  <c:v>43629</c:v>
                </c:pt>
                <c:pt idx="2204">
                  <c:v>43630</c:v>
                </c:pt>
                <c:pt idx="2205">
                  <c:v>43633</c:v>
                </c:pt>
                <c:pt idx="2206">
                  <c:v>43634</c:v>
                </c:pt>
                <c:pt idx="2207">
                  <c:v>43635</c:v>
                </c:pt>
                <c:pt idx="2208">
                  <c:v>43636</c:v>
                </c:pt>
                <c:pt idx="2209">
                  <c:v>43637</c:v>
                </c:pt>
                <c:pt idx="2210">
                  <c:v>43640</c:v>
                </c:pt>
                <c:pt idx="2211">
                  <c:v>43641</c:v>
                </c:pt>
                <c:pt idx="2212">
                  <c:v>43642</c:v>
                </c:pt>
                <c:pt idx="2213">
                  <c:v>43643</c:v>
                </c:pt>
                <c:pt idx="2214">
                  <c:v>43644</c:v>
                </c:pt>
                <c:pt idx="2215">
                  <c:v>43647</c:v>
                </c:pt>
                <c:pt idx="2216">
                  <c:v>43648</c:v>
                </c:pt>
                <c:pt idx="2217">
                  <c:v>43649</c:v>
                </c:pt>
                <c:pt idx="2218">
                  <c:v>43650</c:v>
                </c:pt>
                <c:pt idx="2219">
                  <c:v>43651</c:v>
                </c:pt>
                <c:pt idx="2220">
                  <c:v>43654</c:v>
                </c:pt>
                <c:pt idx="2221">
                  <c:v>43655</c:v>
                </c:pt>
                <c:pt idx="2222">
                  <c:v>43656</c:v>
                </c:pt>
                <c:pt idx="2223">
                  <c:v>43657</c:v>
                </c:pt>
                <c:pt idx="2224">
                  <c:v>43658</c:v>
                </c:pt>
                <c:pt idx="2225">
                  <c:v>43661</c:v>
                </c:pt>
                <c:pt idx="2226">
                  <c:v>43662</c:v>
                </c:pt>
                <c:pt idx="2227">
                  <c:v>43663</c:v>
                </c:pt>
                <c:pt idx="2228">
                  <c:v>43664</c:v>
                </c:pt>
                <c:pt idx="2229">
                  <c:v>43665</c:v>
                </c:pt>
                <c:pt idx="2230">
                  <c:v>43668</c:v>
                </c:pt>
                <c:pt idx="2231">
                  <c:v>43669</c:v>
                </c:pt>
                <c:pt idx="2232">
                  <c:v>43670</c:v>
                </c:pt>
                <c:pt idx="2233">
                  <c:v>43671</c:v>
                </c:pt>
                <c:pt idx="2234">
                  <c:v>43672</c:v>
                </c:pt>
                <c:pt idx="2235">
                  <c:v>43675</c:v>
                </c:pt>
                <c:pt idx="2236">
                  <c:v>43676</c:v>
                </c:pt>
                <c:pt idx="2237">
                  <c:v>43677</c:v>
                </c:pt>
                <c:pt idx="2238">
                  <c:v>43678</c:v>
                </c:pt>
                <c:pt idx="2239">
                  <c:v>43679</c:v>
                </c:pt>
                <c:pt idx="2240">
                  <c:v>43682</c:v>
                </c:pt>
                <c:pt idx="2241">
                  <c:v>43683</c:v>
                </c:pt>
                <c:pt idx="2242">
                  <c:v>43684</c:v>
                </c:pt>
                <c:pt idx="2243">
                  <c:v>43685</c:v>
                </c:pt>
                <c:pt idx="2244">
                  <c:v>43686</c:v>
                </c:pt>
                <c:pt idx="2245">
                  <c:v>43689</c:v>
                </c:pt>
                <c:pt idx="2246">
                  <c:v>43690</c:v>
                </c:pt>
                <c:pt idx="2247">
                  <c:v>43691</c:v>
                </c:pt>
                <c:pt idx="2248">
                  <c:v>43692</c:v>
                </c:pt>
                <c:pt idx="2249">
                  <c:v>43693</c:v>
                </c:pt>
                <c:pt idx="2250">
                  <c:v>43696</c:v>
                </c:pt>
                <c:pt idx="2251">
                  <c:v>43697</c:v>
                </c:pt>
                <c:pt idx="2252">
                  <c:v>43698</c:v>
                </c:pt>
                <c:pt idx="2253">
                  <c:v>43699</c:v>
                </c:pt>
                <c:pt idx="2254">
                  <c:v>43700</c:v>
                </c:pt>
                <c:pt idx="2255">
                  <c:v>43703</c:v>
                </c:pt>
                <c:pt idx="2256">
                  <c:v>43704</c:v>
                </c:pt>
                <c:pt idx="2257">
                  <c:v>43705</c:v>
                </c:pt>
                <c:pt idx="2258">
                  <c:v>43706</c:v>
                </c:pt>
                <c:pt idx="2259">
                  <c:v>43707</c:v>
                </c:pt>
                <c:pt idx="2260">
                  <c:v>43710</c:v>
                </c:pt>
                <c:pt idx="2261">
                  <c:v>43711</c:v>
                </c:pt>
                <c:pt idx="2262">
                  <c:v>43712</c:v>
                </c:pt>
                <c:pt idx="2263">
                  <c:v>43713</c:v>
                </c:pt>
                <c:pt idx="2264">
                  <c:v>43714</c:v>
                </c:pt>
                <c:pt idx="2265">
                  <c:v>43717</c:v>
                </c:pt>
                <c:pt idx="2266">
                  <c:v>43718</c:v>
                </c:pt>
                <c:pt idx="2267">
                  <c:v>43719</c:v>
                </c:pt>
                <c:pt idx="2268">
                  <c:v>43720</c:v>
                </c:pt>
                <c:pt idx="2269">
                  <c:v>43721</c:v>
                </c:pt>
                <c:pt idx="2270">
                  <c:v>43724</c:v>
                </c:pt>
                <c:pt idx="2271">
                  <c:v>43725</c:v>
                </c:pt>
                <c:pt idx="2272">
                  <c:v>43726</c:v>
                </c:pt>
                <c:pt idx="2273">
                  <c:v>43727</c:v>
                </c:pt>
                <c:pt idx="2274">
                  <c:v>43728</c:v>
                </c:pt>
                <c:pt idx="2275">
                  <c:v>43731</c:v>
                </c:pt>
                <c:pt idx="2276">
                  <c:v>43732</c:v>
                </c:pt>
                <c:pt idx="2277">
                  <c:v>43733</c:v>
                </c:pt>
                <c:pt idx="2278">
                  <c:v>43734</c:v>
                </c:pt>
                <c:pt idx="2279">
                  <c:v>43735</c:v>
                </c:pt>
                <c:pt idx="2280">
                  <c:v>43738</c:v>
                </c:pt>
                <c:pt idx="2281">
                  <c:v>43739</c:v>
                </c:pt>
                <c:pt idx="2282">
                  <c:v>43740</c:v>
                </c:pt>
                <c:pt idx="2283">
                  <c:v>43741</c:v>
                </c:pt>
                <c:pt idx="2284">
                  <c:v>43742</c:v>
                </c:pt>
                <c:pt idx="2285">
                  <c:v>43745</c:v>
                </c:pt>
                <c:pt idx="2286">
                  <c:v>43746</c:v>
                </c:pt>
                <c:pt idx="2287">
                  <c:v>43747</c:v>
                </c:pt>
                <c:pt idx="2288">
                  <c:v>43748</c:v>
                </c:pt>
                <c:pt idx="2289">
                  <c:v>43749</c:v>
                </c:pt>
                <c:pt idx="2290">
                  <c:v>43752</c:v>
                </c:pt>
                <c:pt idx="2291">
                  <c:v>43753</c:v>
                </c:pt>
                <c:pt idx="2292">
                  <c:v>43754</c:v>
                </c:pt>
                <c:pt idx="2293">
                  <c:v>43755</c:v>
                </c:pt>
                <c:pt idx="2294">
                  <c:v>43756</c:v>
                </c:pt>
                <c:pt idx="2295">
                  <c:v>43759</c:v>
                </c:pt>
                <c:pt idx="2296">
                  <c:v>43760</c:v>
                </c:pt>
                <c:pt idx="2297">
                  <c:v>43761</c:v>
                </c:pt>
                <c:pt idx="2298">
                  <c:v>43762</c:v>
                </c:pt>
                <c:pt idx="2299">
                  <c:v>43763</c:v>
                </c:pt>
                <c:pt idx="2300">
                  <c:v>43766</c:v>
                </c:pt>
                <c:pt idx="2301">
                  <c:v>43767</c:v>
                </c:pt>
                <c:pt idx="2302">
                  <c:v>43768</c:v>
                </c:pt>
                <c:pt idx="2303">
                  <c:v>43769</c:v>
                </c:pt>
                <c:pt idx="2304">
                  <c:v>43770</c:v>
                </c:pt>
                <c:pt idx="2305">
                  <c:v>43773</c:v>
                </c:pt>
                <c:pt idx="2306">
                  <c:v>43774</c:v>
                </c:pt>
                <c:pt idx="2307">
                  <c:v>43775</c:v>
                </c:pt>
                <c:pt idx="2308">
                  <c:v>43776</c:v>
                </c:pt>
                <c:pt idx="2309">
                  <c:v>43777</c:v>
                </c:pt>
                <c:pt idx="2310">
                  <c:v>43780</c:v>
                </c:pt>
                <c:pt idx="2311">
                  <c:v>43781</c:v>
                </c:pt>
                <c:pt idx="2312">
                  <c:v>43782</c:v>
                </c:pt>
                <c:pt idx="2313">
                  <c:v>43783</c:v>
                </c:pt>
                <c:pt idx="2314">
                  <c:v>43784</c:v>
                </c:pt>
                <c:pt idx="2315">
                  <c:v>43787</c:v>
                </c:pt>
                <c:pt idx="2316">
                  <c:v>43788</c:v>
                </c:pt>
                <c:pt idx="2317">
                  <c:v>43789</c:v>
                </c:pt>
                <c:pt idx="2318">
                  <c:v>43790</c:v>
                </c:pt>
                <c:pt idx="2319">
                  <c:v>43791</c:v>
                </c:pt>
                <c:pt idx="2320">
                  <c:v>43794</c:v>
                </c:pt>
                <c:pt idx="2321">
                  <c:v>43795</c:v>
                </c:pt>
                <c:pt idx="2322">
                  <c:v>43796</c:v>
                </c:pt>
                <c:pt idx="2323">
                  <c:v>43797</c:v>
                </c:pt>
                <c:pt idx="2324">
                  <c:v>43798</c:v>
                </c:pt>
                <c:pt idx="2325">
                  <c:v>43801</c:v>
                </c:pt>
                <c:pt idx="2326">
                  <c:v>43802</c:v>
                </c:pt>
                <c:pt idx="2327">
                  <c:v>43803</c:v>
                </c:pt>
                <c:pt idx="2328">
                  <c:v>43804</c:v>
                </c:pt>
                <c:pt idx="2329">
                  <c:v>43805</c:v>
                </c:pt>
                <c:pt idx="2330">
                  <c:v>43808</c:v>
                </c:pt>
                <c:pt idx="2331">
                  <c:v>43809</c:v>
                </c:pt>
                <c:pt idx="2332">
                  <c:v>43810</c:v>
                </c:pt>
                <c:pt idx="2333">
                  <c:v>43811</c:v>
                </c:pt>
                <c:pt idx="2334">
                  <c:v>43812</c:v>
                </c:pt>
                <c:pt idx="2335">
                  <c:v>43815</c:v>
                </c:pt>
                <c:pt idx="2336">
                  <c:v>43816</c:v>
                </c:pt>
                <c:pt idx="2337">
                  <c:v>43817</c:v>
                </c:pt>
                <c:pt idx="2338">
                  <c:v>43818</c:v>
                </c:pt>
                <c:pt idx="2339">
                  <c:v>43819</c:v>
                </c:pt>
                <c:pt idx="2340">
                  <c:v>43822</c:v>
                </c:pt>
                <c:pt idx="2341">
                  <c:v>43823</c:v>
                </c:pt>
                <c:pt idx="2342">
                  <c:v>43824</c:v>
                </c:pt>
                <c:pt idx="2343">
                  <c:v>43825</c:v>
                </c:pt>
                <c:pt idx="2344">
                  <c:v>43826</c:v>
                </c:pt>
                <c:pt idx="2345">
                  <c:v>43829</c:v>
                </c:pt>
                <c:pt idx="2346">
                  <c:v>43830</c:v>
                </c:pt>
                <c:pt idx="2347">
                  <c:v>43831</c:v>
                </c:pt>
                <c:pt idx="2348">
                  <c:v>43832</c:v>
                </c:pt>
                <c:pt idx="2349">
                  <c:v>43833</c:v>
                </c:pt>
                <c:pt idx="2350">
                  <c:v>43836</c:v>
                </c:pt>
                <c:pt idx="2351">
                  <c:v>43837</c:v>
                </c:pt>
                <c:pt idx="2352">
                  <c:v>43838</c:v>
                </c:pt>
                <c:pt idx="2353">
                  <c:v>43839</c:v>
                </c:pt>
                <c:pt idx="2354">
                  <c:v>43840</c:v>
                </c:pt>
                <c:pt idx="2355">
                  <c:v>43843</c:v>
                </c:pt>
                <c:pt idx="2356">
                  <c:v>43844</c:v>
                </c:pt>
                <c:pt idx="2357">
                  <c:v>43845</c:v>
                </c:pt>
                <c:pt idx="2358">
                  <c:v>43846</c:v>
                </c:pt>
                <c:pt idx="2359">
                  <c:v>43847</c:v>
                </c:pt>
                <c:pt idx="2360">
                  <c:v>43850</c:v>
                </c:pt>
                <c:pt idx="2361">
                  <c:v>43851</c:v>
                </c:pt>
                <c:pt idx="2362">
                  <c:v>43852</c:v>
                </c:pt>
                <c:pt idx="2363">
                  <c:v>43853</c:v>
                </c:pt>
                <c:pt idx="2364">
                  <c:v>43854</c:v>
                </c:pt>
                <c:pt idx="2365">
                  <c:v>43857</c:v>
                </c:pt>
                <c:pt idx="2366">
                  <c:v>43858</c:v>
                </c:pt>
                <c:pt idx="2367">
                  <c:v>43859</c:v>
                </c:pt>
                <c:pt idx="2368">
                  <c:v>43860</c:v>
                </c:pt>
                <c:pt idx="2369">
                  <c:v>43861</c:v>
                </c:pt>
                <c:pt idx="2370">
                  <c:v>43864</c:v>
                </c:pt>
                <c:pt idx="2371">
                  <c:v>43865</c:v>
                </c:pt>
                <c:pt idx="2372">
                  <c:v>43866</c:v>
                </c:pt>
                <c:pt idx="2373">
                  <c:v>43867</c:v>
                </c:pt>
                <c:pt idx="2374">
                  <c:v>43868</c:v>
                </c:pt>
                <c:pt idx="2375">
                  <c:v>43871</c:v>
                </c:pt>
                <c:pt idx="2376">
                  <c:v>43872</c:v>
                </c:pt>
                <c:pt idx="2377">
                  <c:v>43873</c:v>
                </c:pt>
                <c:pt idx="2378">
                  <c:v>43874</c:v>
                </c:pt>
                <c:pt idx="2379">
                  <c:v>43875</c:v>
                </c:pt>
                <c:pt idx="2380">
                  <c:v>43878</c:v>
                </c:pt>
                <c:pt idx="2381">
                  <c:v>43879</c:v>
                </c:pt>
                <c:pt idx="2382">
                  <c:v>43880</c:v>
                </c:pt>
                <c:pt idx="2383">
                  <c:v>43881</c:v>
                </c:pt>
                <c:pt idx="2384">
                  <c:v>43882</c:v>
                </c:pt>
                <c:pt idx="2385">
                  <c:v>43885</c:v>
                </c:pt>
                <c:pt idx="2386">
                  <c:v>43886</c:v>
                </c:pt>
                <c:pt idx="2387">
                  <c:v>43887</c:v>
                </c:pt>
                <c:pt idx="2388">
                  <c:v>43888</c:v>
                </c:pt>
                <c:pt idx="2389">
                  <c:v>43889</c:v>
                </c:pt>
                <c:pt idx="2390">
                  <c:v>43892</c:v>
                </c:pt>
                <c:pt idx="2391">
                  <c:v>43893</c:v>
                </c:pt>
                <c:pt idx="2392">
                  <c:v>43894</c:v>
                </c:pt>
                <c:pt idx="2393">
                  <c:v>43895</c:v>
                </c:pt>
                <c:pt idx="2394">
                  <c:v>43896</c:v>
                </c:pt>
                <c:pt idx="2395">
                  <c:v>43899</c:v>
                </c:pt>
                <c:pt idx="2396">
                  <c:v>43900</c:v>
                </c:pt>
                <c:pt idx="2397">
                  <c:v>43901</c:v>
                </c:pt>
                <c:pt idx="2398">
                  <c:v>43902</c:v>
                </c:pt>
                <c:pt idx="2399">
                  <c:v>43903</c:v>
                </c:pt>
                <c:pt idx="2400">
                  <c:v>43906</c:v>
                </c:pt>
                <c:pt idx="2401">
                  <c:v>43907</c:v>
                </c:pt>
                <c:pt idx="2402">
                  <c:v>43908</c:v>
                </c:pt>
                <c:pt idx="2403">
                  <c:v>43909</c:v>
                </c:pt>
                <c:pt idx="2404">
                  <c:v>43910</c:v>
                </c:pt>
                <c:pt idx="2405">
                  <c:v>43913</c:v>
                </c:pt>
                <c:pt idx="2406">
                  <c:v>43914</c:v>
                </c:pt>
                <c:pt idx="2407">
                  <c:v>43915</c:v>
                </c:pt>
                <c:pt idx="2408">
                  <c:v>43916</c:v>
                </c:pt>
                <c:pt idx="2409">
                  <c:v>43917</c:v>
                </c:pt>
                <c:pt idx="2410">
                  <c:v>43920</c:v>
                </c:pt>
                <c:pt idx="2411">
                  <c:v>43921</c:v>
                </c:pt>
                <c:pt idx="2412">
                  <c:v>43922</c:v>
                </c:pt>
                <c:pt idx="2413">
                  <c:v>43923</c:v>
                </c:pt>
                <c:pt idx="2414">
                  <c:v>43924</c:v>
                </c:pt>
                <c:pt idx="2415">
                  <c:v>43927</c:v>
                </c:pt>
                <c:pt idx="2416">
                  <c:v>43928</c:v>
                </c:pt>
                <c:pt idx="2417">
                  <c:v>43929</c:v>
                </c:pt>
                <c:pt idx="2418">
                  <c:v>43930</c:v>
                </c:pt>
                <c:pt idx="2419">
                  <c:v>43931</c:v>
                </c:pt>
                <c:pt idx="2420">
                  <c:v>43934</c:v>
                </c:pt>
                <c:pt idx="2421">
                  <c:v>43935</c:v>
                </c:pt>
                <c:pt idx="2422">
                  <c:v>43936</c:v>
                </c:pt>
                <c:pt idx="2423">
                  <c:v>43937</c:v>
                </c:pt>
                <c:pt idx="2424">
                  <c:v>43938</c:v>
                </c:pt>
                <c:pt idx="2425">
                  <c:v>43941</c:v>
                </c:pt>
                <c:pt idx="2426">
                  <c:v>43942</c:v>
                </c:pt>
                <c:pt idx="2427">
                  <c:v>43943</c:v>
                </c:pt>
                <c:pt idx="2428">
                  <c:v>43944</c:v>
                </c:pt>
                <c:pt idx="2429">
                  <c:v>43945</c:v>
                </c:pt>
                <c:pt idx="2430">
                  <c:v>43948</c:v>
                </c:pt>
                <c:pt idx="2431">
                  <c:v>43949</c:v>
                </c:pt>
                <c:pt idx="2432">
                  <c:v>43950</c:v>
                </c:pt>
                <c:pt idx="2433">
                  <c:v>43951</c:v>
                </c:pt>
                <c:pt idx="2434">
                  <c:v>43952</c:v>
                </c:pt>
                <c:pt idx="2435">
                  <c:v>43955</c:v>
                </c:pt>
                <c:pt idx="2436">
                  <c:v>43956</c:v>
                </c:pt>
                <c:pt idx="2437">
                  <c:v>43957</c:v>
                </c:pt>
                <c:pt idx="2438">
                  <c:v>43958</c:v>
                </c:pt>
                <c:pt idx="2439">
                  <c:v>43959</c:v>
                </c:pt>
                <c:pt idx="2440">
                  <c:v>43962</c:v>
                </c:pt>
                <c:pt idx="2441">
                  <c:v>43963</c:v>
                </c:pt>
                <c:pt idx="2442">
                  <c:v>43964</c:v>
                </c:pt>
                <c:pt idx="2443">
                  <c:v>43965</c:v>
                </c:pt>
                <c:pt idx="2444">
                  <c:v>43966</c:v>
                </c:pt>
                <c:pt idx="2445">
                  <c:v>43969</c:v>
                </c:pt>
                <c:pt idx="2446">
                  <c:v>43970</c:v>
                </c:pt>
                <c:pt idx="2447">
                  <c:v>43971</c:v>
                </c:pt>
                <c:pt idx="2448">
                  <c:v>43972</c:v>
                </c:pt>
                <c:pt idx="2449">
                  <c:v>43973</c:v>
                </c:pt>
                <c:pt idx="2450">
                  <c:v>43976</c:v>
                </c:pt>
                <c:pt idx="2451">
                  <c:v>43977</c:v>
                </c:pt>
                <c:pt idx="2452">
                  <c:v>43978</c:v>
                </c:pt>
                <c:pt idx="2453">
                  <c:v>43979</c:v>
                </c:pt>
                <c:pt idx="2454">
                  <c:v>43980</c:v>
                </c:pt>
                <c:pt idx="2455">
                  <c:v>43983</c:v>
                </c:pt>
                <c:pt idx="2456">
                  <c:v>43984</c:v>
                </c:pt>
                <c:pt idx="2457">
                  <c:v>43985</c:v>
                </c:pt>
                <c:pt idx="2458">
                  <c:v>43986</c:v>
                </c:pt>
                <c:pt idx="2459">
                  <c:v>43987</c:v>
                </c:pt>
                <c:pt idx="2460">
                  <c:v>43990</c:v>
                </c:pt>
                <c:pt idx="2461">
                  <c:v>43991</c:v>
                </c:pt>
                <c:pt idx="2462">
                  <c:v>43992</c:v>
                </c:pt>
                <c:pt idx="2463">
                  <c:v>43993</c:v>
                </c:pt>
                <c:pt idx="2464">
                  <c:v>43994</c:v>
                </c:pt>
                <c:pt idx="2465">
                  <c:v>43997</c:v>
                </c:pt>
                <c:pt idx="2466">
                  <c:v>43998</c:v>
                </c:pt>
                <c:pt idx="2467">
                  <c:v>43999</c:v>
                </c:pt>
                <c:pt idx="2468">
                  <c:v>44000</c:v>
                </c:pt>
                <c:pt idx="2469">
                  <c:v>44001</c:v>
                </c:pt>
                <c:pt idx="2470">
                  <c:v>44004</c:v>
                </c:pt>
                <c:pt idx="2471">
                  <c:v>44005</c:v>
                </c:pt>
                <c:pt idx="2472">
                  <c:v>44006</c:v>
                </c:pt>
                <c:pt idx="2473">
                  <c:v>44007</c:v>
                </c:pt>
                <c:pt idx="2474">
                  <c:v>44008</c:v>
                </c:pt>
                <c:pt idx="2475">
                  <c:v>44011</c:v>
                </c:pt>
                <c:pt idx="2476">
                  <c:v>44012</c:v>
                </c:pt>
                <c:pt idx="2477">
                  <c:v>44013</c:v>
                </c:pt>
                <c:pt idx="2478">
                  <c:v>44014</c:v>
                </c:pt>
                <c:pt idx="2479">
                  <c:v>44015</c:v>
                </c:pt>
                <c:pt idx="2480">
                  <c:v>44018</c:v>
                </c:pt>
                <c:pt idx="2481">
                  <c:v>44019</c:v>
                </c:pt>
                <c:pt idx="2482">
                  <c:v>44020</c:v>
                </c:pt>
                <c:pt idx="2483">
                  <c:v>44021</c:v>
                </c:pt>
                <c:pt idx="2484">
                  <c:v>44022</c:v>
                </c:pt>
                <c:pt idx="2485">
                  <c:v>44025</c:v>
                </c:pt>
                <c:pt idx="2486">
                  <c:v>44026</c:v>
                </c:pt>
                <c:pt idx="2487">
                  <c:v>44027</c:v>
                </c:pt>
                <c:pt idx="2488">
                  <c:v>44028</c:v>
                </c:pt>
                <c:pt idx="2489">
                  <c:v>44029</c:v>
                </c:pt>
                <c:pt idx="2490">
                  <c:v>44032</c:v>
                </c:pt>
                <c:pt idx="2491">
                  <c:v>44033</c:v>
                </c:pt>
                <c:pt idx="2492">
                  <c:v>44034</c:v>
                </c:pt>
                <c:pt idx="2493">
                  <c:v>44035</c:v>
                </c:pt>
                <c:pt idx="2494">
                  <c:v>44036</c:v>
                </c:pt>
                <c:pt idx="2495">
                  <c:v>44039</c:v>
                </c:pt>
                <c:pt idx="2496">
                  <c:v>44040</c:v>
                </c:pt>
                <c:pt idx="2497">
                  <c:v>44041</c:v>
                </c:pt>
                <c:pt idx="2498">
                  <c:v>44042</c:v>
                </c:pt>
                <c:pt idx="2499">
                  <c:v>44043</c:v>
                </c:pt>
                <c:pt idx="2500">
                  <c:v>44046</c:v>
                </c:pt>
                <c:pt idx="2501">
                  <c:v>44047</c:v>
                </c:pt>
                <c:pt idx="2502">
                  <c:v>44048</c:v>
                </c:pt>
                <c:pt idx="2503">
                  <c:v>44049</c:v>
                </c:pt>
                <c:pt idx="2504">
                  <c:v>44050</c:v>
                </c:pt>
                <c:pt idx="2505">
                  <c:v>44053</c:v>
                </c:pt>
                <c:pt idx="2506">
                  <c:v>44054</c:v>
                </c:pt>
                <c:pt idx="2507">
                  <c:v>44055</c:v>
                </c:pt>
                <c:pt idx="2508">
                  <c:v>44056</c:v>
                </c:pt>
                <c:pt idx="2509">
                  <c:v>44057</c:v>
                </c:pt>
                <c:pt idx="2510">
                  <c:v>44060</c:v>
                </c:pt>
                <c:pt idx="2511">
                  <c:v>44061</c:v>
                </c:pt>
                <c:pt idx="2512">
                  <c:v>44062</c:v>
                </c:pt>
                <c:pt idx="2513">
                  <c:v>44063</c:v>
                </c:pt>
                <c:pt idx="2514">
                  <c:v>44064</c:v>
                </c:pt>
                <c:pt idx="2515">
                  <c:v>44067</c:v>
                </c:pt>
                <c:pt idx="2516">
                  <c:v>44068</c:v>
                </c:pt>
                <c:pt idx="2517">
                  <c:v>44069</c:v>
                </c:pt>
                <c:pt idx="2518">
                  <c:v>44070</c:v>
                </c:pt>
                <c:pt idx="2519">
                  <c:v>44071</c:v>
                </c:pt>
                <c:pt idx="2520">
                  <c:v>44074</c:v>
                </c:pt>
                <c:pt idx="2521">
                  <c:v>44075</c:v>
                </c:pt>
                <c:pt idx="2522">
                  <c:v>44076</c:v>
                </c:pt>
                <c:pt idx="2523">
                  <c:v>44077</c:v>
                </c:pt>
                <c:pt idx="2524">
                  <c:v>44078</c:v>
                </c:pt>
                <c:pt idx="2525">
                  <c:v>44081</c:v>
                </c:pt>
                <c:pt idx="2526">
                  <c:v>44082</c:v>
                </c:pt>
                <c:pt idx="2527">
                  <c:v>44083</c:v>
                </c:pt>
                <c:pt idx="2528">
                  <c:v>44084</c:v>
                </c:pt>
                <c:pt idx="2529">
                  <c:v>44085</c:v>
                </c:pt>
              </c:numCache>
            </c:numRef>
          </c:cat>
          <c:val>
            <c:numRef>
              <c:f>CISS!$D$3137:$D$5666</c:f>
              <c:numCache>
                <c:formatCode>General</c:formatCode>
                <c:ptCount val="2530"/>
                <c:pt idx="0">
                  <c:v>0.18744</c:v>
                </c:pt>
                <c:pt idx="1">
                  <c:v>0.19338</c:v>
                </c:pt>
                <c:pt idx="2">
                  <c:v>0.19932</c:v>
                </c:pt>
                <c:pt idx="3">
                  <c:v>0.20526</c:v>
                </c:pt>
                <c:pt idx="4">
                  <c:v>0.2112</c:v>
                </c:pt>
                <c:pt idx="5">
                  <c:v>0.2127</c:v>
                </c:pt>
                <c:pt idx="6">
                  <c:v>0.2142</c:v>
                </c:pt>
                <c:pt idx="7">
                  <c:v>0.2157</c:v>
                </c:pt>
                <c:pt idx="8">
                  <c:v>0.2172</c:v>
                </c:pt>
                <c:pt idx="9">
                  <c:v>0.21870000000000001</c:v>
                </c:pt>
                <c:pt idx="10">
                  <c:v>0.21696000000000001</c:v>
                </c:pt>
                <c:pt idx="11">
                  <c:v>0.21522000000000002</c:v>
                </c:pt>
                <c:pt idx="12">
                  <c:v>0.21348</c:v>
                </c:pt>
                <c:pt idx="13">
                  <c:v>0.21174000000000001</c:v>
                </c:pt>
                <c:pt idx="14">
                  <c:v>0.21</c:v>
                </c:pt>
                <c:pt idx="15">
                  <c:v>0.20368000000000003</c:v>
                </c:pt>
                <c:pt idx="16">
                  <c:v>0.19736000000000001</c:v>
                </c:pt>
                <c:pt idx="17">
                  <c:v>0.19103999999999999</c:v>
                </c:pt>
                <c:pt idx="18">
                  <c:v>0.18472000000000002</c:v>
                </c:pt>
                <c:pt idx="19">
                  <c:v>0.1784</c:v>
                </c:pt>
                <c:pt idx="20">
                  <c:v>0.17500000000000002</c:v>
                </c:pt>
                <c:pt idx="21">
                  <c:v>0.17159999999999997</c:v>
                </c:pt>
                <c:pt idx="22">
                  <c:v>0.16820000000000002</c:v>
                </c:pt>
                <c:pt idx="23">
                  <c:v>0.1648</c:v>
                </c:pt>
                <c:pt idx="24">
                  <c:v>0.16139999999999999</c:v>
                </c:pt>
                <c:pt idx="25">
                  <c:v>0.15605999999999998</c:v>
                </c:pt>
                <c:pt idx="26">
                  <c:v>0.15071999999999999</c:v>
                </c:pt>
                <c:pt idx="27">
                  <c:v>0.14537999999999998</c:v>
                </c:pt>
                <c:pt idx="28">
                  <c:v>0.14004</c:v>
                </c:pt>
                <c:pt idx="29">
                  <c:v>0.13469999999999999</c:v>
                </c:pt>
                <c:pt idx="30">
                  <c:v>0.14107999999999998</c:v>
                </c:pt>
                <c:pt idx="31">
                  <c:v>0.14745999999999998</c:v>
                </c:pt>
                <c:pt idx="32">
                  <c:v>0.15383999999999998</c:v>
                </c:pt>
                <c:pt idx="33">
                  <c:v>0.16022</c:v>
                </c:pt>
                <c:pt idx="34">
                  <c:v>0.1666</c:v>
                </c:pt>
                <c:pt idx="35">
                  <c:v>0.16094000000000003</c:v>
                </c:pt>
                <c:pt idx="36">
                  <c:v>0.15528</c:v>
                </c:pt>
                <c:pt idx="37">
                  <c:v>0.14962</c:v>
                </c:pt>
                <c:pt idx="38">
                  <c:v>0.14396000000000003</c:v>
                </c:pt>
                <c:pt idx="39">
                  <c:v>0.13830000000000001</c:v>
                </c:pt>
                <c:pt idx="40">
                  <c:v>0.14470000000000002</c:v>
                </c:pt>
                <c:pt idx="41">
                  <c:v>0.15110000000000001</c:v>
                </c:pt>
                <c:pt idx="42">
                  <c:v>0.15750000000000003</c:v>
                </c:pt>
                <c:pt idx="43">
                  <c:v>0.16389999999999999</c:v>
                </c:pt>
                <c:pt idx="44">
                  <c:v>0.17030000000000001</c:v>
                </c:pt>
                <c:pt idx="45">
                  <c:v>0.16242000000000001</c:v>
                </c:pt>
                <c:pt idx="46">
                  <c:v>0.15454000000000001</c:v>
                </c:pt>
                <c:pt idx="47">
                  <c:v>0.14665999999999998</c:v>
                </c:pt>
                <c:pt idx="48">
                  <c:v>0.13877999999999999</c:v>
                </c:pt>
                <c:pt idx="49">
                  <c:v>0.13089999999999999</c:v>
                </c:pt>
                <c:pt idx="50">
                  <c:v>0.14522000000000002</c:v>
                </c:pt>
                <c:pt idx="51">
                  <c:v>0.15954000000000002</c:v>
                </c:pt>
                <c:pt idx="52">
                  <c:v>0.17385999999999999</c:v>
                </c:pt>
                <c:pt idx="53">
                  <c:v>0.18818000000000004</c:v>
                </c:pt>
                <c:pt idx="54">
                  <c:v>0.20250000000000001</c:v>
                </c:pt>
                <c:pt idx="55">
                  <c:v>0.20372000000000004</c:v>
                </c:pt>
                <c:pt idx="56">
                  <c:v>0.20494000000000001</c:v>
                </c:pt>
                <c:pt idx="57">
                  <c:v>0.20616000000000001</c:v>
                </c:pt>
                <c:pt idx="58">
                  <c:v>0.20738000000000004</c:v>
                </c:pt>
                <c:pt idx="59">
                  <c:v>0.20860000000000001</c:v>
                </c:pt>
                <c:pt idx="60">
                  <c:v>0.20174000000000003</c:v>
                </c:pt>
                <c:pt idx="61">
                  <c:v>0.19488</c:v>
                </c:pt>
                <c:pt idx="62">
                  <c:v>0.18802000000000002</c:v>
                </c:pt>
                <c:pt idx="63">
                  <c:v>0.18116000000000002</c:v>
                </c:pt>
                <c:pt idx="64">
                  <c:v>0.17430000000000001</c:v>
                </c:pt>
                <c:pt idx="65">
                  <c:v>0.17760000000000001</c:v>
                </c:pt>
                <c:pt idx="66">
                  <c:v>0.18090000000000001</c:v>
                </c:pt>
                <c:pt idx="67">
                  <c:v>0.1842</c:v>
                </c:pt>
                <c:pt idx="68">
                  <c:v>0.1875</c:v>
                </c:pt>
                <c:pt idx="69">
                  <c:v>0.1908</c:v>
                </c:pt>
                <c:pt idx="70">
                  <c:v>0.18324000000000001</c:v>
                </c:pt>
                <c:pt idx="71">
                  <c:v>0.17568</c:v>
                </c:pt>
                <c:pt idx="72">
                  <c:v>0.16811999999999999</c:v>
                </c:pt>
                <c:pt idx="73">
                  <c:v>0.16056000000000001</c:v>
                </c:pt>
                <c:pt idx="74">
                  <c:v>0.153</c:v>
                </c:pt>
                <c:pt idx="75">
                  <c:v>0.16572000000000001</c:v>
                </c:pt>
                <c:pt idx="76">
                  <c:v>0.17843999999999999</c:v>
                </c:pt>
                <c:pt idx="77">
                  <c:v>0.19116</c:v>
                </c:pt>
                <c:pt idx="78">
                  <c:v>0.20388000000000001</c:v>
                </c:pt>
                <c:pt idx="79">
                  <c:v>0.21659999999999999</c:v>
                </c:pt>
                <c:pt idx="80">
                  <c:v>0.20232</c:v>
                </c:pt>
                <c:pt idx="81">
                  <c:v>0.18803999999999998</c:v>
                </c:pt>
                <c:pt idx="82">
                  <c:v>0.17375999999999997</c:v>
                </c:pt>
                <c:pt idx="83">
                  <c:v>0.15948000000000001</c:v>
                </c:pt>
                <c:pt idx="84">
                  <c:v>0.1452</c:v>
                </c:pt>
                <c:pt idx="85">
                  <c:v>0.15712000000000001</c:v>
                </c:pt>
                <c:pt idx="86">
                  <c:v>0.16904</c:v>
                </c:pt>
                <c:pt idx="87">
                  <c:v>0.18096000000000001</c:v>
                </c:pt>
                <c:pt idx="88">
                  <c:v>0.19288000000000002</c:v>
                </c:pt>
                <c:pt idx="89">
                  <c:v>0.20480000000000001</c:v>
                </c:pt>
                <c:pt idx="90">
                  <c:v>0.19984000000000002</c:v>
                </c:pt>
                <c:pt idx="91">
                  <c:v>0.19488</c:v>
                </c:pt>
                <c:pt idx="92">
                  <c:v>0.18992000000000001</c:v>
                </c:pt>
                <c:pt idx="93">
                  <c:v>0.18495999999999999</c:v>
                </c:pt>
                <c:pt idx="94">
                  <c:v>0.18</c:v>
                </c:pt>
                <c:pt idx="95">
                  <c:v>0.17226</c:v>
                </c:pt>
                <c:pt idx="96">
                  <c:v>0.16452</c:v>
                </c:pt>
                <c:pt idx="97">
                  <c:v>0.15678</c:v>
                </c:pt>
                <c:pt idx="98">
                  <c:v>0.14904000000000001</c:v>
                </c:pt>
                <c:pt idx="99">
                  <c:v>0.14130000000000001</c:v>
                </c:pt>
                <c:pt idx="100">
                  <c:v>0.14320000000000002</c:v>
                </c:pt>
                <c:pt idx="101">
                  <c:v>0.14510000000000001</c:v>
                </c:pt>
                <c:pt idx="102">
                  <c:v>0.14699999999999999</c:v>
                </c:pt>
                <c:pt idx="103">
                  <c:v>0.1489</c:v>
                </c:pt>
                <c:pt idx="104">
                  <c:v>0.15079999999999999</c:v>
                </c:pt>
                <c:pt idx="105">
                  <c:v>0.15679999999999999</c:v>
                </c:pt>
                <c:pt idx="106">
                  <c:v>0.1628</c:v>
                </c:pt>
                <c:pt idx="107">
                  <c:v>0.16880000000000001</c:v>
                </c:pt>
                <c:pt idx="108">
                  <c:v>0.17479999999999998</c:v>
                </c:pt>
                <c:pt idx="109">
                  <c:v>0.18079999999999999</c:v>
                </c:pt>
                <c:pt idx="110">
                  <c:v>0.17913999999999999</c:v>
                </c:pt>
                <c:pt idx="111">
                  <c:v>0.17747999999999997</c:v>
                </c:pt>
                <c:pt idx="112">
                  <c:v>0.17581999999999998</c:v>
                </c:pt>
                <c:pt idx="113">
                  <c:v>0.17415999999999998</c:v>
                </c:pt>
                <c:pt idx="114">
                  <c:v>0.17249999999999999</c:v>
                </c:pt>
                <c:pt idx="115">
                  <c:v>0.17807999999999999</c:v>
                </c:pt>
                <c:pt idx="116">
                  <c:v>0.18365999999999999</c:v>
                </c:pt>
                <c:pt idx="117">
                  <c:v>0.18923999999999996</c:v>
                </c:pt>
                <c:pt idx="118">
                  <c:v>0.19482000000000002</c:v>
                </c:pt>
                <c:pt idx="119">
                  <c:v>0.20039999999999999</c:v>
                </c:pt>
                <c:pt idx="120">
                  <c:v>0.19734000000000002</c:v>
                </c:pt>
                <c:pt idx="121">
                  <c:v>0.19427999999999998</c:v>
                </c:pt>
                <c:pt idx="122">
                  <c:v>0.19122</c:v>
                </c:pt>
                <c:pt idx="123">
                  <c:v>0.18815999999999999</c:v>
                </c:pt>
                <c:pt idx="124">
                  <c:v>0.18509999999999999</c:v>
                </c:pt>
                <c:pt idx="125">
                  <c:v>0.19574</c:v>
                </c:pt>
                <c:pt idx="126">
                  <c:v>0.20638000000000001</c:v>
                </c:pt>
                <c:pt idx="127">
                  <c:v>0.21701999999999999</c:v>
                </c:pt>
                <c:pt idx="128">
                  <c:v>0.22766000000000003</c:v>
                </c:pt>
                <c:pt idx="129">
                  <c:v>0.23830000000000001</c:v>
                </c:pt>
                <c:pt idx="130">
                  <c:v>0.24580000000000002</c:v>
                </c:pt>
                <c:pt idx="131">
                  <c:v>0.25329999999999997</c:v>
                </c:pt>
                <c:pt idx="132">
                  <c:v>0.26080000000000003</c:v>
                </c:pt>
                <c:pt idx="133">
                  <c:v>0.26829999999999998</c:v>
                </c:pt>
                <c:pt idx="134">
                  <c:v>0.27579999999999999</c:v>
                </c:pt>
                <c:pt idx="135">
                  <c:v>0.28816000000000003</c:v>
                </c:pt>
                <c:pt idx="136">
                  <c:v>0.30052000000000001</c:v>
                </c:pt>
                <c:pt idx="137">
                  <c:v>0.31287999999999999</c:v>
                </c:pt>
                <c:pt idx="138">
                  <c:v>0.32524000000000003</c:v>
                </c:pt>
                <c:pt idx="139">
                  <c:v>0.33760000000000001</c:v>
                </c:pt>
                <c:pt idx="140">
                  <c:v>0.33250000000000002</c:v>
                </c:pt>
                <c:pt idx="141">
                  <c:v>0.32740000000000002</c:v>
                </c:pt>
                <c:pt idx="142">
                  <c:v>0.32230000000000003</c:v>
                </c:pt>
                <c:pt idx="143">
                  <c:v>0.31720000000000004</c:v>
                </c:pt>
                <c:pt idx="144">
                  <c:v>0.31209999999999999</c:v>
                </c:pt>
                <c:pt idx="145">
                  <c:v>0.31090000000000001</c:v>
                </c:pt>
                <c:pt idx="146">
                  <c:v>0.30969999999999998</c:v>
                </c:pt>
                <c:pt idx="147">
                  <c:v>0.3085</c:v>
                </c:pt>
                <c:pt idx="148">
                  <c:v>0.30730000000000002</c:v>
                </c:pt>
                <c:pt idx="149">
                  <c:v>0.30609999999999998</c:v>
                </c:pt>
                <c:pt idx="150">
                  <c:v>0.32904</c:v>
                </c:pt>
                <c:pt idx="151">
                  <c:v>0.35198000000000002</c:v>
                </c:pt>
                <c:pt idx="152">
                  <c:v>0.37491999999999998</c:v>
                </c:pt>
                <c:pt idx="153">
                  <c:v>0.39786000000000005</c:v>
                </c:pt>
                <c:pt idx="154">
                  <c:v>0.42080000000000001</c:v>
                </c:pt>
                <c:pt idx="155">
                  <c:v>0.43932000000000004</c:v>
                </c:pt>
                <c:pt idx="156">
                  <c:v>0.45783999999999997</c:v>
                </c:pt>
                <c:pt idx="157">
                  <c:v>0.47636000000000001</c:v>
                </c:pt>
                <c:pt idx="158">
                  <c:v>0.49487999999999999</c:v>
                </c:pt>
                <c:pt idx="159">
                  <c:v>0.51339999999999997</c:v>
                </c:pt>
                <c:pt idx="160">
                  <c:v>0.50703999999999994</c:v>
                </c:pt>
                <c:pt idx="161">
                  <c:v>0.50068000000000001</c:v>
                </c:pt>
                <c:pt idx="162">
                  <c:v>0.49431999999999998</c:v>
                </c:pt>
                <c:pt idx="163">
                  <c:v>0.48796</c:v>
                </c:pt>
                <c:pt idx="164">
                  <c:v>0.48159999999999997</c:v>
                </c:pt>
                <c:pt idx="165">
                  <c:v>0.46634000000000003</c:v>
                </c:pt>
                <c:pt idx="166">
                  <c:v>0.45108000000000004</c:v>
                </c:pt>
                <c:pt idx="167">
                  <c:v>0.43581999999999999</c:v>
                </c:pt>
                <c:pt idx="168">
                  <c:v>0.42056000000000004</c:v>
                </c:pt>
                <c:pt idx="169">
                  <c:v>0.40529999999999999</c:v>
                </c:pt>
                <c:pt idx="170">
                  <c:v>0.40532000000000001</c:v>
                </c:pt>
                <c:pt idx="171">
                  <c:v>0.40533999999999998</c:v>
                </c:pt>
                <c:pt idx="172">
                  <c:v>0.40536</c:v>
                </c:pt>
                <c:pt idx="173">
                  <c:v>0.40538000000000002</c:v>
                </c:pt>
                <c:pt idx="174">
                  <c:v>0.40539999999999998</c:v>
                </c:pt>
                <c:pt idx="175">
                  <c:v>0.42971999999999999</c:v>
                </c:pt>
                <c:pt idx="176">
                  <c:v>0.45404</c:v>
                </c:pt>
                <c:pt idx="177">
                  <c:v>0.47836000000000001</c:v>
                </c:pt>
                <c:pt idx="178">
                  <c:v>0.50268000000000002</c:v>
                </c:pt>
                <c:pt idx="179">
                  <c:v>0.52700000000000002</c:v>
                </c:pt>
                <c:pt idx="180">
                  <c:v>0.52736000000000005</c:v>
                </c:pt>
                <c:pt idx="181">
                  <c:v>0.52771999999999997</c:v>
                </c:pt>
                <c:pt idx="182">
                  <c:v>0.52807999999999999</c:v>
                </c:pt>
                <c:pt idx="183">
                  <c:v>0.52844000000000013</c:v>
                </c:pt>
                <c:pt idx="184">
                  <c:v>0.52880000000000005</c:v>
                </c:pt>
                <c:pt idx="185">
                  <c:v>0.53390000000000004</c:v>
                </c:pt>
                <c:pt idx="186">
                  <c:v>0.53900000000000003</c:v>
                </c:pt>
                <c:pt idx="187">
                  <c:v>0.54410000000000003</c:v>
                </c:pt>
                <c:pt idx="188">
                  <c:v>0.54920000000000013</c:v>
                </c:pt>
                <c:pt idx="189">
                  <c:v>0.55430000000000001</c:v>
                </c:pt>
                <c:pt idx="190">
                  <c:v>0.55886000000000002</c:v>
                </c:pt>
                <c:pt idx="191">
                  <c:v>0.56342000000000003</c:v>
                </c:pt>
                <c:pt idx="192">
                  <c:v>0.56797999999999993</c:v>
                </c:pt>
                <c:pt idx="193">
                  <c:v>0.57254000000000005</c:v>
                </c:pt>
                <c:pt idx="194">
                  <c:v>0.57709999999999995</c:v>
                </c:pt>
                <c:pt idx="195">
                  <c:v>0.58394000000000001</c:v>
                </c:pt>
                <c:pt idx="196">
                  <c:v>0.59077999999999997</c:v>
                </c:pt>
                <c:pt idx="197">
                  <c:v>0.59761999999999993</c:v>
                </c:pt>
                <c:pt idx="198">
                  <c:v>0.60446</c:v>
                </c:pt>
                <c:pt idx="199">
                  <c:v>0.61129999999999995</c:v>
                </c:pt>
                <c:pt idx="200">
                  <c:v>0.61431999999999998</c:v>
                </c:pt>
                <c:pt idx="201">
                  <c:v>0.61734</c:v>
                </c:pt>
                <c:pt idx="202">
                  <c:v>0.62035999999999991</c:v>
                </c:pt>
                <c:pt idx="203">
                  <c:v>0.62338000000000005</c:v>
                </c:pt>
                <c:pt idx="204">
                  <c:v>0.62639999999999996</c:v>
                </c:pt>
                <c:pt idx="205">
                  <c:v>0.60399999999999998</c:v>
                </c:pt>
                <c:pt idx="206">
                  <c:v>0.58159999999999989</c:v>
                </c:pt>
                <c:pt idx="207">
                  <c:v>0.55919999999999992</c:v>
                </c:pt>
                <c:pt idx="208">
                  <c:v>0.53679999999999994</c:v>
                </c:pt>
                <c:pt idx="209">
                  <c:v>0.51439999999999997</c:v>
                </c:pt>
                <c:pt idx="210">
                  <c:v>0.51961999999999997</c:v>
                </c:pt>
                <c:pt idx="211">
                  <c:v>0.52483999999999997</c:v>
                </c:pt>
                <c:pt idx="212">
                  <c:v>0.53005999999999998</c:v>
                </c:pt>
                <c:pt idx="213">
                  <c:v>0.53527999999999998</c:v>
                </c:pt>
                <c:pt idx="214">
                  <c:v>0.54049999999999998</c:v>
                </c:pt>
                <c:pt idx="215">
                  <c:v>0.56366000000000005</c:v>
                </c:pt>
                <c:pt idx="216">
                  <c:v>0.58682000000000001</c:v>
                </c:pt>
                <c:pt idx="217">
                  <c:v>0.60997999999999997</c:v>
                </c:pt>
                <c:pt idx="218">
                  <c:v>0.63314000000000004</c:v>
                </c:pt>
                <c:pt idx="219">
                  <c:v>0.65629999999999999</c:v>
                </c:pt>
                <c:pt idx="220">
                  <c:v>0.63992000000000004</c:v>
                </c:pt>
                <c:pt idx="221">
                  <c:v>0.62353999999999998</c:v>
                </c:pt>
                <c:pt idx="222">
                  <c:v>0.60716000000000003</c:v>
                </c:pt>
                <c:pt idx="223">
                  <c:v>0.59078000000000008</c:v>
                </c:pt>
                <c:pt idx="224">
                  <c:v>0.57440000000000002</c:v>
                </c:pt>
                <c:pt idx="225">
                  <c:v>0.55654000000000003</c:v>
                </c:pt>
                <c:pt idx="226">
                  <c:v>0.53868000000000005</c:v>
                </c:pt>
                <c:pt idx="227">
                  <c:v>0.52082000000000006</c:v>
                </c:pt>
                <c:pt idx="228">
                  <c:v>0.50295999999999996</c:v>
                </c:pt>
                <c:pt idx="229">
                  <c:v>0.48509999999999998</c:v>
                </c:pt>
                <c:pt idx="230">
                  <c:v>0.49775999999999998</c:v>
                </c:pt>
                <c:pt idx="231">
                  <c:v>0.51041999999999998</c:v>
                </c:pt>
                <c:pt idx="232">
                  <c:v>0.52307999999999999</c:v>
                </c:pt>
                <c:pt idx="233">
                  <c:v>0.53573999999999999</c:v>
                </c:pt>
                <c:pt idx="234">
                  <c:v>0.5484</c:v>
                </c:pt>
                <c:pt idx="235">
                  <c:v>0.54234000000000004</c:v>
                </c:pt>
                <c:pt idx="236">
                  <c:v>0.53627999999999998</c:v>
                </c:pt>
                <c:pt idx="237">
                  <c:v>0.53021999999999991</c:v>
                </c:pt>
                <c:pt idx="238">
                  <c:v>0.52415999999999996</c:v>
                </c:pt>
                <c:pt idx="239">
                  <c:v>0.5181</c:v>
                </c:pt>
                <c:pt idx="240">
                  <c:v>0.50517999999999996</c:v>
                </c:pt>
                <c:pt idx="241">
                  <c:v>0.49225999999999998</c:v>
                </c:pt>
                <c:pt idx="242">
                  <c:v>0.47933999999999999</c:v>
                </c:pt>
                <c:pt idx="243">
                  <c:v>0.46642</c:v>
                </c:pt>
                <c:pt idx="244">
                  <c:v>0.45350000000000001</c:v>
                </c:pt>
                <c:pt idx="245">
                  <c:v>0.46285999999999999</c:v>
                </c:pt>
                <c:pt idx="246">
                  <c:v>0.47221999999999997</c:v>
                </c:pt>
                <c:pt idx="247">
                  <c:v>0.48157999999999995</c:v>
                </c:pt>
                <c:pt idx="248">
                  <c:v>0.49093999999999999</c:v>
                </c:pt>
                <c:pt idx="249">
                  <c:v>0.50029999999999997</c:v>
                </c:pt>
                <c:pt idx="250">
                  <c:v>0.48037999999999997</c:v>
                </c:pt>
                <c:pt idx="251">
                  <c:v>0.46045999999999998</c:v>
                </c:pt>
                <c:pt idx="252">
                  <c:v>0.44053999999999999</c:v>
                </c:pt>
                <c:pt idx="253">
                  <c:v>0.42061999999999999</c:v>
                </c:pt>
                <c:pt idx="254">
                  <c:v>0.4007</c:v>
                </c:pt>
                <c:pt idx="255">
                  <c:v>0.40380000000000005</c:v>
                </c:pt>
                <c:pt idx="256">
                  <c:v>0.40690000000000004</c:v>
                </c:pt>
                <c:pt idx="257">
                  <c:v>0.41000000000000003</c:v>
                </c:pt>
                <c:pt idx="258">
                  <c:v>0.41310000000000002</c:v>
                </c:pt>
                <c:pt idx="259">
                  <c:v>0.41620000000000001</c:v>
                </c:pt>
                <c:pt idx="260">
                  <c:v>0.43822000000000005</c:v>
                </c:pt>
                <c:pt idx="261">
                  <c:v>0.46023999999999998</c:v>
                </c:pt>
                <c:pt idx="262">
                  <c:v>0.48226000000000002</c:v>
                </c:pt>
                <c:pt idx="263">
                  <c:v>0.50428000000000006</c:v>
                </c:pt>
                <c:pt idx="264">
                  <c:v>0.52629999999999999</c:v>
                </c:pt>
                <c:pt idx="265">
                  <c:v>0.51458000000000004</c:v>
                </c:pt>
                <c:pt idx="266">
                  <c:v>0.50286000000000008</c:v>
                </c:pt>
                <c:pt idx="267">
                  <c:v>0.49114000000000002</c:v>
                </c:pt>
                <c:pt idx="268">
                  <c:v>0.47942000000000007</c:v>
                </c:pt>
                <c:pt idx="269">
                  <c:v>0.4677</c:v>
                </c:pt>
                <c:pt idx="270">
                  <c:v>0.46676000000000006</c:v>
                </c:pt>
                <c:pt idx="271">
                  <c:v>0.46582000000000001</c:v>
                </c:pt>
                <c:pt idx="272">
                  <c:v>0.46488000000000002</c:v>
                </c:pt>
                <c:pt idx="273">
                  <c:v>0.46394000000000007</c:v>
                </c:pt>
                <c:pt idx="274">
                  <c:v>0.46300000000000002</c:v>
                </c:pt>
                <c:pt idx="275">
                  <c:v>0.4578000000000001</c:v>
                </c:pt>
                <c:pt idx="276">
                  <c:v>0.4526</c:v>
                </c:pt>
                <c:pt idx="277">
                  <c:v>0.44740000000000002</c:v>
                </c:pt>
                <c:pt idx="278">
                  <c:v>0.44220000000000004</c:v>
                </c:pt>
                <c:pt idx="279">
                  <c:v>0.437</c:v>
                </c:pt>
                <c:pt idx="280">
                  <c:v>0.43414000000000003</c:v>
                </c:pt>
                <c:pt idx="281">
                  <c:v>0.43128</c:v>
                </c:pt>
                <c:pt idx="282">
                  <c:v>0.42842000000000002</c:v>
                </c:pt>
                <c:pt idx="283">
                  <c:v>0.42556000000000005</c:v>
                </c:pt>
                <c:pt idx="284">
                  <c:v>0.42270000000000002</c:v>
                </c:pt>
                <c:pt idx="285">
                  <c:v>0.41290000000000004</c:v>
                </c:pt>
                <c:pt idx="286">
                  <c:v>0.40310000000000001</c:v>
                </c:pt>
                <c:pt idx="287">
                  <c:v>0.39329999999999998</c:v>
                </c:pt>
                <c:pt idx="288">
                  <c:v>0.38350000000000001</c:v>
                </c:pt>
                <c:pt idx="289">
                  <c:v>0.37369999999999998</c:v>
                </c:pt>
                <c:pt idx="290">
                  <c:v>0.3624</c:v>
                </c:pt>
                <c:pt idx="291">
                  <c:v>0.35109999999999997</c:v>
                </c:pt>
                <c:pt idx="292">
                  <c:v>0.33979999999999999</c:v>
                </c:pt>
                <c:pt idx="293">
                  <c:v>0.32850000000000001</c:v>
                </c:pt>
                <c:pt idx="294">
                  <c:v>0.31719999999999998</c:v>
                </c:pt>
                <c:pt idx="295">
                  <c:v>0.33388000000000001</c:v>
                </c:pt>
                <c:pt idx="296">
                  <c:v>0.35055999999999998</c:v>
                </c:pt>
                <c:pt idx="297">
                  <c:v>0.36724000000000001</c:v>
                </c:pt>
                <c:pt idx="298">
                  <c:v>0.38392000000000004</c:v>
                </c:pt>
                <c:pt idx="299">
                  <c:v>0.40060000000000001</c:v>
                </c:pt>
                <c:pt idx="300">
                  <c:v>0.38852000000000003</c:v>
                </c:pt>
                <c:pt idx="301">
                  <c:v>0.37644</c:v>
                </c:pt>
                <c:pt idx="302">
                  <c:v>0.36436000000000002</c:v>
                </c:pt>
                <c:pt idx="303">
                  <c:v>0.35228000000000004</c:v>
                </c:pt>
                <c:pt idx="304">
                  <c:v>0.3402</c:v>
                </c:pt>
                <c:pt idx="305">
                  <c:v>0.34942000000000001</c:v>
                </c:pt>
                <c:pt idx="306">
                  <c:v>0.35863999999999996</c:v>
                </c:pt>
                <c:pt idx="307">
                  <c:v>0.36785999999999996</c:v>
                </c:pt>
                <c:pt idx="308">
                  <c:v>0.37707999999999997</c:v>
                </c:pt>
                <c:pt idx="309">
                  <c:v>0.38629999999999998</c:v>
                </c:pt>
                <c:pt idx="310">
                  <c:v>0.38205999999999996</c:v>
                </c:pt>
                <c:pt idx="311">
                  <c:v>0.37781999999999999</c:v>
                </c:pt>
                <c:pt idx="312">
                  <c:v>0.37357999999999997</c:v>
                </c:pt>
                <c:pt idx="313">
                  <c:v>0.36934</c:v>
                </c:pt>
                <c:pt idx="314">
                  <c:v>0.36509999999999998</c:v>
                </c:pt>
                <c:pt idx="315">
                  <c:v>0.35274</c:v>
                </c:pt>
                <c:pt idx="316">
                  <c:v>0.34038000000000002</c:v>
                </c:pt>
                <c:pt idx="317">
                  <c:v>0.32801999999999998</c:v>
                </c:pt>
                <c:pt idx="318">
                  <c:v>0.31566000000000005</c:v>
                </c:pt>
                <c:pt idx="319">
                  <c:v>0.30330000000000001</c:v>
                </c:pt>
                <c:pt idx="320">
                  <c:v>0.30984</c:v>
                </c:pt>
                <c:pt idx="321">
                  <c:v>0.31637999999999999</c:v>
                </c:pt>
                <c:pt idx="322">
                  <c:v>0.32291999999999998</c:v>
                </c:pt>
                <c:pt idx="323">
                  <c:v>0.32946000000000003</c:v>
                </c:pt>
                <c:pt idx="324">
                  <c:v>0.33600000000000002</c:v>
                </c:pt>
                <c:pt idx="325">
                  <c:v>0.33124000000000003</c:v>
                </c:pt>
                <c:pt idx="326">
                  <c:v>0.32647999999999999</c:v>
                </c:pt>
                <c:pt idx="327">
                  <c:v>0.32172000000000001</c:v>
                </c:pt>
                <c:pt idx="328">
                  <c:v>0.31696000000000002</c:v>
                </c:pt>
                <c:pt idx="329">
                  <c:v>0.31219999999999998</c:v>
                </c:pt>
                <c:pt idx="330">
                  <c:v>0.32040000000000002</c:v>
                </c:pt>
                <c:pt idx="331">
                  <c:v>0.3286</c:v>
                </c:pt>
                <c:pt idx="332">
                  <c:v>0.33679999999999999</c:v>
                </c:pt>
                <c:pt idx="333">
                  <c:v>0.34500000000000003</c:v>
                </c:pt>
                <c:pt idx="334">
                  <c:v>0.35320000000000001</c:v>
                </c:pt>
                <c:pt idx="335">
                  <c:v>0.35414000000000001</c:v>
                </c:pt>
                <c:pt idx="336">
                  <c:v>0.35508000000000001</c:v>
                </c:pt>
                <c:pt idx="337">
                  <c:v>0.35602</c:v>
                </c:pt>
                <c:pt idx="338">
                  <c:v>0.35696000000000006</c:v>
                </c:pt>
                <c:pt idx="339">
                  <c:v>0.3579</c:v>
                </c:pt>
                <c:pt idx="340">
                  <c:v>0.36426000000000003</c:v>
                </c:pt>
                <c:pt idx="341">
                  <c:v>0.37062</c:v>
                </c:pt>
                <c:pt idx="342">
                  <c:v>0.37697999999999998</c:v>
                </c:pt>
                <c:pt idx="343">
                  <c:v>0.38334000000000001</c:v>
                </c:pt>
                <c:pt idx="344">
                  <c:v>0.38969999999999999</c:v>
                </c:pt>
                <c:pt idx="345">
                  <c:v>0.38154000000000005</c:v>
                </c:pt>
                <c:pt idx="346">
                  <c:v>0.37337999999999993</c:v>
                </c:pt>
                <c:pt idx="347">
                  <c:v>0.36521999999999999</c:v>
                </c:pt>
                <c:pt idx="348">
                  <c:v>0.35705999999999999</c:v>
                </c:pt>
                <c:pt idx="349">
                  <c:v>0.34889999999999999</c:v>
                </c:pt>
                <c:pt idx="350">
                  <c:v>0.34649999999999997</c:v>
                </c:pt>
                <c:pt idx="351">
                  <c:v>0.34409999999999996</c:v>
                </c:pt>
                <c:pt idx="352">
                  <c:v>0.3417</c:v>
                </c:pt>
                <c:pt idx="353">
                  <c:v>0.33929999999999999</c:v>
                </c:pt>
                <c:pt idx="354">
                  <c:v>0.33689999999999998</c:v>
                </c:pt>
                <c:pt idx="355">
                  <c:v>0.34415999999999997</c:v>
                </c:pt>
                <c:pt idx="356">
                  <c:v>0.35141999999999995</c:v>
                </c:pt>
                <c:pt idx="357">
                  <c:v>0.35868</c:v>
                </c:pt>
                <c:pt idx="358">
                  <c:v>0.36593999999999999</c:v>
                </c:pt>
                <c:pt idx="359">
                  <c:v>0.37319999999999998</c:v>
                </c:pt>
                <c:pt idx="360">
                  <c:v>0.35842000000000002</c:v>
                </c:pt>
                <c:pt idx="361">
                  <c:v>0.34364</c:v>
                </c:pt>
                <c:pt idx="362">
                  <c:v>0.32885999999999999</c:v>
                </c:pt>
                <c:pt idx="363">
                  <c:v>0.31408000000000003</c:v>
                </c:pt>
                <c:pt idx="364">
                  <c:v>0.29930000000000001</c:v>
                </c:pt>
                <c:pt idx="365">
                  <c:v>0.32512000000000002</c:v>
                </c:pt>
                <c:pt idx="366">
                  <c:v>0.35094000000000003</c:v>
                </c:pt>
                <c:pt idx="367">
                  <c:v>0.37675999999999998</c:v>
                </c:pt>
                <c:pt idx="368">
                  <c:v>0.40258000000000005</c:v>
                </c:pt>
                <c:pt idx="369">
                  <c:v>0.4284</c:v>
                </c:pt>
                <c:pt idx="370">
                  <c:v>0.42220000000000002</c:v>
                </c:pt>
                <c:pt idx="371">
                  <c:v>0.41599999999999998</c:v>
                </c:pt>
                <c:pt idx="372">
                  <c:v>0.4098</c:v>
                </c:pt>
                <c:pt idx="373">
                  <c:v>0.40359999999999996</c:v>
                </c:pt>
                <c:pt idx="374">
                  <c:v>0.39739999999999998</c:v>
                </c:pt>
                <c:pt idx="375">
                  <c:v>0.38427999999999995</c:v>
                </c:pt>
                <c:pt idx="376">
                  <c:v>0.37115999999999999</c:v>
                </c:pt>
                <c:pt idx="377">
                  <c:v>0.35803999999999997</c:v>
                </c:pt>
                <c:pt idx="378">
                  <c:v>0.34492</c:v>
                </c:pt>
                <c:pt idx="379">
                  <c:v>0.33179999999999998</c:v>
                </c:pt>
                <c:pt idx="380">
                  <c:v>0.33996000000000004</c:v>
                </c:pt>
                <c:pt idx="381">
                  <c:v>0.34811999999999999</c:v>
                </c:pt>
                <c:pt idx="382">
                  <c:v>0.35627999999999999</c:v>
                </c:pt>
                <c:pt idx="383">
                  <c:v>0.36443999999999999</c:v>
                </c:pt>
                <c:pt idx="384">
                  <c:v>0.37259999999999999</c:v>
                </c:pt>
                <c:pt idx="385">
                  <c:v>0.38204000000000005</c:v>
                </c:pt>
                <c:pt idx="386">
                  <c:v>0.39147999999999999</c:v>
                </c:pt>
                <c:pt idx="387">
                  <c:v>0.40092</c:v>
                </c:pt>
                <c:pt idx="388">
                  <c:v>0.41036000000000006</c:v>
                </c:pt>
                <c:pt idx="389">
                  <c:v>0.41980000000000001</c:v>
                </c:pt>
                <c:pt idx="390">
                  <c:v>0.41570000000000001</c:v>
                </c:pt>
                <c:pt idx="391">
                  <c:v>0.41159999999999997</c:v>
                </c:pt>
                <c:pt idx="392">
                  <c:v>0.40749999999999997</c:v>
                </c:pt>
                <c:pt idx="393">
                  <c:v>0.40339999999999998</c:v>
                </c:pt>
                <c:pt idx="394">
                  <c:v>0.39929999999999999</c:v>
                </c:pt>
                <c:pt idx="395">
                  <c:v>0.39573999999999998</c:v>
                </c:pt>
                <c:pt idx="396">
                  <c:v>0.39217999999999997</c:v>
                </c:pt>
                <c:pt idx="397">
                  <c:v>0.38861999999999997</c:v>
                </c:pt>
                <c:pt idx="398">
                  <c:v>0.38506000000000001</c:v>
                </c:pt>
                <c:pt idx="399">
                  <c:v>0.38150000000000001</c:v>
                </c:pt>
                <c:pt idx="400">
                  <c:v>0.38102000000000003</c:v>
                </c:pt>
                <c:pt idx="401">
                  <c:v>0.38053999999999999</c:v>
                </c:pt>
                <c:pt idx="402">
                  <c:v>0.38006000000000001</c:v>
                </c:pt>
                <c:pt idx="403">
                  <c:v>0.37958000000000003</c:v>
                </c:pt>
                <c:pt idx="404">
                  <c:v>0.37909999999999999</c:v>
                </c:pt>
                <c:pt idx="405">
                  <c:v>0.38925999999999999</c:v>
                </c:pt>
                <c:pt idx="406">
                  <c:v>0.39942</c:v>
                </c:pt>
                <c:pt idx="407">
                  <c:v>0.40958</c:v>
                </c:pt>
                <c:pt idx="408">
                  <c:v>0.41974</c:v>
                </c:pt>
                <c:pt idx="409">
                  <c:v>0.4299</c:v>
                </c:pt>
                <c:pt idx="410">
                  <c:v>0.43274000000000001</c:v>
                </c:pt>
                <c:pt idx="411">
                  <c:v>0.43558000000000002</c:v>
                </c:pt>
                <c:pt idx="412">
                  <c:v>0.43841999999999998</c:v>
                </c:pt>
                <c:pt idx="413">
                  <c:v>0.44126000000000004</c:v>
                </c:pt>
                <c:pt idx="414">
                  <c:v>0.44409999999999999</c:v>
                </c:pt>
                <c:pt idx="415">
                  <c:v>0.41912000000000005</c:v>
                </c:pt>
                <c:pt idx="416">
                  <c:v>0.39413999999999993</c:v>
                </c:pt>
                <c:pt idx="417">
                  <c:v>0.36916000000000004</c:v>
                </c:pt>
                <c:pt idx="418">
                  <c:v>0.34417999999999999</c:v>
                </c:pt>
                <c:pt idx="419">
                  <c:v>0.31919999999999998</c:v>
                </c:pt>
                <c:pt idx="420">
                  <c:v>0.31369999999999998</c:v>
                </c:pt>
                <c:pt idx="421">
                  <c:v>0.30820000000000003</c:v>
                </c:pt>
                <c:pt idx="422">
                  <c:v>0.30269999999999997</c:v>
                </c:pt>
                <c:pt idx="423">
                  <c:v>0.29720000000000002</c:v>
                </c:pt>
                <c:pt idx="424">
                  <c:v>0.29170000000000001</c:v>
                </c:pt>
                <c:pt idx="425">
                  <c:v>0.29842000000000002</c:v>
                </c:pt>
                <c:pt idx="426">
                  <c:v>0.30513999999999997</c:v>
                </c:pt>
                <c:pt idx="427">
                  <c:v>0.31186000000000003</c:v>
                </c:pt>
                <c:pt idx="428">
                  <c:v>0.31857999999999997</c:v>
                </c:pt>
                <c:pt idx="429">
                  <c:v>0.32529999999999998</c:v>
                </c:pt>
                <c:pt idx="430">
                  <c:v>0.31265999999999999</c:v>
                </c:pt>
                <c:pt idx="431">
                  <c:v>0.30002000000000001</c:v>
                </c:pt>
                <c:pt idx="432">
                  <c:v>0.28737999999999997</c:v>
                </c:pt>
                <c:pt idx="433">
                  <c:v>0.27473999999999998</c:v>
                </c:pt>
                <c:pt idx="434">
                  <c:v>0.2621</c:v>
                </c:pt>
                <c:pt idx="435">
                  <c:v>0.2641</c:v>
                </c:pt>
                <c:pt idx="436">
                  <c:v>0.2661</c:v>
                </c:pt>
                <c:pt idx="437">
                  <c:v>0.2681</c:v>
                </c:pt>
                <c:pt idx="438">
                  <c:v>0.27010000000000001</c:v>
                </c:pt>
                <c:pt idx="439">
                  <c:v>0.27210000000000001</c:v>
                </c:pt>
                <c:pt idx="440">
                  <c:v>0.27429999999999999</c:v>
                </c:pt>
                <c:pt idx="441">
                  <c:v>0.27649999999999997</c:v>
                </c:pt>
                <c:pt idx="442">
                  <c:v>0.2787</c:v>
                </c:pt>
                <c:pt idx="443">
                  <c:v>0.28090000000000004</c:v>
                </c:pt>
                <c:pt idx="444">
                  <c:v>0.28310000000000002</c:v>
                </c:pt>
                <c:pt idx="445">
                  <c:v>0.2762</c:v>
                </c:pt>
                <c:pt idx="446">
                  <c:v>0.26929999999999998</c:v>
                </c:pt>
                <c:pt idx="447">
                  <c:v>0.26239999999999997</c:v>
                </c:pt>
                <c:pt idx="448">
                  <c:v>0.2555</c:v>
                </c:pt>
                <c:pt idx="449">
                  <c:v>0.24859999999999999</c:v>
                </c:pt>
                <c:pt idx="450">
                  <c:v>0.25214000000000003</c:v>
                </c:pt>
                <c:pt idx="451">
                  <c:v>0.25568000000000002</c:v>
                </c:pt>
                <c:pt idx="452">
                  <c:v>0.25922000000000001</c:v>
                </c:pt>
                <c:pt idx="453">
                  <c:v>0.26275999999999999</c:v>
                </c:pt>
                <c:pt idx="454">
                  <c:v>0.26629999999999998</c:v>
                </c:pt>
                <c:pt idx="455">
                  <c:v>0.25819999999999999</c:v>
                </c:pt>
                <c:pt idx="456">
                  <c:v>0.25009999999999999</c:v>
                </c:pt>
                <c:pt idx="457">
                  <c:v>0.24199999999999999</c:v>
                </c:pt>
                <c:pt idx="458">
                  <c:v>0.23390000000000002</c:v>
                </c:pt>
                <c:pt idx="459">
                  <c:v>0.2258</c:v>
                </c:pt>
                <c:pt idx="460">
                  <c:v>0.22194000000000003</c:v>
                </c:pt>
                <c:pt idx="461">
                  <c:v>0.21808</c:v>
                </c:pt>
                <c:pt idx="462">
                  <c:v>0.21421999999999999</c:v>
                </c:pt>
                <c:pt idx="463">
                  <c:v>0.21036000000000002</c:v>
                </c:pt>
                <c:pt idx="464">
                  <c:v>0.20649999999999999</c:v>
                </c:pt>
                <c:pt idx="465">
                  <c:v>0.21586000000000002</c:v>
                </c:pt>
                <c:pt idx="466">
                  <c:v>0.22522</c:v>
                </c:pt>
                <c:pt idx="467">
                  <c:v>0.23458000000000001</c:v>
                </c:pt>
                <c:pt idx="468">
                  <c:v>0.24394000000000005</c:v>
                </c:pt>
                <c:pt idx="469">
                  <c:v>0.25330000000000003</c:v>
                </c:pt>
                <c:pt idx="470">
                  <c:v>0.24856000000000006</c:v>
                </c:pt>
                <c:pt idx="471">
                  <c:v>0.24382000000000001</c:v>
                </c:pt>
                <c:pt idx="472">
                  <c:v>0.23908000000000001</c:v>
                </c:pt>
                <c:pt idx="473">
                  <c:v>0.23434000000000002</c:v>
                </c:pt>
                <c:pt idx="474">
                  <c:v>0.2296</c:v>
                </c:pt>
                <c:pt idx="475">
                  <c:v>0.22018000000000001</c:v>
                </c:pt>
                <c:pt idx="476">
                  <c:v>0.21076</c:v>
                </c:pt>
                <c:pt idx="477">
                  <c:v>0.20134000000000002</c:v>
                </c:pt>
                <c:pt idx="478">
                  <c:v>0.19191999999999998</c:v>
                </c:pt>
                <c:pt idx="479">
                  <c:v>0.1825</c:v>
                </c:pt>
                <c:pt idx="480">
                  <c:v>0.18237999999999999</c:v>
                </c:pt>
                <c:pt idx="481">
                  <c:v>0.18226000000000001</c:v>
                </c:pt>
                <c:pt idx="482">
                  <c:v>0.18214</c:v>
                </c:pt>
                <c:pt idx="483">
                  <c:v>0.18202000000000002</c:v>
                </c:pt>
                <c:pt idx="484">
                  <c:v>0.18190000000000001</c:v>
                </c:pt>
                <c:pt idx="485">
                  <c:v>0.17780000000000001</c:v>
                </c:pt>
                <c:pt idx="486">
                  <c:v>0.17369999999999999</c:v>
                </c:pt>
                <c:pt idx="487">
                  <c:v>0.1696</c:v>
                </c:pt>
                <c:pt idx="488">
                  <c:v>0.16549999999999998</c:v>
                </c:pt>
                <c:pt idx="489">
                  <c:v>0.16139999999999999</c:v>
                </c:pt>
                <c:pt idx="490">
                  <c:v>0.16045999999999999</c:v>
                </c:pt>
                <c:pt idx="491">
                  <c:v>0.15952</c:v>
                </c:pt>
                <c:pt idx="492">
                  <c:v>0.15858</c:v>
                </c:pt>
                <c:pt idx="493">
                  <c:v>0.15764</c:v>
                </c:pt>
                <c:pt idx="494">
                  <c:v>0.15670000000000001</c:v>
                </c:pt>
                <c:pt idx="495">
                  <c:v>0.15273999999999999</c:v>
                </c:pt>
                <c:pt idx="496">
                  <c:v>0.14878000000000002</c:v>
                </c:pt>
                <c:pt idx="497">
                  <c:v>0.14482</c:v>
                </c:pt>
                <c:pt idx="498">
                  <c:v>0.14086000000000001</c:v>
                </c:pt>
                <c:pt idx="499">
                  <c:v>0.13689999999999999</c:v>
                </c:pt>
                <c:pt idx="500">
                  <c:v>0.13444</c:v>
                </c:pt>
                <c:pt idx="501">
                  <c:v>0.13197999999999999</c:v>
                </c:pt>
                <c:pt idx="502">
                  <c:v>0.12952</c:v>
                </c:pt>
                <c:pt idx="503">
                  <c:v>0.12706000000000001</c:v>
                </c:pt>
                <c:pt idx="504">
                  <c:v>0.1246</c:v>
                </c:pt>
                <c:pt idx="505">
                  <c:v>0.12442</c:v>
                </c:pt>
                <c:pt idx="506">
                  <c:v>0.12423999999999999</c:v>
                </c:pt>
                <c:pt idx="507">
                  <c:v>0.12406</c:v>
                </c:pt>
                <c:pt idx="508">
                  <c:v>0.12388</c:v>
                </c:pt>
                <c:pt idx="509">
                  <c:v>0.1237</c:v>
                </c:pt>
                <c:pt idx="510">
                  <c:v>0.11892000000000001</c:v>
                </c:pt>
                <c:pt idx="511">
                  <c:v>0.11413999999999999</c:v>
                </c:pt>
                <c:pt idx="512">
                  <c:v>0.10936</c:v>
                </c:pt>
                <c:pt idx="513">
                  <c:v>0.10458000000000001</c:v>
                </c:pt>
                <c:pt idx="514">
                  <c:v>9.98E-2</c:v>
                </c:pt>
                <c:pt idx="515">
                  <c:v>9.2100000000000015E-2</c:v>
                </c:pt>
                <c:pt idx="516">
                  <c:v>8.4400000000000003E-2</c:v>
                </c:pt>
                <c:pt idx="517">
                  <c:v>7.6700000000000004E-2</c:v>
                </c:pt>
                <c:pt idx="518">
                  <c:v>6.9000000000000006E-2</c:v>
                </c:pt>
                <c:pt idx="519">
                  <c:v>6.13E-2</c:v>
                </c:pt>
                <c:pt idx="520">
                  <c:v>7.3400000000000007E-2</c:v>
                </c:pt>
                <c:pt idx="521">
                  <c:v>8.5500000000000007E-2</c:v>
                </c:pt>
                <c:pt idx="522">
                  <c:v>9.7600000000000006E-2</c:v>
                </c:pt>
                <c:pt idx="523">
                  <c:v>0.10970000000000002</c:v>
                </c:pt>
                <c:pt idx="524">
                  <c:v>0.12180000000000001</c:v>
                </c:pt>
                <c:pt idx="525">
                  <c:v>0.12228000000000001</c:v>
                </c:pt>
                <c:pt idx="526">
                  <c:v>0.12276000000000001</c:v>
                </c:pt>
                <c:pt idx="527">
                  <c:v>0.12324000000000002</c:v>
                </c:pt>
                <c:pt idx="528">
                  <c:v>0.12372000000000001</c:v>
                </c:pt>
                <c:pt idx="529">
                  <c:v>0.1242</c:v>
                </c:pt>
                <c:pt idx="530">
                  <c:v>0.12362000000000001</c:v>
                </c:pt>
                <c:pt idx="531">
                  <c:v>0.12304000000000001</c:v>
                </c:pt>
                <c:pt idx="532">
                  <c:v>0.12246</c:v>
                </c:pt>
                <c:pt idx="533">
                  <c:v>0.12188000000000002</c:v>
                </c:pt>
                <c:pt idx="534">
                  <c:v>0.12130000000000001</c:v>
                </c:pt>
                <c:pt idx="535">
                  <c:v>0.11890000000000002</c:v>
                </c:pt>
                <c:pt idx="536">
                  <c:v>0.11649999999999999</c:v>
                </c:pt>
                <c:pt idx="537">
                  <c:v>0.11410000000000001</c:v>
                </c:pt>
                <c:pt idx="538">
                  <c:v>0.11170000000000001</c:v>
                </c:pt>
                <c:pt idx="539">
                  <c:v>0.10929999999999999</c:v>
                </c:pt>
                <c:pt idx="540">
                  <c:v>0.11498</c:v>
                </c:pt>
                <c:pt idx="541">
                  <c:v>0.12065999999999999</c:v>
                </c:pt>
                <c:pt idx="542">
                  <c:v>0.12633999999999998</c:v>
                </c:pt>
                <c:pt idx="543">
                  <c:v>0.13202</c:v>
                </c:pt>
                <c:pt idx="544">
                  <c:v>0.13769999999999999</c:v>
                </c:pt>
                <c:pt idx="545">
                  <c:v>0.13438</c:v>
                </c:pt>
                <c:pt idx="546">
                  <c:v>0.13105999999999998</c:v>
                </c:pt>
                <c:pt idx="547">
                  <c:v>0.12773999999999999</c:v>
                </c:pt>
                <c:pt idx="548">
                  <c:v>0.12442</c:v>
                </c:pt>
                <c:pt idx="549">
                  <c:v>0.1211</c:v>
                </c:pt>
                <c:pt idx="550">
                  <c:v>0.11532000000000001</c:v>
                </c:pt>
                <c:pt idx="551">
                  <c:v>0.10954</c:v>
                </c:pt>
                <c:pt idx="552">
                  <c:v>0.10376000000000001</c:v>
                </c:pt>
                <c:pt idx="553">
                  <c:v>9.7980000000000012E-2</c:v>
                </c:pt>
                <c:pt idx="554">
                  <c:v>9.2200000000000004E-2</c:v>
                </c:pt>
                <c:pt idx="555">
                  <c:v>9.5940000000000011E-2</c:v>
                </c:pt>
                <c:pt idx="556">
                  <c:v>9.9680000000000005E-2</c:v>
                </c:pt>
                <c:pt idx="557">
                  <c:v>0.10342000000000001</c:v>
                </c:pt>
                <c:pt idx="558">
                  <c:v>0.10716000000000001</c:v>
                </c:pt>
                <c:pt idx="559">
                  <c:v>0.1109</c:v>
                </c:pt>
                <c:pt idx="560">
                  <c:v>0.11456000000000001</c:v>
                </c:pt>
                <c:pt idx="561">
                  <c:v>0.11822000000000001</c:v>
                </c:pt>
                <c:pt idx="562">
                  <c:v>0.12188000000000002</c:v>
                </c:pt>
                <c:pt idx="563">
                  <c:v>0.12554000000000001</c:v>
                </c:pt>
                <c:pt idx="564">
                  <c:v>0.12920000000000001</c:v>
                </c:pt>
                <c:pt idx="565">
                  <c:v>0.12562000000000001</c:v>
                </c:pt>
                <c:pt idx="566">
                  <c:v>0.12204000000000001</c:v>
                </c:pt>
                <c:pt idx="567">
                  <c:v>0.11846</c:v>
                </c:pt>
                <c:pt idx="568">
                  <c:v>0.11488000000000001</c:v>
                </c:pt>
                <c:pt idx="569">
                  <c:v>0.1113</c:v>
                </c:pt>
                <c:pt idx="570">
                  <c:v>0.10296000000000001</c:v>
                </c:pt>
                <c:pt idx="571">
                  <c:v>9.4619999999999996E-2</c:v>
                </c:pt>
                <c:pt idx="572">
                  <c:v>8.6279999999999996E-2</c:v>
                </c:pt>
                <c:pt idx="573">
                  <c:v>7.7940000000000009E-2</c:v>
                </c:pt>
                <c:pt idx="574">
                  <c:v>6.9599999999999995E-2</c:v>
                </c:pt>
                <c:pt idx="575">
                  <c:v>8.0259999999999998E-2</c:v>
                </c:pt>
                <c:pt idx="576">
                  <c:v>9.0920000000000001E-2</c:v>
                </c:pt>
                <c:pt idx="577">
                  <c:v>0.10158</c:v>
                </c:pt>
                <c:pt idx="578">
                  <c:v>0.11224000000000001</c:v>
                </c:pt>
                <c:pt idx="579">
                  <c:v>0.1229</c:v>
                </c:pt>
                <c:pt idx="580">
                  <c:v>0.11824000000000001</c:v>
                </c:pt>
                <c:pt idx="581">
                  <c:v>0.11358</c:v>
                </c:pt>
                <c:pt idx="582">
                  <c:v>0.10891999999999999</c:v>
                </c:pt>
                <c:pt idx="583">
                  <c:v>0.10426000000000001</c:v>
                </c:pt>
                <c:pt idx="584">
                  <c:v>9.9599999999999994E-2</c:v>
                </c:pt>
                <c:pt idx="585">
                  <c:v>0.10398</c:v>
                </c:pt>
                <c:pt idx="586">
                  <c:v>0.10836</c:v>
                </c:pt>
                <c:pt idx="587">
                  <c:v>0.11273999999999999</c:v>
                </c:pt>
                <c:pt idx="588">
                  <c:v>0.11712</c:v>
                </c:pt>
                <c:pt idx="589">
                  <c:v>0.1215</c:v>
                </c:pt>
                <c:pt idx="590">
                  <c:v>0.12040000000000001</c:v>
                </c:pt>
                <c:pt idx="591">
                  <c:v>0.11929999999999999</c:v>
                </c:pt>
                <c:pt idx="592">
                  <c:v>0.1182</c:v>
                </c:pt>
                <c:pt idx="593">
                  <c:v>0.11710000000000001</c:v>
                </c:pt>
                <c:pt idx="594">
                  <c:v>0.11600000000000001</c:v>
                </c:pt>
                <c:pt idx="595">
                  <c:v>0.11692000000000001</c:v>
                </c:pt>
                <c:pt idx="596">
                  <c:v>0.11784</c:v>
                </c:pt>
                <c:pt idx="597">
                  <c:v>0.11876</c:v>
                </c:pt>
                <c:pt idx="598">
                  <c:v>0.11968000000000001</c:v>
                </c:pt>
                <c:pt idx="599">
                  <c:v>0.1206</c:v>
                </c:pt>
                <c:pt idx="600">
                  <c:v>0.11542000000000001</c:v>
                </c:pt>
                <c:pt idx="601">
                  <c:v>0.11024</c:v>
                </c:pt>
                <c:pt idx="602">
                  <c:v>0.10506000000000001</c:v>
                </c:pt>
                <c:pt idx="603">
                  <c:v>9.988000000000001E-2</c:v>
                </c:pt>
                <c:pt idx="604">
                  <c:v>9.4700000000000006E-2</c:v>
                </c:pt>
                <c:pt idx="605">
                  <c:v>9.2480000000000007E-2</c:v>
                </c:pt>
                <c:pt idx="606">
                  <c:v>9.0260000000000007E-2</c:v>
                </c:pt>
                <c:pt idx="607">
                  <c:v>8.8040000000000007E-2</c:v>
                </c:pt>
                <c:pt idx="608">
                  <c:v>8.5819999999999994E-2</c:v>
                </c:pt>
                <c:pt idx="609">
                  <c:v>8.3599999999999994E-2</c:v>
                </c:pt>
                <c:pt idx="610">
                  <c:v>7.9239999999999991E-2</c:v>
                </c:pt>
                <c:pt idx="611">
                  <c:v>7.4880000000000002E-2</c:v>
                </c:pt>
                <c:pt idx="612">
                  <c:v>7.0519999999999999E-2</c:v>
                </c:pt>
                <c:pt idx="613">
                  <c:v>6.6159999999999997E-2</c:v>
                </c:pt>
                <c:pt idx="614">
                  <c:v>6.1800000000000001E-2</c:v>
                </c:pt>
                <c:pt idx="615">
                  <c:v>5.9340000000000004E-2</c:v>
                </c:pt>
                <c:pt idx="616">
                  <c:v>5.688E-2</c:v>
                </c:pt>
                <c:pt idx="617">
                  <c:v>5.4420000000000003E-2</c:v>
                </c:pt>
                <c:pt idx="618">
                  <c:v>5.1960000000000006E-2</c:v>
                </c:pt>
                <c:pt idx="619">
                  <c:v>4.9500000000000002E-2</c:v>
                </c:pt>
                <c:pt idx="620">
                  <c:v>5.0880000000000002E-2</c:v>
                </c:pt>
                <c:pt idx="621">
                  <c:v>5.2260000000000001E-2</c:v>
                </c:pt>
                <c:pt idx="622">
                  <c:v>5.3639999999999993E-2</c:v>
                </c:pt>
                <c:pt idx="623">
                  <c:v>5.5019999999999999E-2</c:v>
                </c:pt>
                <c:pt idx="624">
                  <c:v>5.6399999999999999E-2</c:v>
                </c:pt>
                <c:pt idx="625">
                  <c:v>5.704E-2</c:v>
                </c:pt>
                <c:pt idx="626">
                  <c:v>5.7679999999999995E-2</c:v>
                </c:pt>
                <c:pt idx="627">
                  <c:v>5.8319999999999997E-2</c:v>
                </c:pt>
                <c:pt idx="628">
                  <c:v>5.8959999999999999E-2</c:v>
                </c:pt>
                <c:pt idx="629">
                  <c:v>5.96E-2</c:v>
                </c:pt>
                <c:pt idx="630">
                  <c:v>5.91E-2</c:v>
                </c:pt>
                <c:pt idx="631">
                  <c:v>5.8599999999999999E-2</c:v>
                </c:pt>
                <c:pt idx="632">
                  <c:v>5.8099999999999999E-2</c:v>
                </c:pt>
                <c:pt idx="633">
                  <c:v>5.7599999999999998E-2</c:v>
                </c:pt>
                <c:pt idx="634">
                  <c:v>5.7099999999999998E-2</c:v>
                </c:pt>
                <c:pt idx="635">
                  <c:v>5.7079999999999999E-2</c:v>
                </c:pt>
                <c:pt idx="636">
                  <c:v>5.706E-2</c:v>
                </c:pt>
                <c:pt idx="637">
                  <c:v>5.704E-2</c:v>
                </c:pt>
                <c:pt idx="638">
                  <c:v>5.7020000000000001E-2</c:v>
                </c:pt>
                <c:pt idx="639">
                  <c:v>5.7000000000000002E-2</c:v>
                </c:pt>
                <c:pt idx="640">
                  <c:v>6.3299999999999995E-2</c:v>
                </c:pt>
                <c:pt idx="641">
                  <c:v>6.9599999999999995E-2</c:v>
                </c:pt>
                <c:pt idx="642">
                  <c:v>7.5899999999999995E-2</c:v>
                </c:pt>
                <c:pt idx="643">
                  <c:v>8.2199999999999995E-2</c:v>
                </c:pt>
                <c:pt idx="644">
                  <c:v>8.8499999999999995E-2</c:v>
                </c:pt>
                <c:pt idx="645">
                  <c:v>9.0340000000000004E-2</c:v>
                </c:pt>
                <c:pt idx="646">
                  <c:v>9.2179999999999998E-2</c:v>
                </c:pt>
                <c:pt idx="647">
                  <c:v>9.4019999999999992E-2</c:v>
                </c:pt>
                <c:pt idx="648">
                  <c:v>9.5860000000000001E-2</c:v>
                </c:pt>
                <c:pt idx="649">
                  <c:v>9.7699999999999995E-2</c:v>
                </c:pt>
                <c:pt idx="650">
                  <c:v>9.2820000000000014E-2</c:v>
                </c:pt>
                <c:pt idx="651">
                  <c:v>8.793999999999999E-2</c:v>
                </c:pt>
                <c:pt idx="652">
                  <c:v>8.3059999999999995E-2</c:v>
                </c:pt>
                <c:pt idx="653">
                  <c:v>7.8179999999999999E-2</c:v>
                </c:pt>
                <c:pt idx="654">
                  <c:v>7.3300000000000004E-2</c:v>
                </c:pt>
                <c:pt idx="655">
                  <c:v>7.1980000000000002E-2</c:v>
                </c:pt>
                <c:pt idx="656">
                  <c:v>7.0660000000000001E-2</c:v>
                </c:pt>
                <c:pt idx="657">
                  <c:v>6.9339999999999999E-2</c:v>
                </c:pt>
                <c:pt idx="658">
                  <c:v>6.8019999999999997E-2</c:v>
                </c:pt>
                <c:pt idx="659">
                  <c:v>6.6699999999999995E-2</c:v>
                </c:pt>
                <c:pt idx="660">
                  <c:v>6.2199999999999998E-2</c:v>
                </c:pt>
                <c:pt idx="661">
                  <c:v>5.7699999999999994E-2</c:v>
                </c:pt>
                <c:pt idx="662">
                  <c:v>5.3199999999999997E-2</c:v>
                </c:pt>
                <c:pt idx="663">
                  <c:v>4.87E-2</c:v>
                </c:pt>
                <c:pt idx="664">
                  <c:v>4.4200000000000003E-2</c:v>
                </c:pt>
                <c:pt idx="665">
                  <c:v>4.6780000000000002E-2</c:v>
                </c:pt>
                <c:pt idx="666">
                  <c:v>4.9360000000000001E-2</c:v>
                </c:pt>
                <c:pt idx="667">
                  <c:v>5.194E-2</c:v>
                </c:pt>
                <c:pt idx="668">
                  <c:v>5.4519999999999999E-2</c:v>
                </c:pt>
                <c:pt idx="669">
                  <c:v>5.7099999999999998E-2</c:v>
                </c:pt>
                <c:pt idx="670">
                  <c:v>5.398E-2</c:v>
                </c:pt>
                <c:pt idx="671">
                  <c:v>5.0860000000000002E-2</c:v>
                </c:pt>
                <c:pt idx="672">
                  <c:v>4.7740000000000005E-2</c:v>
                </c:pt>
                <c:pt idx="673">
                  <c:v>4.462E-2</c:v>
                </c:pt>
                <c:pt idx="674">
                  <c:v>4.1500000000000002E-2</c:v>
                </c:pt>
                <c:pt idx="675">
                  <c:v>4.1620000000000004E-2</c:v>
                </c:pt>
                <c:pt idx="676">
                  <c:v>4.1739999999999999E-2</c:v>
                </c:pt>
                <c:pt idx="677">
                  <c:v>4.1859999999999994E-2</c:v>
                </c:pt>
                <c:pt idx="678">
                  <c:v>4.1980000000000003E-2</c:v>
                </c:pt>
                <c:pt idx="679">
                  <c:v>4.2099999999999999E-2</c:v>
                </c:pt>
                <c:pt idx="680">
                  <c:v>4.1780000000000005E-2</c:v>
                </c:pt>
                <c:pt idx="681">
                  <c:v>4.1459999999999997E-2</c:v>
                </c:pt>
                <c:pt idx="682">
                  <c:v>4.1139999999999996E-2</c:v>
                </c:pt>
                <c:pt idx="683">
                  <c:v>4.0820000000000009E-2</c:v>
                </c:pt>
                <c:pt idx="684">
                  <c:v>4.0500000000000001E-2</c:v>
                </c:pt>
                <c:pt idx="685">
                  <c:v>4.0440000000000004E-2</c:v>
                </c:pt>
                <c:pt idx="686">
                  <c:v>4.0379999999999999E-2</c:v>
                </c:pt>
                <c:pt idx="687">
                  <c:v>4.0320000000000002E-2</c:v>
                </c:pt>
                <c:pt idx="688">
                  <c:v>4.0260000000000004E-2</c:v>
                </c:pt>
                <c:pt idx="689">
                  <c:v>4.02E-2</c:v>
                </c:pt>
                <c:pt idx="690">
                  <c:v>4.0900000000000006E-2</c:v>
                </c:pt>
                <c:pt idx="691">
                  <c:v>4.1599999999999998E-2</c:v>
                </c:pt>
                <c:pt idx="692">
                  <c:v>4.2300000000000004E-2</c:v>
                </c:pt>
                <c:pt idx="693">
                  <c:v>4.3000000000000003E-2</c:v>
                </c:pt>
                <c:pt idx="694">
                  <c:v>4.3700000000000003E-2</c:v>
                </c:pt>
                <c:pt idx="695">
                  <c:v>4.4380000000000003E-2</c:v>
                </c:pt>
                <c:pt idx="696">
                  <c:v>4.5060000000000003E-2</c:v>
                </c:pt>
                <c:pt idx="697">
                  <c:v>4.5740000000000003E-2</c:v>
                </c:pt>
                <c:pt idx="698">
                  <c:v>4.6420000000000003E-2</c:v>
                </c:pt>
                <c:pt idx="699">
                  <c:v>4.7100000000000003E-2</c:v>
                </c:pt>
                <c:pt idx="700">
                  <c:v>4.5200000000000004E-2</c:v>
                </c:pt>
                <c:pt idx="701">
                  <c:v>4.3300000000000005E-2</c:v>
                </c:pt>
                <c:pt idx="702">
                  <c:v>4.1400000000000006E-2</c:v>
                </c:pt>
                <c:pt idx="703">
                  <c:v>3.9500000000000007E-2</c:v>
                </c:pt>
                <c:pt idx="704">
                  <c:v>3.7600000000000001E-2</c:v>
                </c:pt>
                <c:pt idx="705">
                  <c:v>3.5820000000000005E-2</c:v>
                </c:pt>
                <c:pt idx="706">
                  <c:v>3.4040000000000001E-2</c:v>
                </c:pt>
                <c:pt idx="707">
                  <c:v>3.2259999999999997E-2</c:v>
                </c:pt>
                <c:pt idx="708">
                  <c:v>3.048E-2</c:v>
                </c:pt>
                <c:pt idx="709">
                  <c:v>2.87E-2</c:v>
                </c:pt>
                <c:pt idx="710">
                  <c:v>2.7180000000000003E-2</c:v>
                </c:pt>
                <c:pt idx="711">
                  <c:v>2.5660000000000002E-2</c:v>
                </c:pt>
                <c:pt idx="712">
                  <c:v>2.4140000000000002E-2</c:v>
                </c:pt>
                <c:pt idx="713">
                  <c:v>2.2620000000000001E-2</c:v>
                </c:pt>
                <c:pt idx="714">
                  <c:v>2.1100000000000001E-2</c:v>
                </c:pt>
                <c:pt idx="715">
                  <c:v>2.4100000000000003E-2</c:v>
                </c:pt>
                <c:pt idx="716">
                  <c:v>2.7099999999999999E-2</c:v>
                </c:pt>
                <c:pt idx="717">
                  <c:v>3.0100000000000002E-2</c:v>
                </c:pt>
                <c:pt idx="718">
                  <c:v>3.3100000000000004E-2</c:v>
                </c:pt>
                <c:pt idx="719">
                  <c:v>3.61E-2</c:v>
                </c:pt>
                <c:pt idx="720">
                  <c:v>3.5980000000000005E-2</c:v>
                </c:pt>
                <c:pt idx="721">
                  <c:v>3.5859999999999996E-2</c:v>
                </c:pt>
                <c:pt idx="722">
                  <c:v>3.5739999999999994E-2</c:v>
                </c:pt>
                <c:pt idx="723">
                  <c:v>3.5619999999999999E-2</c:v>
                </c:pt>
                <c:pt idx="724">
                  <c:v>3.5499999999999997E-2</c:v>
                </c:pt>
                <c:pt idx="725">
                  <c:v>3.4419999999999999E-2</c:v>
                </c:pt>
                <c:pt idx="726">
                  <c:v>3.3339999999999995E-2</c:v>
                </c:pt>
                <c:pt idx="727">
                  <c:v>3.2259999999999997E-2</c:v>
                </c:pt>
                <c:pt idx="728">
                  <c:v>3.1179999999999999E-2</c:v>
                </c:pt>
                <c:pt idx="729">
                  <c:v>3.0099999999999998E-2</c:v>
                </c:pt>
                <c:pt idx="730">
                  <c:v>3.0240000000000003E-2</c:v>
                </c:pt>
                <c:pt idx="731">
                  <c:v>3.0380000000000001E-2</c:v>
                </c:pt>
                <c:pt idx="732">
                  <c:v>3.0519999999999999E-2</c:v>
                </c:pt>
                <c:pt idx="733">
                  <c:v>3.0660000000000003E-2</c:v>
                </c:pt>
                <c:pt idx="734">
                  <c:v>3.0800000000000001E-2</c:v>
                </c:pt>
                <c:pt idx="735">
                  <c:v>3.2480000000000002E-2</c:v>
                </c:pt>
                <c:pt idx="736">
                  <c:v>3.4159999999999996E-2</c:v>
                </c:pt>
                <c:pt idx="737">
                  <c:v>3.5839999999999997E-2</c:v>
                </c:pt>
                <c:pt idx="738">
                  <c:v>3.7519999999999998E-2</c:v>
                </c:pt>
                <c:pt idx="739">
                  <c:v>3.9199999999999999E-2</c:v>
                </c:pt>
                <c:pt idx="740">
                  <c:v>4.1279999999999997E-2</c:v>
                </c:pt>
                <c:pt idx="741">
                  <c:v>4.3359999999999996E-2</c:v>
                </c:pt>
                <c:pt idx="742">
                  <c:v>4.5439999999999994E-2</c:v>
                </c:pt>
                <c:pt idx="743">
                  <c:v>4.752E-2</c:v>
                </c:pt>
                <c:pt idx="744">
                  <c:v>4.9599999999999998E-2</c:v>
                </c:pt>
                <c:pt idx="745">
                  <c:v>4.6800000000000001E-2</c:v>
                </c:pt>
                <c:pt idx="746">
                  <c:v>4.3999999999999997E-2</c:v>
                </c:pt>
                <c:pt idx="747">
                  <c:v>4.1200000000000001E-2</c:v>
                </c:pt>
                <c:pt idx="748">
                  <c:v>3.8400000000000004E-2</c:v>
                </c:pt>
                <c:pt idx="749">
                  <c:v>3.56E-2</c:v>
                </c:pt>
                <c:pt idx="750">
                  <c:v>3.6380000000000003E-2</c:v>
                </c:pt>
                <c:pt idx="751">
                  <c:v>3.7159999999999999E-2</c:v>
                </c:pt>
                <c:pt idx="752">
                  <c:v>3.7940000000000002E-2</c:v>
                </c:pt>
                <c:pt idx="753">
                  <c:v>3.8720000000000004E-2</c:v>
                </c:pt>
                <c:pt idx="754">
                  <c:v>3.95E-2</c:v>
                </c:pt>
                <c:pt idx="755">
                  <c:v>3.7280000000000008E-2</c:v>
                </c:pt>
                <c:pt idx="756">
                  <c:v>3.5060000000000001E-2</c:v>
                </c:pt>
                <c:pt idx="757">
                  <c:v>3.2840000000000001E-2</c:v>
                </c:pt>
                <c:pt idx="758">
                  <c:v>3.0620000000000005E-2</c:v>
                </c:pt>
                <c:pt idx="759">
                  <c:v>2.8400000000000002E-2</c:v>
                </c:pt>
                <c:pt idx="760">
                  <c:v>3.6540000000000003E-2</c:v>
                </c:pt>
                <c:pt idx="761">
                  <c:v>4.4679999999999997E-2</c:v>
                </c:pt>
                <c:pt idx="762">
                  <c:v>5.2819999999999999E-2</c:v>
                </c:pt>
                <c:pt idx="763">
                  <c:v>6.096E-2</c:v>
                </c:pt>
                <c:pt idx="764">
                  <c:v>6.9099999999999995E-2</c:v>
                </c:pt>
                <c:pt idx="765">
                  <c:v>6.5280000000000005E-2</c:v>
                </c:pt>
                <c:pt idx="766">
                  <c:v>6.1460000000000001E-2</c:v>
                </c:pt>
                <c:pt idx="767">
                  <c:v>5.7639999999999997E-2</c:v>
                </c:pt>
                <c:pt idx="768">
                  <c:v>5.3820000000000007E-2</c:v>
                </c:pt>
                <c:pt idx="769">
                  <c:v>0.05</c:v>
                </c:pt>
                <c:pt idx="770">
                  <c:v>5.2060000000000009E-2</c:v>
                </c:pt>
                <c:pt idx="771">
                  <c:v>5.4120000000000001E-2</c:v>
                </c:pt>
                <c:pt idx="772">
                  <c:v>5.6180000000000001E-2</c:v>
                </c:pt>
                <c:pt idx="773">
                  <c:v>5.8240000000000007E-2</c:v>
                </c:pt>
                <c:pt idx="774">
                  <c:v>6.0299999999999999E-2</c:v>
                </c:pt>
                <c:pt idx="775">
                  <c:v>5.4500000000000007E-2</c:v>
                </c:pt>
                <c:pt idx="776">
                  <c:v>4.87E-2</c:v>
                </c:pt>
                <c:pt idx="777">
                  <c:v>4.2900000000000008E-2</c:v>
                </c:pt>
                <c:pt idx="778">
                  <c:v>3.7100000000000008E-2</c:v>
                </c:pt>
                <c:pt idx="779">
                  <c:v>3.1300000000000001E-2</c:v>
                </c:pt>
                <c:pt idx="780">
                  <c:v>3.5720000000000002E-2</c:v>
                </c:pt>
                <c:pt idx="781">
                  <c:v>4.0140000000000009E-2</c:v>
                </c:pt>
                <c:pt idx="782">
                  <c:v>4.4560000000000002E-2</c:v>
                </c:pt>
                <c:pt idx="783">
                  <c:v>4.898000000000001E-2</c:v>
                </c:pt>
                <c:pt idx="784">
                  <c:v>5.3400000000000003E-2</c:v>
                </c:pt>
                <c:pt idx="785">
                  <c:v>5.424000000000001E-2</c:v>
                </c:pt>
                <c:pt idx="786">
                  <c:v>5.5080000000000004E-2</c:v>
                </c:pt>
                <c:pt idx="787">
                  <c:v>5.5920000000000004E-2</c:v>
                </c:pt>
                <c:pt idx="788">
                  <c:v>5.6760000000000005E-2</c:v>
                </c:pt>
                <c:pt idx="789">
                  <c:v>5.7599999999999998E-2</c:v>
                </c:pt>
                <c:pt idx="790">
                  <c:v>6.1440000000000002E-2</c:v>
                </c:pt>
                <c:pt idx="791">
                  <c:v>6.5280000000000005E-2</c:v>
                </c:pt>
                <c:pt idx="792">
                  <c:v>6.9120000000000001E-2</c:v>
                </c:pt>
                <c:pt idx="793">
                  <c:v>7.2959999999999997E-2</c:v>
                </c:pt>
                <c:pt idx="794">
                  <c:v>7.6799999999999993E-2</c:v>
                </c:pt>
                <c:pt idx="795">
                  <c:v>7.9639999999999989E-2</c:v>
                </c:pt>
                <c:pt idx="796">
                  <c:v>8.2479999999999998E-2</c:v>
                </c:pt>
                <c:pt idx="797">
                  <c:v>8.5319999999999993E-2</c:v>
                </c:pt>
                <c:pt idx="798">
                  <c:v>8.8160000000000002E-2</c:v>
                </c:pt>
                <c:pt idx="799">
                  <c:v>9.0999999999999998E-2</c:v>
                </c:pt>
                <c:pt idx="800">
                  <c:v>8.968000000000001E-2</c:v>
                </c:pt>
                <c:pt idx="801">
                  <c:v>8.8359999999999994E-2</c:v>
                </c:pt>
                <c:pt idx="802">
                  <c:v>8.7040000000000006E-2</c:v>
                </c:pt>
                <c:pt idx="803">
                  <c:v>8.5720000000000018E-2</c:v>
                </c:pt>
                <c:pt idx="804">
                  <c:v>8.4400000000000003E-2</c:v>
                </c:pt>
                <c:pt idx="805">
                  <c:v>9.018000000000001E-2</c:v>
                </c:pt>
                <c:pt idx="806">
                  <c:v>9.595999999999999E-2</c:v>
                </c:pt>
                <c:pt idx="807">
                  <c:v>0.10174</c:v>
                </c:pt>
                <c:pt idx="808">
                  <c:v>0.10752</c:v>
                </c:pt>
                <c:pt idx="809">
                  <c:v>0.1133</c:v>
                </c:pt>
                <c:pt idx="810">
                  <c:v>0.10742</c:v>
                </c:pt>
                <c:pt idx="811">
                  <c:v>0.10153999999999999</c:v>
                </c:pt>
                <c:pt idx="812">
                  <c:v>9.5659999999999995E-2</c:v>
                </c:pt>
                <c:pt idx="813">
                  <c:v>8.9779999999999999E-2</c:v>
                </c:pt>
                <c:pt idx="814">
                  <c:v>8.3900000000000002E-2</c:v>
                </c:pt>
                <c:pt idx="815">
                  <c:v>7.5639999999999999E-2</c:v>
                </c:pt>
                <c:pt idx="816">
                  <c:v>6.7379999999999995E-2</c:v>
                </c:pt>
                <c:pt idx="817">
                  <c:v>5.9119999999999999E-2</c:v>
                </c:pt>
                <c:pt idx="818">
                  <c:v>5.0860000000000002E-2</c:v>
                </c:pt>
                <c:pt idx="819">
                  <c:v>4.2599999999999999E-2</c:v>
                </c:pt>
                <c:pt idx="820">
                  <c:v>4.4499999999999998E-2</c:v>
                </c:pt>
                <c:pt idx="821">
                  <c:v>4.6399999999999997E-2</c:v>
                </c:pt>
                <c:pt idx="822">
                  <c:v>4.8299999999999996E-2</c:v>
                </c:pt>
                <c:pt idx="823">
                  <c:v>5.0200000000000002E-2</c:v>
                </c:pt>
                <c:pt idx="824">
                  <c:v>5.21E-2</c:v>
                </c:pt>
                <c:pt idx="825">
                  <c:v>7.3640000000000011E-2</c:v>
                </c:pt>
                <c:pt idx="826">
                  <c:v>9.5180000000000001E-2</c:v>
                </c:pt>
                <c:pt idx="827">
                  <c:v>0.11671999999999999</c:v>
                </c:pt>
                <c:pt idx="828">
                  <c:v>0.13826000000000002</c:v>
                </c:pt>
                <c:pt idx="829">
                  <c:v>0.1598</c:v>
                </c:pt>
                <c:pt idx="830">
                  <c:v>0.14954000000000001</c:v>
                </c:pt>
                <c:pt idx="831">
                  <c:v>0.13927999999999999</c:v>
                </c:pt>
                <c:pt idx="832">
                  <c:v>0.12902</c:v>
                </c:pt>
                <c:pt idx="833">
                  <c:v>0.11876</c:v>
                </c:pt>
                <c:pt idx="834">
                  <c:v>0.1085</c:v>
                </c:pt>
                <c:pt idx="835">
                  <c:v>0.10262</c:v>
                </c:pt>
                <c:pt idx="836">
                  <c:v>9.6739999999999993E-2</c:v>
                </c:pt>
                <c:pt idx="837">
                  <c:v>9.0859999999999996E-2</c:v>
                </c:pt>
                <c:pt idx="838">
                  <c:v>8.498E-2</c:v>
                </c:pt>
                <c:pt idx="839">
                  <c:v>7.9100000000000004E-2</c:v>
                </c:pt>
                <c:pt idx="840">
                  <c:v>8.7919999999999998E-2</c:v>
                </c:pt>
                <c:pt idx="841">
                  <c:v>9.6740000000000007E-2</c:v>
                </c:pt>
                <c:pt idx="842">
                  <c:v>0.10556</c:v>
                </c:pt>
                <c:pt idx="843">
                  <c:v>0.11438000000000001</c:v>
                </c:pt>
                <c:pt idx="844">
                  <c:v>0.1232</c:v>
                </c:pt>
                <c:pt idx="845">
                  <c:v>0.11340000000000001</c:v>
                </c:pt>
                <c:pt idx="846">
                  <c:v>0.1036</c:v>
                </c:pt>
                <c:pt idx="847">
                  <c:v>9.3799999999999994E-2</c:v>
                </c:pt>
                <c:pt idx="848">
                  <c:v>8.4000000000000005E-2</c:v>
                </c:pt>
                <c:pt idx="849">
                  <c:v>7.4200000000000002E-2</c:v>
                </c:pt>
                <c:pt idx="850">
                  <c:v>7.708000000000001E-2</c:v>
                </c:pt>
                <c:pt idx="851">
                  <c:v>7.9960000000000003E-2</c:v>
                </c:pt>
                <c:pt idx="852">
                  <c:v>8.2839999999999997E-2</c:v>
                </c:pt>
                <c:pt idx="853">
                  <c:v>8.5720000000000005E-2</c:v>
                </c:pt>
                <c:pt idx="854">
                  <c:v>8.8599999999999998E-2</c:v>
                </c:pt>
                <c:pt idx="855">
                  <c:v>8.1839999999999996E-2</c:v>
                </c:pt>
                <c:pt idx="856">
                  <c:v>7.5080000000000008E-2</c:v>
                </c:pt>
                <c:pt idx="857">
                  <c:v>6.8319999999999992E-2</c:v>
                </c:pt>
                <c:pt idx="858">
                  <c:v>6.1560000000000004E-2</c:v>
                </c:pt>
                <c:pt idx="859">
                  <c:v>5.4800000000000001E-2</c:v>
                </c:pt>
                <c:pt idx="860">
                  <c:v>5.5060000000000005E-2</c:v>
                </c:pt>
                <c:pt idx="861">
                  <c:v>5.5320000000000001E-2</c:v>
                </c:pt>
                <c:pt idx="862">
                  <c:v>5.5579999999999997E-2</c:v>
                </c:pt>
                <c:pt idx="863">
                  <c:v>5.5840000000000001E-2</c:v>
                </c:pt>
                <c:pt idx="864">
                  <c:v>5.6099999999999997E-2</c:v>
                </c:pt>
                <c:pt idx="865">
                  <c:v>5.774E-2</c:v>
                </c:pt>
                <c:pt idx="866">
                  <c:v>5.9379999999999995E-2</c:v>
                </c:pt>
                <c:pt idx="867">
                  <c:v>6.1019999999999998E-2</c:v>
                </c:pt>
                <c:pt idx="868">
                  <c:v>6.2659999999999993E-2</c:v>
                </c:pt>
                <c:pt idx="869">
                  <c:v>6.4299999999999996E-2</c:v>
                </c:pt>
                <c:pt idx="870">
                  <c:v>6.9180000000000005E-2</c:v>
                </c:pt>
                <c:pt idx="871">
                  <c:v>7.4060000000000001E-2</c:v>
                </c:pt>
                <c:pt idx="872">
                  <c:v>7.8939999999999996E-2</c:v>
                </c:pt>
                <c:pt idx="873">
                  <c:v>8.3820000000000006E-2</c:v>
                </c:pt>
                <c:pt idx="874">
                  <c:v>8.8700000000000001E-2</c:v>
                </c:pt>
                <c:pt idx="875">
                  <c:v>8.9660000000000017E-2</c:v>
                </c:pt>
                <c:pt idx="876">
                  <c:v>9.0620000000000006E-2</c:v>
                </c:pt>
                <c:pt idx="877">
                  <c:v>9.1579999999999995E-2</c:v>
                </c:pt>
                <c:pt idx="878">
                  <c:v>9.2540000000000011E-2</c:v>
                </c:pt>
                <c:pt idx="879">
                  <c:v>9.35E-2</c:v>
                </c:pt>
                <c:pt idx="880">
                  <c:v>8.6260000000000003E-2</c:v>
                </c:pt>
                <c:pt idx="881">
                  <c:v>7.9019999999999993E-2</c:v>
                </c:pt>
                <c:pt idx="882">
                  <c:v>7.1779999999999997E-2</c:v>
                </c:pt>
                <c:pt idx="883">
                  <c:v>6.454E-2</c:v>
                </c:pt>
                <c:pt idx="884">
                  <c:v>5.7299999999999997E-2</c:v>
                </c:pt>
                <c:pt idx="885">
                  <c:v>5.5079999999999997E-2</c:v>
                </c:pt>
                <c:pt idx="886">
                  <c:v>5.285999999999999E-2</c:v>
                </c:pt>
                <c:pt idx="887">
                  <c:v>5.0639999999999998E-2</c:v>
                </c:pt>
                <c:pt idx="888">
                  <c:v>4.8419999999999998E-2</c:v>
                </c:pt>
                <c:pt idx="889">
                  <c:v>4.6199999999999998E-2</c:v>
                </c:pt>
                <c:pt idx="890">
                  <c:v>5.0259999999999999E-2</c:v>
                </c:pt>
                <c:pt idx="891">
                  <c:v>5.432E-2</c:v>
                </c:pt>
                <c:pt idx="892">
                  <c:v>5.8380000000000001E-2</c:v>
                </c:pt>
                <c:pt idx="893">
                  <c:v>6.2440000000000002E-2</c:v>
                </c:pt>
                <c:pt idx="894">
                  <c:v>6.6500000000000004E-2</c:v>
                </c:pt>
                <c:pt idx="895">
                  <c:v>6.5980000000000011E-2</c:v>
                </c:pt>
                <c:pt idx="896">
                  <c:v>6.545999999999999E-2</c:v>
                </c:pt>
                <c:pt idx="897">
                  <c:v>6.4939999999999998E-2</c:v>
                </c:pt>
                <c:pt idx="898">
                  <c:v>6.4420000000000005E-2</c:v>
                </c:pt>
                <c:pt idx="899">
                  <c:v>6.3899999999999998E-2</c:v>
                </c:pt>
                <c:pt idx="900">
                  <c:v>6.4479999999999996E-2</c:v>
                </c:pt>
                <c:pt idx="901">
                  <c:v>6.5060000000000007E-2</c:v>
                </c:pt>
                <c:pt idx="902">
                  <c:v>6.5640000000000004E-2</c:v>
                </c:pt>
                <c:pt idx="903">
                  <c:v>6.6220000000000001E-2</c:v>
                </c:pt>
                <c:pt idx="904">
                  <c:v>6.6799999999999998E-2</c:v>
                </c:pt>
                <c:pt idx="905">
                  <c:v>6.7400000000000002E-2</c:v>
                </c:pt>
                <c:pt idx="906">
                  <c:v>6.8000000000000005E-2</c:v>
                </c:pt>
                <c:pt idx="907">
                  <c:v>6.8599999999999994E-2</c:v>
                </c:pt>
                <c:pt idx="908">
                  <c:v>6.9199999999999998E-2</c:v>
                </c:pt>
                <c:pt idx="909">
                  <c:v>6.9800000000000001E-2</c:v>
                </c:pt>
                <c:pt idx="910">
                  <c:v>7.2319999999999995E-2</c:v>
                </c:pt>
                <c:pt idx="911">
                  <c:v>7.4840000000000004E-2</c:v>
                </c:pt>
                <c:pt idx="912">
                  <c:v>7.7359999999999998E-2</c:v>
                </c:pt>
                <c:pt idx="913">
                  <c:v>7.9880000000000007E-2</c:v>
                </c:pt>
                <c:pt idx="914">
                  <c:v>8.2400000000000001E-2</c:v>
                </c:pt>
                <c:pt idx="915">
                  <c:v>8.2360000000000003E-2</c:v>
                </c:pt>
                <c:pt idx="916">
                  <c:v>8.2320000000000004E-2</c:v>
                </c:pt>
                <c:pt idx="917">
                  <c:v>8.2279999999999992E-2</c:v>
                </c:pt>
                <c:pt idx="918">
                  <c:v>8.2240000000000008E-2</c:v>
                </c:pt>
                <c:pt idx="919">
                  <c:v>8.2199999999999995E-2</c:v>
                </c:pt>
                <c:pt idx="920">
                  <c:v>8.4000000000000005E-2</c:v>
                </c:pt>
                <c:pt idx="921">
                  <c:v>8.5800000000000001E-2</c:v>
                </c:pt>
                <c:pt idx="922">
                  <c:v>8.7599999999999997E-2</c:v>
                </c:pt>
                <c:pt idx="923">
                  <c:v>8.9400000000000007E-2</c:v>
                </c:pt>
                <c:pt idx="924">
                  <c:v>9.1200000000000003E-2</c:v>
                </c:pt>
                <c:pt idx="925">
                  <c:v>0.10024000000000001</c:v>
                </c:pt>
                <c:pt idx="926">
                  <c:v>0.10927999999999999</c:v>
                </c:pt>
                <c:pt idx="927">
                  <c:v>0.11832000000000001</c:v>
                </c:pt>
                <c:pt idx="928">
                  <c:v>0.12736</c:v>
                </c:pt>
                <c:pt idx="929">
                  <c:v>0.13639999999999999</c:v>
                </c:pt>
                <c:pt idx="930">
                  <c:v>0.13258</c:v>
                </c:pt>
                <c:pt idx="931">
                  <c:v>0.12875999999999999</c:v>
                </c:pt>
                <c:pt idx="932">
                  <c:v>0.12494</c:v>
                </c:pt>
                <c:pt idx="933">
                  <c:v>0.12112000000000001</c:v>
                </c:pt>
                <c:pt idx="934">
                  <c:v>0.1173</c:v>
                </c:pt>
                <c:pt idx="935">
                  <c:v>0.11596000000000001</c:v>
                </c:pt>
                <c:pt idx="936">
                  <c:v>0.11462</c:v>
                </c:pt>
                <c:pt idx="937">
                  <c:v>0.11328000000000001</c:v>
                </c:pt>
                <c:pt idx="938">
                  <c:v>0.11194000000000001</c:v>
                </c:pt>
                <c:pt idx="939">
                  <c:v>0.1106</c:v>
                </c:pt>
                <c:pt idx="940">
                  <c:v>0.11164</c:v>
                </c:pt>
                <c:pt idx="941">
                  <c:v>0.11268</c:v>
                </c:pt>
                <c:pt idx="942">
                  <c:v>0.11372</c:v>
                </c:pt>
                <c:pt idx="943">
                  <c:v>0.11476</c:v>
                </c:pt>
                <c:pt idx="944">
                  <c:v>0.1158</c:v>
                </c:pt>
                <c:pt idx="945">
                  <c:v>0.11258</c:v>
                </c:pt>
                <c:pt idx="946">
                  <c:v>0.10936</c:v>
                </c:pt>
                <c:pt idx="947">
                  <c:v>0.10614</c:v>
                </c:pt>
                <c:pt idx="948">
                  <c:v>0.10292</c:v>
                </c:pt>
                <c:pt idx="949">
                  <c:v>9.9699999999999997E-2</c:v>
                </c:pt>
                <c:pt idx="950">
                  <c:v>9.5379999999999993E-2</c:v>
                </c:pt>
                <c:pt idx="951">
                  <c:v>9.1060000000000002E-2</c:v>
                </c:pt>
                <c:pt idx="952">
                  <c:v>8.6739999999999998E-2</c:v>
                </c:pt>
                <c:pt idx="953">
                  <c:v>8.2420000000000007E-2</c:v>
                </c:pt>
                <c:pt idx="954">
                  <c:v>7.8100000000000003E-2</c:v>
                </c:pt>
                <c:pt idx="955">
                  <c:v>8.5520000000000013E-2</c:v>
                </c:pt>
                <c:pt idx="956">
                  <c:v>9.2939999999999995E-2</c:v>
                </c:pt>
                <c:pt idx="957">
                  <c:v>0.10036</c:v>
                </c:pt>
                <c:pt idx="958">
                  <c:v>0.10778000000000001</c:v>
                </c:pt>
                <c:pt idx="959">
                  <c:v>0.1152</c:v>
                </c:pt>
                <c:pt idx="960">
                  <c:v>0.10804000000000001</c:v>
                </c:pt>
                <c:pt idx="961">
                  <c:v>0.10088</c:v>
                </c:pt>
                <c:pt idx="962">
                  <c:v>9.3719999999999998E-2</c:v>
                </c:pt>
                <c:pt idx="963">
                  <c:v>8.6560000000000012E-2</c:v>
                </c:pt>
                <c:pt idx="964">
                  <c:v>7.9399999999999998E-2</c:v>
                </c:pt>
                <c:pt idx="965">
                  <c:v>7.6600000000000001E-2</c:v>
                </c:pt>
                <c:pt idx="966">
                  <c:v>7.3800000000000004E-2</c:v>
                </c:pt>
                <c:pt idx="967">
                  <c:v>7.1000000000000008E-2</c:v>
                </c:pt>
                <c:pt idx="968">
                  <c:v>6.8200000000000011E-2</c:v>
                </c:pt>
                <c:pt idx="969">
                  <c:v>6.54E-2</c:v>
                </c:pt>
                <c:pt idx="970">
                  <c:v>6.9860000000000005E-2</c:v>
                </c:pt>
                <c:pt idx="971">
                  <c:v>7.4319999999999997E-2</c:v>
                </c:pt>
                <c:pt idx="972">
                  <c:v>7.8780000000000003E-2</c:v>
                </c:pt>
                <c:pt idx="973">
                  <c:v>8.3240000000000008E-2</c:v>
                </c:pt>
                <c:pt idx="974">
                  <c:v>8.77E-2</c:v>
                </c:pt>
                <c:pt idx="975">
                  <c:v>9.4500000000000001E-2</c:v>
                </c:pt>
                <c:pt idx="976">
                  <c:v>0.1013</c:v>
                </c:pt>
                <c:pt idx="977">
                  <c:v>0.1081</c:v>
                </c:pt>
                <c:pt idx="978">
                  <c:v>0.1149</c:v>
                </c:pt>
                <c:pt idx="979">
                  <c:v>0.1217</c:v>
                </c:pt>
                <c:pt idx="980">
                  <c:v>0.12172000000000001</c:v>
                </c:pt>
                <c:pt idx="981">
                  <c:v>0.12174000000000001</c:v>
                </c:pt>
                <c:pt idx="982">
                  <c:v>0.12176000000000001</c:v>
                </c:pt>
                <c:pt idx="983">
                  <c:v>0.12178000000000001</c:v>
                </c:pt>
                <c:pt idx="984">
                  <c:v>0.12180000000000001</c:v>
                </c:pt>
                <c:pt idx="985">
                  <c:v>0.13394</c:v>
                </c:pt>
                <c:pt idx="986">
                  <c:v>0.14607999999999999</c:v>
                </c:pt>
                <c:pt idx="987">
                  <c:v>0.15822</c:v>
                </c:pt>
                <c:pt idx="988">
                  <c:v>0.17035999999999998</c:v>
                </c:pt>
                <c:pt idx="989">
                  <c:v>0.1825</c:v>
                </c:pt>
                <c:pt idx="990">
                  <c:v>0.17113999999999999</c:v>
                </c:pt>
                <c:pt idx="991">
                  <c:v>0.15978000000000001</c:v>
                </c:pt>
                <c:pt idx="992">
                  <c:v>0.14842</c:v>
                </c:pt>
                <c:pt idx="993">
                  <c:v>0.13706000000000002</c:v>
                </c:pt>
                <c:pt idx="994">
                  <c:v>0.12570000000000001</c:v>
                </c:pt>
                <c:pt idx="995">
                  <c:v>0.13176000000000002</c:v>
                </c:pt>
                <c:pt idx="996">
                  <c:v>0.13782</c:v>
                </c:pt>
                <c:pt idx="997">
                  <c:v>0.14388000000000001</c:v>
                </c:pt>
                <c:pt idx="998">
                  <c:v>0.14994000000000002</c:v>
                </c:pt>
                <c:pt idx="999">
                  <c:v>0.156</c:v>
                </c:pt>
                <c:pt idx="1000">
                  <c:v>0.15118000000000001</c:v>
                </c:pt>
                <c:pt idx="1001">
                  <c:v>0.14635999999999999</c:v>
                </c:pt>
                <c:pt idx="1002">
                  <c:v>0.14154</c:v>
                </c:pt>
                <c:pt idx="1003">
                  <c:v>0.13672000000000001</c:v>
                </c:pt>
                <c:pt idx="1004">
                  <c:v>0.13189999999999999</c:v>
                </c:pt>
                <c:pt idx="1005">
                  <c:v>0.12724000000000002</c:v>
                </c:pt>
                <c:pt idx="1006">
                  <c:v>0.12257999999999999</c:v>
                </c:pt>
                <c:pt idx="1007">
                  <c:v>0.11792</c:v>
                </c:pt>
                <c:pt idx="1008">
                  <c:v>0.11326000000000001</c:v>
                </c:pt>
                <c:pt idx="1009">
                  <c:v>0.1086</c:v>
                </c:pt>
                <c:pt idx="1010">
                  <c:v>0.11112000000000001</c:v>
                </c:pt>
                <c:pt idx="1011">
                  <c:v>0.11363999999999999</c:v>
                </c:pt>
                <c:pt idx="1012">
                  <c:v>0.11616</c:v>
                </c:pt>
                <c:pt idx="1013">
                  <c:v>0.11868000000000001</c:v>
                </c:pt>
                <c:pt idx="1014">
                  <c:v>0.1212</c:v>
                </c:pt>
                <c:pt idx="1015">
                  <c:v>0.10656</c:v>
                </c:pt>
                <c:pt idx="1016">
                  <c:v>9.1920000000000002E-2</c:v>
                </c:pt>
                <c:pt idx="1017">
                  <c:v>7.7280000000000001E-2</c:v>
                </c:pt>
                <c:pt idx="1018">
                  <c:v>6.2640000000000001E-2</c:v>
                </c:pt>
                <c:pt idx="1019">
                  <c:v>4.8000000000000001E-2</c:v>
                </c:pt>
                <c:pt idx="1020">
                  <c:v>5.7660000000000003E-2</c:v>
                </c:pt>
                <c:pt idx="1021">
                  <c:v>6.7319999999999991E-2</c:v>
                </c:pt>
                <c:pt idx="1022">
                  <c:v>7.6979999999999993E-2</c:v>
                </c:pt>
                <c:pt idx="1023">
                  <c:v>8.6639999999999995E-2</c:v>
                </c:pt>
                <c:pt idx="1024">
                  <c:v>9.6299999999999997E-2</c:v>
                </c:pt>
                <c:pt idx="1025">
                  <c:v>9.9580000000000002E-2</c:v>
                </c:pt>
                <c:pt idx="1026">
                  <c:v>0.10286000000000001</c:v>
                </c:pt>
                <c:pt idx="1027">
                  <c:v>0.10614</c:v>
                </c:pt>
                <c:pt idx="1028">
                  <c:v>0.10942</c:v>
                </c:pt>
                <c:pt idx="1029">
                  <c:v>0.11269999999999999</c:v>
                </c:pt>
                <c:pt idx="1030">
                  <c:v>0.11766000000000001</c:v>
                </c:pt>
                <c:pt idx="1031">
                  <c:v>0.12262000000000001</c:v>
                </c:pt>
                <c:pt idx="1032">
                  <c:v>0.12758</c:v>
                </c:pt>
                <c:pt idx="1033">
                  <c:v>0.13254000000000002</c:v>
                </c:pt>
                <c:pt idx="1034">
                  <c:v>0.13750000000000001</c:v>
                </c:pt>
                <c:pt idx="1035">
                  <c:v>0.11722000000000002</c:v>
                </c:pt>
                <c:pt idx="1036">
                  <c:v>9.6939999999999998E-2</c:v>
                </c:pt>
                <c:pt idx="1037">
                  <c:v>7.6660000000000006E-2</c:v>
                </c:pt>
                <c:pt idx="1038">
                  <c:v>5.6380000000000006E-2</c:v>
                </c:pt>
                <c:pt idx="1039">
                  <c:v>3.61E-2</c:v>
                </c:pt>
                <c:pt idx="1040">
                  <c:v>4.6300000000000008E-2</c:v>
                </c:pt>
                <c:pt idx="1041">
                  <c:v>5.6500000000000002E-2</c:v>
                </c:pt>
                <c:pt idx="1042">
                  <c:v>6.6699999999999995E-2</c:v>
                </c:pt>
                <c:pt idx="1043">
                  <c:v>7.690000000000001E-2</c:v>
                </c:pt>
                <c:pt idx="1044">
                  <c:v>8.7099999999999997E-2</c:v>
                </c:pt>
                <c:pt idx="1045">
                  <c:v>9.9340000000000012E-2</c:v>
                </c:pt>
                <c:pt idx="1046">
                  <c:v>0.11157999999999998</c:v>
                </c:pt>
                <c:pt idx="1047">
                  <c:v>0.12381999999999999</c:v>
                </c:pt>
                <c:pt idx="1048">
                  <c:v>0.13605999999999999</c:v>
                </c:pt>
                <c:pt idx="1049">
                  <c:v>0.14829999999999999</c:v>
                </c:pt>
                <c:pt idx="1050">
                  <c:v>0.14964</c:v>
                </c:pt>
                <c:pt idx="1051">
                  <c:v>0.15098</c:v>
                </c:pt>
                <c:pt idx="1052">
                  <c:v>0.15232000000000001</c:v>
                </c:pt>
                <c:pt idx="1053">
                  <c:v>0.15365999999999999</c:v>
                </c:pt>
                <c:pt idx="1054">
                  <c:v>0.155</c:v>
                </c:pt>
                <c:pt idx="1055">
                  <c:v>0.16252</c:v>
                </c:pt>
                <c:pt idx="1056">
                  <c:v>0.17004</c:v>
                </c:pt>
                <c:pt idx="1057">
                  <c:v>0.17756</c:v>
                </c:pt>
                <c:pt idx="1058">
                  <c:v>0.18507999999999999</c:v>
                </c:pt>
                <c:pt idx="1059">
                  <c:v>0.19259999999999999</c:v>
                </c:pt>
                <c:pt idx="1060">
                  <c:v>0.18390000000000001</c:v>
                </c:pt>
                <c:pt idx="1061">
                  <c:v>0.17519999999999999</c:v>
                </c:pt>
                <c:pt idx="1062">
                  <c:v>0.16649999999999998</c:v>
                </c:pt>
                <c:pt idx="1063">
                  <c:v>0.1578</c:v>
                </c:pt>
                <c:pt idx="1064">
                  <c:v>0.14910000000000001</c:v>
                </c:pt>
                <c:pt idx="1065">
                  <c:v>0.14478000000000002</c:v>
                </c:pt>
                <c:pt idx="1066">
                  <c:v>0.14046</c:v>
                </c:pt>
                <c:pt idx="1067">
                  <c:v>0.13614000000000001</c:v>
                </c:pt>
                <c:pt idx="1068">
                  <c:v>0.13182000000000002</c:v>
                </c:pt>
                <c:pt idx="1069">
                  <c:v>0.1275</c:v>
                </c:pt>
                <c:pt idx="1070">
                  <c:v>0.11838000000000001</c:v>
                </c:pt>
                <c:pt idx="1071">
                  <c:v>0.10926</c:v>
                </c:pt>
                <c:pt idx="1072">
                  <c:v>0.10014000000000001</c:v>
                </c:pt>
                <c:pt idx="1073">
                  <c:v>9.1020000000000018E-2</c:v>
                </c:pt>
                <c:pt idx="1074">
                  <c:v>8.1900000000000001E-2</c:v>
                </c:pt>
                <c:pt idx="1075">
                  <c:v>7.6520000000000005E-2</c:v>
                </c:pt>
                <c:pt idx="1076">
                  <c:v>7.1139999999999995E-2</c:v>
                </c:pt>
                <c:pt idx="1077">
                  <c:v>6.5760000000000013E-2</c:v>
                </c:pt>
                <c:pt idx="1078">
                  <c:v>6.0380000000000003E-2</c:v>
                </c:pt>
                <c:pt idx="1079">
                  <c:v>5.5E-2</c:v>
                </c:pt>
                <c:pt idx="1080">
                  <c:v>5.8840000000000003E-2</c:v>
                </c:pt>
                <c:pt idx="1081">
                  <c:v>6.268E-2</c:v>
                </c:pt>
                <c:pt idx="1082">
                  <c:v>6.6519999999999996E-2</c:v>
                </c:pt>
                <c:pt idx="1083">
                  <c:v>7.0360000000000006E-2</c:v>
                </c:pt>
                <c:pt idx="1084">
                  <c:v>7.4200000000000002E-2</c:v>
                </c:pt>
                <c:pt idx="1085">
                  <c:v>7.1900000000000006E-2</c:v>
                </c:pt>
                <c:pt idx="1086">
                  <c:v>6.9599999999999995E-2</c:v>
                </c:pt>
                <c:pt idx="1087">
                  <c:v>6.7299999999999999E-2</c:v>
                </c:pt>
                <c:pt idx="1088">
                  <c:v>6.5000000000000016E-2</c:v>
                </c:pt>
                <c:pt idx="1089">
                  <c:v>6.2700000000000006E-2</c:v>
                </c:pt>
                <c:pt idx="1090">
                  <c:v>7.1620000000000017E-2</c:v>
                </c:pt>
                <c:pt idx="1091">
                  <c:v>8.054E-2</c:v>
                </c:pt>
                <c:pt idx="1092">
                  <c:v>8.9460000000000012E-2</c:v>
                </c:pt>
                <c:pt idx="1093">
                  <c:v>9.8380000000000023E-2</c:v>
                </c:pt>
                <c:pt idx="1094">
                  <c:v>0.10730000000000001</c:v>
                </c:pt>
                <c:pt idx="1095">
                  <c:v>0.10458000000000002</c:v>
                </c:pt>
                <c:pt idx="1096">
                  <c:v>0.10186000000000001</c:v>
                </c:pt>
                <c:pt idx="1097">
                  <c:v>9.9140000000000006E-2</c:v>
                </c:pt>
                <c:pt idx="1098">
                  <c:v>9.642000000000002E-2</c:v>
                </c:pt>
                <c:pt idx="1099">
                  <c:v>9.3700000000000006E-2</c:v>
                </c:pt>
                <c:pt idx="1100">
                  <c:v>9.0000000000000011E-2</c:v>
                </c:pt>
                <c:pt idx="1101">
                  <c:v>8.6300000000000002E-2</c:v>
                </c:pt>
                <c:pt idx="1102">
                  <c:v>8.2600000000000007E-2</c:v>
                </c:pt>
                <c:pt idx="1103">
                  <c:v>7.8900000000000012E-2</c:v>
                </c:pt>
                <c:pt idx="1104">
                  <c:v>7.5200000000000003E-2</c:v>
                </c:pt>
                <c:pt idx="1105">
                  <c:v>7.1360000000000007E-2</c:v>
                </c:pt>
                <c:pt idx="1106">
                  <c:v>6.7519999999999997E-2</c:v>
                </c:pt>
                <c:pt idx="1107">
                  <c:v>6.368E-2</c:v>
                </c:pt>
                <c:pt idx="1108">
                  <c:v>5.9840000000000004E-2</c:v>
                </c:pt>
                <c:pt idx="1109">
                  <c:v>5.6000000000000001E-2</c:v>
                </c:pt>
                <c:pt idx="1110">
                  <c:v>5.9080000000000008E-2</c:v>
                </c:pt>
                <c:pt idx="1111">
                  <c:v>6.216E-2</c:v>
                </c:pt>
                <c:pt idx="1112">
                  <c:v>6.5240000000000006E-2</c:v>
                </c:pt>
                <c:pt idx="1113">
                  <c:v>6.8320000000000006E-2</c:v>
                </c:pt>
                <c:pt idx="1114">
                  <c:v>7.1400000000000005E-2</c:v>
                </c:pt>
                <c:pt idx="1115">
                  <c:v>6.9900000000000004E-2</c:v>
                </c:pt>
                <c:pt idx="1116">
                  <c:v>6.8400000000000002E-2</c:v>
                </c:pt>
                <c:pt idx="1117">
                  <c:v>6.6900000000000001E-2</c:v>
                </c:pt>
                <c:pt idx="1118">
                  <c:v>6.54E-2</c:v>
                </c:pt>
                <c:pt idx="1119">
                  <c:v>6.3899999999999998E-2</c:v>
                </c:pt>
                <c:pt idx="1120">
                  <c:v>6.6299999999999998E-2</c:v>
                </c:pt>
                <c:pt idx="1121">
                  <c:v>6.8699999999999997E-2</c:v>
                </c:pt>
                <c:pt idx="1122">
                  <c:v>7.1099999999999997E-2</c:v>
                </c:pt>
                <c:pt idx="1123">
                  <c:v>7.3499999999999996E-2</c:v>
                </c:pt>
                <c:pt idx="1124">
                  <c:v>7.5899999999999995E-2</c:v>
                </c:pt>
                <c:pt idx="1125">
                  <c:v>8.2659999999999997E-2</c:v>
                </c:pt>
                <c:pt idx="1126">
                  <c:v>8.9419999999999999E-2</c:v>
                </c:pt>
                <c:pt idx="1127">
                  <c:v>9.6180000000000002E-2</c:v>
                </c:pt>
                <c:pt idx="1128">
                  <c:v>0.10294</c:v>
                </c:pt>
                <c:pt idx="1129">
                  <c:v>0.10970000000000001</c:v>
                </c:pt>
                <c:pt idx="1130">
                  <c:v>0.11066000000000001</c:v>
                </c:pt>
                <c:pt idx="1131">
                  <c:v>0.11162000000000001</c:v>
                </c:pt>
                <c:pt idx="1132">
                  <c:v>0.11258</c:v>
                </c:pt>
                <c:pt idx="1133">
                  <c:v>0.11354000000000002</c:v>
                </c:pt>
                <c:pt idx="1134">
                  <c:v>0.1145</c:v>
                </c:pt>
                <c:pt idx="1135">
                  <c:v>0.10850000000000001</c:v>
                </c:pt>
                <c:pt idx="1136">
                  <c:v>0.10250000000000001</c:v>
                </c:pt>
                <c:pt idx="1137">
                  <c:v>9.6500000000000002E-2</c:v>
                </c:pt>
                <c:pt idx="1138">
                  <c:v>9.0500000000000011E-2</c:v>
                </c:pt>
                <c:pt idx="1139">
                  <c:v>8.4500000000000006E-2</c:v>
                </c:pt>
                <c:pt idx="1140">
                  <c:v>8.1860000000000016E-2</c:v>
                </c:pt>
                <c:pt idx="1141">
                  <c:v>7.9220000000000013E-2</c:v>
                </c:pt>
                <c:pt idx="1142">
                  <c:v>7.6580000000000009E-2</c:v>
                </c:pt>
                <c:pt idx="1143">
                  <c:v>7.3940000000000006E-2</c:v>
                </c:pt>
                <c:pt idx="1144">
                  <c:v>7.1300000000000002E-2</c:v>
                </c:pt>
                <c:pt idx="1145">
                  <c:v>7.2100000000000011E-2</c:v>
                </c:pt>
                <c:pt idx="1146">
                  <c:v>7.2900000000000006E-2</c:v>
                </c:pt>
                <c:pt idx="1147">
                  <c:v>7.3700000000000015E-2</c:v>
                </c:pt>
                <c:pt idx="1148">
                  <c:v>7.4500000000000011E-2</c:v>
                </c:pt>
                <c:pt idx="1149">
                  <c:v>7.5300000000000006E-2</c:v>
                </c:pt>
                <c:pt idx="1150">
                  <c:v>8.0740000000000006E-2</c:v>
                </c:pt>
                <c:pt idx="1151">
                  <c:v>8.6180000000000007E-2</c:v>
                </c:pt>
                <c:pt idx="1152">
                  <c:v>9.1619999999999993E-2</c:v>
                </c:pt>
                <c:pt idx="1153">
                  <c:v>9.7060000000000007E-2</c:v>
                </c:pt>
                <c:pt idx="1154">
                  <c:v>0.10249999999999999</c:v>
                </c:pt>
                <c:pt idx="1155">
                  <c:v>9.8340000000000011E-2</c:v>
                </c:pt>
                <c:pt idx="1156">
                  <c:v>9.4179999999999986E-2</c:v>
                </c:pt>
                <c:pt idx="1157">
                  <c:v>9.0019999999999989E-2</c:v>
                </c:pt>
                <c:pt idx="1158">
                  <c:v>8.5860000000000006E-2</c:v>
                </c:pt>
                <c:pt idx="1159">
                  <c:v>8.1699999999999995E-2</c:v>
                </c:pt>
                <c:pt idx="1160">
                  <c:v>7.9000000000000001E-2</c:v>
                </c:pt>
                <c:pt idx="1161">
                  <c:v>7.6299999999999993E-2</c:v>
                </c:pt>
                <c:pt idx="1162">
                  <c:v>7.3599999999999999E-2</c:v>
                </c:pt>
                <c:pt idx="1163">
                  <c:v>7.0899999999999991E-2</c:v>
                </c:pt>
                <c:pt idx="1164">
                  <c:v>6.8199999999999997E-2</c:v>
                </c:pt>
                <c:pt idx="1165">
                  <c:v>6.862E-2</c:v>
                </c:pt>
                <c:pt idx="1166">
                  <c:v>6.9040000000000004E-2</c:v>
                </c:pt>
                <c:pt idx="1167">
                  <c:v>6.9459999999999994E-2</c:v>
                </c:pt>
                <c:pt idx="1168">
                  <c:v>6.9879999999999998E-2</c:v>
                </c:pt>
                <c:pt idx="1169">
                  <c:v>7.0300000000000001E-2</c:v>
                </c:pt>
                <c:pt idx="1170">
                  <c:v>8.0440000000000011E-2</c:v>
                </c:pt>
                <c:pt idx="1171">
                  <c:v>9.0579999999999994E-2</c:v>
                </c:pt>
                <c:pt idx="1172">
                  <c:v>0.10072</c:v>
                </c:pt>
                <c:pt idx="1173">
                  <c:v>0.11086</c:v>
                </c:pt>
                <c:pt idx="1174">
                  <c:v>0.121</c:v>
                </c:pt>
                <c:pt idx="1175">
                  <c:v>0.13564000000000001</c:v>
                </c:pt>
                <c:pt idx="1176">
                  <c:v>0.15028000000000002</c:v>
                </c:pt>
                <c:pt idx="1177">
                  <c:v>0.16492000000000001</c:v>
                </c:pt>
                <c:pt idx="1178">
                  <c:v>0.17956000000000003</c:v>
                </c:pt>
                <c:pt idx="1179">
                  <c:v>0.19420000000000001</c:v>
                </c:pt>
                <c:pt idx="1180">
                  <c:v>0.17780000000000001</c:v>
                </c:pt>
                <c:pt idx="1181">
                  <c:v>0.16139999999999999</c:v>
                </c:pt>
                <c:pt idx="1182">
                  <c:v>0.14500000000000002</c:v>
                </c:pt>
                <c:pt idx="1183">
                  <c:v>0.12860000000000002</c:v>
                </c:pt>
                <c:pt idx="1184">
                  <c:v>0.11219999999999999</c:v>
                </c:pt>
                <c:pt idx="1185">
                  <c:v>0.10732000000000001</c:v>
                </c:pt>
                <c:pt idx="1186">
                  <c:v>0.10244</c:v>
                </c:pt>
                <c:pt idx="1187">
                  <c:v>9.7560000000000008E-2</c:v>
                </c:pt>
                <c:pt idx="1188">
                  <c:v>9.2680000000000012E-2</c:v>
                </c:pt>
                <c:pt idx="1189">
                  <c:v>8.7800000000000003E-2</c:v>
                </c:pt>
                <c:pt idx="1190">
                  <c:v>9.3400000000000011E-2</c:v>
                </c:pt>
                <c:pt idx="1191">
                  <c:v>9.9000000000000005E-2</c:v>
                </c:pt>
                <c:pt idx="1192">
                  <c:v>0.1046</c:v>
                </c:pt>
                <c:pt idx="1193">
                  <c:v>0.11020000000000001</c:v>
                </c:pt>
                <c:pt idx="1194">
                  <c:v>0.1158</c:v>
                </c:pt>
                <c:pt idx="1195">
                  <c:v>0.11358</c:v>
                </c:pt>
                <c:pt idx="1196">
                  <c:v>0.11136</c:v>
                </c:pt>
                <c:pt idx="1197">
                  <c:v>0.10914</c:v>
                </c:pt>
                <c:pt idx="1198">
                  <c:v>0.10692</c:v>
                </c:pt>
                <c:pt idx="1199">
                  <c:v>0.1047</c:v>
                </c:pt>
                <c:pt idx="1200">
                  <c:v>0.10897999999999999</c:v>
                </c:pt>
                <c:pt idx="1201">
                  <c:v>0.11326</c:v>
                </c:pt>
                <c:pt idx="1202">
                  <c:v>0.11753999999999999</c:v>
                </c:pt>
                <c:pt idx="1203">
                  <c:v>0.12182</c:v>
                </c:pt>
                <c:pt idx="1204">
                  <c:v>0.12609999999999999</c:v>
                </c:pt>
                <c:pt idx="1205">
                  <c:v>0.1313</c:v>
                </c:pt>
                <c:pt idx="1206">
                  <c:v>0.13650000000000001</c:v>
                </c:pt>
                <c:pt idx="1207">
                  <c:v>0.14169999999999999</c:v>
                </c:pt>
                <c:pt idx="1208">
                  <c:v>0.1469</c:v>
                </c:pt>
                <c:pt idx="1209">
                  <c:v>0.15210000000000001</c:v>
                </c:pt>
                <c:pt idx="1210">
                  <c:v>0.16248000000000001</c:v>
                </c:pt>
                <c:pt idx="1211">
                  <c:v>0.17286000000000001</c:v>
                </c:pt>
                <c:pt idx="1212">
                  <c:v>0.18323999999999999</c:v>
                </c:pt>
                <c:pt idx="1213">
                  <c:v>0.19362000000000001</c:v>
                </c:pt>
                <c:pt idx="1214">
                  <c:v>0.20399999999999999</c:v>
                </c:pt>
                <c:pt idx="1215">
                  <c:v>0.19908000000000001</c:v>
                </c:pt>
                <c:pt idx="1216">
                  <c:v>0.19416</c:v>
                </c:pt>
                <c:pt idx="1217">
                  <c:v>0.18924000000000002</c:v>
                </c:pt>
                <c:pt idx="1218">
                  <c:v>0.18432000000000001</c:v>
                </c:pt>
                <c:pt idx="1219">
                  <c:v>0.1794</c:v>
                </c:pt>
                <c:pt idx="1220">
                  <c:v>0.16808000000000001</c:v>
                </c:pt>
                <c:pt idx="1221">
                  <c:v>0.15676000000000001</c:v>
                </c:pt>
                <c:pt idx="1222">
                  <c:v>0.14544000000000001</c:v>
                </c:pt>
                <c:pt idx="1223">
                  <c:v>0.13412000000000002</c:v>
                </c:pt>
                <c:pt idx="1224">
                  <c:v>0.12280000000000001</c:v>
                </c:pt>
                <c:pt idx="1225">
                  <c:v>0.13752</c:v>
                </c:pt>
                <c:pt idx="1226">
                  <c:v>0.15223999999999999</c:v>
                </c:pt>
                <c:pt idx="1227">
                  <c:v>0.16696</c:v>
                </c:pt>
                <c:pt idx="1228">
                  <c:v>0.18168000000000001</c:v>
                </c:pt>
                <c:pt idx="1229">
                  <c:v>0.19639999999999999</c:v>
                </c:pt>
                <c:pt idx="1230">
                  <c:v>0.20408000000000001</c:v>
                </c:pt>
                <c:pt idx="1231">
                  <c:v>0.21176</c:v>
                </c:pt>
                <c:pt idx="1232">
                  <c:v>0.21944000000000002</c:v>
                </c:pt>
                <c:pt idx="1233">
                  <c:v>0.22712000000000002</c:v>
                </c:pt>
                <c:pt idx="1234">
                  <c:v>0.23480000000000001</c:v>
                </c:pt>
                <c:pt idx="1235">
                  <c:v>0.22204000000000002</c:v>
                </c:pt>
                <c:pt idx="1236">
                  <c:v>0.20928000000000002</c:v>
                </c:pt>
                <c:pt idx="1237">
                  <c:v>0.19652000000000003</c:v>
                </c:pt>
                <c:pt idx="1238">
                  <c:v>0.18376000000000001</c:v>
                </c:pt>
                <c:pt idx="1239">
                  <c:v>0.17100000000000001</c:v>
                </c:pt>
                <c:pt idx="1240">
                  <c:v>0.16848000000000002</c:v>
                </c:pt>
                <c:pt idx="1241">
                  <c:v>0.16596000000000002</c:v>
                </c:pt>
                <c:pt idx="1242">
                  <c:v>0.16344</c:v>
                </c:pt>
                <c:pt idx="1243">
                  <c:v>0.16092000000000004</c:v>
                </c:pt>
                <c:pt idx="1244">
                  <c:v>0.15840000000000001</c:v>
                </c:pt>
                <c:pt idx="1245">
                  <c:v>0.15606000000000003</c:v>
                </c:pt>
                <c:pt idx="1246">
                  <c:v>0.15372</c:v>
                </c:pt>
                <c:pt idx="1247">
                  <c:v>0.15138000000000001</c:v>
                </c:pt>
                <c:pt idx="1248">
                  <c:v>0.14904000000000001</c:v>
                </c:pt>
                <c:pt idx="1249">
                  <c:v>0.1467</c:v>
                </c:pt>
                <c:pt idx="1250">
                  <c:v>0.15606</c:v>
                </c:pt>
                <c:pt idx="1251">
                  <c:v>0.16542000000000001</c:v>
                </c:pt>
                <c:pt idx="1252">
                  <c:v>0.17477999999999999</c:v>
                </c:pt>
                <c:pt idx="1253">
                  <c:v>0.18414000000000003</c:v>
                </c:pt>
                <c:pt idx="1254">
                  <c:v>0.19350000000000001</c:v>
                </c:pt>
                <c:pt idx="1255">
                  <c:v>0.17696000000000001</c:v>
                </c:pt>
                <c:pt idx="1256">
                  <c:v>0.16042000000000001</c:v>
                </c:pt>
                <c:pt idx="1257">
                  <c:v>0.14388000000000001</c:v>
                </c:pt>
                <c:pt idx="1258">
                  <c:v>0.12734000000000001</c:v>
                </c:pt>
                <c:pt idx="1259">
                  <c:v>0.1108</c:v>
                </c:pt>
                <c:pt idx="1260">
                  <c:v>0.10883999999999999</c:v>
                </c:pt>
                <c:pt idx="1261">
                  <c:v>0.10688</c:v>
                </c:pt>
                <c:pt idx="1262">
                  <c:v>0.10492</c:v>
                </c:pt>
                <c:pt idx="1263">
                  <c:v>0.10296000000000001</c:v>
                </c:pt>
                <c:pt idx="1264">
                  <c:v>0.10100000000000001</c:v>
                </c:pt>
                <c:pt idx="1265">
                  <c:v>9.9180000000000018E-2</c:v>
                </c:pt>
                <c:pt idx="1266">
                  <c:v>9.7360000000000002E-2</c:v>
                </c:pt>
                <c:pt idx="1267">
                  <c:v>9.554E-2</c:v>
                </c:pt>
                <c:pt idx="1268">
                  <c:v>9.3719999999999998E-2</c:v>
                </c:pt>
                <c:pt idx="1269">
                  <c:v>9.1899999999999996E-2</c:v>
                </c:pt>
                <c:pt idx="1270">
                  <c:v>9.2800000000000007E-2</c:v>
                </c:pt>
                <c:pt idx="1271">
                  <c:v>9.3700000000000006E-2</c:v>
                </c:pt>
                <c:pt idx="1272">
                  <c:v>9.459999999999999E-2</c:v>
                </c:pt>
                <c:pt idx="1273">
                  <c:v>9.5500000000000002E-2</c:v>
                </c:pt>
                <c:pt idx="1274">
                  <c:v>9.64E-2</c:v>
                </c:pt>
                <c:pt idx="1275">
                  <c:v>9.3600000000000017E-2</c:v>
                </c:pt>
                <c:pt idx="1276">
                  <c:v>9.0799999999999992E-2</c:v>
                </c:pt>
                <c:pt idx="1277">
                  <c:v>8.7999999999999995E-2</c:v>
                </c:pt>
                <c:pt idx="1278">
                  <c:v>8.5200000000000012E-2</c:v>
                </c:pt>
                <c:pt idx="1279">
                  <c:v>8.2400000000000001E-2</c:v>
                </c:pt>
                <c:pt idx="1280">
                  <c:v>9.2460000000000014E-2</c:v>
                </c:pt>
                <c:pt idx="1281">
                  <c:v>0.10252</c:v>
                </c:pt>
                <c:pt idx="1282">
                  <c:v>0.11258000000000001</c:v>
                </c:pt>
                <c:pt idx="1283">
                  <c:v>0.12264000000000003</c:v>
                </c:pt>
                <c:pt idx="1284">
                  <c:v>0.13270000000000001</c:v>
                </c:pt>
                <c:pt idx="1285">
                  <c:v>0.13058000000000003</c:v>
                </c:pt>
                <c:pt idx="1286">
                  <c:v>0.12846000000000002</c:v>
                </c:pt>
                <c:pt idx="1287">
                  <c:v>0.12634000000000001</c:v>
                </c:pt>
                <c:pt idx="1288">
                  <c:v>0.12422000000000001</c:v>
                </c:pt>
                <c:pt idx="1289">
                  <c:v>0.1221</c:v>
                </c:pt>
                <c:pt idx="1290">
                  <c:v>0.1147</c:v>
                </c:pt>
                <c:pt idx="1291">
                  <c:v>0.10729999999999999</c:v>
                </c:pt>
                <c:pt idx="1292">
                  <c:v>9.9899999999999989E-2</c:v>
                </c:pt>
                <c:pt idx="1293">
                  <c:v>9.2499999999999999E-2</c:v>
                </c:pt>
                <c:pt idx="1294">
                  <c:v>8.5099999999999995E-2</c:v>
                </c:pt>
                <c:pt idx="1295">
                  <c:v>8.2780000000000006E-2</c:v>
                </c:pt>
                <c:pt idx="1296">
                  <c:v>8.045999999999999E-2</c:v>
                </c:pt>
                <c:pt idx="1297">
                  <c:v>7.8139999999999987E-2</c:v>
                </c:pt>
                <c:pt idx="1298">
                  <c:v>7.5819999999999999E-2</c:v>
                </c:pt>
                <c:pt idx="1299">
                  <c:v>7.3499999999999996E-2</c:v>
                </c:pt>
                <c:pt idx="1300">
                  <c:v>7.0519999999999999E-2</c:v>
                </c:pt>
                <c:pt idx="1301">
                  <c:v>6.7539999999999989E-2</c:v>
                </c:pt>
                <c:pt idx="1302">
                  <c:v>6.4559999999999992E-2</c:v>
                </c:pt>
                <c:pt idx="1303">
                  <c:v>6.1580000000000003E-2</c:v>
                </c:pt>
                <c:pt idx="1304">
                  <c:v>5.8599999999999999E-2</c:v>
                </c:pt>
                <c:pt idx="1305">
                  <c:v>8.0520000000000008E-2</c:v>
                </c:pt>
                <c:pt idx="1306">
                  <c:v>0.10243999999999999</c:v>
                </c:pt>
                <c:pt idx="1307">
                  <c:v>0.12436</c:v>
                </c:pt>
                <c:pt idx="1308">
                  <c:v>0.14627999999999999</c:v>
                </c:pt>
                <c:pt idx="1309">
                  <c:v>0.16819999999999999</c:v>
                </c:pt>
                <c:pt idx="1310">
                  <c:v>0.15709999999999999</c:v>
                </c:pt>
                <c:pt idx="1311">
                  <c:v>0.14599999999999999</c:v>
                </c:pt>
                <c:pt idx="1312">
                  <c:v>0.13489999999999999</c:v>
                </c:pt>
                <c:pt idx="1313">
                  <c:v>0.12379999999999999</c:v>
                </c:pt>
                <c:pt idx="1314">
                  <c:v>0.11269999999999999</c:v>
                </c:pt>
                <c:pt idx="1315">
                  <c:v>0.12356</c:v>
                </c:pt>
                <c:pt idx="1316">
                  <c:v>0.13442000000000001</c:v>
                </c:pt>
                <c:pt idx="1317">
                  <c:v>0.14527999999999999</c:v>
                </c:pt>
                <c:pt idx="1318">
                  <c:v>0.15614000000000003</c:v>
                </c:pt>
                <c:pt idx="1319">
                  <c:v>0.16700000000000001</c:v>
                </c:pt>
                <c:pt idx="1320">
                  <c:v>0.16928000000000004</c:v>
                </c:pt>
                <c:pt idx="1321">
                  <c:v>0.17155999999999999</c:v>
                </c:pt>
                <c:pt idx="1322">
                  <c:v>0.17383999999999999</c:v>
                </c:pt>
                <c:pt idx="1323">
                  <c:v>0.17612000000000003</c:v>
                </c:pt>
                <c:pt idx="1324">
                  <c:v>0.1784</c:v>
                </c:pt>
                <c:pt idx="1325">
                  <c:v>0.17546</c:v>
                </c:pt>
                <c:pt idx="1326">
                  <c:v>0.17252000000000001</c:v>
                </c:pt>
                <c:pt idx="1327">
                  <c:v>0.16958000000000001</c:v>
                </c:pt>
                <c:pt idx="1328">
                  <c:v>0.16664000000000001</c:v>
                </c:pt>
                <c:pt idx="1329">
                  <c:v>0.16370000000000001</c:v>
                </c:pt>
                <c:pt idx="1330">
                  <c:v>0.18276000000000003</c:v>
                </c:pt>
                <c:pt idx="1331">
                  <c:v>0.20182</c:v>
                </c:pt>
                <c:pt idx="1332">
                  <c:v>0.22088000000000002</c:v>
                </c:pt>
                <c:pt idx="1333">
                  <c:v>0.23994000000000004</c:v>
                </c:pt>
                <c:pt idx="1334">
                  <c:v>0.25900000000000001</c:v>
                </c:pt>
                <c:pt idx="1335">
                  <c:v>0.25052000000000002</c:v>
                </c:pt>
                <c:pt idx="1336">
                  <c:v>0.24204000000000001</c:v>
                </c:pt>
                <c:pt idx="1337">
                  <c:v>0.23355999999999999</c:v>
                </c:pt>
                <c:pt idx="1338">
                  <c:v>0.22508</c:v>
                </c:pt>
                <c:pt idx="1339">
                  <c:v>0.21659999999999999</c:v>
                </c:pt>
                <c:pt idx="1340">
                  <c:v>0.21801999999999999</c:v>
                </c:pt>
                <c:pt idx="1341">
                  <c:v>0.21944</c:v>
                </c:pt>
                <c:pt idx="1342">
                  <c:v>0.22086</c:v>
                </c:pt>
                <c:pt idx="1343">
                  <c:v>0.22228000000000001</c:v>
                </c:pt>
                <c:pt idx="1344">
                  <c:v>0.22370000000000001</c:v>
                </c:pt>
                <c:pt idx="1345">
                  <c:v>0.22492000000000001</c:v>
                </c:pt>
                <c:pt idx="1346">
                  <c:v>0.22614000000000001</c:v>
                </c:pt>
                <c:pt idx="1347">
                  <c:v>0.22736000000000001</c:v>
                </c:pt>
                <c:pt idx="1348">
                  <c:v>0.22858000000000001</c:v>
                </c:pt>
                <c:pt idx="1349">
                  <c:v>0.2298</c:v>
                </c:pt>
                <c:pt idx="1350">
                  <c:v>0.23192000000000002</c:v>
                </c:pt>
                <c:pt idx="1351">
                  <c:v>0.23404000000000003</c:v>
                </c:pt>
                <c:pt idx="1352">
                  <c:v>0.23616000000000001</c:v>
                </c:pt>
                <c:pt idx="1353">
                  <c:v>0.23828000000000002</c:v>
                </c:pt>
                <c:pt idx="1354">
                  <c:v>0.2404</c:v>
                </c:pt>
                <c:pt idx="1355">
                  <c:v>0.22822000000000003</c:v>
                </c:pt>
                <c:pt idx="1356">
                  <c:v>0.21604000000000001</c:v>
                </c:pt>
                <c:pt idx="1357">
                  <c:v>0.20385999999999999</c:v>
                </c:pt>
                <c:pt idx="1358">
                  <c:v>0.19168000000000002</c:v>
                </c:pt>
                <c:pt idx="1359">
                  <c:v>0.17949999999999999</c:v>
                </c:pt>
                <c:pt idx="1360">
                  <c:v>0.16576000000000002</c:v>
                </c:pt>
                <c:pt idx="1361">
                  <c:v>0.15201999999999999</c:v>
                </c:pt>
                <c:pt idx="1362">
                  <c:v>0.13828000000000001</c:v>
                </c:pt>
                <c:pt idx="1363">
                  <c:v>0.12454</c:v>
                </c:pt>
                <c:pt idx="1364">
                  <c:v>0.1108</c:v>
                </c:pt>
                <c:pt idx="1365">
                  <c:v>0.12346</c:v>
                </c:pt>
                <c:pt idx="1366">
                  <c:v>0.13612000000000002</c:v>
                </c:pt>
                <c:pt idx="1367">
                  <c:v>0.14878</c:v>
                </c:pt>
                <c:pt idx="1368">
                  <c:v>0.16144000000000003</c:v>
                </c:pt>
                <c:pt idx="1369">
                  <c:v>0.1741</c:v>
                </c:pt>
                <c:pt idx="1370">
                  <c:v>0.17322000000000001</c:v>
                </c:pt>
                <c:pt idx="1371">
                  <c:v>0.17233999999999999</c:v>
                </c:pt>
                <c:pt idx="1372">
                  <c:v>0.17146</c:v>
                </c:pt>
                <c:pt idx="1373">
                  <c:v>0.17058000000000001</c:v>
                </c:pt>
                <c:pt idx="1374">
                  <c:v>0.16969999999999999</c:v>
                </c:pt>
                <c:pt idx="1375">
                  <c:v>0.16924</c:v>
                </c:pt>
                <c:pt idx="1376">
                  <c:v>0.16877999999999999</c:v>
                </c:pt>
                <c:pt idx="1377">
                  <c:v>0.16831999999999997</c:v>
                </c:pt>
                <c:pt idx="1378">
                  <c:v>0.16786000000000001</c:v>
                </c:pt>
                <c:pt idx="1379">
                  <c:v>0.16739999999999999</c:v>
                </c:pt>
                <c:pt idx="1380">
                  <c:v>0.16972000000000001</c:v>
                </c:pt>
                <c:pt idx="1381">
                  <c:v>0.17203999999999997</c:v>
                </c:pt>
                <c:pt idx="1382">
                  <c:v>0.17436000000000001</c:v>
                </c:pt>
                <c:pt idx="1383">
                  <c:v>0.17668</c:v>
                </c:pt>
                <c:pt idx="1384">
                  <c:v>0.17899999999999999</c:v>
                </c:pt>
                <c:pt idx="1385">
                  <c:v>0.17571999999999999</c:v>
                </c:pt>
                <c:pt idx="1386">
                  <c:v>0.17243999999999998</c:v>
                </c:pt>
                <c:pt idx="1387">
                  <c:v>0.16915999999999998</c:v>
                </c:pt>
                <c:pt idx="1388">
                  <c:v>0.16588</c:v>
                </c:pt>
                <c:pt idx="1389">
                  <c:v>0.16259999999999999</c:v>
                </c:pt>
                <c:pt idx="1390">
                  <c:v>0.15801999999999999</c:v>
                </c:pt>
                <c:pt idx="1391">
                  <c:v>0.15343999999999999</c:v>
                </c:pt>
                <c:pt idx="1392">
                  <c:v>0.14885999999999999</c:v>
                </c:pt>
                <c:pt idx="1393">
                  <c:v>0.14427999999999999</c:v>
                </c:pt>
                <c:pt idx="1394">
                  <c:v>0.13969999999999999</c:v>
                </c:pt>
                <c:pt idx="1395">
                  <c:v>0.13350000000000001</c:v>
                </c:pt>
                <c:pt idx="1396">
                  <c:v>0.1273</c:v>
                </c:pt>
                <c:pt idx="1397">
                  <c:v>0.1211</c:v>
                </c:pt>
                <c:pt idx="1398">
                  <c:v>0.1149</c:v>
                </c:pt>
                <c:pt idx="1399">
                  <c:v>0.1087</c:v>
                </c:pt>
                <c:pt idx="1400">
                  <c:v>0.11038000000000001</c:v>
                </c:pt>
                <c:pt idx="1401">
                  <c:v>0.11205999999999999</c:v>
                </c:pt>
                <c:pt idx="1402">
                  <c:v>0.11373999999999999</c:v>
                </c:pt>
                <c:pt idx="1403">
                  <c:v>0.11541999999999999</c:v>
                </c:pt>
                <c:pt idx="1404">
                  <c:v>0.1171</c:v>
                </c:pt>
                <c:pt idx="1405">
                  <c:v>0.11706</c:v>
                </c:pt>
                <c:pt idx="1406">
                  <c:v>0.11701999999999999</c:v>
                </c:pt>
                <c:pt idx="1407">
                  <c:v>0.11698</c:v>
                </c:pt>
                <c:pt idx="1408">
                  <c:v>0.11694</c:v>
                </c:pt>
                <c:pt idx="1409">
                  <c:v>0.1169</c:v>
                </c:pt>
                <c:pt idx="1410">
                  <c:v>0.11962</c:v>
                </c:pt>
                <c:pt idx="1411">
                  <c:v>0.12234</c:v>
                </c:pt>
                <c:pt idx="1412">
                  <c:v>0.12506</c:v>
                </c:pt>
                <c:pt idx="1413">
                  <c:v>0.12778</c:v>
                </c:pt>
                <c:pt idx="1414">
                  <c:v>0.1305</c:v>
                </c:pt>
                <c:pt idx="1415">
                  <c:v>0.13106000000000001</c:v>
                </c:pt>
                <c:pt idx="1416">
                  <c:v>0.13162000000000001</c:v>
                </c:pt>
                <c:pt idx="1417">
                  <c:v>0.13217999999999999</c:v>
                </c:pt>
                <c:pt idx="1418">
                  <c:v>0.13274000000000002</c:v>
                </c:pt>
                <c:pt idx="1419">
                  <c:v>0.1333</c:v>
                </c:pt>
                <c:pt idx="1420">
                  <c:v>0.14374000000000001</c:v>
                </c:pt>
                <c:pt idx="1421">
                  <c:v>0.15417999999999998</c:v>
                </c:pt>
                <c:pt idx="1422">
                  <c:v>0.16461999999999999</c:v>
                </c:pt>
                <c:pt idx="1423">
                  <c:v>0.17505999999999999</c:v>
                </c:pt>
                <c:pt idx="1424">
                  <c:v>0.1855</c:v>
                </c:pt>
                <c:pt idx="1425">
                  <c:v>0.21266000000000002</c:v>
                </c:pt>
                <c:pt idx="1426">
                  <c:v>0.23981999999999998</c:v>
                </c:pt>
                <c:pt idx="1427">
                  <c:v>0.26698</c:v>
                </c:pt>
                <c:pt idx="1428">
                  <c:v>0.29414000000000001</c:v>
                </c:pt>
                <c:pt idx="1429">
                  <c:v>0.32129999999999997</c:v>
                </c:pt>
                <c:pt idx="1430">
                  <c:v>0.31752000000000002</c:v>
                </c:pt>
                <c:pt idx="1431">
                  <c:v>0.31374000000000002</c:v>
                </c:pt>
                <c:pt idx="1432">
                  <c:v>0.30996000000000001</c:v>
                </c:pt>
                <c:pt idx="1433">
                  <c:v>0.30618000000000001</c:v>
                </c:pt>
                <c:pt idx="1434">
                  <c:v>0.3024</c:v>
                </c:pt>
                <c:pt idx="1435">
                  <c:v>0.29636000000000001</c:v>
                </c:pt>
                <c:pt idx="1436">
                  <c:v>0.29032000000000002</c:v>
                </c:pt>
                <c:pt idx="1437">
                  <c:v>0.28427999999999998</c:v>
                </c:pt>
                <c:pt idx="1438">
                  <c:v>0.27824000000000004</c:v>
                </c:pt>
                <c:pt idx="1439">
                  <c:v>0.2722</c:v>
                </c:pt>
                <c:pt idx="1440">
                  <c:v>0.27900000000000003</c:v>
                </c:pt>
                <c:pt idx="1441">
                  <c:v>0.2858</c:v>
                </c:pt>
                <c:pt idx="1442">
                  <c:v>0.29260000000000003</c:v>
                </c:pt>
                <c:pt idx="1443">
                  <c:v>0.29940000000000005</c:v>
                </c:pt>
                <c:pt idx="1444">
                  <c:v>0.30620000000000003</c:v>
                </c:pt>
                <c:pt idx="1445">
                  <c:v>0.28026000000000006</c:v>
                </c:pt>
                <c:pt idx="1446">
                  <c:v>0.25431999999999999</c:v>
                </c:pt>
                <c:pt idx="1447">
                  <c:v>0.22838000000000003</c:v>
                </c:pt>
                <c:pt idx="1448">
                  <c:v>0.20244000000000001</c:v>
                </c:pt>
                <c:pt idx="1449">
                  <c:v>0.17649999999999999</c:v>
                </c:pt>
                <c:pt idx="1450">
                  <c:v>0.18328</c:v>
                </c:pt>
                <c:pt idx="1451">
                  <c:v>0.19006000000000001</c:v>
                </c:pt>
                <c:pt idx="1452">
                  <c:v>0.19683999999999999</c:v>
                </c:pt>
                <c:pt idx="1453">
                  <c:v>0.20362000000000002</c:v>
                </c:pt>
                <c:pt idx="1454">
                  <c:v>0.2104</c:v>
                </c:pt>
                <c:pt idx="1455">
                  <c:v>0.21298000000000003</c:v>
                </c:pt>
                <c:pt idx="1456">
                  <c:v>0.21556</c:v>
                </c:pt>
                <c:pt idx="1457">
                  <c:v>0.21814</c:v>
                </c:pt>
                <c:pt idx="1458">
                  <c:v>0.22072000000000003</c:v>
                </c:pt>
                <c:pt idx="1459">
                  <c:v>0.2233</c:v>
                </c:pt>
                <c:pt idx="1460">
                  <c:v>0.20600000000000002</c:v>
                </c:pt>
                <c:pt idx="1461">
                  <c:v>0.18869999999999998</c:v>
                </c:pt>
                <c:pt idx="1462">
                  <c:v>0.1714</c:v>
                </c:pt>
                <c:pt idx="1463">
                  <c:v>0.15410000000000001</c:v>
                </c:pt>
                <c:pt idx="1464">
                  <c:v>0.1368</c:v>
                </c:pt>
                <c:pt idx="1465">
                  <c:v>0.13948000000000002</c:v>
                </c:pt>
                <c:pt idx="1466">
                  <c:v>0.14216000000000001</c:v>
                </c:pt>
                <c:pt idx="1467">
                  <c:v>0.14484</c:v>
                </c:pt>
                <c:pt idx="1468">
                  <c:v>0.14752000000000001</c:v>
                </c:pt>
                <c:pt idx="1469">
                  <c:v>0.1502</c:v>
                </c:pt>
                <c:pt idx="1470">
                  <c:v>0.14813999999999999</c:v>
                </c:pt>
                <c:pt idx="1471">
                  <c:v>0.14607999999999999</c:v>
                </c:pt>
                <c:pt idx="1472">
                  <c:v>0.14402000000000001</c:v>
                </c:pt>
                <c:pt idx="1473">
                  <c:v>0.14196</c:v>
                </c:pt>
                <c:pt idx="1474">
                  <c:v>0.1399</c:v>
                </c:pt>
                <c:pt idx="1475">
                  <c:v>0.14132</c:v>
                </c:pt>
                <c:pt idx="1476">
                  <c:v>0.14274000000000001</c:v>
                </c:pt>
                <c:pt idx="1477">
                  <c:v>0.14415999999999998</c:v>
                </c:pt>
                <c:pt idx="1478">
                  <c:v>0.14557999999999999</c:v>
                </c:pt>
                <c:pt idx="1479">
                  <c:v>0.14699999999999999</c:v>
                </c:pt>
                <c:pt idx="1480">
                  <c:v>0.14604</c:v>
                </c:pt>
                <c:pt idx="1481">
                  <c:v>0.14507999999999999</c:v>
                </c:pt>
                <c:pt idx="1482">
                  <c:v>0.14412</c:v>
                </c:pt>
                <c:pt idx="1483">
                  <c:v>0.14316000000000001</c:v>
                </c:pt>
                <c:pt idx="1484">
                  <c:v>0.14219999999999999</c:v>
                </c:pt>
                <c:pt idx="1485">
                  <c:v>0.13780000000000001</c:v>
                </c:pt>
                <c:pt idx="1486">
                  <c:v>0.13339999999999999</c:v>
                </c:pt>
                <c:pt idx="1487">
                  <c:v>0.129</c:v>
                </c:pt>
                <c:pt idx="1488">
                  <c:v>0.12460000000000002</c:v>
                </c:pt>
                <c:pt idx="1489">
                  <c:v>0.1202</c:v>
                </c:pt>
                <c:pt idx="1490">
                  <c:v>0.12620000000000001</c:v>
                </c:pt>
                <c:pt idx="1491">
                  <c:v>0.13220000000000001</c:v>
                </c:pt>
                <c:pt idx="1492">
                  <c:v>0.13819999999999999</c:v>
                </c:pt>
                <c:pt idx="1493">
                  <c:v>0.14419999999999999</c:v>
                </c:pt>
                <c:pt idx="1494">
                  <c:v>0.1502</c:v>
                </c:pt>
                <c:pt idx="1495">
                  <c:v>0.14054</c:v>
                </c:pt>
                <c:pt idx="1496">
                  <c:v>0.13088</c:v>
                </c:pt>
                <c:pt idx="1497">
                  <c:v>0.12121999999999999</c:v>
                </c:pt>
                <c:pt idx="1498">
                  <c:v>0.11156000000000001</c:v>
                </c:pt>
                <c:pt idx="1499">
                  <c:v>0.1019</c:v>
                </c:pt>
                <c:pt idx="1500">
                  <c:v>0.11030000000000001</c:v>
                </c:pt>
                <c:pt idx="1501">
                  <c:v>0.1187</c:v>
                </c:pt>
                <c:pt idx="1502">
                  <c:v>0.12709999999999999</c:v>
                </c:pt>
                <c:pt idx="1503">
                  <c:v>0.13550000000000001</c:v>
                </c:pt>
                <c:pt idx="1504">
                  <c:v>0.1439</c:v>
                </c:pt>
                <c:pt idx="1505">
                  <c:v>0.14448</c:v>
                </c:pt>
                <c:pt idx="1506">
                  <c:v>0.14506000000000002</c:v>
                </c:pt>
                <c:pt idx="1507">
                  <c:v>0.14563999999999999</c:v>
                </c:pt>
                <c:pt idx="1508">
                  <c:v>0.14622000000000002</c:v>
                </c:pt>
                <c:pt idx="1509">
                  <c:v>0.14680000000000001</c:v>
                </c:pt>
                <c:pt idx="1510">
                  <c:v>0.13610000000000003</c:v>
                </c:pt>
                <c:pt idx="1511">
                  <c:v>0.12540000000000001</c:v>
                </c:pt>
                <c:pt idx="1512">
                  <c:v>0.1147</c:v>
                </c:pt>
                <c:pt idx="1513">
                  <c:v>0.10400000000000001</c:v>
                </c:pt>
                <c:pt idx="1514">
                  <c:v>9.3299999999999994E-2</c:v>
                </c:pt>
                <c:pt idx="1515">
                  <c:v>9.3340000000000006E-2</c:v>
                </c:pt>
                <c:pt idx="1516">
                  <c:v>9.3379999999999991E-2</c:v>
                </c:pt>
                <c:pt idx="1517">
                  <c:v>9.3420000000000003E-2</c:v>
                </c:pt>
                <c:pt idx="1518">
                  <c:v>9.3460000000000001E-2</c:v>
                </c:pt>
                <c:pt idx="1519">
                  <c:v>9.35E-2</c:v>
                </c:pt>
                <c:pt idx="1520">
                  <c:v>9.8360000000000003E-2</c:v>
                </c:pt>
                <c:pt idx="1521">
                  <c:v>0.10322000000000001</c:v>
                </c:pt>
                <c:pt idx="1522">
                  <c:v>0.10808</c:v>
                </c:pt>
                <c:pt idx="1523">
                  <c:v>0.11294000000000001</c:v>
                </c:pt>
                <c:pt idx="1524">
                  <c:v>0.1178</c:v>
                </c:pt>
                <c:pt idx="1525">
                  <c:v>0.12246000000000001</c:v>
                </c:pt>
                <c:pt idx="1526">
                  <c:v>0.12712000000000001</c:v>
                </c:pt>
                <c:pt idx="1527">
                  <c:v>0.13178000000000001</c:v>
                </c:pt>
                <c:pt idx="1528">
                  <c:v>0.13644000000000001</c:v>
                </c:pt>
                <c:pt idx="1529">
                  <c:v>0.1411</c:v>
                </c:pt>
                <c:pt idx="1530">
                  <c:v>0.13034000000000001</c:v>
                </c:pt>
                <c:pt idx="1531">
                  <c:v>0.11957999999999999</c:v>
                </c:pt>
                <c:pt idx="1532">
                  <c:v>0.10882</c:v>
                </c:pt>
                <c:pt idx="1533">
                  <c:v>9.8060000000000008E-2</c:v>
                </c:pt>
                <c:pt idx="1534">
                  <c:v>8.7300000000000003E-2</c:v>
                </c:pt>
                <c:pt idx="1535">
                  <c:v>8.6080000000000004E-2</c:v>
                </c:pt>
                <c:pt idx="1536">
                  <c:v>8.4860000000000005E-2</c:v>
                </c:pt>
                <c:pt idx="1537">
                  <c:v>8.3639999999999992E-2</c:v>
                </c:pt>
                <c:pt idx="1538">
                  <c:v>8.2420000000000007E-2</c:v>
                </c:pt>
                <c:pt idx="1539">
                  <c:v>8.1199999999999994E-2</c:v>
                </c:pt>
                <c:pt idx="1540">
                  <c:v>8.992E-2</c:v>
                </c:pt>
                <c:pt idx="1541">
                  <c:v>9.8639999999999992E-2</c:v>
                </c:pt>
                <c:pt idx="1542">
                  <c:v>0.10735999999999998</c:v>
                </c:pt>
                <c:pt idx="1543">
                  <c:v>0.11608</c:v>
                </c:pt>
                <c:pt idx="1544">
                  <c:v>0.12479999999999999</c:v>
                </c:pt>
                <c:pt idx="1545">
                  <c:v>0.12906000000000001</c:v>
                </c:pt>
                <c:pt idx="1546">
                  <c:v>0.13331999999999999</c:v>
                </c:pt>
                <c:pt idx="1547">
                  <c:v>0.13758000000000001</c:v>
                </c:pt>
                <c:pt idx="1548">
                  <c:v>0.14184000000000002</c:v>
                </c:pt>
                <c:pt idx="1549">
                  <c:v>0.14610000000000001</c:v>
                </c:pt>
                <c:pt idx="1550">
                  <c:v>0.13556000000000001</c:v>
                </c:pt>
                <c:pt idx="1551">
                  <c:v>0.12501999999999999</c:v>
                </c:pt>
                <c:pt idx="1552">
                  <c:v>0.11448</c:v>
                </c:pt>
                <c:pt idx="1553">
                  <c:v>0.10394</c:v>
                </c:pt>
                <c:pt idx="1554">
                  <c:v>9.3399999999999997E-2</c:v>
                </c:pt>
                <c:pt idx="1555">
                  <c:v>8.9679999999999996E-2</c:v>
                </c:pt>
                <c:pt idx="1556">
                  <c:v>8.5960000000000009E-2</c:v>
                </c:pt>
                <c:pt idx="1557">
                  <c:v>8.2240000000000008E-2</c:v>
                </c:pt>
                <c:pt idx="1558">
                  <c:v>7.8520000000000006E-2</c:v>
                </c:pt>
                <c:pt idx="1559">
                  <c:v>7.4800000000000005E-2</c:v>
                </c:pt>
                <c:pt idx="1560">
                  <c:v>7.0320000000000008E-2</c:v>
                </c:pt>
                <c:pt idx="1561">
                  <c:v>6.584000000000001E-2</c:v>
                </c:pt>
                <c:pt idx="1562">
                  <c:v>6.1360000000000005E-2</c:v>
                </c:pt>
                <c:pt idx="1563">
                  <c:v>5.6880000000000007E-2</c:v>
                </c:pt>
                <c:pt idx="1564">
                  <c:v>5.2400000000000002E-2</c:v>
                </c:pt>
                <c:pt idx="1565">
                  <c:v>5.7020000000000008E-2</c:v>
                </c:pt>
                <c:pt idx="1566">
                  <c:v>6.164E-2</c:v>
                </c:pt>
                <c:pt idx="1567">
                  <c:v>6.6259999999999999E-2</c:v>
                </c:pt>
                <c:pt idx="1568">
                  <c:v>7.0879999999999999E-2</c:v>
                </c:pt>
                <c:pt idx="1569">
                  <c:v>7.5499999999999998E-2</c:v>
                </c:pt>
                <c:pt idx="1570">
                  <c:v>7.2980000000000003E-2</c:v>
                </c:pt>
                <c:pt idx="1571">
                  <c:v>7.0459999999999995E-2</c:v>
                </c:pt>
                <c:pt idx="1572">
                  <c:v>6.794E-2</c:v>
                </c:pt>
                <c:pt idx="1573">
                  <c:v>6.5420000000000006E-2</c:v>
                </c:pt>
                <c:pt idx="1574">
                  <c:v>6.2899999999999998E-2</c:v>
                </c:pt>
                <c:pt idx="1575">
                  <c:v>6.5180000000000002E-2</c:v>
                </c:pt>
                <c:pt idx="1576">
                  <c:v>6.7459999999999992E-2</c:v>
                </c:pt>
                <c:pt idx="1577">
                  <c:v>6.9739999999999996E-2</c:v>
                </c:pt>
                <c:pt idx="1578">
                  <c:v>7.2020000000000001E-2</c:v>
                </c:pt>
                <c:pt idx="1579">
                  <c:v>7.4300000000000005E-2</c:v>
                </c:pt>
                <c:pt idx="1580">
                  <c:v>7.6520000000000005E-2</c:v>
                </c:pt>
                <c:pt idx="1581">
                  <c:v>7.8740000000000004E-2</c:v>
                </c:pt>
                <c:pt idx="1582">
                  <c:v>8.0960000000000004E-2</c:v>
                </c:pt>
                <c:pt idx="1583">
                  <c:v>8.3180000000000004E-2</c:v>
                </c:pt>
                <c:pt idx="1584">
                  <c:v>8.5400000000000004E-2</c:v>
                </c:pt>
                <c:pt idx="1585">
                  <c:v>8.3820000000000006E-2</c:v>
                </c:pt>
                <c:pt idx="1586">
                  <c:v>8.2240000000000008E-2</c:v>
                </c:pt>
                <c:pt idx="1587">
                  <c:v>8.0660000000000009E-2</c:v>
                </c:pt>
                <c:pt idx="1588">
                  <c:v>7.9079999999999998E-2</c:v>
                </c:pt>
                <c:pt idx="1589">
                  <c:v>7.7499999999999999E-2</c:v>
                </c:pt>
                <c:pt idx="1590">
                  <c:v>7.9420000000000004E-2</c:v>
                </c:pt>
                <c:pt idx="1591">
                  <c:v>8.1339999999999996E-2</c:v>
                </c:pt>
                <c:pt idx="1592">
                  <c:v>8.3260000000000001E-2</c:v>
                </c:pt>
                <c:pt idx="1593">
                  <c:v>8.5180000000000006E-2</c:v>
                </c:pt>
                <c:pt idx="1594">
                  <c:v>8.7099999999999997E-2</c:v>
                </c:pt>
                <c:pt idx="1595">
                  <c:v>8.3500000000000005E-2</c:v>
                </c:pt>
                <c:pt idx="1596">
                  <c:v>7.9899999999999999E-2</c:v>
                </c:pt>
                <c:pt idx="1597">
                  <c:v>7.6300000000000007E-2</c:v>
                </c:pt>
                <c:pt idx="1598">
                  <c:v>7.2700000000000001E-2</c:v>
                </c:pt>
                <c:pt idx="1599">
                  <c:v>6.9099999999999995E-2</c:v>
                </c:pt>
                <c:pt idx="1600">
                  <c:v>6.812E-2</c:v>
                </c:pt>
                <c:pt idx="1601">
                  <c:v>6.7139999999999991E-2</c:v>
                </c:pt>
                <c:pt idx="1602">
                  <c:v>6.6159999999999997E-2</c:v>
                </c:pt>
                <c:pt idx="1603">
                  <c:v>6.5179999999999988E-2</c:v>
                </c:pt>
                <c:pt idx="1604">
                  <c:v>6.4199999999999993E-2</c:v>
                </c:pt>
                <c:pt idx="1605">
                  <c:v>6.8659999999999999E-2</c:v>
                </c:pt>
                <c:pt idx="1606">
                  <c:v>7.3119999999999991E-2</c:v>
                </c:pt>
                <c:pt idx="1607">
                  <c:v>7.7579999999999996E-2</c:v>
                </c:pt>
                <c:pt idx="1608">
                  <c:v>8.2040000000000002E-2</c:v>
                </c:pt>
                <c:pt idx="1609">
                  <c:v>8.6499999999999994E-2</c:v>
                </c:pt>
                <c:pt idx="1610">
                  <c:v>8.3360000000000004E-2</c:v>
                </c:pt>
                <c:pt idx="1611">
                  <c:v>8.022E-2</c:v>
                </c:pt>
                <c:pt idx="1612">
                  <c:v>7.7079999999999996E-2</c:v>
                </c:pt>
                <c:pt idx="1613">
                  <c:v>7.3940000000000006E-2</c:v>
                </c:pt>
                <c:pt idx="1614">
                  <c:v>7.0800000000000002E-2</c:v>
                </c:pt>
                <c:pt idx="1615">
                  <c:v>6.744E-2</c:v>
                </c:pt>
                <c:pt idx="1616">
                  <c:v>6.4079999999999998E-2</c:v>
                </c:pt>
                <c:pt idx="1617">
                  <c:v>6.0719999999999996E-2</c:v>
                </c:pt>
                <c:pt idx="1618">
                  <c:v>5.7360000000000001E-2</c:v>
                </c:pt>
                <c:pt idx="1619">
                  <c:v>5.3999999999999999E-2</c:v>
                </c:pt>
                <c:pt idx="1620">
                  <c:v>5.3780000000000001E-2</c:v>
                </c:pt>
                <c:pt idx="1621">
                  <c:v>5.3559999999999997E-2</c:v>
                </c:pt>
                <c:pt idx="1622">
                  <c:v>5.3339999999999999E-2</c:v>
                </c:pt>
                <c:pt idx="1623">
                  <c:v>5.3120000000000001E-2</c:v>
                </c:pt>
                <c:pt idx="1624">
                  <c:v>5.2900000000000003E-2</c:v>
                </c:pt>
                <c:pt idx="1625">
                  <c:v>5.1220000000000002E-2</c:v>
                </c:pt>
                <c:pt idx="1626">
                  <c:v>4.9540000000000001E-2</c:v>
                </c:pt>
                <c:pt idx="1627">
                  <c:v>4.786E-2</c:v>
                </c:pt>
                <c:pt idx="1628">
                  <c:v>4.6179999999999999E-2</c:v>
                </c:pt>
                <c:pt idx="1629">
                  <c:v>4.4499999999999998E-2</c:v>
                </c:pt>
                <c:pt idx="1630">
                  <c:v>4.4740000000000002E-2</c:v>
                </c:pt>
                <c:pt idx="1631">
                  <c:v>4.4979999999999999E-2</c:v>
                </c:pt>
                <c:pt idx="1632">
                  <c:v>4.5219999999999996E-2</c:v>
                </c:pt>
                <c:pt idx="1633">
                  <c:v>4.546E-2</c:v>
                </c:pt>
                <c:pt idx="1634">
                  <c:v>4.5699999999999998E-2</c:v>
                </c:pt>
                <c:pt idx="1635">
                  <c:v>4.4680000000000004E-2</c:v>
                </c:pt>
                <c:pt idx="1636">
                  <c:v>4.3659999999999997E-2</c:v>
                </c:pt>
                <c:pt idx="1637">
                  <c:v>4.2639999999999997E-2</c:v>
                </c:pt>
                <c:pt idx="1638">
                  <c:v>4.1620000000000004E-2</c:v>
                </c:pt>
                <c:pt idx="1639">
                  <c:v>4.0599999999999997E-2</c:v>
                </c:pt>
                <c:pt idx="1640">
                  <c:v>4.2599999999999999E-2</c:v>
                </c:pt>
                <c:pt idx="1641">
                  <c:v>4.4600000000000001E-2</c:v>
                </c:pt>
                <c:pt idx="1642">
                  <c:v>4.6600000000000003E-2</c:v>
                </c:pt>
                <c:pt idx="1643">
                  <c:v>4.8600000000000004E-2</c:v>
                </c:pt>
                <c:pt idx="1644">
                  <c:v>5.0599999999999999E-2</c:v>
                </c:pt>
                <c:pt idx="1645">
                  <c:v>5.7480000000000003E-2</c:v>
                </c:pt>
                <c:pt idx="1646">
                  <c:v>6.4360000000000001E-2</c:v>
                </c:pt>
                <c:pt idx="1647">
                  <c:v>7.1239999999999998E-2</c:v>
                </c:pt>
                <c:pt idx="1648">
                  <c:v>7.8120000000000009E-2</c:v>
                </c:pt>
                <c:pt idx="1649">
                  <c:v>8.5000000000000006E-2</c:v>
                </c:pt>
                <c:pt idx="1650">
                  <c:v>7.7200000000000005E-2</c:v>
                </c:pt>
                <c:pt idx="1651">
                  <c:v>6.9400000000000003E-2</c:v>
                </c:pt>
                <c:pt idx="1652">
                  <c:v>6.1600000000000002E-2</c:v>
                </c:pt>
                <c:pt idx="1653">
                  <c:v>5.3800000000000001E-2</c:v>
                </c:pt>
                <c:pt idx="1654">
                  <c:v>4.5999999999999999E-2</c:v>
                </c:pt>
                <c:pt idx="1655">
                  <c:v>4.5100000000000001E-2</c:v>
                </c:pt>
                <c:pt idx="1656">
                  <c:v>4.4200000000000003E-2</c:v>
                </c:pt>
                <c:pt idx="1657">
                  <c:v>4.3300000000000005E-2</c:v>
                </c:pt>
                <c:pt idx="1658">
                  <c:v>4.24E-2</c:v>
                </c:pt>
                <c:pt idx="1659">
                  <c:v>4.1500000000000002E-2</c:v>
                </c:pt>
                <c:pt idx="1660">
                  <c:v>4.58E-2</c:v>
                </c:pt>
                <c:pt idx="1661">
                  <c:v>5.0100000000000006E-2</c:v>
                </c:pt>
                <c:pt idx="1662">
                  <c:v>5.4400000000000004E-2</c:v>
                </c:pt>
                <c:pt idx="1663">
                  <c:v>5.8700000000000002E-2</c:v>
                </c:pt>
                <c:pt idx="1664">
                  <c:v>6.3E-2</c:v>
                </c:pt>
                <c:pt idx="1665">
                  <c:v>5.8639999999999998E-2</c:v>
                </c:pt>
                <c:pt idx="1666">
                  <c:v>5.4280000000000002E-2</c:v>
                </c:pt>
                <c:pt idx="1667">
                  <c:v>4.9919999999999999E-2</c:v>
                </c:pt>
                <c:pt idx="1668">
                  <c:v>4.5560000000000003E-2</c:v>
                </c:pt>
                <c:pt idx="1669">
                  <c:v>4.1200000000000001E-2</c:v>
                </c:pt>
                <c:pt idx="1670">
                  <c:v>4.2400000000000007E-2</c:v>
                </c:pt>
                <c:pt idx="1671">
                  <c:v>4.36E-2</c:v>
                </c:pt>
                <c:pt idx="1672">
                  <c:v>4.48E-2</c:v>
                </c:pt>
                <c:pt idx="1673">
                  <c:v>4.5999999999999999E-2</c:v>
                </c:pt>
                <c:pt idx="1674">
                  <c:v>4.7199999999999999E-2</c:v>
                </c:pt>
                <c:pt idx="1675">
                  <c:v>4.65E-2</c:v>
                </c:pt>
                <c:pt idx="1676">
                  <c:v>4.58E-2</c:v>
                </c:pt>
                <c:pt idx="1677">
                  <c:v>4.5100000000000001E-2</c:v>
                </c:pt>
                <c:pt idx="1678">
                  <c:v>4.4400000000000009E-2</c:v>
                </c:pt>
                <c:pt idx="1679">
                  <c:v>4.3700000000000003E-2</c:v>
                </c:pt>
                <c:pt idx="1680">
                  <c:v>4.6120000000000008E-2</c:v>
                </c:pt>
                <c:pt idx="1681">
                  <c:v>4.854E-2</c:v>
                </c:pt>
                <c:pt idx="1682">
                  <c:v>5.0960000000000005E-2</c:v>
                </c:pt>
                <c:pt idx="1683">
                  <c:v>5.3380000000000011E-2</c:v>
                </c:pt>
                <c:pt idx="1684">
                  <c:v>5.5800000000000002E-2</c:v>
                </c:pt>
                <c:pt idx="1685">
                  <c:v>4.9540000000000008E-2</c:v>
                </c:pt>
                <c:pt idx="1686">
                  <c:v>4.3280000000000006E-2</c:v>
                </c:pt>
                <c:pt idx="1687">
                  <c:v>3.7020000000000004E-2</c:v>
                </c:pt>
                <c:pt idx="1688">
                  <c:v>3.0760000000000003E-2</c:v>
                </c:pt>
                <c:pt idx="1689">
                  <c:v>2.4500000000000001E-2</c:v>
                </c:pt>
                <c:pt idx="1690">
                  <c:v>3.6000000000000004E-2</c:v>
                </c:pt>
                <c:pt idx="1691">
                  <c:v>4.7500000000000001E-2</c:v>
                </c:pt>
                <c:pt idx="1692">
                  <c:v>5.9000000000000004E-2</c:v>
                </c:pt>
                <c:pt idx="1693">
                  <c:v>7.0500000000000007E-2</c:v>
                </c:pt>
                <c:pt idx="1694">
                  <c:v>8.2000000000000003E-2</c:v>
                </c:pt>
                <c:pt idx="1695">
                  <c:v>7.4360000000000009E-2</c:v>
                </c:pt>
                <c:pt idx="1696">
                  <c:v>6.6720000000000002E-2</c:v>
                </c:pt>
                <c:pt idx="1697">
                  <c:v>5.9080000000000001E-2</c:v>
                </c:pt>
                <c:pt idx="1698">
                  <c:v>5.144E-2</c:v>
                </c:pt>
                <c:pt idx="1699">
                  <c:v>4.3799999999999999E-2</c:v>
                </c:pt>
                <c:pt idx="1700">
                  <c:v>4.5960000000000001E-2</c:v>
                </c:pt>
                <c:pt idx="1701">
                  <c:v>4.8119999999999996E-2</c:v>
                </c:pt>
                <c:pt idx="1702">
                  <c:v>5.0279999999999998E-2</c:v>
                </c:pt>
                <c:pt idx="1703">
                  <c:v>5.2440000000000001E-2</c:v>
                </c:pt>
                <c:pt idx="1704">
                  <c:v>5.4600000000000003E-2</c:v>
                </c:pt>
                <c:pt idx="1705">
                  <c:v>5.4620000000000002E-2</c:v>
                </c:pt>
                <c:pt idx="1706">
                  <c:v>5.4639999999999994E-2</c:v>
                </c:pt>
                <c:pt idx="1707">
                  <c:v>5.466E-2</c:v>
                </c:pt>
                <c:pt idx="1708">
                  <c:v>5.4679999999999999E-2</c:v>
                </c:pt>
                <c:pt idx="1709">
                  <c:v>5.4699999999999999E-2</c:v>
                </c:pt>
                <c:pt idx="1710">
                  <c:v>5.178E-2</c:v>
                </c:pt>
                <c:pt idx="1711">
                  <c:v>4.8859999999999994E-2</c:v>
                </c:pt>
                <c:pt idx="1712">
                  <c:v>4.5939999999999995E-2</c:v>
                </c:pt>
                <c:pt idx="1713">
                  <c:v>4.3019999999999996E-2</c:v>
                </c:pt>
                <c:pt idx="1714">
                  <c:v>4.0099999999999997E-2</c:v>
                </c:pt>
                <c:pt idx="1715">
                  <c:v>3.9759999999999997E-2</c:v>
                </c:pt>
                <c:pt idx="1716">
                  <c:v>3.9419999999999997E-2</c:v>
                </c:pt>
                <c:pt idx="1717">
                  <c:v>3.9079999999999997E-2</c:v>
                </c:pt>
                <c:pt idx="1718">
                  <c:v>3.8739999999999997E-2</c:v>
                </c:pt>
                <c:pt idx="1719">
                  <c:v>3.8399999999999997E-2</c:v>
                </c:pt>
                <c:pt idx="1720">
                  <c:v>3.6919999999999994E-2</c:v>
                </c:pt>
                <c:pt idx="1721">
                  <c:v>3.5439999999999999E-2</c:v>
                </c:pt>
                <c:pt idx="1722">
                  <c:v>3.3959999999999997E-2</c:v>
                </c:pt>
                <c:pt idx="1723">
                  <c:v>3.2480000000000002E-2</c:v>
                </c:pt>
                <c:pt idx="1724">
                  <c:v>3.1E-2</c:v>
                </c:pt>
                <c:pt idx="1725">
                  <c:v>3.4780000000000005E-2</c:v>
                </c:pt>
                <c:pt idx="1726">
                  <c:v>3.8559999999999997E-2</c:v>
                </c:pt>
                <c:pt idx="1727">
                  <c:v>4.2340000000000003E-2</c:v>
                </c:pt>
                <c:pt idx="1728">
                  <c:v>4.6120000000000008E-2</c:v>
                </c:pt>
                <c:pt idx="1729">
                  <c:v>4.99E-2</c:v>
                </c:pt>
                <c:pt idx="1730">
                  <c:v>5.0340000000000003E-2</c:v>
                </c:pt>
                <c:pt idx="1731">
                  <c:v>5.0779999999999999E-2</c:v>
                </c:pt>
                <c:pt idx="1732">
                  <c:v>5.1220000000000002E-2</c:v>
                </c:pt>
                <c:pt idx="1733">
                  <c:v>5.1660000000000005E-2</c:v>
                </c:pt>
                <c:pt idx="1734">
                  <c:v>5.21E-2</c:v>
                </c:pt>
                <c:pt idx="1735">
                  <c:v>5.3720000000000004E-2</c:v>
                </c:pt>
                <c:pt idx="1736">
                  <c:v>5.534E-2</c:v>
                </c:pt>
                <c:pt idx="1737">
                  <c:v>5.6959999999999997E-2</c:v>
                </c:pt>
                <c:pt idx="1738">
                  <c:v>5.858E-2</c:v>
                </c:pt>
                <c:pt idx="1739">
                  <c:v>6.0199999999999997E-2</c:v>
                </c:pt>
                <c:pt idx="1740">
                  <c:v>6.0580000000000002E-2</c:v>
                </c:pt>
                <c:pt idx="1741">
                  <c:v>6.096E-2</c:v>
                </c:pt>
                <c:pt idx="1742">
                  <c:v>6.1340000000000006E-2</c:v>
                </c:pt>
                <c:pt idx="1743">
                  <c:v>6.1720000000000004E-2</c:v>
                </c:pt>
                <c:pt idx="1744">
                  <c:v>6.2100000000000002E-2</c:v>
                </c:pt>
                <c:pt idx="1745">
                  <c:v>6.0940000000000001E-2</c:v>
                </c:pt>
                <c:pt idx="1746">
                  <c:v>5.978E-2</c:v>
                </c:pt>
                <c:pt idx="1747">
                  <c:v>5.8619999999999998E-2</c:v>
                </c:pt>
                <c:pt idx="1748">
                  <c:v>5.7460000000000004E-2</c:v>
                </c:pt>
                <c:pt idx="1749">
                  <c:v>5.6300000000000003E-2</c:v>
                </c:pt>
                <c:pt idx="1750">
                  <c:v>5.4300000000000001E-2</c:v>
                </c:pt>
                <c:pt idx="1751">
                  <c:v>5.2299999999999999E-2</c:v>
                </c:pt>
                <c:pt idx="1752">
                  <c:v>5.0299999999999997E-2</c:v>
                </c:pt>
                <c:pt idx="1753">
                  <c:v>4.8300000000000003E-2</c:v>
                </c:pt>
                <c:pt idx="1754">
                  <c:v>4.6300000000000001E-2</c:v>
                </c:pt>
                <c:pt idx="1755">
                  <c:v>4.6360000000000005E-2</c:v>
                </c:pt>
                <c:pt idx="1756">
                  <c:v>4.6420000000000003E-2</c:v>
                </c:pt>
                <c:pt idx="1757">
                  <c:v>4.6480000000000007E-2</c:v>
                </c:pt>
                <c:pt idx="1758">
                  <c:v>4.6539999999999998E-2</c:v>
                </c:pt>
                <c:pt idx="1759">
                  <c:v>4.6600000000000003E-2</c:v>
                </c:pt>
                <c:pt idx="1760">
                  <c:v>4.5080000000000002E-2</c:v>
                </c:pt>
                <c:pt idx="1761">
                  <c:v>4.3560000000000001E-2</c:v>
                </c:pt>
                <c:pt idx="1762">
                  <c:v>4.2040000000000001E-2</c:v>
                </c:pt>
                <c:pt idx="1763">
                  <c:v>4.052E-2</c:v>
                </c:pt>
                <c:pt idx="1764">
                  <c:v>3.9E-2</c:v>
                </c:pt>
                <c:pt idx="1765">
                  <c:v>3.918E-2</c:v>
                </c:pt>
                <c:pt idx="1766">
                  <c:v>3.9359999999999999E-2</c:v>
                </c:pt>
                <c:pt idx="1767">
                  <c:v>3.9539999999999999E-2</c:v>
                </c:pt>
                <c:pt idx="1768">
                  <c:v>3.9719999999999998E-2</c:v>
                </c:pt>
                <c:pt idx="1769">
                  <c:v>3.9899999999999998E-2</c:v>
                </c:pt>
                <c:pt idx="1770">
                  <c:v>4.002E-2</c:v>
                </c:pt>
                <c:pt idx="1771">
                  <c:v>4.0140000000000002E-2</c:v>
                </c:pt>
                <c:pt idx="1772">
                  <c:v>4.0259999999999997E-2</c:v>
                </c:pt>
                <c:pt idx="1773">
                  <c:v>4.0380000000000006E-2</c:v>
                </c:pt>
                <c:pt idx="1774">
                  <c:v>4.0500000000000001E-2</c:v>
                </c:pt>
                <c:pt idx="1775">
                  <c:v>4.5300000000000007E-2</c:v>
                </c:pt>
                <c:pt idx="1776">
                  <c:v>5.0100000000000006E-2</c:v>
                </c:pt>
                <c:pt idx="1777">
                  <c:v>5.4900000000000004E-2</c:v>
                </c:pt>
                <c:pt idx="1778">
                  <c:v>5.970000000000001E-2</c:v>
                </c:pt>
                <c:pt idx="1779">
                  <c:v>6.4500000000000002E-2</c:v>
                </c:pt>
                <c:pt idx="1780">
                  <c:v>6.1020000000000005E-2</c:v>
                </c:pt>
                <c:pt idx="1781">
                  <c:v>5.7540000000000001E-2</c:v>
                </c:pt>
                <c:pt idx="1782">
                  <c:v>5.4060000000000004E-2</c:v>
                </c:pt>
                <c:pt idx="1783">
                  <c:v>5.0580000000000007E-2</c:v>
                </c:pt>
                <c:pt idx="1784">
                  <c:v>4.7100000000000003E-2</c:v>
                </c:pt>
                <c:pt idx="1785">
                  <c:v>4.8420000000000005E-2</c:v>
                </c:pt>
                <c:pt idx="1786">
                  <c:v>4.9739999999999999E-2</c:v>
                </c:pt>
                <c:pt idx="1787">
                  <c:v>5.1060000000000001E-2</c:v>
                </c:pt>
                <c:pt idx="1788">
                  <c:v>5.2379999999999996E-2</c:v>
                </c:pt>
                <c:pt idx="1789">
                  <c:v>5.3699999999999998E-2</c:v>
                </c:pt>
                <c:pt idx="1790">
                  <c:v>5.568E-2</c:v>
                </c:pt>
                <c:pt idx="1791">
                  <c:v>5.7660000000000003E-2</c:v>
                </c:pt>
                <c:pt idx="1792">
                  <c:v>5.9639999999999999E-2</c:v>
                </c:pt>
                <c:pt idx="1793">
                  <c:v>6.1620000000000008E-2</c:v>
                </c:pt>
                <c:pt idx="1794">
                  <c:v>6.3600000000000004E-2</c:v>
                </c:pt>
                <c:pt idx="1795">
                  <c:v>6.3360000000000014E-2</c:v>
                </c:pt>
                <c:pt idx="1796">
                  <c:v>6.3119999999999996E-2</c:v>
                </c:pt>
                <c:pt idx="1797">
                  <c:v>6.2879999999999991E-2</c:v>
                </c:pt>
                <c:pt idx="1798">
                  <c:v>6.2640000000000001E-2</c:v>
                </c:pt>
                <c:pt idx="1799">
                  <c:v>6.2399999999999997E-2</c:v>
                </c:pt>
                <c:pt idx="1800">
                  <c:v>6.0539999999999997E-2</c:v>
                </c:pt>
                <c:pt idx="1801">
                  <c:v>5.8679999999999996E-2</c:v>
                </c:pt>
                <c:pt idx="1802">
                  <c:v>5.6819999999999996E-2</c:v>
                </c:pt>
                <c:pt idx="1803">
                  <c:v>5.4960000000000002E-2</c:v>
                </c:pt>
                <c:pt idx="1804">
                  <c:v>5.3100000000000001E-2</c:v>
                </c:pt>
                <c:pt idx="1805">
                  <c:v>5.4680000000000006E-2</c:v>
                </c:pt>
                <c:pt idx="1806">
                  <c:v>5.6260000000000004E-2</c:v>
                </c:pt>
                <c:pt idx="1807">
                  <c:v>5.7840000000000003E-2</c:v>
                </c:pt>
                <c:pt idx="1808">
                  <c:v>5.9420000000000001E-2</c:v>
                </c:pt>
                <c:pt idx="1809">
                  <c:v>6.0999999999999999E-2</c:v>
                </c:pt>
                <c:pt idx="1810">
                  <c:v>5.7420000000000006E-2</c:v>
                </c:pt>
                <c:pt idx="1811">
                  <c:v>5.3839999999999999E-2</c:v>
                </c:pt>
                <c:pt idx="1812">
                  <c:v>5.0259999999999999E-2</c:v>
                </c:pt>
                <c:pt idx="1813">
                  <c:v>4.6680000000000006E-2</c:v>
                </c:pt>
                <c:pt idx="1814">
                  <c:v>4.3099999999999999E-2</c:v>
                </c:pt>
                <c:pt idx="1815">
                  <c:v>4.6420000000000003E-2</c:v>
                </c:pt>
                <c:pt idx="1816">
                  <c:v>4.9739999999999999E-2</c:v>
                </c:pt>
                <c:pt idx="1817">
                  <c:v>5.3059999999999996E-2</c:v>
                </c:pt>
                <c:pt idx="1818">
                  <c:v>5.6380000000000006E-2</c:v>
                </c:pt>
                <c:pt idx="1819">
                  <c:v>5.9700000000000003E-2</c:v>
                </c:pt>
                <c:pt idx="1820">
                  <c:v>5.3920000000000003E-2</c:v>
                </c:pt>
                <c:pt idx="1821">
                  <c:v>4.8140000000000002E-2</c:v>
                </c:pt>
                <c:pt idx="1822">
                  <c:v>4.2360000000000002E-2</c:v>
                </c:pt>
                <c:pt idx="1823">
                  <c:v>3.6580000000000001E-2</c:v>
                </c:pt>
                <c:pt idx="1824">
                  <c:v>3.0800000000000001E-2</c:v>
                </c:pt>
                <c:pt idx="1825">
                  <c:v>3.5040000000000002E-2</c:v>
                </c:pt>
                <c:pt idx="1826">
                  <c:v>3.9279999999999995E-2</c:v>
                </c:pt>
                <c:pt idx="1827">
                  <c:v>4.3520000000000003E-2</c:v>
                </c:pt>
                <c:pt idx="1828">
                  <c:v>4.7759999999999997E-2</c:v>
                </c:pt>
                <c:pt idx="1829">
                  <c:v>5.1999999999999998E-2</c:v>
                </c:pt>
                <c:pt idx="1830">
                  <c:v>5.382E-2</c:v>
                </c:pt>
                <c:pt idx="1831">
                  <c:v>5.5640000000000002E-2</c:v>
                </c:pt>
                <c:pt idx="1832">
                  <c:v>5.7459999999999997E-2</c:v>
                </c:pt>
                <c:pt idx="1833">
                  <c:v>5.9280000000000006E-2</c:v>
                </c:pt>
                <c:pt idx="1834">
                  <c:v>6.1100000000000002E-2</c:v>
                </c:pt>
                <c:pt idx="1835">
                  <c:v>5.4820000000000008E-2</c:v>
                </c:pt>
                <c:pt idx="1836">
                  <c:v>4.854E-2</c:v>
                </c:pt>
                <c:pt idx="1837">
                  <c:v>4.2260000000000006E-2</c:v>
                </c:pt>
                <c:pt idx="1838">
                  <c:v>3.5980000000000005E-2</c:v>
                </c:pt>
                <c:pt idx="1839">
                  <c:v>2.9700000000000001E-2</c:v>
                </c:pt>
                <c:pt idx="1840">
                  <c:v>3.6540000000000003E-2</c:v>
                </c:pt>
                <c:pt idx="1841">
                  <c:v>4.3380000000000002E-2</c:v>
                </c:pt>
                <c:pt idx="1842">
                  <c:v>5.0220000000000001E-2</c:v>
                </c:pt>
                <c:pt idx="1843">
                  <c:v>5.706E-2</c:v>
                </c:pt>
                <c:pt idx="1844">
                  <c:v>6.3899999999999998E-2</c:v>
                </c:pt>
                <c:pt idx="1845">
                  <c:v>6.4439999999999997E-2</c:v>
                </c:pt>
                <c:pt idx="1846">
                  <c:v>6.498000000000001E-2</c:v>
                </c:pt>
                <c:pt idx="1847">
                  <c:v>6.5519999999999995E-2</c:v>
                </c:pt>
                <c:pt idx="1848">
                  <c:v>6.6060000000000008E-2</c:v>
                </c:pt>
                <c:pt idx="1849">
                  <c:v>6.6600000000000006E-2</c:v>
                </c:pt>
                <c:pt idx="1850">
                  <c:v>7.8560000000000019E-2</c:v>
                </c:pt>
                <c:pt idx="1851">
                  <c:v>9.0520000000000017E-2</c:v>
                </c:pt>
                <c:pt idx="1852">
                  <c:v>0.10248000000000002</c:v>
                </c:pt>
                <c:pt idx="1853">
                  <c:v>0.11444000000000001</c:v>
                </c:pt>
                <c:pt idx="1854">
                  <c:v>0.12640000000000001</c:v>
                </c:pt>
                <c:pt idx="1855">
                  <c:v>0.12438000000000002</c:v>
                </c:pt>
                <c:pt idx="1856">
                  <c:v>0.12236000000000001</c:v>
                </c:pt>
                <c:pt idx="1857">
                  <c:v>0.12034</c:v>
                </c:pt>
                <c:pt idx="1858">
                  <c:v>0.11832000000000001</c:v>
                </c:pt>
                <c:pt idx="1859">
                  <c:v>0.1163</c:v>
                </c:pt>
                <c:pt idx="1860">
                  <c:v>0.10342000000000001</c:v>
                </c:pt>
                <c:pt idx="1861">
                  <c:v>9.0539999999999995E-2</c:v>
                </c:pt>
                <c:pt idx="1862">
                  <c:v>7.7660000000000007E-2</c:v>
                </c:pt>
                <c:pt idx="1863">
                  <c:v>6.4780000000000004E-2</c:v>
                </c:pt>
                <c:pt idx="1864">
                  <c:v>5.1900000000000002E-2</c:v>
                </c:pt>
                <c:pt idx="1865">
                  <c:v>6.182E-2</c:v>
                </c:pt>
                <c:pt idx="1866">
                  <c:v>7.1739999999999998E-2</c:v>
                </c:pt>
                <c:pt idx="1867">
                  <c:v>8.166000000000001E-2</c:v>
                </c:pt>
                <c:pt idx="1868">
                  <c:v>9.1580000000000009E-2</c:v>
                </c:pt>
                <c:pt idx="1869">
                  <c:v>0.10150000000000001</c:v>
                </c:pt>
                <c:pt idx="1870">
                  <c:v>9.8100000000000007E-2</c:v>
                </c:pt>
                <c:pt idx="1871">
                  <c:v>9.4700000000000006E-2</c:v>
                </c:pt>
                <c:pt idx="1872">
                  <c:v>9.1300000000000006E-2</c:v>
                </c:pt>
                <c:pt idx="1873">
                  <c:v>8.7900000000000006E-2</c:v>
                </c:pt>
                <c:pt idx="1874">
                  <c:v>8.4500000000000006E-2</c:v>
                </c:pt>
                <c:pt idx="1875">
                  <c:v>8.0160000000000009E-2</c:v>
                </c:pt>
                <c:pt idx="1876">
                  <c:v>7.5819999999999999E-2</c:v>
                </c:pt>
                <c:pt idx="1877">
                  <c:v>7.1480000000000002E-2</c:v>
                </c:pt>
                <c:pt idx="1878">
                  <c:v>6.7140000000000005E-2</c:v>
                </c:pt>
                <c:pt idx="1879">
                  <c:v>6.2799999999999995E-2</c:v>
                </c:pt>
                <c:pt idx="1880">
                  <c:v>6.8319999999999992E-2</c:v>
                </c:pt>
                <c:pt idx="1881">
                  <c:v>7.3839999999999989E-2</c:v>
                </c:pt>
                <c:pt idx="1882">
                  <c:v>7.936E-2</c:v>
                </c:pt>
                <c:pt idx="1883">
                  <c:v>8.4879999999999997E-2</c:v>
                </c:pt>
                <c:pt idx="1884">
                  <c:v>9.0399999999999994E-2</c:v>
                </c:pt>
                <c:pt idx="1885">
                  <c:v>8.7239999999999998E-2</c:v>
                </c:pt>
                <c:pt idx="1886">
                  <c:v>8.4080000000000002E-2</c:v>
                </c:pt>
                <c:pt idx="1887">
                  <c:v>8.0919999999999992E-2</c:v>
                </c:pt>
                <c:pt idx="1888">
                  <c:v>7.7759999999999996E-2</c:v>
                </c:pt>
                <c:pt idx="1889">
                  <c:v>7.46E-2</c:v>
                </c:pt>
                <c:pt idx="1890">
                  <c:v>7.5080000000000008E-2</c:v>
                </c:pt>
                <c:pt idx="1891">
                  <c:v>7.5560000000000002E-2</c:v>
                </c:pt>
                <c:pt idx="1892">
                  <c:v>7.6039999999999996E-2</c:v>
                </c:pt>
                <c:pt idx="1893">
                  <c:v>7.6520000000000005E-2</c:v>
                </c:pt>
                <c:pt idx="1894">
                  <c:v>7.6999999999999999E-2</c:v>
                </c:pt>
                <c:pt idx="1895">
                  <c:v>7.2319999999999995E-2</c:v>
                </c:pt>
                <c:pt idx="1896">
                  <c:v>6.7640000000000006E-2</c:v>
                </c:pt>
                <c:pt idx="1897">
                  <c:v>6.2960000000000002E-2</c:v>
                </c:pt>
                <c:pt idx="1898">
                  <c:v>5.8279999999999998E-2</c:v>
                </c:pt>
                <c:pt idx="1899">
                  <c:v>5.3600000000000002E-2</c:v>
                </c:pt>
                <c:pt idx="1900">
                  <c:v>5.5420000000000004E-2</c:v>
                </c:pt>
                <c:pt idx="1901">
                  <c:v>5.7240000000000006E-2</c:v>
                </c:pt>
                <c:pt idx="1902">
                  <c:v>5.9060000000000001E-2</c:v>
                </c:pt>
                <c:pt idx="1903">
                  <c:v>6.088000000000001E-2</c:v>
                </c:pt>
                <c:pt idx="1904">
                  <c:v>6.2700000000000006E-2</c:v>
                </c:pt>
                <c:pt idx="1905">
                  <c:v>6.2600000000000017E-2</c:v>
                </c:pt>
                <c:pt idx="1906">
                  <c:v>6.25E-2</c:v>
                </c:pt>
                <c:pt idx="1907">
                  <c:v>6.2400000000000004E-2</c:v>
                </c:pt>
                <c:pt idx="1908">
                  <c:v>6.2300000000000001E-2</c:v>
                </c:pt>
                <c:pt idx="1909">
                  <c:v>6.2199999999999998E-2</c:v>
                </c:pt>
                <c:pt idx="1910">
                  <c:v>5.9359999999999996E-2</c:v>
                </c:pt>
                <c:pt idx="1911">
                  <c:v>5.6520000000000001E-2</c:v>
                </c:pt>
                <c:pt idx="1912">
                  <c:v>5.3679999999999999E-2</c:v>
                </c:pt>
                <c:pt idx="1913">
                  <c:v>5.0840000000000003E-2</c:v>
                </c:pt>
                <c:pt idx="1914">
                  <c:v>4.8000000000000001E-2</c:v>
                </c:pt>
                <c:pt idx="1915">
                  <c:v>4.7760000000000004E-2</c:v>
                </c:pt>
                <c:pt idx="1916">
                  <c:v>4.752E-2</c:v>
                </c:pt>
                <c:pt idx="1917">
                  <c:v>4.7280000000000003E-2</c:v>
                </c:pt>
                <c:pt idx="1918">
                  <c:v>4.7039999999999998E-2</c:v>
                </c:pt>
                <c:pt idx="1919">
                  <c:v>4.6800000000000001E-2</c:v>
                </c:pt>
                <c:pt idx="1920">
                  <c:v>4.7019999999999999E-2</c:v>
                </c:pt>
                <c:pt idx="1921">
                  <c:v>4.7240000000000004E-2</c:v>
                </c:pt>
                <c:pt idx="1922">
                  <c:v>4.7460000000000002E-2</c:v>
                </c:pt>
                <c:pt idx="1923">
                  <c:v>4.768E-2</c:v>
                </c:pt>
                <c:pt idx="1924">
                  <c:v>4.7899999999999998E-2</c:v>
                </c:pt>
                <c:pt idx="1925">
                  <c:v>5.4279999999999995E-2</c:v>
                </c:pt>
                <c:pt idx="1926">
                  <c:v>6.0659999999999992E-2</c:v>
                </c:pt>
                <c:pt idx="1927">
                  <c:v>6.7040000000000002E-2</c:v>
                </c:pt>
                <c:pt idx="1928">
                  <c:v>7.3419999999999999E-2</c:v>
                </c:pt>
                <c:pt idx="1929">
                  <c:v>7.9799999999999996E-2</c:v>
                </c:pt>
                <c:pt idx="1930">
                  <c:v>9.5659999999999995E-2</c:v>
                </c:pt>
                <c:pt idx="1931">
                  <c:v>0.11152000000000001</c:v>
                </c:pt>
                <c:pt idx="1932">
                  <c:v>0.12737999999999999</c:v>
                </c:pt>
                <c:pt idx="1933">
                  <c:v>0.14324000000000001</c:v>
                </c:pt>
                <c:pt idx="1934">
                  <c:v>0.15909999999999999</c:v>
                </c:pt>
                <c:pt idx="1935">
                  <c:v>0.14838000000000001</c:v>
                </c:pt>
                <c:pt idx="1936">
                  <c:v>0.13766</c:v>
                </c:pt>
                <c:pt idx="1937">
                  <c:v>0.12694</c:v>
                </c:pt>
                <c:pt idx="1938">
                  <c:v>0.11622</c:v>
                </c:pt>
                <c:pt idx="1939">
                  <c:v>0.1055</c:v>
                </c:pt>
                <c:pt idx="1940">
                  <c:v>0.11148</c:v>
                </c:pt>
                <c:pt idx="1941">
                  <c:v>0.11745999999999999</c:v>
                </c:pt>
                <c:pt idx="1942">
                  <c:v>0.12343999999999999</c:v>
                </c:pt>
                <c:pt idx="1943">
                  <c:v>0.12942000000000001</c:v>
                </c:pt>
                <c:pt idx="1944">
                  <c:v>0.13539999999999999</c:v>
                </c:pt>
                <c:pt idx="1945">
                  <c:v>0.12906000000000001</c:v>
                </c:pt>
                <c:pt idx="1946">
                  <c:v>0.12272</c:v>
                </c:pt>
                <c:pt idx="1947">
                  <c:v>0.11638</c:v>
                </c:pt>
                <c:pt idx="1948">
                  <c:v>0.11004</c:v>
                </c:pt>
                <c:pt idx="1949">
                  <c:v>0.1037</c:v>
                </c:pt>
                <c:pt idx="1950">
                  <c:v>0.10786000000000001</c:v>
                </c:pt>
                <c:pt idx="1951">
                  <c:v>0.11202000000000001</c:v>
                </c:pt>
                <c:pt idx="1952">
                  <c:v>0.11618000000000001</c:v>
                </c:pt>
                <c:pt idx="1953">
                  <c:v>0.12034</c:v>
                </c:pt>
                <c:pt idx="1954">
                  <c:v>0.1245</c:v>
                </c:pt>
                <c:pt idx="1955">
                  <c:v>0.11312000000000001</c:v>
                </c:pt>
                <c:pt idx="1956">
                  <c:v>0.10174</c:v>
                </c:pt>
                <c:pt idx="1957">
                  <c:v>9.0359999999999996E-2</c:v>
                </c:pt>
                <c:pt idx="1958">
                  <c:v>7.8979999999999995E-2</c:v>
                </c:pt>
                <c:pt idx="1959">
                  <c:v>6.7599999999999993E-2</c:v>
                </c:pt>
                <c:pt idx="1960">
                  <c:v>7.0800000000000002E-2</c:v>
                </c:pt>
                <c:pt idx="1961">
                  <c:v>7.3999999999999982E-2</c:v>
                </c:pt>
                <c:pt idx="1962">
                  <c:v>7.7199999999999991E-2</c:v>
                </c:pt>
                <c:pt idx="1963">
                  <c:v>8.0399999999999999E-2</c:v>
                </c:pt>
                <c:pt idx="1964">
                  <c:v>8.3599999999999994E-2</c:v>
                </c:pt>
                <c:pt idx="1965">
                  <c:v>8.1519999999999995E-2</c:v>
                </c:pt>
                <c:pt idx="1966">
                  <c:v>7.9439999999999997E-2</c:v>
                </c:pt>
                <c:pt idx="1967">
                  <c:v>7.7359999999999998E-2</c:v>
                </c:pt>
                <c:pt idx="1968">
                  <c:v>7.528E-2</c:v>
                </c:pt>
                <c:pt idx="1969">
                  <c:v>7.3200000000000001E-2</c:v>
                </c:pt>
                <c:pt idx="1970">
                  <c:v>7.0120000000000002E-2</c:v>
                </c:pt>
                <c:pt idx="1971">
                  <c:v>6.7040000000000002E-2</c:v>
                </c:pt>
                <c:pt idx="1972">
                  <c:v>6.3959999999999989E-2</c:v>
                </c:pt>
                <c:pt idx="1973">
                  <c:v>6.0880000000000004E-2</c:v>
                </c:pt>
                <c:pt idx="1974">
                  <c:v>5.7799999999999997E-2</c:v>
                </c:pt>
                <c:pt idx="1975">
                  <c:v>5.8420000000000007E-2</c:v>
                </c:pt>
                <c:pt idx="1976">
                  <c:v>5.9039999999999995E-2</c:v>
                </c:pt>
                <c:pt idx="1977">
                  <c:v>5.9660000000000005E-2</c:v>
                </c:pt>
                <c:pt idx="1978">
                  <c:v>6.0280000000000007E-2</c:v>
                </c:pt>
                <c:pt idx="1979">
                  <c:v>6.0900000000000003E-2</c:v>
                </c:pt>
                <c:pt idx="1980">
                  <c:v>6.0320000000000006E-2</c:v>
                </c:pt>
                <c:pt idx="1981">
                  <c:v>5.9740000000000001E-2</c:v>
                </c:pt>
                <c:pt idx="1982">
                  <c:v>5.9160000000000004E-2</c:v>
                </c:pt>
                <c:pt idx="1983">
                  <c:v>5.8580000000000007E-2</c:v>
                </c:pt>
                <c:pt idx="1984">
                  <c:v>5.8000000000000003E-2</c:v>
                </c:pt>
                <c:pt idx="1985">
                  <c:v>5.8200000000000002E-2</c:v>
                </c:pt>
                <c:pt idx="1986">
                  <c:v>5.8399999999999994E-2</c:v>
                </c:pt>
                <c:pt idx="1987">
                  <c:v>5.8599999999999999E-2</c:v>
                </c:pt>
                <c:pt idx="1988">
                  <c:v>5.8799999999999998E-2</c:v>
                </c:pt>
                <c:pt idx="1989">
                  <c:v>5.8999999999999997E-2</c:v>
                </c:pt>
                <c:pt idx="1990">
                  <c:v>5.7480000000000003E-2</c:v>
                </c:pt>
                <c:pt idx="1991">
                  <c:v>5.5959999999999996E-2</c:v>
                </c:pt>
                <c:pt idx="1992">
                  <c:v>5.4440000000000002E-2</c:v>
                </c:pt>
                <c:pt idx="1993">
                  <c:v>5.2920000000000002E-2</c:v>
                </c:pt>
                <c:pt idx="1994">
                  <c:v>5.1400000000000001E-2</c:v>
                </c:pt>
                <c:pt idx="1995">
                  <c:v>5.5980000000000002E-2</c:v>
                </c:pt>
                <c:pt idx="1996">
                  <c:v>6.0560000000000003E-2</c:v>
                </c:pt>
                <c:pt idx="1997">
                  <c:v>6.5140000000000003E-2</c:v>
                </c:pt>
                <c:pt idx="1998">
                  <c:v>6.9720000000000004E-2</c:v>
                </c:pt>
                <c:pt idx="1999">
                  <c:v>7.4300000000000005E-2</c:v>
                </c:pt>
                <c:pt idx="2000">
                  <c:v>7.9280000000000003E-2</c:v>
                </c:pt>
                <c:pt idx="2001">
                  <c:v>8.4260000000000002E-2</c:v>
                </c:pt>
                <c:pt idx="2002">
                  <c:v>8.924E-2</c:v>
                </c:pt>
                <c:pt idx="2003">
                  <c:v>9.4219999999999998E-2</c:v>
                </c:pt>
                <c:pt idx="2004">
                  <c:v>9.9199999999999997E-2</c:v>
                </c:pt>
                <c:pt idx="2005">
                  <c:v>9.1999999999999998E-2</c:v>
                </c:pt>
                <c:pt idx="2006">
                  <c:v>8.48E-2</c:v>
                </c:pt>
                <c:pt idx="2007">
                  <c:v>7.7600000000000002E-2</c:v>
                </c:pt>
                <c:pt idx="2008">
                  <c:v>7.0400000000000004E-2</c:v>
                </c:pt>
                <c:pt idx="2009">
                  <c:v>6.3200000000000006E-2</c:v>
                </c:pt>
                <c:pt idx="2010">
                  <c:v>6.1800000000000008E-2</c:v>
                </c:pt>
                <c:pt idx="2011">
                  <c:v>6.0400000000000002E-2</c:v>
                </c:pt>
                <c:pt idx="2012">
                  <c:v>5.9000000000000004E-2</c:v>
                </c:pt>
                <c:pt idx="2013">
                  <c:v>5.7599999999999998E-2</c:v>
                </c:pt>
                <c:pt idx="2014">
                  <c:v>5.62E-2</c:v>
                </c:pt>
                <c:pt idx="2015">
                  <c:v>5.6180000000000001E-2</c:v>
                </c:pt>
                <c:pt idx="2016">
                  <c:v>5.6160000000000002E-2</c:v>
                </c:pt>
                <c:pt idx="2017">
                  <c:v>5.6139999999999995E-2</c:v>
                </c:pt>
                <c:pt idx="2018">
                  <c:v>5.6120000000000003E-2</c:v>
                </c:pt>
                <c:pt idx="2019">
                  <c:v>5.6099999999999997E-2</c:v>
                </c:pt>
                <c:pt idx="2020">
                  <c:v>6.0620000000000007E-2</c:v>
                </c:pt>
                <c:pt idx="2021">
                  <c:v>6.5140000000000003E-2</c:v>
                </c:pt>
                <c:pt idx="2022">
                  <c:v>6.966E-2</c:v>
                </c:pt>
                <c:pt idx="2023">
                  <c:v>7.4179999999999996E-2</c:v>
                </c:pt>
                <c:pt idx="2024">
                  <c:v>7.8700000000000006E-2</c:v>
                </c:pt>
                <c:pt idx="2025">
                  <c:v>7.758000000000001E-2</c:v>
                </c:pt>
                <c:pt idx="2026">
                  <c:v>7.646E-2</c:v>
                </c:pt>
                <c:pt idx="2027">
                  <c:v>7.533999999999999E-2</c:v>
                </c:pt>
                <c:pt idx="2028">
                  <c:v>7.4220000000000008E-2</c:v>
                </c:pt>
                <c:pt idx="2029">
                  <c:v>7.3099999999999998E-2</c:v>
                </c:pt>
                <c:pt idx="2030">
                  <c:v>7.1580000000000005E-2</c:v>
                </c:pt>
                <c:pt idx="2031">
                  <c:v>7.0059999999999997E-2</c:v>
                </c:pt>
                <c:pt idx="2032">
                  <c:v>6.8540000000000004E-2</c:v>
                </c:pt>
                <c:pt idx="2033">
                  <c:v>6.7019999999999996E-2</c:v>
                </c:pt>
                <c:pt idx="2034">
                  <c:v>6.5500000000000003E-2</c:v>
                </c:pt>
                <c:pt idx="2035">
                  <c:v>6.8220000000000003E-2</c:v>
                </c:pt>
                <c:pt idx="2036">
                  <c:v>7.0940000000000003E-2</c:v>
                </c:pt>
                <c:pt idx="2037">
                  <c:v>7.3660000000000003E-2</c:v>
                </c:pt>
                <c:pt idx="2038">
                  <c:v>7.6380000000000003E-2</c:v>
                </c:pt>
                <c:pt idx="2039">
                  <c:v>7.9100000000000004E-2</c:v>
                </c:pt>
                <c:pt idx="2040">
                  <c:v>8.0800000000000011E-2</c:v>
                </c:pt>
                <c:pt idx="2041">
                  <c:v>8.2500000000000004E-2</c:v>
                </c:pt>
                <c:pt idx="2042">
                  <c:v>8.4199999999999997E-2</c:v>
                </c:pt>
                <c:pt idx="2043">
                  <c:v>8.5900000000000004E-2</c:v>
                </c:pt>
                <c:pt idx="2044">
                  <c:v>8.7599999999999997E-2</c:v>
                </c:pt>
                <c:pt idx="2045">
                  <c:v>8.3320000000000005E-2</c:v>
                </c:pt>
                <c:pt idx="2046">
                  <c:v>7.9039999999999999E-2</c:v>
                </c:pt>
                <c:pt idx="2047">
                  <c:v>7.4759999999999993E-2</c:v>
                </c:pt>
                <c:pt idx="2048">
                  <c:v>7.0480000000000001E-2</c:v>
                </c:pt>
                <c:pt idx="2049">
                  <c:v>6.6199999999999995E-2</c:v>
                </c:pt>
                <c:pt idx="2050">
                  <c:v>6.5200000000000008E-2</c:v>
                </c:pt>
                <c:pt idx="2051">
                  <c:v>6.4200000000000007E-2</c:v>
                </c:pt>
                <c:pt idx="2052">
                  <c:v>6.3199999999999992E-2</c:v>
                </c:pt>
                <c:pt idx="2053">
                  <c:v>6.2200000000000005E-2</c:v>
                </c:pt>
                <c:pt idx="2054">
                  <c:v>6.1199999999999997E-2</c:v>
                </c:pt>
                <c:pt idx="2055">
                  <c:v>6.3500000000000001E-2</c:v>
                </c:pt>
                <c:pt idx="2056">
                  <c:v>6.5799999999999997E-2</c:v>
                </c:pt>
                <c:pt idx="2057">
                  <c:v>6.8099999999999994E-2</c:v>
                </c:pt>
                <c:pt idx="2058">
                  <c:v>7.0400000000000004E-2</c:v>
                </c:pt>
                <c:pt idx="2059">
                  <c:v>7.2700000000000001E-2</c:v>
                </c:pt>
                <c:pt idx="2060">
                  <c:v>6.9900000000000004E-2</c:v>
                </c:pt>
                <c:pt idx="2061">
                  <c:v>6.7099999999999993E-2</c:v>
                </c:pt>
                <c:pt idx="2062">
                  <c:v>6.4299999999999996E-2</c:v>
                </c:pt>
                <c:pt idx="2063">
                  <c:v>6.1499999999999999E-2</c:v>
                </c:pt>
                <c:pt idx="2064">
                  <c:v>5.8700000000000002E-2</c:v>
                </c:pt>
                <c:pt idx="2065">
                  <c:v>6.7060000000000008E-2</c:v>
                </c:pt>
                <c:pt idx="2066">
                  <c:v>7.5420000000000015E-2</c:v>
                </c:pt>
                <c:pt idx="2067">
                  <c:v>8.3779999999999993E-2</c:v>
                </c:pt>
                <c:pt idx="2068">
                  <c:v>9.2140000000000014E-2</c:v>
                </c:pt>
                <c:pt idx="2069">
                  <c:v>0.10050000000000001</c:v>
                </c:pt>
                <c:pt idx="2070">
                  <c:v>0.10420000000000001</c:v>
                </c:pt>
                <c:pt idx="2071">
                  <c:v>0.1079</c:v>
                </c:pt>
                <c:pt idx="2072">
                  <c:v>0.1116</c:v>
                </c:pt>
                <c:pt idx="2073">
                  <c:v>0.11530000000000001</c:v>
                </c:pt>
                <c:pt idx="2074">
                  <c:v>0.11899999999999999</c:v>
                </c:pt>
                <c:pt idx="2075">
                  <c:v>0.11766000000000001</c:v>
                </c:pt>
                <c:pt idx="2076">
                  <c:v>0.11631999999999999</c:v>
                </c:pt>
                <c:pt idx="2077">
                  <c:v>0.11498</c:v>
                </c:pt>
                <c:pt idx="2078">
                  <c:v>0.11364</c:v>
                </c:pt>
                <c:pt idx="2079">
                  <c:v>0.1123</c:v>
                </c:pt>
                <c:pt idx="2080">
                  <c:v>0.10474</c:v>
                </c:pt>
                <c:pt idx="2081">
                  <c:v>9.7179999999999989E-2</c:v>
                </c:pt>
                <c:pt idx="2082">
                  <c:v>8.9620000000000005E-2</c:v>
                </c:pt>
                <c:pt idx="2083">
                  <c:v>8.2059999999999994E-2</c:v>
                </c:pt>
                <c:pt idx="2084">
                  <c:v>7.4499999999999997E-2</c:v>
                </c:pt>
                <c:pt idx="2085">
                  <c:v>8.8200000000000001E-2</c:v>
                </c:pt>
                <c:pt idx="2086">
                  <c:v>0.10189999999999999</c:v>
                </c:pt>
                <c:pt idx="2087">
                  <c:v>0.11559999999999998</c:v>
                </c:pt>
                <c:pt idx="2088">
                  <c:v>0.1293</c:v>
                </c:pt>
                <c:pt idx="2089">
                  <c:v>0.14299999999999999</c:v>
                </c:pt>
                <c:pt idx="2090">
                  <c:v>0.13972000000000001</c:v>
                </c:pt>
                <c:pt idx="2091">
                  <c:v>0.13643999999999998</c:v>
                </c:pt>
                <c:pt idx="2092">
                  <c:v>0.13316</c:v>
                </c:pt>
                <c:pt idx="2093">
                  <c:v>0.12988</c:v>
                </c:pt>
                <c:pt idx="2094">
                  <c:v>0.12659999999999999</c:v>
                </c:pt>
                <c:pt idx="2095">
                  <c:v>0.13263999999999998</c:v>
                </c:pt>
                <c:pt idx="2096">
                  <c:v>0.13867999999999997</c:v>
                </c:pt>
                <c:pt idx="2097">
                  <c:v>0.14471999999999999</c:v>
                </c:pt>
                <c:pt idx="2098">
                  <c:v>0.15076000000000001</c:v>
                </c:pt>
                <c:pt idx="2099">
                  <c:v>0.15679999999999999</c:v>
                </c:pt>
                <c:pt idx="2100">
                  <c:v>0.15023999999999998</c:v>
                </c:pt>
                <c:pt idx="2101">
                  <c:v>0.14368</c:v>
                </c:pt>
                <c:pt idx="2102">
                  <c:v>0.13711999999999999</c:v>
                </c:pt>
                <c:pt idx="2103">
                  <c:v>0.13056000000000001</c:v>
                </c:pt>
                <c:pt idx="2104">
                  <c:v>0.124</c:v>
                </c:pt>
                <c:pt idx="2105">
                  <c:v>0.12298000000000001</c:v>
                </c:pt>
                <c:pt idx="2106">
                  <c:v>0.12196</c:v>
                </c:pt>
                <c:pt idx="2107">
                  <c:v>0.12094000000000001</c:v>
                </c:pt>
                <c:pt idx="2108">
                  <c:v>0.11992000000000001</c:v>
                </c:pt>
                <c:pt idx="2109">
                  <c:v>0.11890000000000001</c:v>
                </c:pt>
                <c:pt idx="2110">
                  <c:v>0.12390000000000001</c:v>
                </c:pt>
                <c:pt idx="2111">
                  <c:v>0.12890000000000001</c:v>
                </c:pt>
                <c:pt idx="2112">
                  <c:v>0.13390000000000002</c:v>
                </c:pt>
                <c:pt idx="2113">
                  <c:v>0.1389</c:v>
                </c:pt>
                <c:pt idx="2114">
                  <c:v>0.1439</c:v>
                </c:pt>
                <c:pt idx="2115">
                  <c:v>0.14324000000000001</c:v>
                </c:pt>
                <c:pt idx="2116">
                  <c:v>0.14258000000000001</c:v>
                </c:pt>
                <c:pt idx="2117">
                  <c:v>0.14191999999999999</c:v>
                </c:pt>
                <c:pt idx="2118">
                  <c:v>0.14126</c:v>
                </c:pt>
                <c:pt idx="2119">
                  <c:v>0.1406</c:v>
                </c:pt>
                <c:pt idx="2120">
                  <c:v>0.13172</c:v>
                </c:pt>
                <c:pt idx="2121">
                  <c:v>0.12284</c:v>
                </c:pt>
                <c:pt idx="2122">
                  <c:v>0.11396000000000001</c:v>
                </c:pt>
                <c:pt idx="2123">
                  <c:v>0.10508000000000001</c:v>
                </c:pt>
                <c:pt idx="2124">
                  <c:v>9.6199999999999994E-2</c:v>
                </c:pt>
                <c:pt idx="2125">
                  <c:v>9.8839999999999997E-2</c:v>
                </c:pt>
                <c:pt idx="2126">
                  <c:v>0.10147999999999999</c:v>
                </c:pt>
                <c:pt idx="2127">
                  <c:v>0.10411999999999999</c:v>
                </c:pt>
                <c:pt idx="2128">
                  <c:v>0.10675999999999999</c:v>
                </c:pt>
                <c:pt idx="2129">
                  <c:v>0.1094</c:v>
                </c:pt>
                <c:pt idx="2130">
                  <c:v>0.10952000000000001</c:v>
                </c:pt>
                <c:pt idx="2131">
                  <c:v>0.10963999999999999</c:v>
                </c:pt>
                <c:pt idx="2132">
                  <c:v>0.10976</c:v>
                </c:pt>
                <c:pt idx="2133">
                  <c:v>0.10988000000000001</c:v>
                </c:pt>
                <c:pt idx="2134">
                  <c:v>0.11</c:v>
                </c:pt>
                <c:pt idx="2135">
                  <c:v>0.10344</c:v>
                </c:pt>
                <c:pt idx="2136">
                  <c:v>9.6880000000000008E-2</c:v>
                </c:pt>
                <c:pt idx="2137">
                  <c:v>9.0320000000000011E-2</c:v>
                </c:pt>
                <c:pt idx="2138">
                  <c:v>8.3760000000000015E-2</c:v>
                </c:pt>
                <c:pt idx="2139">
                  <c:v>7.7200000000000005E-2</c:v>
                </c:pt>
                <c:pt idx="2140">
                  <c:v>8.610000000000001E-2</c:v>
                </c:pt>
                <c:pt idx="2141">
                  <c:v>9.5000000000000001E-2</c:v>
                </c:pt>
                <c:pt idx="2142">
                  <c:v>0.10390000000000001</c:v>
                </c:pt>
                <c:pt idx="2143">
                  <c:v>0.11280000000000001</c:v>
                </c:pt>
                <c:pt idx="2144">
                  <c:v>0.1217</c:v>
                </c:pt>
                <c:pt idx="2145">
                  <c:v>0.121</c:v>
                </c:pt>
                <c:pt idx="2146">
                  <c:v>0.1203</c:v>
                </c:pt>
                <c:pt idx="2147">
                  <c:v>0.1196</c:v>
                </c:pt>
                <c:pt idx="2148">
                  <c:v>0.11890000000000001</c:v>
                </c:pt>
                <c:pt idx="2149">
                  <c:v>0.1182</c:v>
                </c:pt>
                <c:pt idx="2150">
                  <c:v>0.11944</c:v>
                </c:pt>
                <c:pt idx="2151">
                  <c:v>0.12068</c:v>
                </c:pt>
                <c:pt idx="2152">
                  <c:v>0.12192</c:v>
                </c:pt>
                <c:pt idx="2153">
                  <c:v>0.12315999999999999</c:v>
                </c:pt>
                <c:pt idx="2154">
                  <c:v>0.1244</c:v>
                </c:pt>
                <c:pt idx="2155">
                  <c:v>0.12414</c:v>
                </c:pt>
                <c:pt idx="2156">
                  <c:v>0.12388</c:v>
                </c:pt>
                <c:pt idx="2157">
                  <c:v>0.12361999999999999</c:v>
                </c:pt>
                <c:pt idx="2158">
                  <c:v>0.12336000000000001</c:v>
                </c:pt>
                <c:pt idx="2159">
                  <c:v>0.1231</c:v>
                </c:pt>
                <c:pt idx="2160">
                  <c:v>0.11366000000000001</c:v>
                </c:pt>
                <c:pt idx="2161">
                  <c:v>0.10421999999999999</c:v>
                </c:pt>
                <c:pt idx="2162">
                  <c:v>9.4780000000000003E-2</c:v>
                </c:pt>
                <c:pt idx="2163">
                  <c:v>8.5339999999999999E-2</c:v>
                </c:pt>
                <c:pt idx="2164">
                  <c:v>7.5899999999999995E-2</c:v>
                </c:pt>
                <c:pt idx="2165">
                  <c:v>7.3700000000000002E-2</c:v>
                </c:pt>
                <c:pt idx="2166">
                  <c:v>7.1499999999999994E-2</c:v>
                </c:pt>
                <c:pt idx="2167">
                  <c:v>6.93E-2</c:v>
                </c:pt>
                <c:pt idx="2168">
                  <c:v>6.7099999999999993E-2</c:v>
                </c:pt>
                <c:pt idx="2169">
                  <c:v>6.4899999999999999E-2</c:v>
                </c:pt>
                <c:pt idx="2170">
                  <c:v>6.3719999999999999E-2</c:v>
                </c:pt>
                <c:pt idx="2171">
                  <c:v>6.2539999999999998E-2</c:v>
                </c:pt>
                <c:pt idx="2172">
                  <c:v>6.1359999999999998E-2</c:v>
                </c:pt>
                <c:pt idx="2173">
                  <c:v>6.0179999999999997E-2</c:v>
                </c:pt>
                <c:pt idx="2174">
                  <c:v>5.8999999999999997E-2</c:v>
                </c:pt>
                <c:pt idx="2175">
                  <c:v>6.5320000000000003E-2</c:v>
                </c:pt>
                <c:pt idx="2176">
                  <c:v>7.1639999999999995E-2</c:v>
                </c:pt>
                <c:pt idx="2177">
                  <c:v>7.7960000000000002E-2</c:v>
                </c:pt>
                <c:pt idx="2178">
                  <c:v>8.4280000000000008E-2</c:v>
                </c:pt>
                <c:pt idx="2179">
                  <c:v>9.06E-2</c:v>
                </c:pt>
                <c:pt idx="2180">
                  <c:v>9.1800000000000007E-2</c:v>
                </c:pt>
                <c:pt idx="2181">
                  <c:v>9.2999999999999999E-2</c:v>
                </c:pt>
                <c:pt idx="2182">
                  <c:v>9.4200000000000006E-2</c:v>
                </c:pt>
                <c:pt idx="2183">
                  <c:v>9.5400000000000013E-2</c:v>
                </c:pt>
                <c:pt idx="2184">
                  <c:v>9.6600000000000005E-2</c:v>
                </c:pt>
                <c:pt idx="2185">
                  <c:v>0.10058000000000002</c:v>
                </c:pt>
                <c:pt idx="2186">
                  <c:v>0.10456</c:v>
                </c:pt>
                <c:pt idx="2187">
                  <c:v>0.10854000000000001</c:v>
                </c:pt>
                <c:pt idx="2188">
                  <c:v>0.11252000000000001</c:v>
                </c:pt>
                <c:pt idx="2189">
                  <c:v>0.11650000000000001</c:v>
                </c:pt>
                <c:pt idx="2190">
                  <c:v>0.1124</c:v>
                </c:pt>
                <c:pt idx="2191">
                  <c:v>0.10830000000000001</c:v>
                </c:pt>
                <c:pt idx="2192">
                  <c:v>0.1042</c:v>
                </c:pt>
                <c:pt idx="2193">
                  <c:v>0.10010000000000001</c:v>
                </c:pt>
                <c:pt idx="2194">
                  <c:v>9.6000000000000002E-2</c:v>
                </c:pt>
                <c:pt idx="2195">
                  <c:v>9.6700000000000008E-2</c:v>
                </c:pt>
                <c:pt idx="2196">
                  <c:v>9.74E-2</c:v>
                </c:pt>
                <c:pt idx="2197">
                  <c:v>9.8100000000000007E-2</c:v>
                </c:pt>
                <c:pt idx="2198">
                  <c:v>9.8799999999999999E-2</c:v>
                </c:pt>
                <c:pt idx="2199">
                  <c:v>9.9500000000000005E-2</c:v>
                </c:pt>
                <c:pt idx="2200">
                  <c:v>9.5219999999999999E-2</c:v>
                </c:pt>
                <c:pt idx="2201">
                  <c:v>9.0940000000000007E-2</c:v>
                </c:pt>
                <c:pt idx="2202">
                  <c:v>8.6660000000000001E-2</c:v>
                </c:pt>
                <c:pt idx="2203">
                  <c:v>8.2380000000000009E-2</c:v>
                </c:pt>
                <c:pt idx="2204">
                  <c:v>7.8100000000000003E-2</c:v>
                </c:pt>
                <c:pt idx="2205">
                  <c:v>8.1140000000000004E-2</c:v>
                </c:pt>
                <c:pt idx="2206">
                  <c:v>8.4180000000000005E-2</c:v>
                </c:pt>
                <c:pt idx="2207">
                  <c:v>8.7219999999999992E-2</c:v>
                </c:pt>
                <c:pt idx="2208">
                  <c:v>9.0260000000000007E-2</c:v>
                </c:pt>
                <c:pt idx="2209">
                  <c:v>9.3299999999999994E-2</c:v>
                </c:pt>
                <c:pt idx="2210">
                  <c:v>8.8779999999999998E-2</c:v>
                </c:pt>
                <c:pt idx="2211">
                  <c:v>8.4260000000000002E-2</c:v>
                </c:pt>
                <c:pt idx="2212">
                  <c:v>7.9740000000000005E-2</c:v>
                </c:pt>
                <c:pt idx="2213">
                  <c:v>7.5219999999999995E-2</c:v>
                </c:pt>
                <c:pt idx="2214">
                  <c:v>7.0699999999999999E-2</c:v>
                </c:pt>
                <c:pt idx="2215">
                  <c:v>6.9199999999999998E-2</c:v>
                </c:pt>
                <c:pt idx="2216">
                  <c:v>6.770000000000001E-2</c:v>
                </c:pt>
                <c:pt idx="2217">
                  <c:v>6.6200000000000009E-2</c:v>
                </c:pt>
                <c:pt idx="2218">
                  <c:v>6.4700000000000008E-2</c:v>
                </c:pt>
                <c:pt idx="2219">
                  <c:v>6.3200000000000006E-2</c:v>
                </c:pt>
                <c:pt idx="2220">
                  <c:v>6.3E-2</c:v>
                </c:pt>
                <c:pt idx="2221">
                  <c:v>6.2799999999999995E-2</c:v>
                </c:pt>
                <c:pt idx="2222">
                  <c:v>6.2600000000000003E-2</c:v>
                </c:pt>
                <c:pt idx="2223">
                  <c:v>6.2399999999999997E-2</c:v>
                </c:pt>
                <c:pt idx="2224">
                  <c:v>6.2199999999999998E-2</c:v>
                </c:pt>
                <c:pt idx="2225">
                  <c:v>6.0060000000000002E-2</c:v>
                </c:pt>
                <c:pt idx="2226">
                  <c:v>5.7919999999999999E-2</c:v>
                </c:pt>
                <c:pt idx="2227">
                  <c:v>5.5779999999999996E-2</c:v>
                </c:pt>
                <c:pt idx="2228">
                  <c:v>5.364E-2</c:v>
                </c:pt>
                <c:pt idx="2229">
                  <c:v>5.1499999999999997E-2</c:v>
                </c:pt>
                <c:pt idx="2230">
                  <c:v>5.0820000000000004E-2</c:v>
                </c:pt>
                <c:pt idx="2231">
                  <c:v>5.0139999999999997E-2</c:v>
                </c:pt>
                <c:pt idx="2232">
                  <c:v>4.9459999999999997E-2</c:v>
                </c:pt>
                <c:pt idx="2233">
                  <c:v>4.8780000000000004E-2</c:v>
                </c:pt>
                <c:pt idx="2234">
                  <c:v>4.8099999999999997E-2</c:v>
                </c:pt>
                <c:pt idx="2235">
                  <c:v>4.58E-2</c:v>
                </c:pt>
                <c:pt idx="2236">
                  <c:v>4.3499999999999997E-2</c:v>
                </c:pt>
                <c:pt idx="2237">
                  <c:v>4.1200000000000001E-2</c:v>
                </c:pt>
                <c:pt idx="2238">
                  <c:v>3.8900000000000004E-2</c:v>
                </c:pt>
                <c:pt idx="2239">
                  <c:v>3.6600000000000001E-2</c:v>
                </c:pt>
                <c:pt idx="2240">
                  <c:v>4.4119999999999999E-2</c:v>
                </c:pt>
                <c:pt idx="2241">
                  <c:v>5.1640000000000005E-2</c:v>
                </c:pt>
                <c:pt idx="2242">
                  <c:v>5.9159999999999997E-2</c:v>
                </c:pt>
                <c:pt idx="2243">
                  <c:v>6.6680000000000003E-2</c:v>
                </c:pt>
                <c:pt idx="2244">
                  <c:v>7.4200000000000002E-2</c:v>
                </c:pt>
                <c:pt idx="2245">
                  <c:v>7.7700000000000005E-2</c:v>
                </c:pt>
                <c:pt idx="2246">
                  <c:v>8.1199999999999994E-2</c:v>
                </c:pt>
                <c:pt idx="2247">
                  <c:v>8.4699999999999998E-2</c:v>
                </c:pt>
                <c:pt idx="2248">
                  <c:v>8.8200000000000014E-2</c:v>
                </c:pt>
                <c:pt idx="2249">
                  <c:v>9.1700000000000004E-2</c:v>
                </c:pt>
                <c:pt idx="2250">
                  <c:v>9.6900000000000014E-2</c:v>
                </c:pt>
                <c:pt idx="2251">
                  <c:v>0.1021</c:v>
                </c:pt>
                <c:pt idx="2252">
                  <c:v>0.10730000000000001</c:v>
                </c:pt>
                <c:pt idx="2253">
                  <c:v>0.11250000000000002</c:v>
                </c:pt>
                <c:pt idx="2254">
                  <c:v>0.1177</c:v>
                </c:pt>
                <c:pt idx="2255">
                  <c:v>0.11072000000000001</c:v>
                </c:pt>
                <c:pt idx="2256">
                  <c:v>0.10374</c:v>
                </c:pt>
                <c:pt idx="2257">
                  <c:v>9.6759999999999999E-2</c:v>
                </c:pt>
                <c:pt idx="2258">
                  <c:v>8.9780000000000013E-2</c:v>
                </c:pt>
                <c:pt idx="2259">
                  <c:v>8.2799999999999999E-2</c:v>
                </c:pt>
                <c:pt idx="2260">
                  <c:v>8.4160000000000013E-2</c:v>
                </c:pt>
                <c:pt idx="2261">
                  <c:v>8.5519999999999999E-2</c:v>
                </c:pt>
                <c:pt idx="2262">
                  <c:v>8.6879999999999999E-2</c:v>
                </c:pt>
                <c:pt idx="2263">
                  <c:v>8.8240000000000013E-2</c:v>
                </c:pt>
                <c:pt idx="2264">
                  <c:v>8.9599999999999999E-2</c:v>
                </c:pt>
                <c:pt idx="2265">
                  <c:v>8.7560000000000013E-2</c:v>
                </c:pt>
                <c:pt idx="2266">
                  <c:v>8.5519999999999999E-2</c:v>
                </c:pt>
                <c:pt idx="2267">
                  <c:v>8.3479999999999999E-2</c:v>
                </c:pt>
                <c:pt idx="2268">
                  <c:v>8.1440000000000012E-2</c:v>
                </c:pt>
                <c:pt idx="2269">
                  <c:v>7.9399999999999998E-2</c:v>
                </c:pt>
                <c:pt idx="2270">
                  <c:v>7.5880000000000003E-2</c:v>
                </c:pt>
                <c:pt idx="2271">
                  <c:v>7.2359999999999994E-2</c:v>
                </c:pt>
                <c:pt idx="2272">
                  <c:v>6.8840000000000012E-2</c:v>
                </c:pt>
                <c:pt idx="2273">
                  <c:v>6.5320000000000003E-2</c:v>
                </c:pt>
                <c:pt idx="2274">
                  <c:v>6.1800000000000001E-2</c:v>
                </c:pt>
                <c:pt idx="2275">
                  <c:v>6.5439999999999998E-2</c:v>
                </c:pt>
                <c:pt idx="2276">
                  <c:v>6.9080000000000003E-2</c:v>
                </c:pt>
                <c:pt idx="2277">
                  <c:v>7.2720000000000007E-2</c:v>
                </c:pt>
                <c:pt idx="2278">
                  <c:v>7.6359999999999997E-2</c:v>
                </c:pt>
                <c:pt idx="2279">
                  <c:v>0.08</c:v>
                </c:pt>
                <c:pt idx="2280">
                  <c:v>7.7300000000000008E-2</c:v>
                </c:pt>
                <c:pt idx="2281">
                  <c:v>7.46E-2</c:v>
                </c:pt>
                <c:pt idx="2282">
                  <c:v>7.1899999999999992E-2</c:v>
                </c:pt>
                <c:pt idx="2283">
                  <c:v>6.9200000000000012E-2</c:v>
                </c:pt>
                <c:pt idx="2284">
                  <c:v>6.6500000000000004E-2</c:v>
                </c:pt>
                <c:pt idx="2285">
                  <c:v>7.1599999999999997E-2</c:v>
                </c:pt>
                <c:pt idx="2286">
                  <c:v>7.669999999999999E-2</c:v>
                </c:pt>
                <c:pt idx="2287">
                  <c:v>8.1799999999999998E-2</c:v>
                </c:pt>
                <c:pt idx="2288">
                  <c:v>8.6900000000000005E-2</c:v>
                </c:pt>
                <c:pt idx="2289">
                  <c:v>9.1999999999999998E-2</c:v>
                </c:pt>
                <c:pt idx="2290">
                  <c:v>8.5620000000000002E-2</c:v>
                </c:pt>
                <c:pt idx="2291">
                  <c:v>7.9240000000000005E-2</c:v>
                </c:pt>
                <c:pt idx="2292">
                  <c:v>7.2860000000000008E-2</c:v>
                </c:pt>
                <c:pt idx="2293">
                  <c:v>6.6480000000000011E-2</c:v>
                </c:pt>
                <c:pt idx="2294">
                  <c:v>6.0100000000000001E-2</c:v>
                </c:pt>
                <c:pt idx="2295">
                  <c:v>5.9760000000000008E-2</c:v>
                </c:pt>
                <c:pt idx="2296">
                  <c:v>5.9420000000000001E-2</c:v>
                </c:pt>
                <c:pt idx="2297">
                  <c:v>5.9080000000000008E-2</c:v>
                </c:pt>
                <c:pt idx="2298">
                  <c:v>5.8740000000000007E-2</c:v>
                </c:pt>
                <c:pt idx="2299">
                  <c:v>5.8400000000000001E-2</c:v>
                </c:pt>
                <c:pt idx="2300">
                  <c:v>5.7860000000000009E-2</c:v>
                </c:pt>
                <c:pt idx="2301">
                  <c:v>5.7320000000000003E-2</c:v>
                </c:pt>
                <c:pt idx="2302">
                  <c:v>5.6779999999999997E-2</c:v>
                </c:pt>
                <c:pt idx="2303">
                  <c:v>5.6240000000000005E-2</c:v>
                </c:pt>
                <c:pt idx="2304">
                  <c:v>5.57E-2</c:v>
                </c:pt>
                <c:pt idx="2305">
                  <c:v>5.7980000000000004E-2</c:v>
                </c:pt>
                <c:pt idx="2306">
                  <c:v>6.0260000000000001E-2</c:v>
                </c:pt>
                <c:pt idx="2307">
                  <c:v>6.2540000000000012E-2</c:v>
                </c:pt>
                <c:pt idx="2308">
                  <c:v>6.4820000000000003E-2</c:v>
                </c:pt>
                <c:pt idx="2309">
                  <c:v>6.7100000000000007E-2</c:v>
                </c:pt>
                <c:pt idx="2310">
                  <c:v>6.3560000000000005E-2</c:v>
                </c:pt>
                <c:pt idx="2311">
                  <c:v>6.0020000000000004E-2</c:v>
                </c:pt>
                <c:pt idx="2312">
                  <c:v>5.6480000000000002E-2</c:v>
                </c:pt>
                <c:pt idx="2313">
                  <c:v>5.2940000000000001E-2</c:v>
                </c:pt>
                <c:pt idx="2314">
                  <c:v>4.9399999999999999E-2</c:v>
                </c:pt>
                <c:pt idx="2315">
                  <c:v>4.922E-2</c:v>
                </c:pt>
                <c:pt idx="2316">
                  <c:v>4.904E-2</c:v>
                </c:pt>
                <c:pt idx="2317">
                  <c:v>4.8860000000000001E-2</c:v>
                </c:pt>
                <c:pt idx="2318">
                  <c:v>4.8680000000000001E-2</c:v>
                </c:pt>
                <c:pt idx="2319">
                  <c:v>4.8500000000000001E-2</c:v>
                </c:pt>
                <c:pt idx="2320">
                  <c:v>4.6380000000000005E-2</c:v>
                </c:pt>
                <c:pt idx="2321">
                  <c:v>4.4260000000000001E-2</c:v>
                </c:pt>
                <c:pt idx="2322">
                  <c:v>4.2139999999999997E-2</c:v>
                </c:pt>
                <c:pt idx="2323">
                  <c:v>4.002E-2</c:v>
                </c:pt>
                <c:pt idx="2324">
                  <c:v>3.7900000000000003E-2</c:v>
                </c:pt>
                <c:pt idx="2325">
                  <c:v>4.0660000000000002E-2</c:v>
                </c:pt>
                <c:pt idx="2326">
                  <c:v>4.342E-2</c:v>
                </c:pt>
                <c:pt idx="2327">
                  <c:v>4.6179999999999999E-2</c:v>
                </c:pt>
                <c:pt idx="2328">
                  <c:v>4.8940000000000011E-2</c:v>
                </c:pt>
                <c:pt idx="2329">
                  <c:v>5.1700000000000003E-2</c:v>
                </c:pt>
                <c:pt idx="2330">
                  <c:v>5.0120000000000012E-2</c:v>
                </c:pt>
                <c:pt idx="2331">
                  <c:v>4.854E-2</c:v>
                </c:pt>
                <c:pt idx="2332">
                  <c:v>4.6960000000000002E-2</c:v>
                </c:pt>
                <c:pt idx="2333">
                  <c:v>4.5380000000000004E-2</c:v>
                </c:pt>
                <c:pt idx="2334">
                  <c:v>4.3799999999999999E-2</c:v>
                </c:pt>
                <c:pt idx="2335">
                  <c:v>4.0420000000000005E-2</c:v>
                </c:pt>
                <c:pt idx="2336">
                  <c:v>3.7039999999999997E-2</c:v>
                </c:pt>
                <c:pt idx="2337">
                  <c:v>3.3659999999999995E-2</c:v>
                </c:pt>
                <c:pt idx="2338">
                  <c:v>3.0280000000000001E-2</c:v>
                </c:pt>
                <c:pt idx="2339">
                  <c:v>2.69E-2</c:v>
                </c:pt>
                <c:pt idx="2340">
                  <c:v>2.6020000000000001E-2</c:v>
                </c:pt>
                <c:pt idx="2341">
                  <c:v>2.5139999999999996E-2</c:v>
                </c:pt>
                <c:pt idx="2342">
                  <c:v>2.426E-2</c:v>
                </c:pt>
                <c:pt idx="2343">
                  <c:v>2.3379999999999998E-2</c:v>
                </c:pt>
                <c:pt idx="2344">
                  <c:v>2.2499999999999999E-2</c:v>
                </c:pt>
                <c:pt idx="2345">
                  <c:v>2.5939999999999998E-2</c:v>
                </c:pt>
                <c:pt idx="2346">
                  <c:v>2.9380000000000003E-2</c:v>
                </c:pt>
                <c:pt idx="2347">
                  <c:v>3.2819999999999995E-2</c:v>
                </c:pt>
                <c:pt idx="2348">
                  <c:v>3.6260000000000001E-2</c:v>
                </c:pt>
                <c:pt idx="2349">
                  <c:v>3.9699999999999999E-2</c:v>
                </c:pt>
                <c:pt idx="2350">
                  <c:v>3.8020000000000005E-2</c:v>
                </c:pt>
                <c:pt idx="2351">
                  <c:v>3.6339999999999997E-2</c:v>
                </c:pt>
                <c:pt idx="2352">
                  <c:v>3.4660000000000003E-2</c:v>
                </c:pt>
                <c:pt idx="2353">
                  <c:v>3.2980000000000002E-2</c:v>
                </c:pt>
                <c:pt idx="2354">
                  <c:v>3.1300000000000001E-2</c:v>
                </c:pt>
                <c:pt idx="2355">
                  <c:v>3.3000000000000002E-2</c:v>
                </c:pt>
                <c:pt idx="2356">
                  <c:v>3.4700000000000002E-2</c:v>
                </c:pt>
                <c:pt idx="2357">
                  <c:v>3.6400000000000002E-2</c:v>
                </c:pt>
                <c:pt idx="2358">
                  <c:v>3.8100000000000002E-2</c:v>
                </c:pt>
                <c:pt idx="2359">
                  <c:v>3.9800000000000002E-2</c:v>
                </c:pt>
                <c:pt idx="2360">
                  <c:v>4.0680000000000001E-2</c:v>
                </c:pt>
                <c:pt idx="2361">
                  <c:v>4.156E-2</c:v>
                </c:pt>
                <c:pt idx="2362">
                  <c:v>4.2440000000000005E-2</c:v>
                </c:pt>
                <c:pt idx="2363">
                  <c:v>4.3320000000000004E-2</c:v>
                </c:pt>
                <c:pt idx="2364">
                  <c:v>4.4200000000000003E-2</c:v>
                </c:pt>
                <c:pt idx="2365">
                  <c:v>4.9260000000000005E-2</c:v>
                </c:pt>
                <c:pt idx="2366">
                  <c:v>5.4320000000000007E-2</c:v>
                </c:pt>
                <c:pt idx="2367">
                  <c:v>5.9380000000000002E-2</c:v>
                </c:pt>
                <c:pt idx="2368">
                  <c:v>6.4440000000000011E-2</c:v>
                </c:pt>
                <c:pt idx="2369">
                  <c:v>6.9500000000000006E-2</c:v>
                </c:pt>
                <c:pt idx="2370">
                  <c:v>6.8180000000000018E-2</c:v>
                </c:pt>
                <c:pt idx="2371">
                  <c:v>6.6860000000000003E-2</c:v>
                </c:pt>
                <c:pt idx="2372">
                  <c:v>6.5540000000000001E-2</c:v>
                </c:pt>
                <c:pt idx="2373">
                  <c:v>6.4219999999999999E-2</c:v>
                </c:pt>
                <c:pt idx="2374">
                  <c:v>6.2899999999999998E-2</c:v>
                </c:pt>
                <c:pt idx="2375">
                  <c:v>5.7660000000000003E-2</c:v>
                </c:pt>
                <c:pt idx="2376">
                  <c:v>5.2419999999999994E-2</c:v>
                </c:pt>
                <c:pt idx="2377">
                  <c:v>4.718E-2</c:v>
                </c:pt>
                <c:pt idx="2378">
                  <c:v>4.1940000000000005E-2</c:v>
                </c:pt>
                <c:pt idx="2379">
                  <c:v>3.6700000000000003E-2</c:v>
                </c:pt>
                <c:pt idx="2380">
                  <c:v>3.7640000000000007E-2</c:v>
                </c:pt>
                <c:pt idx="2381">
                  <c:v>3.8580000000000003E-2</c:v>
                </c:pt>
                <c:pt idx="2382">
                  <c:v>3.952E-2</c:v>
                </c:pt>
                <c:pt idx="2383">
                  <c:v>4.0460000000000003E-2</c:v>
                </c:pt>
                <c:pt idx="2384">
                  <c:v>4.1399999999999999E-2</c:v>
                </c:pt>
                <c:pt idx="2385">
                  <c:v>5.7380000000000007E-2</c:v>
                </c:pt>
                <c:pt idx="2386">
                  <c:v>7.3360000000000009E-2</c:v>
                </c:pt>
                <c:pt idx="2387">
                  <c:v>8.9340000000000003E-2</c:v>
                </c:pt>
                <c:pt idx="2388">
                  <c:v>0.10532000000000001</c:v>
                </c:pt>
                <c:pt idx="2389">
                  <c:v>0.12130000000000001</c:v>
                </c:pt>
                <c:pt idx="2390">
                  <c:v>0.13708000000000001</c:v>
                </c:pt>
                <c:pt idx="2391">
                  <c:v>0.15286</c:v>
                </c:pt>
                <c:pt idx="2392">
                  <c:v>0.16864000000000001</c:v>
                </c:pt>
                <c:pt idx="2393">
                  <c:v>0.18442</c:v>
                </c:pt>
                <c:pt idx="2394">
                  <c:v>0.20019999999999999</c:v>
                </c:pt>
                <c:pt idx="2395">
                  <c:v>0.22989999999999999</c:v>
                </c:pt>
                <c:pt idx="2396">
                  <c:v>0.2596</c:v>
                </c:pt>
                <c:pt idx="2397">
                  <c:v>0.2893</c:v>
                </c:pt>
                <c:pt idx="2398">
                  <c:v>0.31900000000000006</c:v>
                </c:pt>
                <c:pt idx="2399">
                  <c:v>0.34870000000000001</c:v>
                </c:pt>
                <c:pt idx="2400">
                  <c:v>0.34034000000000003</c:v>
                </c:pt>
                <c:pt idx="2401">
                  <c:v>0.33198</c:v>
                </c:pt>
                <c:pt idx="2402">
                  <c:v>0.32362000000000002</c:v>
                </c:pt>
                <c:pt idx="2403">
                  <c:v>0.31526000000000004</c:v>
                </c:pt>
                <c:pt idx="2404">
                  <c:v>0.30690000000000001</c:v>
                </c:pt>
                <c:pt idx="2405">
                  <c:v>0.3024</c:v>
                </c:pt>
                <c:pt idx="2406">
                  <c:v>0.2979</c:v>
                </c:pt>
                <c:pt idx="2407">
                  <c:v>0.29339999999999999</c:v>
                </c:pt>
                <c:pt idx="2408">
                  <c:v>0.28889999999999999</c:v>
                </c:pt>
                <c:pt idx="2409">
                  <c:v>0.28439999999999999</c:v>
                </c:pt>
                <c:pt idx="2410">
                  <c:v>0.28892000000000001</c:v>
                </c:pt>
                <c:pt idx="2411">
                  <c:v>0.29343999999999998</c:v>
                </c:pt>
                <c:pt idx="2412">
                  <c:v>0.29796</c:v>
                </c:pt>
                <c:pt idx="2413">
                  <c:v>0.30248000000000003</c:v>
                </c:pt>
                <c:pt idx="2414">
                  <c:v>0.307</c:v>
                </c:pt>
                <c:pt idx="2415">
                  <c:v>0.27836</c:v>
                </c:pt>
                <c:pt idx="2416">
                  <c:v>0.24972</c:v>
                </c:pt>
                <c:pt idx="2417">
                  <c:v>0.22108</c:v>
                </c:pt>
                <c:pt idx="2418">
                  <c:v>0.19244000000000003</c:v>
                </c:pt>
                <c:pt idx="2419">
                  <c:v>0.1638</c:v>
                </c:pt>
                <c:pt idx="2420">
                  <c:v>0.17664000000000002</c:v>
                </c:pt>
                <c:pt idx="2421">
                  <c:v>0.18947999999999998</c:v>
                </c:pt>
                <c:pt idx="2422">
                  <c:v>0.20232</c:v>
                </c:pt>
                <c:pt idx="2423">
                  <c:v>0.21516000000000002</c:v>
                </c:pt>
                <c:pt idx="2424">
                  <c:v>0.22800000000000001</c:v>
                </c:pt>
                <c:pt idx="2425">
                  <c:v>0.23770000000000002</c:v>
                </c:pt>
                <c:pt idx="2426">
                  <c:v>0.24740000000000001</c:v>
                </c:pt>
                <c:pt idx="2427">
                  <c:v>0.2571</c:v>
                </c:pt>
                <c:pt idx="2428">
                  <c:v>0.26680000000000004</c:v>
                </c:pt>
                <c:pt idx="2429">
                  <c:v>0.27650000000000002</c:v>
                </c:pt>
                <c:pt idx="2430">
                  <c:v>0.28336000000000006</c:v>
                </c:pt>
                <c:pt idx="2431">
                  <c:v>0.29022000000000003</c:v>
                </c:pt>
                <c:pt idx="2432">
                  <c:v>0.29708000000000001</c:v>
                </c:pt>
                <c:pt idx="2433">
                  <c:v>0.30394000000000004</c:v>
                </c:pt>
                <c:pt idx="2434">
                  <c:v>0.31080000000000002</c:v>
                </c:pt>
                <c:pt idx="2435">
                  <c:v>0.30848000000000003</c:v>
                </c:pt>
                <c:pt idx="2436">
                  <c:v>0.30615999999999999</c:v>
                </c:pt>
                <c:pt idx="2437">
                  <c:v>0.30384</c:v>
                </c:pt>
                <c:pt idx="2438">
                  <c:v>0.30152000000000001</c:v>
                </c:pt>
                <c:pt idx="2439">
                  <c:v>0.29920000000000002</c:v>
                </c:pt>
                <c:pt idx="2440">
                  <c:v>0.28868000000000005</c:v>
                </c:pt>
                <c:pt idx="2441">
                  <c:v>0.27816000000000002</c:v>
                </c:pt>
                <c:pt idx="2442">
                  <c:v>0.26763999999999999</c:v>
                </c:pt>
                <c:pt idx="2443">
                  <c:v>0.25712000000000002</c:v>
                </c:pt>
                <c:pt idx="2444">
                  <c:v>0.24660000000000001</c:v>
                </c:pt>
                <c:pt idx="2445">
                  <c:v>0.25076000000000004</c:v>
                </c:pt>
                <c:pt idx="2446">
                  <c:v>0.25492000000000004</c:v>
                </c:pt>
                <c:pt idx="2447">
                  <c:v>0.25907999999999998</c:v>
                </c:pt>
                <c:pt idx="2448">
                  <c:v>0.26324000000000003</c:v>
                </c:pt>
                <c:pt idx="2449">
                  <c:v>0.26740000000000003</c:v>
                </c:pt>
                <c:pt idx="2450">
                  <c:v>0.26490000000000002</c:v>
                </c:pt>
                <c:pt idx="2451">
                  <c:v>0.26240000000000002</c:v>
                </c:pt>
                <c:pt idx="2452">
                  <c:v>0.25990000000000002</c:v>
                </c:pt>
                <c:pt idx="2453">
                  <c:v>0.25740000000000002</c:v>
                </c:pt>
                <c:pt idx="2454">
                  <c:v>0.25490000000000002</c:v>
                </c:pt>
                <c:pt idx="2455">
                  <c:v>0.26316000000000001</c:v>
                </c:pt>
                <c:pt idx="2456">
                  <c:v>0.27141999999999999</c:v>
                </c:pt>
                <c:pt idx="2457">
                  <c:v>0.27968000000000004</c:v>
                </c:pt>
                <c:pt idx="2458">
                  <c:v>0.28794000000000003</c:v>
                </c:pt>
                <c:pt idx="2459">
                  <c:v>0.29620000000000002</c:v>
                </c:pt>
                <c:pt idx="2460">
                  <c:v>0.29322000000000004</c:v>
                </c:pt>
                <c:pt idx="2461">
                  <c:v>0.29024000000000005</c:v>
                </c:pt>
                <c:pt idx="2462">
                  <c:v>0.28726000000000002</c:v>
                </c:pt>
                <c:pt idx="2463">
                  <c:v>0.28428000000000003</c:v>
                </c:pt>
                <c:pt idx="2464">
                  <c:v>0.28129999999999999</c:v>
                </c:pt>
                <c:pt idx="2465">
                  <c:v>0.27114000000000005</c:v>
                </c:pt>
                <c:pt idx="2466">
                  <c:v>0.26097999999999999</c:v>
                </c:pt>
                <c:pt idx="2467">
                  <c:v>0.25082000000000004</c:v>
                </c:pt>
                <c:pt idx="2468">
                  <c:v>0.24066000000000001</c:v>
                </c:pt>
                <c:pt idx="2469">
                  <c:v>0.23050000000000001</c:v>
                </c:pt>
                <c:pt idx="2470">
                  <c:v>0.23626</c:v>
                </c:pt>
                <c:pt idx="2471">
                  <c:v>0.24202000000000001</c:v>
                </c:pt>
                <c:pt idx="2472">
                  <c:v>0.24777999999999997</c:v>
                </c:pt>
                <c:pt idx="2473">
                  <c:v>0.25353999999999999</c:v>
                </c:pt>
                <c:pt idx="2474">
                  <c:v>0.25929999999999997</c:v>
                </c:pt>
                <c:pt idx="2475">
                  <c:v>0.25122</c:v>
                </c:pt>
                <c:pt idx="2476">
                  <c:v>0.24313999999999997</c:v>
                </c:pt>
                <c:pt idx="2477">
                  <c:v>0.23505999999999999</c:v>
                </c:pt>
                <c:pt idx="2478">
                  <c:v>0.22698000000000002</c:v>
                </c:pt>
                <c:pt idx="2479">
                  <c:v>0.21890000000000001</c:v>
                </c:pt>
                <c:pt idx="2480">
                  <c:v>0.21330000000000002</c:v>
                </c:pt>
                <c:pt idx="2481">
                  <c:v>0.2077</c:v>
                </c:pt>
                <c:pt idx="2482">
                  <c:v>0.2021</c:v>
                </c:pt>
                <c:pt idx="2483">
                  <c:v>0.19650000000000001</c:v>
                </c:pt>
                <c:pt idx="2484">
                  <c:v>0.19089999999999999</c:v>
                </c:pt>
                <c:pt idx="2485">
                  <c:v>0.19236</c:v>
                </c:pt>
                <c:pt idx="2486">
                  <c:v>0.19381999999999999</c:v>
                </c:pt>
                <c:pt idx="2487">
                  <c:v>0.19527999999999998</c:v>
                </c:pt>
                <c:pt idx="2488">
                  <c:v>0.19674</c:v>
                </c:pt>
                <c:pt idx="2489">
                  <c:v>0.19819999999999999</c:v>
                </c:pt>
                <c:pt idx="2490">
                  <c:v>0.19204000000000002</c:v>
                </c:pt>
                <c:pt idx="2491">
                  <c:v>0.18587999999999999</c:v>
                </c:pt>
                <c:pt idx="2492">
                  <c:v>0.17971999999999999</c:v>
                </c:pt>
                <c:pt idx="2493">
                  <c:v>0.17356000000000002</c:v>
                </c:pt>
                <c:pt idx="2494">
                  <c:v>0.16739999999999999</c:v>
                </c:pt>
                <c:pt idx="2495">
                  <c:v>0.17358000000000001</c:v>
                </c:pt>
                <c:pt idx="2496">
                  <c:v>0.17975999999999998</c:v>
                </c:pt>
                <c:pt idx="2497">
                  <c:v>0.18593999999999999</c:v>
                </c:pt>
                <c:pt idx="2498">
                  <c:v>0.19212000000000001</c:v>
                </c:pt>
                <c:pt idx="2499">
                  <c:v>0.1983</c:v>
                </c:pt>
                <c:pt idx="2500">
                  <c:v>0.19602</c:v>
                </c:pt>
                <c:pt idx="2501">
                  <c:v>0.19374000000000002</c:v>
                </c:pt>
                <c:pt idx="2502">
                  <c:v>0.19146000000000002</c:v>
                </c:pt>
                <c:pt idx="2503">
                  <c:v>0.18918000000000001</c:v>
                </c:pt>
                <c:pt idx="2504">
                  <c:v>0.18690000000000001</c:v>
                </c:pt>
                <c:pt idx="2505">
                  <c:v>0.18926000000000001</c:v>
                </c:pt>
                <c:pt idx="2506">
                  <c:v>0.19162000000000001</c:v>
                </c:pt>
                <c:pt idx="2507">
                  <c:v>0.19397999999999999</c:v>
                </c:pt>
                <c:pt idx="2508">
                  <c:v>0.19633999999999999</c:v>
                </c:pt>
                <c:pt idx="2509">
                  <c:v>0.19869999999999999</c:v>
                </c:pt>
                <c:pt idx="2510">
                  <c:v>0.19141999999999998</c:v>
                </c:pt>
                <c:pt idx="2511">
                  <c:v>0.18414</c:v>
                </c:pt>
                <c:pt idx="2512">
                  <c:v>0.17685999999999999</c:v>
                </c:pt>
                <c:pt idx="2513">
                  <c:v>0.16958000000000001</c:v>
                </c:pt>
                <c:pt idx="2514">
                  <c:v>0.1623</c:v>
                </c:pt>
                <c:pt idx="2515">
                  <c:v>0.16528000000000001</c:v>
                </c:pt>
                <c:pt idx="2516">
                  <c:v>0.16825999999999999</c:v>
                </c:pt>
                <c:pt idx="2517">
                  <c:v>0.17124</c:v>
                </c:pt>
                <c:pt idx="2518">
                  <c:v>0.17421999999999999</c:v>
                </c:pt>
                <c:pt idx="2519">
                  <c:v>0.1772</c:v>
                </c:pt>
                <c:pt idx="2520">
                  <c:v>0.18080000000000002</c:v>
                </c:pt>
                <c:pt idx="2521">
                  <c:v>0.18440000000000001</c:v>
                </c:pt>
                <c:pt idx="2522">
                  <c:v>0.188</c:v>
                </c:pt>
                <c:pt idx="2523">
                  <c:v>0.19160000000000002</c:v>
                </c:pt>
                <c:pt idx="2524">
                  <c:v>0.19520000000000001</c:v>
                </c:pt>
                <c:pt idx="2525">
                  <c:v>0.18824000000000002</c:v>
                </c:pt>
                <c:pt idx="2526">
                  <c:v>0.18128</c:v>
                </c:pt>
                <c:pt idx="2527">
                  <c:v>0.17432</c:v>
                </c:pt>
                <c:pt idx="2528">
                  <c:v>0.16736000000000001</c:v>
                </c:pt>
                <c:pt idx="2529">
                  <c:v>0.16039999999999999</c:v>
                </c:pt>
              </c:numCache>
            </c:numRef>
          </c:val>
          <c:smooth val="0"/>
          <c:extLst>
            <c:ext xmlns:c16="http://schemas.microsoft.com/office/drawing/2014/chart" uri="{C3380CC4-5D6E-409C-BE32-E72D297353CC}">
              <c16:uniqueId val="{00000001-D511-4DAD-A719-CC1586DC7FD4}"/>
            </c:ext>
          </c:extLst>
        </c:ser>
        <c:dLbls>
          <c:showLegendKey val="0"/>
          <c:showVal val="0"/>
          <c:showCatName val="0"/>
          <c:showSerName val="0"/>
          <c:showPercent val="0"/>
          <c:showBubbleSize val="0"/>
        </c:dLbls>
        <c:marker val="1"/>
        <c:smooth val="0"/>
        <c:axId val="112607232"/>
        <c:axId val="112609152"/>
      </c:lineChart>
      <c:scatterChart>
        <c:scatterStyle val="lineMarker"/>
        <c:varyColors val="0"/>
        <c:ser>
          <c:idx val="2"/>
          <c:order val="2"/>
          <c:tx>
            <c:strRef>
              <c:f>CISS!$E$1</c:f>
              <c:strCache>
                <c:ptCount val="1"/>
                <c:pt idx="0">
                  <c:v>Composite indicator of systemic stress in sovereign bond markets (monthly)</c:v>
                </c:pt>
              </c:strCache>
            </c:strRef>
          </c:tx>
          <c:spPr>
            <a:ln w="25400" cap="rnd">
              <a:noFill/>
              <a:round/>
            </a:ln>
            <a:effectLst/>
          </c:spPr>
          <c:marker>
            <c:symbol val="circle"/>
            <c:size val="4"/>
            <c:spPr>
              <a:solidFill>
                <a:srgbClr val="002060"/>
              </a:solidFill>
              <a:ln w="9525">
                <a:solidFill>
                  <a:schemeClr val="bg1">
                    <a:lumMod val="75000"/>
                  </a:schemeClr>
                </a:solidFill>
              </a:ln>
              <a:effectLst/>
            </c:spPr>
          </c:marker>
          <c:xVal>
            <c:numRef>
              <c:f>CISS!$A$3137:$A$5666</c:f>
              <c:numCache>
                <c:formatCode>m/d/yyyy</c:formatCode>
                <c:ptCount val="2530"/>
                <c:pt idx="0">
                  <c:v>40546</c:v>
                </c:pt>
                <c:pt idx="1">
                  <c:v>40547</c:v>
                </c:pt>
                <c:pt idx="2">
                  <c:v>40548</c:v>
                </c:pt>
                <c:pt idx="3">
                  <c:v>40549</c:v>
                </c:pt>
                <c:pt idx="4">
                  <c:v>40550</c:v>
                </c:pt>
                <c:pt idx="5">
                  <c:v>40553</c:v>
                </c:pt>
                <c:pt idx="6">
                  <c:v>40554</c:v>
                </c:pt>
                <c:pt idx="7">
                  <c:v>40555</c:v>
                </c:pt>
                <c:pt idx="8">
                  <c:v>40556</c:v>
                </c:pt>
                <c:pt idx="9">
                  <c:v>40557</c:v>
                </c:pt>
                <c:pt idx="10">
                  <c:v>40560</c:v>
                </c:pt>
                <c:pt idx="11">
                  <c:v>40561</c:v>
                </c:pt>
                <c:pt idx="12">
                  <c:v>40562</c:v>
                </c:pt>
                <c:pt idx="13">
                  <c:v>40563</c:v>
                </c:pt>
                <c:pt idx="14">
                  <c:v>40564</c:v>
                </c:pt>
                <c:pt idx="15">
                  <c:v>40567</c:v>
                </c:pt>
                <c:pt idx="16">
                  <c:v>40568</c:v>
                </c:pt>
                <c:pt idx="17">
                  <c:v>40569</c:v>
                </c:pt>
                <c:pt idx="18">
                  <c:v>40570</c:v>
                </c:pt>
                <c:pt idx="19">
                  <c:v>40571</c:v>
                </c:pt>
                <c:pt idx="20">
                  <c:v>40574</c:v>
                </c:pt>
                <c:pt idx="21">
                  <c:v>40575</c:v>
                </c:pt>
                <c:pt idx="22">
                  <c:v>40576</c:v>
                </c:pt>
                <c:pt idx="23">
                  <c:v>40577</c:v>
                </c:pt>
                <c:pt idx="24">
                  <c:v>40578</c:v>
                </c:pt>
                <c:pt idx="25">
                  <c:v>40581</c:v>
                </c:pt>
                <c:pt idx="26">
                  <c:v>40582</c:v>
                </c:pt>
                <c:pt idx="27">
                  <c:v>40583</c:v>
                </c:pt>
                <c:pt idx="28">
                  <c:v>40584</c:v>
                </c:pt>
                <c:pt idx="29">
                  <c:v>40585</c:v>
                </c:pt>
                <c:pt idx="30">
                  <c:v>40588</c:v>
                </c:pt>
                <c:pt idx="31">
                  <c:v>40589</c:v>
                </c:pt>
                <c:pt idx="32">
                  <c:v>40590</c:v>
                </c:pt>
                <c:pt idx="33">
                  <c:v>40591</c:v>
                </c:pt>
                <c:pt idx="34">
                  <c:v>40592</c:v>
                </c:pt>
                <c:pt idx="35">
                  <c:v>40595</c:v>
                </c:pt>
                <c:pt idx="36">
                  <c:v>40596</c:v>
                </c:pt>
                <c:pt idx="37">
                  <c:v>40597</c:v>
                </c:pt>
                <c:pt idx="38">
                  <c:v>40598</c:v>
                </c:pt>
                <c:pt idx="39">
                  <c:v>40599</c:v>
                </c:pt>
                <c:pt idx="40">
                  <c:v>40602</c:v>
                </c:pt>
                <c:pt idx="41">
                  <c:v>40603</c:v>
                </c:pt>
                <c:pt idx="42">
                  <c:v>40604</c:v>
                </c:pt>
                <c:pt idx="43">
                  <c:v>40605</c:v>
                </c:pt>
                <c:pt idx="44">
                  <c:v>40606</c:v>
                </c:pt>
                <c:pt idx="45">
                  <c:v>40609</c:v>
                </c:pt>
                <c:pt idx="46">
                  <c:v>40610</c:v>
                </c:pt>
                <c:pt idx="47">
                  <c:v>40611</c:v>
                </c:pt>
                <c:pt idx="48">
                  <c:v>40612</c:v>
                </c:pt>
                <c:pt idx="49">
                  <c:v>40613</c:v>
                </c:pt>
                <c:pt idx="50">
                  <c:v>40616</c:v>
                </c:pt>
                <c:pt idx="51">
                  <c:v>40617</c:v>
                </c:pt>
                <c:pt idx="52">
                  <c:v>40618</c:v>
                </c:pt>
                <c:pt idx="53">
                  <c:v>40619</c:v>
                </c:pt>
                <c:pt idx="54">
                  <c:v>40620</c:v>
                </c:pt>
                <c:pt idx="55">
                  <c:v>40623</c:v>
                </c:pt>
                <c:pt idx="56">
                  <c:v>40624</c:v>
                </c:pt>
                <c:pt idx="57">
                  <c:v>40625</c:v>
                </c:pt>
                <c:pt idx="58">
                  <c:v>40626</c:v>
                </c:pt>
                <c:pt idx="59">
                  <c:v>40627</c:v>
                </c:pt>
                <c:pt idx="60">
                  <c:v>40630</c:v>
                </c:pt>
                <c:pt idx="61">
                  <c:v>40631</c:v>
                </c:pt>
                <c:pt idx="62">
                  <c:v>40632</c:v>
                </c:pt>
                <c:pt idx="63">
                  <c:v>40633</c:v>
                </c:pt>
                <c:pt idx="64">
                  <c:v>40634</c:v>
                </c:pt>
                <c:pt idx="65">
                  <c:v>40637</c:v>
                </c:pt>
                <c:pt idx="66">
                  <c:v>40638</c:v>
                </c:pt>
                <c:pt idx="67">
                  <c:v>40639</c:v>
                </c:pt>
                <c:pt idx="68">
                  <c:v>40640</c:v>
                </c:pt>
                <c:pt idx="69">
                  <c:v>40641</c:v>
                </c:pt>
                <c:pt idx="70">
                  <c:v>40644</c:v>
                </c:pt>
                <c:pt idx="71">
                  <c:v>40645</c:v>
                </c:pt>
                <c:pt idx="72">
                  <c:v>40646</c:v>
                </c:pt>
                <c:pt idx="73">
                  <c:v>40647</c:v>
                </c:pt>
                <c:pt idx="74">
                  <c:v>40648</c:v>
                </c:pt>
                <c:pt idx="75">
                  <c:v>40651</c:v>
                </c:pt>
                <c:pt idx="76">
                  <c:v>40652</c:v>
                </c:pt>
                <c:pt idx="77">
                  <c:v>40653</c:v>
                </c:pt>
                <c:pt idx="78">
                  <c:v>40654</c:v>
                </c:pt>
                <c:pt idx="79">
                  <c:v>40655</c:v>
                </c:pt>
                <c:pt idx="80">
                  <c:v>40658</c:v>
                </c:pt>
                <c:pt idx="81">
                  <c:v>40659</c:v>
                </c:pt>
                <c:pt idx="82">
                  <c:v>40660</c:v>
                </c:pt>
                <c:pt idx="83">
                  <c:v>40661</c:v>
                </c:pt>
                <c:pt idx="84">
                  <c:v>40662</c:v>
                </c:pt>
                <c:pt idx="85">
                  <c:v>40665</c:v>
                </c:pt>
                <c:pt idx="86">
                  <c:v>40666</c:v>
                </c:pt>
                <c:pt idx="87">
                  <c:v>40667</c:v>
                </c:pt>
                <c:pt idx="88">
                  <c:v>40668</c:v>
                </c:pt>
                <c:pt idx="89">
                  <c:v>40669</c:v>
                </c:pt>
                <c:pt idx="90">
                  <c:v>40672</c:v>
                </c:pt>
                <c:pt idx="91">
                  <c:v>40673</c:v>
                </c:pt>
                <c:pt idx="92">
                  <c:v>40674</c:v>
                </c:pt>
                <c:pt idx="93">
                  <c:v>40675</c:v>
                </c:pt>
                <c:pt idx="94">
                  <c:v>40676</c:v>
                </c:pt>
                <c:pt idx="95">
                  <c:v>40679</c:v>
                </c:pt>
                <c:pt idx="96">
                  <c:v>40680</c:v>
                </c:pt>
                <c:pt idx="97">
                  <c:v>40681</c:v>
                </c:pt>
                <c:pt idx="98">
                  <c:v>40682</c:v>
                </c:pt>
                <c:pt idx="99">
                  <c:v>40683</c:v>
                </c:pt>
                <c:pt idx="100">
                  <c:v>40686</c:v>
                </c:pt>
                <c:pt idx="101">
                  <c:v>40687</c:v>
                </c:pt>
                <c:pt idx="102">
                  <c:v>40688</c:v>
                </c:pt>
                <c:pt idx="103">
                  <c:v>40689</c:v>
                </c:pt>
                <c:pt idx="104">
                  <c:v>40690</c:v>
                </c:pt>
                <c:pt idx="105">
                  <c:v>40693</c:v>
                </c:pt>
                <c:pt idx="106">
                  <c:v>40694</c:v>
                </c:pt>
                <c:pt idx="107">
                  <c:v>40695</c:v>
                </c:pt>
                <c:pt idx="108">
                  <c:v>40696</c:v>
                </c:pt>
                <c:pt idx="109">
                  <c:v>40697</c:v>
                </c:pt>
                <c:pt idx="110">
                  <c:v>40700</c:v>
                </c:pt>
                <c:pt idx="111">
                  <c:v>40701</c:v>
                </c:pt>
                <c:pt idx="112">
                  <c:v>40702</c:v>
                </c:pt>
                <c:pt idx="113">
                  <c:v>40703</c:v>
                </c:pt>
                <c:pt idx="114">
                  <c:v>40704</c:v>
                </c:pt>
                <c:pt idx="115">
                  <c:v>40707</c:v>
                </c:pt>
                <c:pt idx="116">
                  <c:v>40708</c:v>
                </c:pt>
                <c:pt idx="117">
                  <c:v>40709</c:v>
                </c:pt>
                <c:pt idx="118">
                  <c:v>40710</c:v>
                </c:pt>
                <c:pt idx="119">
                  <c:v>40711</c:v>
                </c:pt>
                <c:pt idx="120">
                  <c:v>40714</c:v>
                </c:pt>
                <c:pt idx="121">
                  <c:v>40715</c:v>
                </c:pt>
                <c:pt idx="122">
                  <c:v>40716</c:v>
                </c:pt>
                <c:pt idx="123">
                  <c:v>40717</c:v>
                </c:pt>
                <c:pt idx="124">
                  <c:v>40718</c:v>
                </c:pt>
                <c:pt idx="125">
                  <c:v>40721</c:v>
                </c:pt>
                <c:pt idx="126">
                  <c:v>40722</c:v>
                </c:pt>
                <c:pt idx="127">
                  <c:v>40723</c:v>
                </c:pt>
                <c:pt idx="128">
                  <c:v>40724</c:v>
                </c:pt>
                <c:pt idx="129">
                  <c:v>40725</c:v>
                </c:pt>
                <c:pt idx="130">
                  <c:v>40728</c:v>
                </c:pt>
                <c:pt idx="131">
                  <c:v>40729</c:v>
                </c:pt>
                <c:pt idx="132">
                  <c:v>40730</c:v>
                </c:pt>
                <c:pt idx="133">
                  <c:v>40731</c:v>
                </c:pt>
                <c:pt idx="134">
                  <c:v>40732</c:v>
                </c:pt>
                <c:pt idx="135">
                  <c:v>40735</c:v>
                </c:pt>
                <c:pt idx="136">
                  <c:v>40736</c:v>
                </c:pt>
                <c:pt idx="137">
                  <c:v>40737</c:v>
                </c:pt>
                <c:pt idx="138">
                  <c:v>40738</c:v>
                </c:pt>
                <c:pt idx="139">
                  <c:v>40739</c:v>
                </c:pt>
                <c:pt idx="140">
                  <c:v>40742</c:v>
                </c:pt>
                <c:pt idx="141">
                  <c:v>40743</c:v>
                </c:pt>
                <c:pt idx="142">
                  <c:v>40744</c:v>
                </c:pt>
                <c:pt idx="143">
                  <c:v>40745</c:v>
                </c:pt>
                <c:pt idx="144">
                  <c:v>40746</c:v>
                </c:pt>
                <c:pt idx="145">
                  <c:v>40749</c:v>
                </c:pt>
                <c:pt idx="146">
                  <c:v>40750</c:v>
                </c:pt>
                <c:pt idx="147">
                  <c:v>40751</c:v>
                </c:pt>
                <c:pt idx="148">
                  <c:v>40752</c:v>
                </c:pt>
                <c:pt idx="149">
                  <c:v>40753</c:v>
                </c:pt>
                <c:pt idx="150">
                  <c:v>40756</c:v>
                </c:pt>
                <c:pt idx="151">
                  <c:v>40757</c:v>
                </c:pt>
                <c:pt idx="152">
                  <c:v>40758</c:v>
                </c:pt>
                <c:pt idx="153">
                  <c:v>40759</c:v>
                </c:pt>
                <c:pt idx="154">
                  <c:v>40760</c:v>
                </c:pt>
                <c:pt idx="155">
                  <c:v>40763</c:v>
                </c:pt>
                <c:pt idx="156">
                  <c:v>40764</c:v>
                </c:pt>
                <c:pt idx="157">
                  <c:v>40765</c:v>
                </c:pt>
                <c:pt idx="158">
                  <c:v>40766</c:v>
                </c:pt>
                <c:pt idx="159">
                  <c:v>40767</c:v>
                </c:pt>
                <c:pt idx="160">
                  <c:v>40770</c:v>
                </c:pt>
                <c:pt idx="161">
                  <c:v>40771</c:v>
                </c:pt>
                <c:pt idx="162">
                  <c:v>40772</c:v>
                </c:pt>
                <c:pt idx="163">
                  <c:v>40773</c:v>
                </c:pt>
                <c:pt idx="164">
                  <c:v>40774</c:v>
                </c:pt>
                <c:pt idx="165">
                  <c:v>40777</c:v>
                </c:pt>
                <c:pt idx="166">
                  <c:v>40778</c:v>
                </c:pt>
                <c:pt idx="167">
                  <c:v>40779</c:v>
                </c:pt>
                <c:pt idx="168">
                  <c:v>40780</c:v>
                </c:pt>
                <c:pt idx="169">
                  <c:v>40781</c:v>
                </c:pt>
                <c:pt idx="170">
                  <c:v>40784</c:v>
                </c:pt>
                <c:pt idx="171">
                  <c:v>40785</c:v>
                </c:pt>
                <c:pt idx="172">
                  <c:v>40786</c:v>
                </c:pt>
                <c:pt idx="173">
                  <c:v>40787</c:v>
                </c:pt>
                <c:pt idx="174">
                  <c:v>40788</c:v>
                </c:pt>
                <c:pt idx="175">
                  <c:v>40791</c:v>
                </c:pt>
                <c:pt idx="176">
                  <c:v>40792</c:v>
                </c:pt>
                <c:pt idx="177">
                  <c:v>40793</c:v>
                </c:pt>
                <c:pt idx="178">
                  <c:v>40794</c:v>
                </c:pt>
                <c:pt idx="179">
                  <c:v>40795</c:v>
                </c:pt>
                <c:pt idx="180">
                  <c:v>40798</c:v>
                </c:pt>
                <c:pt idx="181">
                  <c:v>40799</c:v>
                </c:pt>
                <c:pt idx="182">
                  <c:v>40800</c:v>
                </c:pt>
                <c:pt idx="183">
                  <c:v>40801</c:v>
                </c:pt>
                <c:pt idx="184">
                  <c:v>40802</c:v>
                </c:pt>
                <c:pt idx="185">
                  <c:v>40805</c:v>
                </c:pt>
                <c:pt idx="186">
                  <c:v>40806</c:v>
                </c:pt>
                <c:pt idx="187">
                  <c:v>40807</c:v>
                </c:pt>
                <c:pt idx="188">
                  <c:v>40808</c:v>
                </c:pt>
                <c:pt idx="189">
                  <c:v>40809</c:v>
                </c:pt>
                <c:pt idx="190">
                  <c:v>40812</c:v>
                </c:pt>
                <c:pt idx="191">
                  <c:v>40813</c:v>
                </c:pt>
                <c:pt idx="192">
                  <c:v>40814</c:v>
                </c:pt>
                <c:pt idx="193">
                  <c:v>40815</c:v>
                </c:pt>
                <c:pt idx="194">
                  <c:v>40816</c:v>
                </c:pt>
                <c:pt idx="195">
                  <c:v>40819</c:v>
                </c:pt>
                <c:pt idx="196">
                  <c:v>40820</c:v>
                </c:pt>
                <c:pt idx="197">
                  <c:v>40821</c:v>
                </c:pt>
                <c:pt idx="198">
                  <c:v>40822</c:v>
                </c:pt>
                <c:pt idx="199">
                  <c:v>40823</c:v>
                </c:pt>
                <c:pt idx="200">
                  <c:v>40826</c:v>
                </c:pt>
                <c:pt idx="201">
                  <c:v>40827</c:v>
                </c:pt>
                <c:pt idx="202">
                  <c:v>40828</c:v>
                </c:pt>
                <c:pt idx="203">
                  <c:v>40829</c:v>
                </c:pt>
                <c:pt idx="204">
                  <c:v>40830</c:v>
                </c:pt>
                <c:pt idx="205">
                  <c:v>40833</c:v>
                </c:pt>
                <c:pt idx="206">
                  <c:v>40834</c:v>
                </c:pt>
                <c:pt idx="207">
                  <c:v>40835</c:v>
                </c:pt>
                <c:pt idx="208">
                  <c:v>40836</c:v>
                </c:pt>
                <c:pt idx="209">
                  <c:v>40837</c:v>
                </c:pt>
                <c:pt idx="210">
                  <c:v>40840</c:v>
                </c:pt>
                <c:pt idx="211">
                  <c:v>40841</c:v>
                </c:pt>
                <c:pt idx="212">
                  <c:v>40842</c:v>
                </c:pt>
                <c:pt idx="213">
                  <c:v>40843</c:v>
                </c:pt>
                <c:pt idx="214">
                  <c:v>40844</c:v>
                </c:pt>
                <c:pt idx="215">
                  <c:v>40847</c:v>
                </c:pt>
                <c:pt idx="216">
                  <c:v>40848</c:v>
                </c:pt>
                <c:pt idx="217">
                  <c:v>40849</c:v>
                </c:pt>
                <c:pt idx="218">
                  <c:v>40850</c:v>
                </c:pt>
                <c:pt idx="219">
                  <c:v>40851</c:v>
                </c:pt>
                <c:pt idx="220">
                  <c:v>40854</c:v>
                </c:pt>
                <c:pt idx="221">
                  <c:v>40855</c:v>
                </c:pt>
                <c:pt idx="222">
                  <c:v>40856</c:v>
                </c:pt>
                <c:pt idx="223">
                  <c:v>40857</c:v>
                </c:pt>
                <c:pt idx="224">
                  <c:v>40858</c:v>
                </c:pt>
                <c:pt idx="225">
                  <c:v>40861</c:v>
                </c:pt>
                <c:pt idx="226">
                  <c:v>40862</c:v>
                </c:pt>
                <c:pt idx="227">
                  <c:v>40863</c:v>
                </c:pt>
                <c:pt idx="228">
                  <c:v>40864</c:v>
                </c:pt>
                <c:pt idx="229">
                  <c:v>40865</c:v>
                </c:pt>
                <c:pt idx="230">
                  <c:v>40868</c:v>
                </c:pt>
                <c:pt idx="231">
                  <c:v>40869</c:v>
                </c:pt>
                <c:pt idx="232">
                  <c:v>40870</c:v>
                </c:pt>
                <c:pt idx="233">
                  <c:v>40871</c:v>
                </c:pt>
                <c:pt idx="234">
                  <c:v>40872</c:v>
                </c:pt>
                <c:pt idx="235">
                  <c:v>40875</c:v>
                </c:pt>
                <c:pt idx="236">
                  <c:v>40876</c:v>
                </c:pt>
                <c:pt idx="237">
                  <c:v>40877</c:v>
                </c:pt>
                <c:pt idx="238">
                  <c:v>40878</c:v>
                </c:pt>
                <c:pt idx="239">
                  <c:v>40879</c:v>
                </c:pt>
                <c:pt idx="240">
                  <c:v>40882</c:v>
                </c:pt>
                <c:pt idx="241">
                  <c:v>40883</c:v>
                </c:pt>
                <c:pt idx="242">
                  <c:v>40884</c:v>
                </c:pt>
                <c:pt idx="243">
                  <c:v>40885</c:v>
                </c:pt>
                <c:pt idx="244">
                  <c:v>40886</c:v>
                </c:pt>
                <c:pt idx="245">
                  <c:v>40889</c:v>
                </c:pt>
                <c:pt idx="246">
                  <c:v>40890</c:v>
                </c:pt>
                <c:pt idx="247">
                  <c:v>40891</c:v>
                </c:pt>
                <c:pt idx="248">
                  <c:v>40892</c:v>
                </c:pt>
                <c:pt idx="249">
                  <c:v>40893</c:v>
                </c:pt>
                <c:pt idx="250">
                  <c:v>40896</c:v>
                </c:pt>
                <c:pt idx="251">
                  <c:v>40897</c:v>
                </c:pt>
                <c:pt idx="252">
                  <c:v>40898</c:v>
                </c:pt>
                <c:pt idx="253">
                  <c:v>40899</c:v>
                </c:pt>
                <c:pt idx="254">
                  <c:v>40900</c:v>
                </c:pt>
                <c:pt idx="255">
                  <c:v>40903</c:v>
                </c:pt>
                <c:pt idx="256">
                  <c:v>40904</c:v>
                </c:pt>
                <c:pt idx="257">
                  <c:v>40905</c:v>
                </c:pt>
                <c:pt idx="258">
                  <c:v>40906</c:v>
                </c:pt>
                <c:pt idx="259">
                  <c:v>40907</c:v>
                </c:pt>
                <c:pt idx="260">
                  <c:v>40910</c:v>
                </c:pt>
                <c:pt idx="261">
                  <c:v>40911</c:v>
                </c:pt>
                <c:pt idx="262">
                  <c:v>40912</c:v>
                </c:pt>
                <c:pt idx="263">
                  <c:v>40913</c:v>
                </c:pt>
                <c:pt idx="264">
                  <c:v>40914</c:v>
                </c:pt>
                <c:pt idx="265">
                  <c:v>40917</c:v>
                </c:pt>
                <c:pt idx="266">
                  <c:v>40918</c:v>
                </c:pt>
                <c:pt idx="267">
                  <c:v>40919</c:v>
                </c:pt>
                <c:pt idx="268">
                  <c:v>40920</c:v>
                </c:pt>
                <c:pt idx="269">
                  <c:v>40921</c:v>
                </c:pt>
                <c:pt idx="270">
                  <c:v>40924</c:v>
                </c:pt>
                <c:pt idx="271">
                  <c:v>40925</c:v>
                </c:pt>
                <c:pt idx="272">
                  <c:v>40926</c:v>
                </c:pt>
                <c:pt idx="273">
                  <c:v>40927</c:v>
                </c:pt>
                <c:pt idx="274">
                  <c:v>40928</c:v>
                </c:pt>
                <c:pt idx="275">
                  <c:v>40931</c:v>
                </c:pt>
                <c:pt idx="276">
                  <c:v>40932</c:v>
                </c:pt>
                <c:pt idx="277">
                  <c:v>40933</c:v>
                </c:pt>
                <c:pt idx="278">
                  <c:v>40934</c:v>
                </c:pt>
                <c:pt idx="279">
                  <c:v>40935</c:v>
                </c:pt>
                <c:pt idx="280">
                  <c:v>40938</c:v>
                </c:pt>
                <c:pt idx="281">
                  <c:v>40939</c:v>
                </c:pt>
                <c:pt idx="282">
                  <c:v>40940</c:v>
                </c:pt>
                <c:pt idx="283">
                  <c:v>40941</c:v>
                </c:pt>
                <c:pt idx="284">
                  <c:v>40942</c:v>
                </c:pt>
                <c:pt idx="285">
                  <c:v>40945</c:v>
                </c:pt>
                <c:pt idx="286">
                  <c:v>40946</c:v>
                </c:pt>
                <c:pt idx="287">
                  <c:v>40947</c:v>
                </c:pt>
                <c:pt idx="288">
                  <c:v>40948</c:v>
                </c:pt>
                <c:pt idx="289">
                  <c:v>40949</c:v>
                </c:pt>
                <c:pt idx="290">
                  <c:v>40952</c:v>
                </c:pt>
                <c:pt idx="291">
                  <c:v>40953</c:v>
                </c:pt>
                <c:pt idx="292">
                  <c:v>40954</c:v>
                </c:pt>
                <c:pt idx="293">
                  <c:v>40955</c:v>
                </c:pt>
                <c:pt idx="294">
                  <c:v>40956</c:v>
                </c:pt>
                <c:pt idx="295">
                  <c:v>40959</c:v>
                </c:pt>
                <c:pt idx="296">
                  <c:v>40960</c:v>
                </c:pt>
                <c:pt idx="297">
                  <c:v>40961</c:v>
                </c:pt>
                <c:pt idx="298">
                  <c:v>40962</c:v>
                </c:pt>
                <c:pt idx="299">
                  <c:v>40963</c:v>
                </c:pt>
                <c:pt idx="300">
                  <c:v>40966</c:v>
                </c:pt>
                <c:pt idx="301">
                  <c:v>40967</c:v>
                </c:pt>
                <c:pt idx="302">
                  <c:v>40968</c:v>
                </c:pt>
                <c:pt idx="303">
                  <c:v>40969</c:v>
                </c:pt>
                <c:pt idx="304">
                  <c:v>40970</c:v>
                </c:pt>
                <c:pt idx="305">
                  <c:v>40973</c:v>
                </c:pt>
                <c:pt idx="306">
                  <c:v>40974</c:v>
                </c:pt>
                <c:pt idx="307">
                  <c:v>40975</c:v>
                </c:pt>
                <c:pt idx="308">
                  <c:v>40976</c:v>
                </c:pt>
                <c:pt idx="309">
                  <c:v>40977</c:v>
                </c:pt>
                <c:pt idx="310">
                  <c:v>40980</c:v>
                </c:pt>
                <c:pt idx="311">
                  <c:v>40981</c:v>
                </c:pt>
                <c:pt idx="312">
                  <c:v>40982</c:v>
                </c:pt>
                <c:pt idx="313">
                  <c:v>40983</c:v>
                </c:pt>
                <c:pt idx="314">
                  <c:v>40984</c:v>
                </c:pt>
                <c:pt idx="315">
                  <c:v>40987</c:v>
                </c:pt>
                <c:pt idx="316">
                  <c:v>40988</c:v>
                </c:pt>
                <c:pt idx="317">
                  <c:v>40989</c:v>
                </c:pt>
                <c:pt idx="318">
                  <c:v>40990</c:v>
                </c:pt>
                <c:pt idx="319">
                  <c:v>40991</c:v>
                </c:pt>
                <c:pt idx="320">
                  <c:v>40994</c:v>
                </c:pt>
                <c:pt idx="321">
                  <c:v>40995</c:v>
                </c:pt>
                <c:pt idx="322">
                  <c:v>40996</c:v>
                </c:pt>
                <c:pt idx="323">
                  <c:v>40997</c:v>
                </c:pt>
                <c:pt idx="324">
                  <c:v>40998</c:v>
                </c:pt>
                <c:pt idx="325">
                  <c:v>41001</c:v>
                </c:pt>
                <c:pt idx="326">
                  <c:v>41002</c:v>
                </c:pt>
                <c:pt idx="327">
                  <c:v>41003</c:v>
                </c:pt>
                <c:pt idx="328">
                  <c:v>41004</c:v>
                </c:pt>
                <c:pt idx="329">
                  <c:v>41005</c:v>
                </c:pt>
                <c:pt idx="330">
                  <c:v>41008</c:v>
                </c:pt>
                <c:pt idx="331">
                  <c:v>41009</c:v>
                </c:pt>
                <c:pt idx="332">
                  <c:v>41010</c:v>
                </c:pt>
                <c:pt idx="333">
                  <c:v>41011</c:v>
                </c:pt>
                <c:pt idx="334">
                  <c:v>41012</c:v>
                </c:pt>
                <c:pt idx="335">
                  <c:v>41015</c:v>
                </c:pt>
                <c:pt idx="336">
                  <c:v>41016</c:v>
                </c:pt>
                <c:pt idx="337">
                  <c:v>41017</c:v>
                </c:pt>
                <c:pt idx="338">
                  <c:v>41018</c:v>
                </c:pt>
                <c:pt idx="339">
                  <c:v>41019</c:v>
                </c:pt>
                <c:pt idx="340">
                  <c:v>41022</c:v>
                </c:pt>
                <c:pt idx="341">
                  <c:v>41023</c:v>
                </c:pt>
                <c:pt idx="342">
                  <c:v>41024</c:v>
                </c:pt>
                <c:pt idx="343">
                  <c:v>41025</c:v>
                </c:pt>
                <c:pt idx="344">
                  <c:v>41026</c:v>
                </c:pt>
                <c:pt idx="345">
                  <c:v>41029</c:v>
                </c:pt>
                <c:pt idx="346">
                  <c:v>41030</c:v>
                </c:pt>
                <c:pt idx="347">
                  <c:v>41031</c:v>
                </c:pt>
                <c:pt idx="348">
                  <c:v>41032</c:v>
                </c:pt>
                <c:pt idx="349">
                  <c:v>41033</c:v>
                </c:pt>
                <c:pt idx="350">
                  <c:v>41036</c:v>
                </c:pt>
                <c:pt idx="351">
                  <c:v>41037</c:v>
                </c:pt>
                <c:pt idx="352">
                  <c:v>41038</c:v>
                </c:pt>
                <c:pt idx="353">
                  <c:v>41039</c:v>
                </c:pt>
                <c:pt idx="354">
                  <c:v>41040</c:v>
                </c:pt>
                <c:pt idx="355">
                  <c:v>41043</c:v>
                </c:pt>
                <c:pt idx="356">
                  <c:v>41044</c:v>
                </c:pt>
                <c:pt idx="357">
                  <c:v>41045</c:v>
                </c:pt>
                <c:pt idx="358">
                  <c:v>41046</c:v>
                </c:pt>
                <c:pt idx="359">
                  <c:v>41047</c:v>
                </c:pt>
                <c:pt idx="360">
                  <c:v>41050</c:v>
                </c:pt>
                <c:pt idx="361">
                  <c:v>41051</c:v>
                </c:pt>
                <c:pt idx="362">
                  <c:v>41052</c:v>
                </c:pt>
                <c:pt idx="363">
                  <c:v>41053</c:v>
                </c:pt>
                <c:pt idx="364">
                  <c:v>41054</c:v>
                </c:pt>
                <c:pt idx="365">
                  <c:v>41057</c:v>
                </c:pt>
                <c:pt idx="366">
                  <c:v>41058</c:v>
                </c:pt>
                <c:pt idx="367">
                  <c:v>41059</c:v>
                </c:pt>
                <c:pt idx="368">
                  <c:v>41060</c:v>
                </c:pt>
                <c:pt idx="369">
                  <c:v>41061</c:v>
                </c:pt>
                <c:pt idx="370">
                  <c:v>41064</c:v>
                </c:pt>
                <c:pt idx="371">
                  <c:v>41065</c:v>
                </c:pt>
                <c:pt idx="372">
                  <c:v>41066</c:v>
                </c:pt>
                <c:pt idx="373">
                  <c:v>41067</c:v>
                </c:pt>
                <c:pt idx="374">
                  <c:v>41068</c:v>
                </c:pt>
                <c:pt idx="375">
                  <c:v>41071</c:v>
                </c:pt>
                <c:pt idx="376">
                  <c:v>41072</c:v>
                </c:pt>
                <c:pt idx="377">
                  <c:v>41073</c:v>
                </c:pt>
                <c:pt idx="378">
                  <c:v>41074</c:v>
                </c:pt>
                <c:pt idx="379">
                  <c:v>41075</c:v>
                </c:pt>
                <c:pt idx="380">
                  <c:v>41078</c:v>
                </c:pt>
                <c:pt idx="381">
                  <c:v>41079</c:v>
                </c:pt>
                <c:pt idx="382">
                  <c:v>41080</c:v>
                </c:pt>
                <c:pt idx="383">
                  <c:v>41081</c:v>
                </c:pt>
                <c:pt idx="384">
                  <c:v>41082</c:v>
                </c:pt>
                <c:pt idx="385">
                  <c:v>41085</c:v>
                </c:pt>
                <c:pt idx="386">
                  <c:v>41086</c:v>
                </c:pt>
                <c:pt idx="387">
                  <c:v>41087</c:v>
                </c:pt>
                <c:pt idx="388">
                  <c:v>41088</c:v>
                </c:pt>
                <c:pt idx="389">
                  <c:v>41089</c:v>
                </c:pt>
                <c:pt idx="390">
                  <c:v>41092</c:v>
                </c:pt>
                <c:pt idx="391">
                  <c:v>41093</c:v>
                </c:pt>
                <c:pt idx="392">
                  <c:v>41094</c:v>
                </c:pt>
                <c:pt idx="393">
                  <c:v>41095</c:v>
                </c:pt>
                <c:pt idx="394">
                  <c:v>41096</c:v>
                </c:pt>
                <c:pt idx="395">
                  <c:v>41099</c:v>
                </c:pt>
                <c:pt idx="396">
                  <c:v>41100</c:v>
                </c:pt>
                <c:pt idx="397">
                  <c:v>41101</c:v>
                </c:pt>
                <c:pt idx="398">
                  <c:v>41102</c:v>
                </c:pt>
                <c:pt idx="399">
                  <c:v>41103</c:v>
                </c:pt>
                <c:pt idx="400">
                  <c:v>41106</c:v>
                </c:pt>
                <c:pt idx="401">
                  <c:v>41107</c:v>
                </c:pt>
                <c:pt idx="402">
                  <c:v>41108</c:v>
                </c:pt>
                <c:pt idx="403">
                  <c:v>41109</c:v>
                </c:pt>
                <c:pt idx="404">
                  <c:v>41110</c:v>
                </c:pt>
                <c:pt idx="405">
                  <c:v>41113</c:v>
                </c:pt>
                <c:pt idx="406">
                  <c:v>41114</c:v>
                </c:pt>
                <c:pt idx="407">
                  <c:v>41115</c:v>
                </c:pt>
                <c:pt idx="408">
                  <c:v>41116</c:v>
                </c:pt>
                <c:pt idx="409">
                  <c:v>41117</c:v>
                </c:pt>
                <c:pt idx="410">
                  <c:v>41120</c:v>
                </c:pt>
                <c:pt idx="411">
                  <c:v>41121</c:v>
                </c:pt>
                <c:pt idx="412">
                  <c:v>41122</c:v>
                </c:pt>
                <c:pt idx="413">
                  <c:v>41123</c:v>
                </c:pt>
                <c:pt idx="414">
                  <c:v>41124</c:v>
                </c:pt>
                <c:pt idx="415">
                  <c:v>41127</c:v>
                </c:pt>
                <c:pt idx="416">
                  <c:v>41128</c:v>
                </c:pt>
                <c:pt idx="417">
                  <c:v>41129</c:v>
                </c:pt>
                <c:pt idx="418">
                  <c:v>41130</c:v>
                </c:pt>
                <c:pt idx="419">
                  <c:v>41131</c:v>
                </c:pt>
                <c:pt idx="420">
                  <c:v>41134</c:v>
                </c:pt>
                <c:pt idx="421">
                  <c:v>41135</c:v>
                </c:pt>
                <c:pt idx="422">
                  <c:v>41136</c:v>
                </c:pt>
                <c:pt idx="423">
                  <c:v>41137</c:v>
                </c:pt>
                <c:pt idx="424">
                  <c:v>41138</c:v>
                </c:pt>
                <c:pt idx="425">
                  <c:v>41141</c:v>
                </c:pt>
                <c:pt idx="426">
                  <c:v>41142</c:v>
                </c:pt>
                <c:pt idx="427">
                  <c:v>41143</c:v>
                </c:pt>
                <c:pt idx="428">
                  <c:v>41144</c:v>
                </c:pt>
                <c:pt idx="429">
                  <c:v>41145</c:v>
                </c:pt>
                <c:pt idx="430">
                  <c:v>41148</c:v>
                </c:pt>
                <c:pt idx="431">
                  <c:v>41149</c:v>
                </c:pt>
                <c:pt idx="432">
                  <c:v>41150</c:v>
                </c:pt>
                <c:pt idx="433">
                  <c:v>41151</c:v>
                </c:pt>
                <c:pt idx="434">
                  <c:v>41152</c:v>
                </c:pt>
                <c:pt idx="435">
                  <c:v>41155</c:v>
                </c:pt>
                <c:pt idx="436">
                  <c:v>41156</c:v>
                </c:pt>
                <c:pt idx="437">
                  <c:v>41157</c:v>
                </c:pt>
                <c:pt idx="438">
                  <c:v>41158</c:v>
                </c:pt>
                <c:pt idx="439">
                  <c:v>41159</c:v>
                </c:pt>
                <c:pt idx="440">
                  <c:v>41162</c:v>
                </c:pt>
                <c:pt idx="441">
                  <c:v>41163</c:v>
                </c:pt>
                <c:pt idx="442">
                  <c:v>41164</c:v>
                </c:pt>
                <c:pt idx="443">
                  <c:v>41165</c:v>
                </c:pt>
                <c:pt idx="444">
                  <c:v>41166</c:v>
                </c:pt>
                <c:pt idx="445">
                  <c:v>41169</c:v>
                </c:pt>
                <c:pt idx="446">
                  <c:v>41170</c:v>
                </c:pt>
                <c:pt idx="447">
                  <c:v>41171</c:v>
                </c:pt>
                <c:pt idx="448">
                  <c:v>41172</c:v>
                </c:pt>
                <c:pt idx="449">
                  <c:v>41173</c:v>
                </c:pt>
                <c:pt idx="450">
                  <c:v>41176</c:v>
                </c:pt>
                <c:pt idx="451">
                  <c:v>41177</c:v>
                </c:pt>
                <c:pt idx="452">
                  <c:v>41178</c:v>
                </c:pt>
                <c:pt idx="453">
                  <c:v>41179</c:v>
                </c:pt>
                <c:pt idx="454">
                  <c:v>41180</c:v>
                </c:pt>
                <c:pt idx="455">
                  <c:v>41183</c:v>
                </c:pt>
                <c:pt idx="456">
                  <c:v>41184</c:v>
                </c:pt>
                <c:pt idx="457">
                  <c:v>41185</c:v>
                </c:pt>
                <c:pt idx="458">
                  <c:v>41186</c:v>
                </c:pt>
                <c:pt idx="459">
                  <c:v>41187</c:v>
                </c:pt>
                <c:pt idx="460">
                  <c:v>41190</c:v>
                </c:pt>
                <c:pt idx="461">
                  <c:v>41191</c:v>
                </c:pt>
                <c:pt idx="462">
                  <c:v>41192</c:v>
                </c:pt>
                <c:pt idx="463">
                  <c:v>41193</c:v>
                </c:pt>
                <c:pt idx="464">
                  <c:v>41194</c:v>
                </c:pt>
                <c:pt idx="465">
                  <c:v>41197</c:v>
                </c:pt>
                <c:pt idx="466">
                  <c:v>41198</c:v>
                </c:pt>
                <c:pt idx="467">
                  <c:v>41199</c:v>
                </c:pt>
                <c:pt idx="468">
                  <c:v>41200</c:v>
                </c:pt>
                <c:pt idx="469">
                  <c:v>41201</c:v>
                </c:pt>
                <c:pt idx="470">
                  <c:v>41204</c:v>
                </c:pt>
                <c:pt idx="471">
                  <c:v>41205</c:v>
                </c:pt>
                <c:pt idx="472">
                  <c:v>41206</c:v>
                </c:pt>
                <c:pt idx="473">
                  <c:v>41207</c:v>
                </c:pt>
                <c:pt idx="474">
                  <c:v>41208</c:v>
                </c:pt>
                <c:pt idx="475">
                  <c:v>41211</c:v>
                </c:pt>
                <c:pt idx="476">
                  <c:v>41212</c:v>
                </c:pt>
                <c:pt idx="477">
                  <c:v>41213</c:v>
                </c:pt>
                <c:pt idx="478">
                  <c:v>41214</c:v>
                </c:pt>
                <c:pt idx="479">
                  <c:v>41215</c:v>
                </c:pt>
                <c:pt idx="480">
                  <c:v>41218</c:v>
                </c:pt>
                <c:pt idx="481">
                  <c:v>41219</c:v>
                </c:pt>
                <c:pt idx="482">
                  <c:v>41220</c:v>
                </c:pt>
                <c:pt idx="483">
                  <c:v>41221</c:v>
                </c:pt>
                <c:pt idx="484">
                  <c:v>41222</c:v>
                </c:pt>
                <c:pt idx="485">
                  <c:v>41225</c:v>
                </c:pt>
                <c:pt idx="486">
                  <c:v>41226</c:v>
                </c:pt>
                <c:pt idx="487">
                  <c:v>41227</c:v>
                </c:pt>
                <c:pt idx="488">
                  <c:v>41228</c:v>
                </c:pt>
                <c:pt idx="489">
                  <c:v>41229</c:v>
                </c:pt>
                <c:pt idx="490">
                  <c:v>41232</c:v>
                </c:pt>
                <c:pt idx="491">
                  <c:v>41233</c:v>
                </c:pt>
                <c:pt idx="492">
                  <c:v>41234</c:v>
                </c:pt>
                <c:pt idx="493">
                  <c:v>41235</c:v>
                </c:pt>
                <c:pt idx="494">
                  <c:v>41236</c:v>
                </c:pt>
                <c:pt idx="495">
                  <c:v>41239</c:v>
                </c:pt>
                <c:pt idx="496">
                  <c:v>41240</c:v>
                </c:pt>
                <c:pt idx="497">
                  <c:v>41241</c:v>
                </c:pt>
                <c:pt idx="498">
                  <c:v>41242</c:v>
                </c:pt>
                <c:pt idx="499">
                  <c:v>41243</c:v>
                </c:pt>
                <c:pt idx="500">
                  <c:v>41246</c:v>
                </c:pt>
                <c:pt idx="501">
                  <c:v>41247</c:v>
                </c:pt>
                <c:pt idx="502">
                  <c:v>41248</c:v>
                </c:pt>
                <c:pt idx="503">
                  <c:v>41249</c:v>
                </c:pt>
                <c:pt idx="504">
                  <c:v>41250</c:v>
                </c:pt>
                <c:pt idx="505">
                  <c:v>41253</c:v>
                </c:pt>
                <c:pt idx="506">
                  <c:v>41254</c:v>
                </c:pt>
                <c:pt idx="507">
                  <c:v>41255</c:v>
                </c:pt>
                <c:pt idx="508">
                  <c:v>41256</c:v>
                </c:pt>
                <c:pt idx="509">
                  <c:v>41257</c:v>
                </c:pt>
                <c:pt idx="510">
                  <c:v>41260</c:v>
                </c:pt>
                <c:pt idx="511">
                  <c:v>41261</c:v>
                </c:pt>
                <c:pt idx="512">
                  <c:v>41262</c:v>
                </c:pt>
                <c:pt idx="513">
                  <c:v>41263</c:v>
                </c:pt>
                <c:pt idx="514">
                  <c:v>41264</c:v>
                </c:pt>
                <c:pt idx="515">
                  <c:v>41267</c:v>
                </c:pt>
                <c:pt idx="516">
                  <c:v>41268</c:v>
                </c:pt>
                <c:pt idx="517">
                  <c:v>41269</c:v>
                </c:pt>
                <c:pt idx="518">
                  <c:v>41270</c:v>
                </c:pt>
                <c:pt idx="519">
                  <c:v>41271</c:v>
                </c:pt>
                <c:pt idx="520">
                  <c:v>41274</c:v>
                </c:pt>
                <c:pt idx="521">
                  <c:v>41275</c:v>
                </c:pt>
                <c:pt idx="522">
                  <c:v>41276</c:v>
                </c:pt>
                <c:pt idx="523">
                  <c:v>41277</c:v>
                </c:pt>
                <c:pt idx="524">
                  <c:v>41278</c:v>
                </c:pt>
                <c:pt idx="525">
                  <c:v>41281</c:v>
                </c:pt>
                <c:pt idx="526">
                  <c:v>41282</c:v>
                </c:pt>
                <c:pt idx="527">
                  <c:v>41283</c:v>
                </c:pt>
                <c:pt idx="528">
                  <c:v>41284</c:v>
                </c:pt>
                <c:pt idx="529">
                  <c:v>41285</c:v>
                </c:pt>
                <c:pt idx="530">
                  <c:v>41288</c:v>
                </c:pt>
                <c:pt idx="531">
                  <c:v>41289</c:v>
                </c:pt>
                <c:pt idx="532">
                  <c:v>41290</c:v>
                </c:pt>
                <c:pt idx="533">
                  <c:v>41291</c:v>
                </c:pt>
                <c:pt idx="534">
                  <c:v>41292</c:v>
                </c:pt>
                <c:pt idx="535">
                  <c:v>41295</c:v>
                </c:pt>
                <c:pt idx="536">
                  <c:v>41296</c:v>
                </c:pt>
                <c:pt idx="537">
                  <c:v>41297</c:v>
                </c:pt>
                <c:pt idx="538">
                  <c:v>41298</c:v>
                </c:pt>
                <c:pt idx="539">
                  <c:v>41299</c:v>
                </c:pt>
                <c:pt idx="540">
                  <c:v>41302</c:v>
                </c:pt>
                <c:pt idx="541">
                  <c:v>41303</c:v>
                </c:pt>
                <c:pt idx="542">
                  <c:v>41304</c:v>
                </c:pt>
                <c:pt idx="543">
                  <c:v>41305</c:v>
                </c:pt>
                <c:pt idx="544">
                  <c:v>41306</c:v>
                </c:pt>
                <c:pt idx="545">
                  <c:v>41309</c:v>
                </c:pt>
                <c:pt idx="546">
                  <c:v>41310</c:v>
                </c:pt>
                <c:pt idx="547">
                  <c:v>41311</c:v>
                </c:pt>
                <c:pt idx="548">
                  <c:v>41312</c:v>
                </c:pt>
                <c:pt idx="549">
                  <c:v>41313</c:v>
                </c:pt>
                <c:pt idx="550">
                  <c:v>41316</c:v>
                </c:pt>
                <c:pt idx="551">
                  <c:v>41317</c:v>
                </c:pt>
                <c:pt idx="552">
                  <c:v>41318</c:v>
                </c:pt>
                <c:pt idx="553">
                  <c:v>41319</c:v>
                </c:pt>
                <c:pt idx="554">
                  <c:v>41320</c:v>
                </c:pt>
                <c:pt idx="555">
                  <c:v>41323</c:v>
                </c:pt>
                <c:pt idx="556">
                  <c:v>41324</c:v>
                </c:pt>
                <c:pt idx="557">
                  <c:v>41325</c:v>
                </c:pt>
                <c:pt idx="558">
                  <c:v>41326</c:v>
                </c:pt>
                <c:pt idx="559">
                  <c:v>41327</c:v>
                </c:pt>
                <c:pt idx="560">
                  <c:v>41330</c:v>
                </c:pt>
                <c:pt idx="561">
                  <c:v>41331</c:v>
                </c:pt>
                <c:pt idx="562">
                  <c:v>41332</c:v>
                </c:pt>
                <c:pt idx="563">
                  <c:v>41333</c:v>
                </c:pt>
                <c:pt idx="564">
                  <c:v>41334</c:v>
                </c:pt>
                <c:pt idx="565">
                  <c:v>41337</c:v>
                </c:pt>
                <c:pt idx="566">
                  <c:v>41338</c:v>
                </c:pt>
                <c:pt idx="567">
                  <c:v>41339</c:v>
                </c:pt>
                <c:pt idx="568">
                  <c:v>41340</c:v>
                </c:pt>
                <c:pt idx="569">
                  <c:v>41341</c:v>
                </c:pt>
                <c:pt idx="570">
                  <c:v>41344</c:v>
                </c:pt>
                <c:pt idx="571">
                  <c:v>41345</c:v>
                </c:pt>
                <c:pt idx="572">
                  <c:v>41346</c:v>
                </c:pt>
                <c:pt idx="573">
                  <c:v>41347</c:v>
                </c:pt>
                <c:pt idx="574">
                  <c:v>41348</c:v>
                </c:pt>
                <c:pt idx="575">
                  <c:v>41351</c:v>
                </c:pt>
                <c:pt idx="576">
                  <c:v>41352</c:v>
                </c:pt>
                <c:pt idx="577">
                  <c:v>41353</c:v>
                </c:pt>
                <c:pt idx="578">
                  <c:v>41354</c:v>
                </c:pt>
                <c:pt idx="579">
                  <c:v>41355</c:v>
                </c:pt>
                <c:pt idx="580">
                  <c:v>41358</c:v>
                </c:pt>
                <c:pt idx="581">
                  <c:v>41359</c:v>
                </c:pt>
                <c:pt idx="582">
                  <c:v>41360</c:v>
                </c:pt>
                <c:pt idx="583">
                  <c:v>41361</c:v>
                </c:pt>
                <c:pt idx="584">
                  <c:v>41362</c:v>
                </c:pt>
                <c:pt idx="585">
                  <c:v>41365</c:v>
                </c:pt>
                <c:pt idx="586">
                  <c:v>41366</c:v>
                </c:pt>
                <c:pt idx="587">
                  <c:v>41367</c:v>
                </c:pt>
                <c:pt idx="588">
                  <c:v>41368</c:v>
                </c:pt>
                <c:pt idx="589">
                  <c:v>41369</c:v>
                </c:pt>
                <c:pt idx="590">
                  <c:v>41372</c:v>
                </c:pt>
                <c:pt idx="591">
                  <c:v>41373</c:v>
                </c:pt>
                <c:pt idx="592">
                  <c:v>41374</c:v>
                </c:pt>
                <c:pt idx="593">
                  <c:v>41375</c:v>
                </c:pt>
                <c:pt idx="594">
                  <c:v>41376</c:v>
                </c:pt>
                <c:pt idx="595">
                  <c:v>41379</c:v>
                </c:pt>
                <c:pt idx="596">
                  <c:v>41380</c:v>
                </c:pt>
                <c:pt idx="597">
                  <c:v>41381</c:v>
                </c:pt>
                <c:pt idx="598">
                  <c:v>41382</c:v>
                </c:pt>
                <c:pt idx="599">
                  <c:v>41383</c:v>
                </c:pt>
                <c:pt idx="600">
                  <c:v>41386</c:v>
                </c:pt>
                <c:pt idx="601">
                  <c:v>41387</c:v>
                </c:pt>
                <c:pt idx="602">
                  <c:v>41388</c:v>
                </c:pt>
                <c:pt idx="603">
                  <c:v>41389</c:v>
                </c:pt>
                <c:pt idx="604">
                  <c:v>41390</c:v>
                </c:pt>
                <c:pt idx="605">
                  <c:v>41393</c:v>
                </c:pt>
                <c:pt idx="606">
                  <c:v>41394</c:v>
                </c:pt>
                <c:pt idx="607">
                  <c:v>41395</c:v>
                </c:pt>
                <c:pt idx="608">
                  <c:v>41396</c:v>
                </c:pt>
                <c:pt idx="609">
                  <c:v>41397</c:v>
                </c:pt>
                <c:pt idx="610">
                  <c:v>41400</c:v>
                </c:pt>
                <c:pt idx="611">
                  <c:v>41401</c:v>
                </c:pt>
                <c:pt idx="612">
                  <c:v>41402</c:v>
                </c:pt>
                <c:pt idx="613">
                  <c:v>41403</c:v>
                </c:pt>
                <c:pt idx="614">
                  <c:v>41404</c:v>
                </c:pt>
                <c:pt idx="615">
                  <c:v>41407</c:v>
                </c:pt>
                <c:pt idx="616">
                  <c:v>41408</c:v>
                </c:pt>
                <c:pt idx="617">
                  <c:v>41409</c:v>
                </c:pt>
                <c:pt idx="618">
                  <c:v>41410</c:v>
                </c:pt>
                <c:pt idx="619">
                  <c:v>41411</c:v>
                </c:pt>
                <c:pt idx="620">
                  <c:v>41414</c:v>
                </c:pt>
                <c:pt idx="621">
                  <c:v>41415</c:v>
                </c:pt>
                <c:pt idx="622">
                  <c:v>41416</c:v>
                </c:pt>
                <c:pt idx="623">
                  <c:v>41417</c:v>
                </c:pt>
                <c:pt idx="624">
                  <c:v>41418</c:v>
                </c:pt>
                <c:pt idx="625">
                  <c:v>41421</c:v>
                </c:pt>
                <c:pt idx="626">
                  <c:v>41422</c:v>
                </c:pt>
                <c:pt idx="627">
                  <c:v>41423</c:v>
                </c:pt>
                <c:pt idx="628">
                  <c:v>41424</c:v>
                </c:pt>
                <c:pt idx="629">
                  <c:v>41425</c:v>
                </c:pt>
                <c:pt idx="630">
                  <c:v>41428</c:v>
                </c:pt>
                <c:pt idx="631">
                  <c:v>41429</c:v>
                </c:pt>
                <c:pt idx="632">
                  <c:v>41430</c:v>
                </c:pt>
                <c:pt idx="633">
                  <c:v>41431</c:v>
                </c:pt>
                <c:pt idx="634">
                  <c:v>41432</c:v>
                </c:pt>
                <c:pt idx="635">
                  <c:v>41435</c:v>
                </c:pt>
                <c:pt idx="636">
                  <c:v>41436</c:v>
                </c:pt>
                <c:pt idx="637">
                  <c:v>41437</c:v>
                </c:pt>
                <c:pt idx="638">
                  <c:v>41438</c:v>
                </c:pt>
                <c:pt idx="639">
                  <c:v>41439</c:v>
                </c:pt>
                <c:pt idx="640">
                  <c:v>41442</c:v>
                </c:pt>
                <c:pt idx="641">
                  <c:v>41443</c:v>
                </c:pt>
                <c:pt idx="642">
                  <c:v>41444</c:v>
                </c:pt>
                <c:pt idx="643">
                  <c:v>41445</c:v>
                </c:pt>
                <c:pt idx="644">
                  <c:v>41446</c:v>
                </c:pt>
                <c:pt idx="645">
                  <c:v>41449</c:v>
                </c:pt>
                <c:pt idx="646">
                  <c:v>41450</c:v>
                </c:pt>
                <c:pt idx="647">
                  <c:v>41451</c:v>
                </c:pt>
                <c:pt idx="648">
                  <c:v>41452</c:v>
                </c:pt>
                <c:pt idx="649">
                  <c:v>41453</c:v>
                </c:pt>
                <c:pt idx="650">
                  <c:v>41456</c:v>
                </c:pt>
                <c:pt idx="651">
                  <c:v>41457</c:v>
                </c:pt>
                <c:pt idx="652">
                  <c:v>41458</c:v>
                </c:pt>
                <c:pt idx="653">
                  <c:v>41459</c:v>
                </c:pt>
                <c:pt idx="654">
                  <c:v>41460</c:v>
                </c:pt>
                <c:pt idx="655">
                  <c:v>41463</c:v>
                </c:pt>
                <c:pt idx="656">
                  <c:v>41464</c:v>
                </c:pt>
                <c:pt idx="657">
                  <c:v>41465</c:v>
                </c:pt>
                <c:pt idx="658">
                  <c:v>41466</c:v>
                </c:pt>
                <c:pt idx="659">
                  <c:v>41467</c:v>
                </c:pt>
                <c:pt idx="660">
                  <c:v>41470</c:v>
                </c:pt>
                <c:pt idx="661">
                  <c:v>41471</c:v>
                </c:pt>
                <c:pt idx="662">
                  <c:v>41472</c:v>
                </c:pt>
                <c:pt idx="663">
                  <c:v>41473</c:v>
                </c:pt>
                <c:pt idx="664">
                  <c:v>41474</c:v>
                </c:pt>
                <c:pt idx="665">
                  <c:v>41477</c:v>
                </c:pt>
                <c:pt idx="666">
                  <c:v>41478</c:v>
                </c:pt>
                <c:pt idx="667">
                  <c:v>41479</c:v>
                </c:pt>
                <c:pt idx="668">
                  <c:v>41480</c:v>
                </c:pt>
                <c:pt idx="669">
                  <c:v>41481</c:v>
                </c:pt>
                <c:pt idx="670">
                  <c:v>41484</c:v>
                </c:pt>
                <c:pt idx="671">
                  <c:v>41485</c:v>
                </c:pt>
                <c:pt idx="672">
                  <c:v>41486</c:v>
                </c:pt>
                <c:pt idx="673">
                  <c:v>41487</c:v>
                </c:pt>
                <c:pt idx="674">
                  <c:v>41488</c:v>
                </c:pt>
                <c:pt idx="675">
                  <c:v>41491</c:v>
                </c:pt>
                <c:pt idx="676">
                  <c:v>41492</c:v>
                </c:pt>
                <c:pt idx="677">
                  <c:v>41493</c:v>
                </c:pt>
                <c:pt idx="678">
                  <c:v>41494</c:v>
                </c:pt>
                <c:pt idx="679">
                  <c:v>41495</c:v>
                </c:pt>
                <c:pt idx="680">
                  <c:v>41498</c:v>
                </c:pt>
                <c:pt idx="681">
                  <c:v>41499</c:v>
                </c:pt>
                <c:pt idx="682">
                  <c:v>41500</c:v>
                </c:pt>
                <c:pt idx="683">
                  <c:v>41501</c:v>
                </c:pt>
                <c:pt idx="684">
                  <c:v>41502</c:v>
                </c:pt>
                <c:pt idx="685">
                  <c:v>41505</c:v>
                </c:pt>
                <c:pt idx="686">
                  <c:v>41506</c:v>
                </c:pt>
                <c:pt idx="687">
                  <c:v>41507</c:v>
                </c:pt>
                <c:pt idx="688">
                  <c:v>41508</c:v>
                </c:pt>
                <c:pt idx="689">
                  <c:v>41509</c:v>
                </c:pt>
                <c:pt idx="690">
                  <c:v>41512</c:v>
                </c:pt>
                <c:pt idx="691">
                  <c:v>41513</c:v>
                </c:pt>
                <c:pt idx="692">
                  <c:v>41514</c:v>
                </c:pt>
                <c:pt idx="693">
                  <c:v>41515</c:v>
                </c:pt>
                <c:pt idx="694">
                  <c:v>41516</c:v>
                </c:pt>
                <c:pt idx="695">
                  <c:v>41519</c:v>
                </c:pt>
                <c:pt idx="696">
                  <c:v>41520</c:v>
                </c:pt>
                <c:pt idx="697">
                  <c:v>41521</c:v>
                </c:pt>
                <c:pt idx="698">
                  <c:v>41522</c:v>
                </c:pt>
                <c:pt idx="699">
                  <c:v>41523</c:v>
                </c:pt>
                <c:pt idx="700">
                  <c:v>41526</c:v>
                </c:pt>
                <c:pt idx="701">
                  <c:v>41527</c:v>
                </c:pt>
                <c:pt idx="702">
                  <c:v>41528</c:v>
                </c:pt>
                <c:pt idx="703">
                  <c:v>41529</c:v>
                </c:pt>
                <c:pt idx="704">
                  <c:v>41530</c:v>
                </c:pt>
                <c:pt idx="705">
                  <c:v>41533</c:v>
                </c:pt>
                <c:pt idx="706">
                  <c:v>41534</c:v>
                </c:pt>
                <c:pt idx="707">
                  <c:v>41535</c:v>
                </c:pt>
                <c:pt idx="708">
                  <c:v>41536</c:v>
                </c:pt>
                <c:pt idx="709">
                  <c:v>41537</c:v>
                </c:pt>
                <c:pt idx="710">
                  <c:v>41540</c:v>
                </c:pt>
                <c:pt idx="711">
                  <c:v>41541</c:v>
                </c:pt>
                <c:pt idx="712">
                  <c:v>41542</c:v>
                </c:pt>
                <c:pt idx="713">
                  <c:v>41543</c:v>
                </c:pt>
                <c:pt idx="714">
                  <c:v>41544</c:v>
                </c:pt>
                <c:pt idx="715">
                  <c:v>41547</c:v>
                </c:pt>
                <c:pt idx="716">
                  <c:v>41548</c:v>
                </c:pt>
                <c:pt idx="717">
                  <c:v>41549</c:v>
                </c:pt>
                <c:pt idx="718">
                  <c:v>41550</c:v>
                </c:pt>
                <c:pt idx="719">
                  <c:v>41551</c:v>
                </c:pt>
                <c:pt idx="720">
                  <c:v>41554</c:v>
                </c:pt>
                <c:pt idx="721">
                  <c:v>41555</c:v>
                </c:pt>
                <c:pt idx="722">
                  <c:v>41556</c:v>
                </c:pt>
                <c:pt idx="723">
                  <c:v>41557</c:v>
                </c:pt>
                <c:pt idx="724">
                  <c:v>41558</c:v>
                </c:pt>
                <c:pt idx="725">
                  <c:v>41561</c:v>
                </c:pt>
                <c:pt idx="726">
                  <c:v>41562</c:v>
                </c:pt>
                <c:pt idx="727">
                  <c:v>41563</c:v>
                </c:pt>
                <c:pt idx="728">
                  <c:v>41564</c:v>
                </c:pt>
                <c:pt idx="729">
                  <c:v>41565</c:v>
                </c:pt>
                <c:pt idx="730">
                  <c:v>41568</c:v>
                </c:pt>
                <c:pt idx="731">
                  <c:v>41569</c:v>
                </c:pt>
                <c:pt idx="732">
                  <c:v>41570</c:v>
                </c:pt>
                <c:pt idx="733">
                  <c:v>41571</c:v>
                </c:pt>
                <c:pt idx="734">
                  <c:v>41572</c:v>
                </c:pt>
                <c:pt idx="735">
                  <c:v>41575</c:v>
                </c:pt>
                <c:pt idx="736">
                  <c:v>41576</c:v>
                </c:pt>
                <c:pt idx="737">
                  <c:v>41577</c:v>
                </c:pt>
                <c:pt idx="738">
                  <c:v>41578</c:v>
                </c:pt>
                <c:pt idx="739">
                  <c:v>41579</c:v>
                </c:pt>
                <c:pt idx="740">
                  <c:v>41582</c:v>
                </c:pt>
                <c:pt idx="741">
                  <c:v>41583</c:v>
                </c:pt>
                <c:pt idx="742">
                  <c:v>41584</c:v>
                </c:pt>
                <c:pt idx="743">
                  <c:v>41585</c:v>
                </c:pt>
                <c:pt idx="744">
                  <c:v>41586</c:v>
                </c:pt>
                <c:pt idx="745">
                  <c:v>41589</c:v>
                </c:pt>
                <c:pt idx="746">
                  <c:v>41590</c:v>
                </c:pt>
                <c:pt idx="747">
                  <c:v>41591</c:v>
                </c:pt>
                <c:pt idx="748">
                  <c:v>41592</c:v>
                </c:pt>
                <c:pt idx="749">
                  <c:v>41593</c:v>
                </c:pt>
                <c:pt idx="750">
                  <c:v>41596</c:v>
                </c:pt>
                <c:pt idx="751">
                  <c:v>41597</c:v>
                </c:pt>
                <c:pt idx="752">
                  <c:v>41598</c:v>
                </c:pt>
                <c:pt idx="753">
                  <c:v>41599</c:v>
                </c:pt>
                <c:pt idx="754">
                  <c:v>41600</c:v>
                </c:pt>
                <c:pt idx="755">
                  <c:v>41603</c:v>
                </c:pt>
                <c:pt idx="756">
                  <c:v>41604</c:v>
                </c:pt>
                <c:pt idx="757">
                  <c:v>41605</c:v>
                </c:pt>
                <c:pt idx="758">
                  <c:v>41606</c:v>
                </c:pt>
                <c:pt idx="759">
                  <c:v>41607</c:v>
                </c:pt>
                <c:pt idx="760">
                  <c:v>41610</c:v>
                </c:pt>
                <c:pt idx="761">
                  <c:v>41611</c:v>
                </c:pt>
                <c:pt idx="762">
                  <c:v>41612</c:v>
                </c:pt>
                <c:pt idx="763">
                  <c:v>41613</c:v>
                </c:pt>
                <c:pt idx="764">
                  <c:v>41614</c:v>
                </c:pt>
                <c:pt idx="765">
                  <c:v>41617</c:v>
                </c:pt>
                <c:pt idx="766">
                  <c:v>41618</c:v>
                </c:pt>
                <c:pt idx="767">
                  <c:v>41619</c:v>
                </c:pt>
                <c:pt idx="768">
                  <c:v>41620</c:v>
                </c:pt>
                <c:pt idx="769">
                  <c:v>41621</c:v>
                </c:pt>
                <c:pt idx="770">
                  <c:v>41624</c:v>
                </c:pt>
                <c:pt idx="771">
                  <c:v>41625</c:v>
                </c:pt>
                <c:pt idx="772">
                  <c:v>41626</c:v>
                </c:pt>
                <c:pt idx="773">
                  <c:v>41627</c:v>
                </c:pt>
                <c:pt idx="774">
                  <c:v>41628</c:v>
                </c:pt>
                <c:pt idx="775">
                  <c:v>41631</c:v>
                </c:pt>
                <c:pt idx="776">
                  <c:v>41632</c:v>
                </c:pt>
                <c:pt idx="777">
                  <c:v>41633</c:v>
                </c:pt>
                <c:pt idx="778">
                  <c:v>41634</c:v>
                </c:pt>
                <c:pt idx="779">
                  <c:v>41635</c:v>
                </c:pt>
                <c:pt idx="780">
                  <c:v>41638</c:v>
                </c:pt>
                <c:pt idx="781">
                  <c:v>41639</c:v>
                </c:pt>
                <c:pt idx="782">
                  <c:v>41640</c:v>
                </c:pt>
                <c:pt idx="783">
                  <c:v>41641</c:v>
                </c:pt>
                <c:pt idx="784">
                  <c:v>41642</c:v>
                </c:pt>
                <c:pt idx="785">
                  <c:v>41645</c:v>
                </c:pt>
                <c:pt idx="786">
                  <c:v>41646</c:v>
                </c:pt>
                <c:pt idx="787">
                  <c:v>41647</c:v>
                </c:pt>
                <c:pt idx="788">
                  <c:v>41648</c:v>
                </c:pt>
                <c:pt idx="789">
                  <c:v>41649</c:v>
                </c:pt>
                <c:pt idx="790">
                  <c:v>41652</c:v>
                </c:pt>
                <c:pt idx="791">
                  <c:v>41653</c:v>
                </c:pt>
                <c:pt idx="792">
                  <c:v>41654</c:v>
                </c:pt>
                <c:pt idx="793">
                  <c:v>41655</c:v>
                </c:pt>
                <c:pt idx="794">
                  <c:v>41656</c:v>
                </c:pt>
                <c:pt idx="795">
                  <c:v>41659</c:v>
                </c:pt>
                <c:pt idx="796">
                  <c:v>41660</c:v>
                </c:pt>
                <c:pt idx="797">
                  <c:v>41661</c:v>
                </c:pt>
                <c:pt idx="798">
                  <c:v>41662</c:v>
                </c:pt>
                <c:pt idx="799">
                  <c:v>41663</c:v>
                </c:pt>
                <c:pt idx="800">
                  <c:v>41666</c:v>
                </c:pt>
                <c:pt idx="801">
                  <c:v>41667</c:v>
                </c:pt>
                <c:pt idx="802">
                  <c:v>41668</c:v>
                </c:pt>
                <c:pt idx="803">
                  <c:v>41669</c:v>
                </c:pt>
                <c:pt idx="804">
                  <c:v>41670</c:v>
                </c:pt>
                <c:pt idx="805">
                  <c:v>41673</c:v>
                </c:pt>
                <c:pt idx="806">
                  <c:v>41674</c:v>
                </c:pt>
                <c:pt idx="807">
                  <c:v>41675</c:v>
                </c:pt>
                <c:pt idx="808">
                  <c:v>41676</c:v>
                </c:pt>
                <c:pt idx="809">
                  <c:v>41677</c:v>
                </c:pt>
                <c:pt idx="810">
                  <c:v>41680</c:v>
                </c:pt>
                <c:pt idx="811">
                  <c:v>41681</c:v>
                </c:pt>
                <c:pt idx="812">
                  <c:v>41682</c:v>
                </c:pt>
                <c:pt idx="813">
                  <c:v>41683</c:v>
                </c:pt>
                <c:pt idx="814">
                  <c:v>41684</c:v>
                </c:pt>
                <c:pt idx="815">
                  <c:v>41687</c:v>
                </c:pt>
                <c:pt idx="816">
                  <c:v>41688</c:v>
                </c:pt>
                <c:pt idx="817">
                  <c:v>41689</c:v>
                </c:pt>
                <c:pt idx="818">
                  <c:v>41690</c:v>
                </c:pt>
                <c:pt idx="819">
                  <c:v>41691</c:v>
                </c:pt>
                <c:pt idx="820">
                  <c:v>41694</c:v>
                </c:pt>
                <c:pt idx="821">
                  <c:v>41695</c:v>
                </c:pt>
                <c:pt idx="822">
                  <c:v>41696</c:v>
                </c:pt>
                <c:pt idx="823">
                  <c:v>41697</c:v>
                </c:pt>
                <c:pt idx="824">
                  <c:v>41698</c:v>
                </c:pt>
                <c:pt idx="825">
                  <c:v>41701</c:v>
                </c:pt>
                <c:pt idx="826">
                  <c:v>41702</c:v>
                </c:pt>
                <c:pt idx="827">
                  <c:v>41703</c:v>
                </c:pt>
                <c:pt idx="828">
                  <c:v>41704</c:v>
                </c:pt>
                <c:pt idx="829">
                  <c:v>41705</c:v>
                </c:pt>
                <c:pt idx="830">
                  <c:v>41708</c:v>
                </c:pt>
                <c:pt idx="831">
                  <c:v>41709</c:v>
                </c:pt>
                <c:pt idx="832">
                  <c:v>41710</c:v>
                </c:pt>
                <c:pt idx="833">
                  <c:v>41711</c:v>
                </c:pt>
                <c:pt idx="834">
                  <c:v>41712</c:v>
                </c:pt>
                <c:pt idx="835">
                  <c:v>41715</c:v>
                </c:pt>
                <c:pt idx="836">
                  <c:v>41716</c:v>
                </c:pt>
                <c:pt idx="837">
                  <c:v>41717</c:v>
                </c:pt>
                <c:pt idx="838">
                  <c:v>41718</c:v>
                </c:pt>
                <c:pt idx="839">
                  <c:v>41719</c:v>
                </c:pt>
                <c:pt idx="840">
                  <c:v>41722</c:v>
                </c:pt>
                <c:pt idx="841">
                  <c:v>41723</c:v>
                </c:pt>
                <c:pt idx="842">
                  <c:v>41724</c:v>
                </c:pt>
                <c:pt idx="843">
                  <c:v>41725</c:v>
                </c:pt>
                <c:pt idx="844">
                  <c:v>41726</c:v>
                </c:pt>
                <c:pt idx="845">
                  <c:v>41729</c:v>
                </c:pt>
                <c:pt idx="846">
                  <c:v>41730</c:v>
                </c:pt>
                <c:pt idx="847">
                  <c:v>41731</c:v>
                </c:pt>
                <c:pt idx="848">
                  <c:v>41732</c:v>
                </c:pt>
                <c:pt idx="849">
                  <c:v>41733</c:v>
                </c:pt>
                <c:pt idx="850">
                  <c:v>41736</c:v>
                </c:pt>
                <c:pt idx="851">
                  <c:v>41737</c:v>
                </c:pt>
                <c:pt idx="852">
                  <c:v>41738</c:v>
                </c:pt>
                <c:pt idx="853">
                  <c:v>41739</c:v>
                </c:pt>
                <c:pt idx="854">
                  <c:v>41740</c:v>
                </c:pt>
                <c:pt idx="855">
                  <c:v>41743</c:v>
                </c:pt>
                <c:pt idx="856">
                  <c:v>41744</c:v>
                </c:pt>
                <c:pt idx="857">
                  <c:v>41745</c:v>
                </c:pt>
                <c:pt idx="858">
                  <c:v>41746</c:v>
                </c:pt>
                <c:pt idx="859">
                  <c:v>41747</c:v>
                </c:pt>
                <c:pt idx="860">
                  <c:v>41750</c:v>
                </c:pt>
                <c:pt idx="861">
                  <c:v>41751</c:v>
                </c:pt>
                <c:pt idx="862">
                  <c:v>41752</c:v>
                </c:pt>
                <c:pt idx="863">
                  <c:v>41753</c:v>
                </c:pt>
                <c:pt idx="864">
                  <c:v>41754</c:v>
                </c:pt>
                <c:pt idx="865">
                  <c:v>41757</c:v>
                </c:pt>
                <c:pt idx="866">
                  <c:v>41758</c:v>
                </c:pt>
                <c:pt idx="867">
                  <c:v>41759</c:v>
                </c:pt>
                <c:pt idx="868">
                  <c:v>41760</c:v>
                </c:pt>
                <c:pt idx="869">
                  <c:v>41761</c:v>
                </c:pt>
                <c:pt idx="870">
                  <c:v>41764</c:v>
                </c:pt>
                <c:pt idx="871">
                  <c:v>41765</c:v>
                </c:pt>
                <c:pt idx="872">
                  <c:v>41766</c:v>
                </c:pt>
                <c:pt idx="873">
                  <c:v>41767</c:v>
                </c:pt>
                <c:pt idx="874">
                  <c:v>41768</c:v>
                </c:pt>
                <c:pt idx="875">
                  <c:v>41771</c:v>
                </c:pt>
                <c:pt idx="876">
                  <c:v>41772</c:v>
                </c:pt>
                <c:pt idx="877">
                  <c:v>41773</c:v>
                </c:pt>
                <c:pt idx="878">
                  <c:v>41774</c:v>
                </c:pt>
                <c:pt idx="879">
                  <c:v>41775</c:v>
                </c:pt>
                <c:pt idx="880">
                  <c:v>41778</c:v>
                </c:pt>
                <c:pt idx="881">
                  <c:v>41779</c:v>
                </c:pt>
                <c:pt idx="882">
                  <c:v>41780</c:v>
                </c:pt>
                <c:pt idx="883">
                  <c:v>41781</c:v>
                </c:pt>
                <c:pt idx="884">
                  <c:v>41782</c:v>
                </c:pt>
                <c:pt idx="885">
                  <c:v>41785</c:v>
                </c:pt>
                <c:pt idx="886">
                  <c:v>41786</c:v>
                </c:pt>
                <c:pt idx="887">
                  <c:v>41787</c:v>
                </c:pt>
                <c:pt idx="888">
                  <c:v>41788</c:v>
                </c:pt>
                <c:pt idx="889">
                  <c:v>41789</c:v>
                </c:pt>
                <c:pt idx="890">
                  <c:v>41792</c:v>
                </c:pt>
                <c:pt idx="891">
                  <c:v>41793</c:v>
                </c:pt>
                <c:pt idx="892">
                  <c:v>41794</c:v>
                </c:pt>
                <c:pt idx="893">
                  <c:v>41795</c:v>
                </c:pt>
                <c:pt idx="894">
                  <c:v>41796</c:v>
                </c:pt>
                <c:pt idx="895">
                  <c:v>41799</c:v>
                </c:pt>
                <c:pt idx="896">
                  <c:v>41800</c:v>
                </c:pt>
                <c:pt idx="897">
                  <c:v>41801</c:v>
                </c:pt>
                <c:pt idx="898">
                  <c:v>41802</c:v>
                </c:pt>
                <c:pt idx="899">
                  <c:v>41803</c:v>
                </c:pt>
                <c:pt idx="900">
                  <c:v>41806</c:v>
                </c:pt>
                <c:pt idx="901">
                  <c:v>41807</c:v>
                </c:pt>
                <c:pt idx="902">
                  <c:v>41808</c:v>
                </c:pt>
                <c:pt idx="903">
                  <c:v>41809</c:v>
                </c:pt>
                <c:pt idx="904">
                  <c:v>41810</c:v>
                </c:pt>
                <c:pt idx="905">
                  <c:v>41813</c:v>
                </c:pt>
                <c:pt idx="906">
                  <c:v>41814</c:v>
                </c:pt>
                <c:pt idx="907">
                  <c:v>41815</c:v>
                </c:pt>
                <c:pt idx="908">
                  <c:v>41816</c:v>
                </c:pt>
                <c:pt idx="909">
                  <c:v>41817</c:v>
                </c:pt>
                <c:pt idx="910">
                  <c:v>41820</c:v>
                </c:pt>
                <c:pt idx="911">
                  <c:v>41821</c:v>
                </c:pt>
                <c:pt idx="912">
                  <c:v>41822</c:v>
                </c:pt>
                <c:pt idx="913">
                  <c:v>41823</c:v>
                </c:pt>
                <c:pt idx="914">
                  <c:v>41824</c:v>
                </c:pt>
                <c:pt idx="915">
                  <c:v>41827</c:v>
                </c:pt>
                <c:pt idx="916">
                  <c:v>41828</c:v>
                </c:pt>
                <c:pt idx="917">
                  <c:v>41829</c:v>
                </c:pt>
                <c:pt idx="918">
                  <c:v>41830</c:v>
                </c:pt>
                <c:pt idx="919">
                  <c:v>41831</c:v>
                </c:pt>
                <c:pt idx="920">
                  <c:v>41834</c:v>
                </c:pt>
                <c:pt idx="921">
                  <c:v>41835</c:v>
                </c:pt>
                <c:pt idx="922">
                  <c:v>41836</c:v>
                </c:pt>
                <c:pt idx="923">
                  <c:v>41837</c:v>
                </c:pt>
                <c:pt idx="924">
                  <c:v>41838</c:v>
                </c:pt>
                <c:pt idx="925">
                  <c:v>41841</c:v>
                </c:pt>
                <c:pt idx="926">
                  <c:v>41842</c:v>
                </c:pt>
                <c:pt idx="927">
                  <c:v>41843</c:v>
                </c:pt>
                <c:pt idx="928">
                  <c:v>41844</c:v>
                </c:pt>
                <c:pt idx="929">
                  <c:v>41845</c:v>
                </c:pt>
                <c:pt idx="930">
                  <c:v>41848</c:v>
                </c:pt>
                <c:pt idx="931">
                  <c:v>41849</c:v>
                </c:pt>
                <c:pt idx="932">
                  <c:v>41850</c:v>
                </c:pt>
                <c:pt idx="933">
                  <c:v>41851</c:v>
                </c:pt>
                <c:pt idx="934">
                  <c:v>41852</c:v>
                </c:pt>
                <c:pt idx="935">
                  <c:v>41855</c:v>
                </c:pt>
                <c:pt idx="936">
                  <c:v>41856</c:v>
                </c:pt>
                <c:pt idx="937">
                  <c:v>41857</c:v>
                </c:pt>
                <c:pt idx="938">
                  <c:v>41858</c:v>
                </c:pt>
                <c:pt idx="939">
                  <c:v>41859</c:v>
                </c:pt>
                <c:pt idx="940">
                  <c:v>41862</c:v>
                </c:pt>
                <c:pt idx="941">
                  <c:v>41863</c:v>
                </c:pt>
                <c:pt idx="942">
                  <c:v>41864</c:v>
                </c:pt>
                <c:pt idx="943">
                  <c:v>41865</c:v>
                </c:pt>
                <c:pt idx="944">
                  <c:v>41866</c:v>
                </c:pt>
                <c:pt idx="945">
                  <c:v>41869</c:v>
                </c:pt>
                <c:pt idx="946">
                  <c:v>41870</c:v>
                </c:pt>
                <c:pt idx="947">
                  <c:v>41871</c:v>
                </c:pt>
                <c:pt idx="948">
                  <c:v>41872</c:v>
                </c:pt>
                <c:pt idx="949">
                  <c:v>41873</c:v>
                </c:pt>
                <c:pt idx="950">
                  <c:v>41876</c:v>
                </c:pt>
                <c:pt idx="951">
                  <c:v>41877</c:v>
                </c:pt>
                <c:pt idx="952">
                  <c:v>41878</c:v>
                </c:pt>
                <c:pt idx="953">
                  <c:v>41879</c:v>
                </c:pt>
                <c:pt idx="954">
                  <c:v>41880</c:v>
                </c:pt>
                <c:pt idx="955">
                  <c:v>41883</c:v>
                </c:pt>
                <c:pt idx="956">
                  <c:v>41884</c:v>
                </c:pt>
                <c:pt idx="957">
                  <c:v>41885</c:v>
                </c:pt>
                <c:pt idx="958">
                  <c:v>41886</c:v>
                </c:pt>
                <c:pt idx="959">
                  <c:v>41887</c:v>
                </c:pt>
                <c:pt idx="960">
                  <c:v>41890</c:v>
                </c:pt>
                <c:pt idx="961">
                  <c:v>41891</c:v>
                </c:pt>
                <c:pt idx="962">
                  <c:v>41892</c:v>
                </c:pt>
                <c:pt idx="963">
                  <c:v>41893</c:v>
                </c:pt>
                <c:pt idx="964">
                  <c:v>41894</c:v>
                </c:pt>
                <c:pt idx="965">
                  <c:v>41897</c:v>
                </c:pt>
                <c:pt idx="966">
                  <c:v>41898</c:v>
                </c:pt>
                <c:pt idx="967">
                  <c:v>41899</c:v>
                </c:pt>
                <c:pt idx="968">
                  <c:v>41900</c:v>
                </c:pt>
                <c:pt idx="969">
                  <c:v>41901</c:v>
                </c:pt>
                <c:pt idx="970">
                  <c:v>41904</c:v>
                </c:pt>
                <c:pt idx="971">
                  <c:v>41905</c:v>
                </c:pt>
                <c:pt idx="972">
                  <c:v>41906</c:v>
                </c:pt>
                <c:pt idx="973">
                  <c:v>41907</c:v>
                </c:pt>
                <c:pt idx="974">
                  <c:v>41908</c:v>
                </c:pt>
                <c:pt idx="975">
                  <c:v>41911</c:v>
                </c:pt>
                <c:pt idx="976">
                  <c:v>41912</c:v>
                </c:pt>
                <c:pt idx="977">
                  <c:v>41913</c:v>
                </c:pt>
                <c:pt idx="978">
                  <c:v>41914</c:v>
                </c:pt>
                <c:pt idx="979">
                  <c:v>41915</c:v>
                </c:pt>
                <c:pt idx="980">
                  <c:v>41918</c:v>
                </c:pt>
                <c:pt idx="981">
                  <c:v>41919</c:v>
                </c:pt>
                <c:pt idx="982">
                  <c:v>41920</c:v>
                </c:pt>
                <c:pt idx="983">
                  <c:v>41921</c:v>
                </c:pt>
                <c:pt idx="984">
                  <c:v>41922</c:v>
                </c:pt>
                <c:pt idx="985">
                  <c:v>41925</c:v>
                </c:pt>
                <c:pt idx="986">
                  <c:v>41926</c:v>
                </c:pt>
                <c:pt idx="987">
                  <c:v>41927</c:v>
                </c:pt>
                <c:pt idx="988">
                  <c:v>41928</c:v>
                </c:pt>
                <c:pt idx="989">
                  <c:v>41929</c:v>
                </c:pt>
                <c:pt idx="990">
                  <c:v>41932</c:v>
                </c:pt>
                <c:pt idx="991">
                  <c:v>41933</c:v>
                </c:pt>
                <c:pt idx="992">
                  <c:v>41934</c:v>
                </c:pt>
                <c:pt idx="993">
                  <c:v>41935</c:v>
                </c:pt>
                <c:pt idx="994">
                  <c:v>41936</c:v>
                </c:pt>
                <c:pt idx="995">
                  <c:v>41939</c:v>
                </c:pt>
                <c:pt idx="996">
                  <c:v>41940</c:v>
                </c:pt>
                <c:pt idx="997">
                  <c:v>41941</c:v>
                </c:pt>
                <c:pt idx="998">
                  <c:v>41942</c:v>
                </c:pt>
                <c:pt idx="999">
                  <c:v>41943</c:v>
                </c:pt>
                <c:pt idx="1000">
                  <c:v>41946</c:v>
                </c:pt>
                <c:pt idx="1001">
                  <c:v>41947</c:v>
                </c:pt>
                <c:pt idx="1002">
                  <c:v>41948</c:v>
                </c:pt>
                <c:pt idx="1003">
                  <c:v>41949</c:v>
                </c:pt>
                <c:pt idx="1004">
                  <c:v>41950</c:v>
                </c:pt>
                <c:pt idx="1005">
                  <c:v>41953</c:v>
                </c:pt>
                <c:pt idx="1006">
                  <c:v>41954</c:v>
                </c:pt>
                <c:pt idx="1007">
                  <c:v>41955</c:v>
                </c:pt>
                <c:pt idx="1008">
                  <c:v>41956</c:v>
                </c:pt>
                <c:pt idx="1009">
                  <c:v>41957</c:v>
                </c:pt>
                <c:pt idx="1010">
                  <c:v>41960</c:v>
                </c:pt>
                <c:pt idx="1011">
                  <c:v>41961</c:v>
                </c:pt>
                <c:pt idx="1012">
                  <c:v>41962</c:v>
                </c:pt>
                <c:pt idx="1013">
                  <c:v>41963</c:v>
                </c:pt>
                <c:pt idx="1014">
                  <c:v>41964</c:v>
                </c:pt>
                <c:pt idx="1015">
                  <c:v>41967</c:v>
                </c:pt>
                <c:pt idx="1016">
                  <c:v>41968</c:v>
                </c:pt>
                <c:pt idx="1017">
                  <c:v>41969</c:v>
                </c:pt>
                <c:pt idx="1018">
                  <c:v>41970</c:v>
                </c:pt>
                <c:pt idx="1019">
                  <c:v>41971</c:v>
                </c:pt>
                <c:pt idx="1020">
                  <c:v>41974</c:v>
                </c:pt>
                <c:pt idx="1021">
                  <c:v>41975</c:v>
                </c:pt>
                <c:pt idx="1022">
                  <c:v>41976</c:v>
                </c:pt>
                <c:pt idx="1023">
                  <c:v>41977</c:v>
                </c:pt>
                <c:pt idx="1024">
                  <c:v>41978</c:v>
                </c:pt>
                <c:pt idx="1025">
                  <c:v>41981</c:v>
                </c:pt>
                <c:pt idx="1026">
                  <c:v>41982</c:v>
                </c:pt>
                <c:pt idx="1027">
                  <c:v>41983</c:v>
                </c:pt>
                <c:pt idx="1028">
                  <c:v>41984</c:v>
                </c:pt>
                <c:pt idx="1029">
                  <c:v>41985</c:v>
                </c:pt>
                <c:pt idx="1030">
                  <c:v>41988</c:v>
                </c:pt>
                <c:pt idx="1031">
                  <c:v>41989</c:v>
                </c:pt>
                <c:pt idx="1032">
                  <c:v>41990</c:v>
                </c:pt>
                <c:pt idx="1033">
                  <c:v>41991</c:v>
                </c:pt>
                <c:pt idx="1034">
                  <c:v>41992</c:v>
                </c:pt>
                <c:pt idx="1035">
                  <c:v>41995</c:v>
                </c:pt>
                <c:pt idx="1036">
                  <c:v>41996</c:v>
                </c:pt>
                <c:pt idx="1037">
                  <c:v>41997</c:v>
                </c:pt>
                <c:pt idx="1038">
                  <c:v>41998</c:v>
                </c:pt>
                <c:pt idx="1039">
                  <c:v>41999</c:v>
                </c:pt>
                <c:pt idx="1040">
                  <c:v>42002</c:v>
                </c:pt>
                <c:pt idx="1041">
                  <c:v>42003</c:v>
                </c:pt>
                <c:pt idx="1042">
                  <c:v>42004</c:v>
                </c:pt>
                <c:pt idx="1043">
                  <c:v>42005</c:v>
                </c:pt>
                <c:pt idx="1044">
                  <c:v>42006</c:v>
                </c:pt>
                <c:pt idx="1045">
                  <c:v>42009</c:v>
                </c:pt>
                <c:pt idx="1046">
                  <c:v>42010</c:v>
                </c:pt>
                <c:pt idx="1047">
                  <c:v>42011</c:v>
                </c:pt>
                <c:pt idx="1048">
                  <c:v>42012</c:v>
                </c:pt>
                <c:pt idx="1049">
                  <c:v>42013</c:v>
                </c:pt>
                <c:pt idx="1050">
                  <c:v>42016</c:v>
                </c:pt>
                <c:pt idx="1051">
                  <c:v>42017</c:v>
                </c:pt>
                <c:pt idx="1052">
                  <c:v>42018</c:v>
                </c:pt>
                <c:pt idx="1053">
                  <c:v>42019</c:v>
                </c:pt>
                <c:pt idx="1054">
                  <c:v>42020</c:v>
                </c:pt>
                <c:pt idx="1055">
                  <c:v>42023</c:v>
                </c:pt>
                <c:pt idx="1056">
                  <c:v>42024</c:v>
                </c:pt>
                <c:pt idx="1057">
                  <c:v>42025</c:v>
                </c:pt>
                <c:pt idx="1058">
                  <c:v>42026</c:v>
                </c:pt>
                <c:pt idx="1059">
                  <c:v>42027</c:v>
                </c:pt>
                <c:pt idx="1060">
                  <c:v>42030</c:v>
                </c:pt>
                <c:pt idx="1061">
                  <c:v>42031</c:v>
                </c:pt>
                <c:pt idx="1062">
                  <c:v>42032</c:v>
                </c:pt>
                <c:pt idx="1063">
                  <c:v>42033</c:v>
                </c:pt>
                <c:pt idx="1064">
                  <c:v>42034</c:v>
                </c:pt>
                <c:pt idx="1065">
                  <c:v>42037</c:v>
                </c:pt>
                <c:pt idx="1066">
                  <c:v>42038</c:v>
                </c:pt>
                <c:pt idx="1067">
                  <c:v>42039</c:v>
                </c:pt>
                <c:pt idx="1068">
                  <c:v>42040</c:v>
                </c:pt>
                <c:pt idx="1069">
                  <c:v>42041</c:v>
                </c:pt>
                <c:pt idx="1070">
                  <c:v>42044</c:v>
                </c:pt>
                <c:pt idx="1071">
                  <c:v>42045</c:v>
                </c:pt>
                <c:pt idx="1072">
                  <c:v>42046</c:v>
                </c:pt>
                <c:pt idx="1073">
                  <c:v>42047</c:v>
                </c:pt>
                <c:pt idx="1074">
                  <c:v>42048</c:v>
                </c:pt>
                <c:pt idx="1075">
                  <c:v>42051</c:v>
                </c:pt>
                <c:pt idx="1076">
                  <c:v>42052</c:v>
                </c:pt>
                <c:pt idx="1077">
                  <c:v>42053</c:v>
                </c:pt>
                <c:pt idx="1078">
                  <c:v>42054</c:v>
                </c:pt>
                <c:pt idx="1079">
                  <c:v>42055</c:v>
                </c:pt>
                <c:pt idx="1080">
                  <c:v>42058</c:v>
                </c:pt>
                <c:pt idx="1081">
                  <c:v>42059</c:v>
                </c:pt>
                <c:pt idx="1082">
                  <c:v>42060</c:v>
                </c:pt>
                <c:pt idx="1083">
                  <c:v>42061</c:v>
                </c:pt>
                <c:pt idx="1084">
                  <c:v>42062</c:v>
                </c:pt>
                <c:pt idx="1085">
                  <c:v>42065</c:v>
                </c:pt>
                <c:pt idx="1086">
                  <c:v>42066</c:v>
                </c:pt>
                <c:pt idx="1087">
                  <c:v>42067</c:v>
                </c:pt>
                <c:pt idx="1088">
                  <c:v>42068</c:v>
                </c:pt>
                <c:pt idx="1089">
                  <c:v>42069</c:v>
                </c:pt>
                <c:pt idx="1090">
                  <c:v>42072</c:v>
                </c:pt>
                <c:pt idx="1091">
                  <c:v>42073</c:v>
                </c:pt>
                <c:pt idx="1092">
                  <c:v>42074</c:v>
                </c:pt>
                <c:pt idx="1093">
                  <c:v>42075</c:v>
                </c:pt>
                <c:pt idx="1094">
                  <c:v>42076</c:v>
                </c:pt>
                <c:pt idx="1095">
                  <c:v>42079</c:v>
                </c:pt>
                <c:pt idx="1096">
                  <c:v>42080</c:v>
                </c:pt>
                <c:pt idx="1097">
                  <c:v>42081</c:v>
                </c:pt>
                <c:pt idx="1098">
                  <c:v>42082</c:v>
                </c:pt>
                <c:pt idx="1099">
                  <c:v>42083</c:v>
                </c:pt>
                <c:pt idx="1100">
                  <c:v>42086</c:v>
                </c:pt>
                <c:pt idx="1101">
                  <c:v>42087</c:v>
                </c:pt>
                <c:pt idx="1102">
                  <c:v>42088</c:v>
                </c:pt>
                <c:pt idx="1103">
                  <c:v>42089</c:v>
                </c:pt>
                <c:pt idx="1104">
                  <c:v>42090</c:v>
                </c:pt>
                <c:pt idx="1105">
                  <c:v>42093</c:v>
                </c:pt>
                <c:pt idx="1106">
                  <c:v>42094</c:v>
                </c:pt>
                <c:pt idx="1107">
                  <c:v>42095</c:v>
                </c:pt>
                <c:pt idx="1108">
                  <c:v>42096</c:v>
                </c:pt>
                <c:pt idx="1109">
                  <c:v>42097</c:v>
                </c:pt>
                <c:pt idx="1110">
                  <c:v>42100</c:v>
                </c:pt>
                <c:pt idx="1111">
                  <c:v>42101</c:v>
                </c:pt>
                <c:pt idx="1112">
                  <c:v>42102</c:v>
                </c:pt>
                <c:pt idx="1113">
                  <c:v>42103</c:v>
                </c:pt>
                <c:pt idx="1114">
                  <c:v>42104</c:v>
                </c:pt>
                <c:pt idx="1115">
                  <c:v>42107</c:v>
                </c:pt>
                <c:pt idx="1116">
                  <c:v>42108</c:v>
                </c:pt>
                <c:pt idx="1117">
                  <c:v>42109</c:v>
                </c:pt>
                <c:pt idx="1118">
                  <c:v>42110</c:v>
                </c:pt>
                <c:pt idx="1119">
                  <c:v>42111</c:v>
                </c:pt>
                <c:pt idx="1120">
                  <c:v>42114</c:v>
                </c:pt>
                <c:pt idx="1121">
                  <c:v>42115</c:v>
                </c:pt>
                <c:pt idx="1122">
                  <c:v>42116</c:v>
                </c:pt>
                <c:pt idx="1123">
                  <c:v>42117</c:v>
                </c:pt>
                <c:pt idx="1124">
                  <c:v>42118</c:v>
                </c:pt>
                <c:pt idx="1125">
                  <c:v>42121</c:v>
                </c:pt>
                <c:pt idx="1126">
                  <c:v>42122</c:v>
                </c:pt>
                <c:pt idx="1127">
                  <c:v>42123</c:v>
                </c:pt>
                <c:pt idx="1128">
                  <c:v>42124</c:v>
                </c:pt>
                <c:pt idx="1129">
                  <c:v>42125</c:v>
                </c:pt>
                <c:pt idx="1130">
                  <c:v>42128</c:v>
                </c:pt>
                <c:pt idx="1131">
                  <c:v>42129</c:v>
                </c:pt>
                <c:pt idx="1132">
                  <c:v>42130</c:v>
                </c:pt>
                <c:pt idx="1133">
                  <c:v>42131</c:v>
                </c:pt>
                <c:pt idx="1134">
                  <c:v>42132</c:v>
                </c:pt>
                <c:pt idx="1135">
                  <c:v>42135</c:v>
                </c:pt>
                <c:pt idx="1136">
                  <c:v>42136</c:v>
                </c:pt>
                <c:pt idx="1137">
                  <c:v>42137</c:v>
                </c:pt>
                <c:pt idx="1138">
                  <c:v>42138</c:v>
                </c:pt>
                <c:pt idx="1139">
                  <c:v>42139</c:v>
                </c:pt>
                <c:pt idx="1140">
                  <c:v>42142</c:v>
                </c:pt>
                <c:pt idx="1141">
                  <c:v>42143</c:v>
                </c:pt>
                <c:pt idx="1142">
                  <c:v>42144</c:v>
                </c:pt>
                <c:pt idx="1143">
                  <c:v>42145</c:v>
                </c:pt>
                <c:pt idx="1144">
                  <c:v>42146</c:v>
                </c:pt>
                <c:pt idx="1145">
                  <c:v>42149</c:v>
                </c:pt>
                <c:pt idx="1146">
                  <c:v>42150</c:v>
                </c:pt>
                <c:pt idx="1147">
                  <c:v>42151</c:v>
                </c:pt>
                <c:pt idx="1148">
                  <c:v>42152</c:v>
                </c:pt>
                <c:pt idx="1149">
                  <c:v>42153</c:v>
                </c:pt>
                <c:pt idx="1150">
                  <c:v>42156</c:v>
                </c:pt>
                <c:pt idx="1151">
                  <c:v>42157</c:v>
                </c:pt>
                <c:pt idx="1152">
                  <c:v>42158</c:v>
                </c:pt>
                <c:pt idx="1153">
                  <c:v>42159</c:v>
                </c:pt>
                <c:pt idx="1154">
                  <c:v>42160</c:v>
                </c:pt>
                <c:pt idx="1155">
                  <c:v>42163</c:v>
                </c:pt>
                <c:pt idx="1156">
                  <c:v>42164</c:v>
                </c:pt>
                <c:pt idx="1157">
                  <c:v>42165</c:v>
                </c:pt>
                <c:pt idx="1158">
                  <c:v>42166</c:v>
                </c:pt>
                <c:pt idx="1159">
                  <c:v>42167</c:v>
                </c:pt>
                <c:pt idx="1160">
                  <c:v>42170</c:v>
                </c:pt>
                <c:pt idx="1161">
                  <c:v>42171</c:v>
                </c:pt>
                <c:pt idx="1162">
                  <c:v>42172</c:v>
                </c:pt>
                <c:pt idx="1163">
                  <c:v>42173</c:v>
                </c:pt>
                <c:pt idx="1164">
                  <c:v>42174</c:v>
                </c:pt>
                <c:pt idx="1165">
                  <c:v>42177</c:v>
                </c:pt>
                <c:pt idx="1166">
                  <c:v>42178</c:v>
                </c:pt>
                <c:pt idx="1167">
                  <c:v>42179</c:v>
                </c:pt>
                <c:pt idx="1168">
                  <c:v>42180</c:v>
                </c:pt>
                <c:pt idx="1169">
                  <c:v>42181</c:v>
                </c:pt>
                <c:pt idx="1170">
                  <c:v>42184</c:v>
                </c:pt>
                <c:pt idx="1171">
                  <c:v>42185</c:v>
                </c:pt>
                <c:pt idx="1172">
                  <c:v>42186</c:v>
                </c:pt>
                <c:pt idx="1173">
                  <c:v>42187</c:v>
                </c:pt>
                <c:pt idx="1174">
                  <c:v>42188</c:v>
                </c:pt>
                <c:pt idx="1175">
                  <c:v>42191</c:v>
                </c:pt>
                <c:pt idx="1176">
                  <c:v>42192</c:v>
                </c:pt>
                <c:pt idx="1177">
                  <c:v>42193</c:v>
                </c:pt>
                <c:pt idx="1178">
                  <c:v>42194</c:v>
                </c:pt>
                <c:pt idx="1179">
                  <c:v>42195</c:v>
                </c:pt>
                <c:pt idx="1180">
                  <c:v>42198</c:v>
                </c:pt>
                <c:pt idx="1181">
                  <c:v>42199</c:v>
                </c:pt>
                <c:pt idx="1182">
                  <c:v>42200</c:v>
                </c:pt>
                <c:pt idx="1183">
                  <c:v>42201</c:v>
                </c:pt>
                <c:pt idx="1184">
                  <c:v>42202</c:v>
                </c:pt>
                <c:pt idx="1185">
                  <c:v>42205</c:v>
                </c:pt>
                <c:pt idx="1186">
                  <c:v>42206</c:v>
                </c:pt>
                <c:pt idx="1187">
                  <c:v>42207</c:v>
                </c:pt>
                <c:pt idx="1188">
                  <c:v>42208</c:v>
                </c:pt>
                <c:pt idx="1189">
                  <c:v>42209</c:v>
                </c:pt>
                <c:pt idx="1190">
                  <c:v>42212</c:v>
                </c:pt>
                <c:pt idx="1191">
                  <c:v>42213</c:v>
                </c:pt>
                <c:pt idx="1192">
                  <c:v>42214</c:v>
                </c:pt>
                <c:pt idx="1193">
                  <c:v>42215</c:v>
                </c:pt>
                <c:pt idx="1194">
                  <c:v>42216</c:v>
                </c:pt>
                <c:pt idx="1195">
                  <c:v>42219</c:v>
                </c:pt>
                <c:pt idx="1196">
                  <c:v>42220</c:v>
                </c:pt>
                <c:pt idx="1197">
                  <c:v>42221</c:v>
                </c:pt>
                <c:pt idx="1198">
                  <c:v>42222</c:v>
                </c:pt>
                <c:pt idx="1199">
                  <c:v>42223</c:v>
                </c:pt>
                <c:pt idx="1200">
                  <c:v>42226</c:v>
                </c:pt>
                <c:pt idx="1201">
                  <c:v>42227</c:v>
                </c:pt>
                <c:pt idx="1202">
                  <c:v>42228</c:v>
                </c:pt>
                <c:pt idx="1203">
                  <c:v>42229</c:v>
                </c:pt>
                <c:pt idx="1204">
                  <c:v>42230</c:v>
                </c:pt>
                <c:pt idx="1205">
                  <c:v>42233</c:v>
                </c:pt>
                <c:pt idx="1206">
                  <c:v>42234</c:v>
                </c:pt>
                <c:pt idx="1207">
                  <c:v>42235</c:v>
                </c:pt>
                <c:pt idx="1208">
                  <c:v>42236</c:v>
                </c:pt>
                <c:pt idx="1209">
                  <c:v>42237</c:v>
                </c:pt>
                <c:pt idx="1210">
                  <c:v>42240</c:v>
                </c:pt>
                <c:pt idx="1211">
                  <c:v>42241</c:v>
                </c:pt>
                <c:pt idx="1212">
                  <c:v>42242</c:v>
                </c:pt>
                <c:pt idx="1213">
                  <c:v>42243</c:v>
                </c:pt>
                <c:pt idx="1214">
                  <c:v>42244</c:v>
                </c:pt>
                <c:pt idx="1215">
                  <c:v>42247</c:v>
                </c:pt>
                <c:pt idx="1216">
                  <c:v>42248</c:v>
                </c:pt>
                <c:pt idx="1217">
                  <c:v>42249</c:v>
                </c:pt>
                <c:pt idx="1218">
                  <c:v>42250</c:v>
                </c:pt>
                <c:pt idx="1219">
                  <c:v>42251</c:v>
                </c:pt>
                <c:pt idx="1220">
                  <c:v>42254</c:v>
                </c:pt>
                <c:pt idx="1221">
                  <c:v>42255</c:v>
                </c:pt>
                <c:pt idx="1222">
                  <c:v>42256</c:v>
                </c:pt>
                <c:pt idx="1223">
                  <c:v>42257</c:v>
                </c:pt>
                <c:pt idx="1224">
                  <c:v>42258</c:v>
                </c:pt>
                <c:pt idx="1225">
                  <c:v>42261</c:v>
                </c:pt>
                <c:pt idx="1226">
                  <c:v>42262</c:v>
                </c:pt>
                <c:pt idx="1227">
                  <c:v>42263</c:v>
                </c:pt>
                <c:pt idx="1228">
                  <c:v>42264</c:v>
                </c:pt>
                <c:pt idx="1229">
                  <c:v>42265</c:v>
                </c:pt>
                <c:pt idx="1230">
                  <c:v>42268</c:v>
                </c:pt>
                <c:pt idx="1231">
                  <c:v>42269</c:v>
                </c:pt>
                <c:pt idx="1232">
                  <c:v>42270</c:v>
                </c:pt>
                <c:pt idx="1233">
                  <c:v>42271</c:v>
                </c:pt>
                <c:pt idx="1234">
                  <c:v>42272</c:v>
                </c:pt>
                <c:pt idx="1235">
                  <c:v>42275</c:v>
                </c:pt>
                <c:pt idx="1236">
                  <c:v>42276</c:v>
                </c:pt>
                <c:pt idx="1237">
                  <c:v>42277</c:v>
                </c:pt>
                <c:pt idx="1238">
                  <c:v>42278</c:v>
                </c:pt>
                <c:pt idx="1239">
                  <c:v>42279</c:v>
                </c:pt>
                <c:pt idx="1240">
                  <c:v>42282</c:v>
                </c:pt>
                <c:pt idx="1241">
                  <c:v>42283</c:v>
                </c:pt>
                <c:pt idx="1242">
                  <c:v>42284</c:v>
                </c:pt>
                <c:pt idx="1243">
                  <c:v>42285</c:v>
                </c:pt>
                <c:pt idx="1244">
                  <c:v>42286</c:v>
                </c:pt>
                <c:pt idx="1245">
                  <c:v>42289</c:v>
                </c:pt>
                <c:pt idx="1246">
                  <c:v>42290</c:v>
                </c:pt>
                <c:pt idx="1247">
                  <c:v>42291</c:v>
                </c:pt>
                <c:pt idx="1248">
                  <c:v>42292</c:v>
                </c:pt>
                <c:pt idx="1249">
                  <c:v>42293</c:v>
                </c:pt>
                <c:pt idx="1250">
                  <c:v>42296</c:v>
                </c:pt>
                <c:pt idx="1251">
                  <c:v>42297</c:v>
                </c:pt>
                <c:pt idx="1252">
                  <c:v>42298</c:v>
                </c:pt>
                <c:pt idx="1253">
                  <c:v>42299</c:v>
                </c:pt>
                <c:pt idx="1254">
                  <c:v>42300</c:v>
                </c:pt>
                <c:pt idx="1255">
                  <c:v>42303</c:v>
                </c:pt>
                <c:pt idx="1256">
                  <c:v>42304</c:v>
                </c:pt>
                <c:pt idx="1257">
                  <c:v>42305</c:v>
                </c:pt>
                <c:pt idx="1258">
                  <c:v>42306</c:v>
                </c:pt>
                <c:pt idx="1259">
                  <c:v>42307</c:v>
                </c:pt>
                <c:pt idx="1260">
                  <c:v>42310</c:v>
                </c:pt>
                <c:pt idx="1261">
                  <c:v>42311</c:v>
                </c:pt>
                <c:pt idx="1262">
                  <c:v>42312</c:v>
                </c:pt>
                <c:pt idx="1263">
                  <c:v>42313</c:v>
                </c:pt>
                <c:pt idx="1264">
                  <c:v>42314</c:v>
                </c:pt>
                <c:pt idx="1265">
                  <c:v>42317</c:v>
                </c:pt>
                <c:pt idx="1266">
                  <c:v>42318</c:v>
                </c:pt>
                <c:pt idx="1267">
                  <c:v>42319</c:v>
                </c:pt>
                <c:pt idx="1268">
                  <c:v>42320</c:v>
                </c:pt>
                <c:pt idx="1269">
                  <c:v>42321</c:v>
                </c:pt>
                <c:pt idx="1270">
                  <c:v>42324</c:v>
                </c:pt>
                <c:pt idx="1271">
                  <c:v>42325</c:v>
                </c:pt>
                <c:pt idx="1272">
                  <c:v>42326</c:v>
                </c:pt>
                <c:pt idx="1273">
                  <c:v>42327</c:v>
                </c:pt>
                <c:pt idx="1274">
                  <c:v>42328</c:v>
                </c:pt>
                <c:pt idx="1275">
                  <c:v>42331</c:v>
                </c:pt>
                <c:pt idx="1276">
                  <c:v>42332</c:v>
                </c:pt>
                <c:pt idx="1277">
                  <c:v>42333</c:v>
                </c:pt>
                <c:pt idx="1278">
                  <c:v>42334</c:v>
                </c:pt>
                <c:pt idx="1279">
                  <c:v>42335</c:v>
                </c:pt>
                <c:pt idx="1280">
                  <c:v>42338</c:v>
                </c:pt>
                <c:pt idx="1281">
                  <c:v>42339</c:v>
                </c:pt>
                <c:pt idx="1282">
                  <c:v>42340</c:v>
                </c:pt>
                <c:pt idx="1283">
                  <c:v>42341</c:v>
                </c:pt>
                <c:pt idx="1284">
                  <c:v>42342</c:v>
                </c:pt>
                <c:pt idx="1285">
                  <c:v>42345</c:v>
                </c:pt>
                <c:pt idx="1286">
                  <c:v>42346</c:v>
                </c:pt>
                <c:pt idx="1287">
                  <c:v>42347</c:v>
                </c:pt>
                <c:pt idx="1288">
                  <c:v>42348</c:v>
                </c:pt>
                <c:pt idx="1289">
                  <c:v>42349</c:v>
                </c:pt>
                <c:pt idx="1290">
                  <c:v>42352</c:v>
                </c:pt>
                <c:pt idx="1291">
                  <c:v>42353</c:v>
                </c:pt>
                <c:pt idx="1292">
                  <c:v>42354</c:v>
                </c:pt>
                <c:pt idx="1293">
                  <c:v>42355</c:v>
                </c:pt>
                <c:pt idx="1294">
                  <c:v>42356</c:v>
                </c:pt>
                <c:pt idx="1295">
                  <c:v>42359</c:v>
                </c:pt>
                <c:pt idx="1296">
                  <c:v>42360</c:v>
                </c:pt>
                <c:pt idx="1297">
                  <c:v>42361</c:v>
                </c:pt>
                <c:pt idx="1298">
                  <c:v>42362</c:v>
                </c:pt>
                <c:pt idx="1299">
                  <c:v>42363</c:v>
                </c:pt>
                <c:pt idx="1300">
                  <c:v>42366</c:v>
                </c:pt>
                <c:pt idx="1301">
                  <c:v>42367</c:v>
                </c:pt>
                <c:pt idx="1302">
                  <c:v>42368</c:v>
                </c:pt>
                <c:pt idx="1303">
                  <c:v>42369</c:v>
                </c:pt>
                <c:pt idx="1304">
                  <c:v>42370</c:v>
                </c:pt>
                <c:pt idx="1305">
                  <c:v>42373</c:v>
                </c:pt>
                <c:pt idx="1306">
                  <c:v>42374</c:v>
                </c:pt>
                <c:pt idx="1307">
                  <c:v>42375</c:v>
                </c:pt>
                <c:pt idx="1308">
                  <c:v>42376</c:v>
                </c:pt>
                <c:pt idx="1309">
                  <c:v>42377</c:v>
                </c:pt>
                <c:pt idx="1310">
                  <c:v>42380</c:v>
                </c:pt>
                <c:pt idx="1311">
                  <c:v>42381</c:v>
                </c:pt>
                <c:pt idx="1312">
                  <c:v>42382</c:v>
                </c:pt>
                <c:pt idx="1313">
                  <c:v>42383</c:v>
                </c:pt>
                <c:pt idx="1314">
                  <c:v>42384</c:v>
                </c:pt>
                <c:pt idx="1315">
                  <c:v>42387</c:v>
                </c:pt>
                <c:pt idx="1316">
                  <c:v>42388</c:v>
                </c:pt>
                <c:pt idx="1317">
                  <c:v>42389</c:v>
                </c:pt>
                <c:pt idx="1318">
                  <c:v>42390</c:v>
                </c:pt>
                <c:pt idx="1319">
                  <c:v>42391</c:v>
                </c:pt>
                <c:pt idx="1320">
                  <c:v>42394</c:v>
                </c:pt>
                <c:pt idx="1321">
                  <c:v>42395</c:v>
                </c:pt>
                <c:pt idx="1322">
                  <c:v>42396</c:v>
                </c:pt>
                <c:pt idx="1323">
                  <c:v>42397</c:v>
                </c:pt>
                <c:pt idx="1324">
                  <c:v>42398</c:v>
                </c:pt>
                <c:pt idx="1325">
                  <c:v>42401</c:v>
                </c:pt>
                <c:pt idx="1326">
                  <c:v>42402</c:v>
                </c:pt>
                <c:pt idx="1327">
                  <c:v>42403</c:v>
                </c:pt>
                <c:pt idx="1328">
                  <c:v>42404</c:v>
                </c:pt>
                <c:pt idx="1329">
                  <c:v>42405</c:v>
                </c:pt>
                <c:pt idx="1330">
                  <c:v>42408</c:v>
                </c:pt>
                <c:pt idx="1331">
                  <c:v>42409</c:v>
                </c:pt>
                <c:pt idx="1332">
                  <c:v>42410</c:v>
                </c:pt>
                <c:pt idx="1333">
                  <c:v>42411</c:v>
                </c:pt>
                <c:pt idx="1334">
                  <c:v>42412</c:v>
                </c:pt>
                <c:pt idx="1335">
                  <c:v>42415</c:v>
                </c:pt>
                <c:pt idx="1336">
                  <c:v>42416</c:v>
                </c:pt>
                <c:pt idx="1337">
                  <c:v>42417</c:v>
                </c:pt>
                <c:pt idx="1338">
                  <c:v>42418</c:v>
                </c:pt>
                <c:pt idx="1339">
                  <c:v>42419</c:v>
                </c:pt>
                <c:pt idx="1340">
                  <c:v>42422</c:v>
                </c:pt>
                <c:pt idx="1341">
                  <c:v>42423</c:v>
                </c:pt>
                <c:pt idx="1342">
                  <c:v>42424</c:v>
                </c:pt>
                <c:pt idx="1343">
                  <c:v>42425</c:v>
                </c:pt>
                <c:pt idx="1344">
                  <c:v>42426</c:v>
                </c:pt>
                <c:pt idx="1345">
                  <c:v>42429</c:v>
                </c:pt>
                <c:pt idx="1346">
                  <c:v>42430</c:v>
                </c:pt>
                <c:pt idx="1347">
                  <c:v>42431</c:v>
                </c:pt>
                <c:pt idx="1348">
                  <c:v>42432</c:v>
                </c:pt>
                <c:pt idx="1349">
                  <c:v>42433</c:v>
                </c:pt>
                <c:pt idx="1350">
                  <c:v>42436</c:v>
                </c:pt>
                <c:pt idx="1351">
                  <c:v>42437</c:v>
                </c:pt>
                <c:pt idx="1352">
                  <c:v>42438</c:v>
                </c:pt>
                <c:pt idx="1353">
                  <c:v>42439</c:v>
                </c:pt>
                <c:pt idx="1354">
                  <c:v>42440</c:v>
                </c:pt>
                <c:pt idx="1355">
                  <c:v>42443</c:v>
                </c:pt>
                <c:pt idx="1356">
                  <c:v>42444</c:v>
                </c:pt>
                <c:pt idx="1357">
                  <c:v>42445</c:v>
                </c:pt>
                <c:pt idx="1358">
                  <c:v>42446</c:v>
                </c:pt>
                <c:pt idx="1359">
                  <c:v>42447</c:v>
                </c:pt>
                <c:pt idx="1360">
                  <c:v>42450</c:v>
                </c:pt>
                <c:pt idx="1361">
                  <c:v>42451</c:v>
                </c:pt>
                <c:pt idx="1362">
                  <c:v>42452</c:v>
                </c:pt>
                <c:pt idx="1363">
                  <c:v>42453</c:v>
                </c:pt>
                <c:pt idx="1364">
                  <c:v>42454</c:v>
                </c:pt>
                <c:pt idx="1365">
                  <c:v>42457</c:v>
                </c:pt>
                <c:pt idx="1366">
                  <c:v>42458</c:v>
                </c:pt>
                <c:pt idx="1367">
                  <c:v>42459</c:v>
                </c:pt>
                <c:pt idx="1368">
                  <c:v>42460</c:v>
                </c:pt>
                <c:pt idx="1369">
                  <c:v>42461</c:v>
                </c:pt>
                <c:pt idx="1370">
                  <c:v>42464</c:v>
                </c:pt>
                <c:pt idx="1371">
                  <c:v>42465</c:v>
                </c:pt>
                <c:pt idx="1372">
                  <c:v>42466</c:v>
                </c:pt>
                <c:pt idx="1373">
                  <c:v>42467</c:v>
                </c:pt>
                <c:pt idx="1374">
                  <c:v>42468</c:v>
                </c:pt>
                <c:pt idx="1375">
                  <c:v>42471</c:v>
                </c:pt>
                <c:pt idx="1376">
                  <c:v>42472</c:v>
                </c:pt>
                <c:pt idx="1377">
                  <c:v>42473</c:v>
                </c:pt>
                <c:pt idx="1378">
                  <c:v>42474</c:v>
                </c:pt>
                <c:pt idx="1379">
                  <c:v>42475</c:v>
                </c:pt>
                <c:pt idx="1380">
                  <c:v>42478</c:v>
                </c:pt>
                <c:pt idx="1381">
                  <c:v>42479</c:v>
                </c:pt>
                <c:pt idx="1382">
                  <c:v>42480</c:v>
                </c:pt>
                <c:pt idx="1383">
                  <c:v>42481</c:v>
                </c:pt>
                <c:pt idx="1384">
                  <c:v>42482</c:v>
                </c:pt>
                <c:pt idx="1385">
                  <c:v>42485</c:v>
                </c:pt>
                <c:pt idx="1386">
                  <c:v>42486</c:v>
                </c:pt>
                <c:pt idx="1387">
                  <c:v>42487</c:v>
                </c:pt>
                <c:pt idx="1388">
                  <c:v>42488</c:v>
                </c:pt>
                <c:pt idx="1389">
                  <c:v>42489</c:v>
                </c:pt>
                <c:pt idx="1390">
                  <c:v>42492</c:v>
                </c:pt>
                <c:pt idx="1391">
                  <c:v>42493</c:v>
                </c:pt>
                <c:pt idx="1392">
                  <c:v>42494</c:v>
                </c:pt>
                <c:pt idx="1393">
                  <c:v>42495</c:v>
                </c:pt>
                <c:pt idx="1394">
                  <c:v>42496</c:v>
                </c:pt>
                <c:pt idx="1395">
                  <c:v>42499</c:v>
                </c:pt>
                <c:pt idx="1396">
                  <c:v>42500</c:v>
                </c:pt>
                <c:pt idx="1397">
                  <c:v>42501</c:v>
                </c:pt>
                <c:pt idx="1398">
                  <c:v>42502</c:v>
                </c:pt>
                <c:pt idx="1399">
                  <c:v>42503</c:v>
                </c:pt>
                <c:pt idx="1400">
                  <c:v>42506</c:v>
                </c:pt>
                <c:pt idx="1401">
                  <c:v>42507</c:v>
                </c:pt>
                <c:pt idx="1402">
                  <c:v>42508</c:v>
                </c:pt>
                <c:pt idx="1403">
                  <c:v>42509</c:v>
                </c:pt>
                <c:pt idx="1404">
                  <c:v>42510</c:v>
                </c:pt>
                <c:pt idx="1405">
                  <c:v>42513</c:v>
                </c:pt>
                <c:pt idx="1406">
                  <c:v>42514</c:v>
                </c:pt>
                <c:pt idx="1407">
                  <c:v>42515</c:v>
                </c:pt>
                <c:pt idx="1408">
                  <c:v>42516</c:v>
                </c:pt>
                <c:pt idx="1409">
                  <c:v>42517</c:v>
                </c:pt>
                <c:pt idx="1410">
                  <c:v>42520</c:v>
                </c:pt>
                <c:pt idx="1411">
                  <c:v>42521</c:v>
                </c:pt>
                <c:pt idx="1412">
                  <c:v>42522</c:v>
                </c:pt>
                <c:pt idx="1413">
                  <c:v>42523</c:v>
                </c:pt>
                <c:pt idx="1414">
                  <c:v>42524</c:v>
                </c:pt>
                <c:pt idx="1415">
                  <c:v>42527</c:v>
                </c:pt>
                <c:pt idx="1416">
                  <c:v>42528</c:v>
                </c:pt>
                <c:pt idx="1417">
                  <c:v>42529</c:v>
                </c:pt>
                <c:pt idx="1418">
                  <c:v>42530</c:v>
                </c:pt>
                <c:pt idx="1419">
                  <c:v>42531</c:v>
                </c:pt>
                <c:pt idx="1420">
                  <c:v>42534</c:v>
                </c:pt>
                <c:pt idx="1421">
                  <c:v>42535</c:v>
                </c:pt>
                <c:pt idx="1422">
                  <c:v>42536</c:v>
                </c:pt>
                <c:pt idx="1423">
                  <c:v>42537</c:v>
                </c:pt>
                <c:pt idx="1424">
                  <c:v>42538</c:v>
                </c:pt>
                <c:pt idx="1425">
                  <c:v>42541</c:v>
                </c:pt>
                <c:pt idx="1426">
                  <c:v>42542</c:v>
                </c:pt>
                <c:pt idx="1427">
                  <c:v>42543</c:v>
                </c:pt>
                <c:pt idx="1428">
                  <c:v>42544</c:v>
                </c:pt>
                <c:pt idx="1429">
                  <c:v>42545</c:v>
                </c:pt>
                <c:pt idx="1430">
                  <c:v>42548</c:v>
                </c:pt>
                <c:pt idx="1431">
                  <c:v>42549</c:v>
                </c:pt>
                <c:pt idx="1432">
                  <c:v>42550</c:v>
                </c:pt>
                <c:pt idx="1433">
                  <c:v>42551</c:v>
                </c:pt>
                <c:pt idx="1434">
                  <c:v>42552</c:v>
                </c:pt>
                <c:pt idx="1435">
                  <c:v>42555</c:v>
                </c:pt>
                <c:pt idx="1436">
                  <c:v>42556</c:v>
                </c:pt>
                <c:pt idx="1437">
                  <c:v>42557</c:v>
                </c:pt>
                <c:pt idx="1438">
                  <c:v>42558</c:v>
                </c:pt>
                <c:pt idx="1439">
                  <c:v>42559</c:v>
                </c:pt>
                <c:pt idx="1440">
                  <c:v>42562</c:v>
                </c:pt>
                <c:pt idx="1441">
                  <c:v>42563</c:v>
                </c:pt>
                <c:pt idx="1442">
                  <c:v>42564</c:v>
                </c:pt>
                <c:pt idx="1443">
                  <c:v>42565</c:v>
                </c:pt>
                <c:pt idx="1444">
                  <c:v>42566</c:v>
                </c:pt>
                <c:pt idx="1445">
                  <c:v>42569</c:v>
                </c:pt>
                <c:pt idx="1446">
                  <c:v>42570</c:v>
                </c:pt>
                <c:pt idx="1447">
                  <c:v>42571</c:v>
                </c:pt>
                <c:pt idx="1448">
                  <c:v>42572</c:v>
                </c:pt>
                <c:pt idx="1449">
                  <c:v>42573</c:v>
                </c:pt>
                <c:pt idx="1450">
                  <c:v>42576</c:v>
                </c:pt>
                <c:pt idx="1451">
                  <c:v>42577</c:v>
                </c:pt>
                <c:pt idx="1452">
                  <c:v>42578</c:v>
                </c:pt>
                <c:pt idx="1453">
                  <c:v>42579</c:v>
                </c:pt>
                <c:pt idx="1454">
                  <c:v>42580</c:v>
                </c:pt>
                <c:pt idx="1455">
                  <c:v>42583</c:v>
                </c:pt>
                <c:pt idx="1456">
                  <c:v>42584</c:v>
                </c:pt>
                <c:pt idx="1457">
                  <c:v>42585</c:v>
                </c:pt>
                <c:pt idx="1458">
                  <c:v>42586</c:v>
                </c:pt>
                <c:pt idx="1459">
                  <c:v>42587</c:v>
                </c:pt>
                <c:pt idx="1460">
                  <c:v>42590</c:v>
                </c:pt>
                <c:pt idx="1461">
                  <c:v>42591</c:v>
                </c:pt>
                <c:pt idx="1462">
                  <c:v>42592</c:v>
                </c:pt>
                <c:pt idx="1463">
                  <c:v>42593</c:v>
                </c:pt>
                <c:pt idx="1464">
                  <c:v>42594</c:v>
                </c:pt>
                <c:pt idx="1465">
                  <c:v>42597</c:v>
                </c:pt>
                <c:pt idx="1466">
                  <c:v>42598</c:v>
                </c:pt>
                <c:pt idx="1467">
                  <c:v>42599</c:v>
                </c:pt>
                <c:pt idx="1468">
                  <c:v>42600</c:v>
                </c:pt>
                <c:pt idx="1469">
                  <c:v>42601</c:v>
                </c:pt>
                <c:pt idx="1470">
                  <c:v>42604</c:v>
                </c:pt>
                <c:pt idx="1471">
                  <c:v>42605</c:v>
                </c:pt>
                <c:pt idx="1472">
                  <c:v>42606</c:v>
                </c:pt>
                <c:pt idx="1473">
                  <c:v>42607</c:v>
                </c:pt>
                <c:pt idx="1474">
                  <c:v>42608</c:v>
                </c:pt>
                <c:pt idx="1475">
                  <c:v>42611</c:v>
                </c:pt>
                <c:pt idx="1476">
                  <c:v>42612</c:v>
                </c:pt>
                <c:pt idx="1477">
                  <c:v>42613</c:v>
                </c:pt>
                <c:pt idx="1478">
                  <c:v>42614</c:v>
                </c:pt>
                <c:pt idx="1479">
                  <c:v>42615</c:v>
                </c:pt>
                <c:pt idx="1480">
                  <c:v>42618</c:v>
                </c:pt>
                <c:pt idx="1481">
                  <c:v>42619</c:v>
                </c:pt>
                <c:pt idx="1482">
                  <c:v>42620</c:v>
                </c:pt>
                <c:pt idx="1483">
                  <c:v>42621</c:v>
                </c:pt>
                <c:pt idx="1484">
                  <c:v>42622</c:v>
                </c:pt>
                <c:pt idx="1485">
                  <c:v>42625</c:v>
                </c:pt>
                <c:pt idx="1486">
                  <c:v>42626</c:v>
                </c:pt>
                <c:pt idx="1487">
                  <c:v>42627</c:v>
                </c:pt>
                <c:pt idx="1488">
                  <c:v>42628</c:v>
                </c:pt>
                <c:pt idx="1489">
                  <c:v>42629</c:v>
                </c:pt>
                <c:pt idx="1490">
                  <c:v>42632</c:v>
                </c:pt>
                <c:pt idx="1491">
                  <c:v>42633</c:v>
                </c:pt>
                <c:pt idx="1492">
                  <c:v>42634</c:v>
                </c:pt>
                <c:pt idx="1493">
                  <c:v>42635</c:v>
                </c:pt>
                <c:pt idx="1494">
                  <c:v>42636</c:v>
                </c:pt>
                <c:pt idx="1495">
                  <c:v>42639</c:v>
                </c:pt>
                <c:pt idx="1496">
                  <c:v>42640</c:v>
                </c:pt>
                <c:pt idx="1497">
                  <c:v>42641</c:v>
                </c:pt>
                <c:pt idx="1498">
                  <c:v>42642</c:v>
                </c:pt>
                <c:pt idx="1499">
                  <c:v>42643</c:v>
                </c:pt>
                <c:pt idx="1500">
                  <c:v>42646</c:v>
                </c:pt>
                <c:pt idx="1501">
                  <c:v>42647</c:v>
                </c:pt>
                <c:pt idx="1502">
                  <c:v>42648</c:v>
                </c:pt>
                <c:pt idx="1503">
                  <c:v>42649</c:v>
                </c:pt>
                <c:pt idx="1504">
                  <c:v>42650</c:v>
                </c:pt>
                <c:pt idx="1505">
                  <c:v>42653</c:v>
                </c:pt>
                <c:pt idx="1506">
                  <c:v>42654</c:v>
                </c:pt>
                <c:pt idx="1507">
                  <c:v>42655</c:v>
                </c:pt>
                <c:pt idx="1508">
                  <c:v>42656</c:v>
                </c:pt>
                <c:pt idx="1509">
                  <c:v>42657</c:v>
                </c:pt>
                <c:pt idx="1510">
                  <c:v>42660</c:v>
                </c:pt>
                <c:pt idx="1511">
                  <c:v>42661</c:v>
                </c:pt>
                <c:pt idx="1512">
                  <c:v>42662</c:v>
                </c:pt>
                <c:pt idx="1513">
                  <c:v>42663</c:v>
                </c:pt>
                <c:pt idx="1514">
                  <c:v>42664</c:v>
                </c:pt>
                <c:pt idx="1515">
                  <c:v>42667</c:v>
                </c:pt>
                <c:pt idx="1516">
                  <c:v>42668</c:v>
                </c:pt>
                <c:pt idx="1517">
                  <c:v>42669</c:v>
                </c:pt>
                <c:pt idx="1518">
                  <c:v>42670</c:v>
                </c:pt>
                <c:pt idx="1519">
                  <c:v>42671</c:v>
                </c:pt>
                <c:pt idx="1520">
                  <c:v>42674</c:v>
                </c:pt>
                <c:pt idx="1521">
                  <c:v>42675</c:v>
                </c:pt>
                <c:pt idx="1522">
                  <c:v>42676</c:v>
                </c:pt>
                <c:pt idx="1523">
                  <c:v>42677</c:v>
                </c:pt>
                <c:pt idx="1524">
                  <c:v>42678</c:v>
                </c:pt>
                <c:pt idx="1525">
                  <c:v>42681</c:v>
                </c:pt>
                <c:pt idx="1526">
                  <c:v>42682</c:v>
                </c:pt>
                <c:pt idx="1527">
                  <c:v>42683</c:v>
                </c:pt>
                <c:pt idx="1528">
                  <c:v>42684</c:v>
                </c:pt>
                <c:pt idx="1529">
                  <c:v>42685</c:v>
                </c:pt>
                <c:pt idx="1530">
                  <c:v>42688</c:v>
                </c:pt>
                <c:pt idx="1531">
                  <c:v>42689</c:v>
                </c:pt>
                <c:pt idx="1532">
                  <c:v>42690</c:v>
                </c:pt>
                <c:pt idx="1533">
                  <c:v>42691</c:v>
                </c:pt>
                <c:pt idx="1534">
                  <c:v>42692</c:v>
                </c:pt>
                <c:pt idx="1535">
                  <c:v>42695</c:v>
                </c:pt>
                <c:pt idx="1536">
                  <c:v>42696</c:v>
                </c:pt>
                <c:pt idx="1537">
                  <c:v>42697</c:v>
                </c:pt>
                <c:pt idx="1538">
                  <c:v>42698</c:v>
                </c:pt>
                <c:pt idx="1539">
                  <c:v>42699</c:v>
                </c:pt>
                <c:pt idx="1540">
                  <c:v>42702</c:v>
                </c:pt>
                <c:pt idx="1541">
                  <c:v>42703</c:v>
                </c:pt>
                <c:pt idx="1542">
                  <c:v>42704</c:v>
                </c:pt>
                <c:pt idx="1543">
                  <c:v>42705</c:v>
                </c:pt>
                <c:pt idx="1544">
                  <c:v>42706</c:v>
                </c:pt>
                <c:pt idx="1545">
                  <c:v>42709</c:v>
                </c:pt>
                <c:pt idx="1546">
                  <c:v>42710</c:v>
                </c:pt>
                <c:pt idx="1547">
                  <c:v>42711</c:v>
                </c:pt>
                <c:pt idx="1548">
                  <c:v>42712</c:v>
                </c:pt>
                <c:pt idx="1549">
                  <c:v>42713</c:v>
                </c:pt>
                <c:pt idx="1550">
                  <c:v>42716</c:v>
                </c:pt>
                <c:pt idx="1551">
                  <c:v>42717</c:v>
                </c:pt>
                <c:pt idx="1552">
                  <c:v>42718</c:v>
                </c:pt>
                <c:pt idx="1553">
                  <c:v>42719</c:v>
                </c:pt>
                <c:pt idx="1554">
                  <c:v>42720</c:v>
                </c:pt>
                <c:pt idx="1555">
                  <c:v>42723</c:v>
                </c:pt>
                <c:pt idx="1556">
                  <c:v>42724</c:v>
                </c:pt>
                <c:pt idx="1557">
                  <c:v>42725</c:v>
                </c:pt>
                <c:pt idx="1558">
                  <c:v>42726</c:v>
                </c:pt>
                <c:pt idx="1559">
                  <c:v>42727</c:v>
                </c:pt>
                <c:pt idx="1560">
                  <c:v>42730</c:v>
                </c:pt>
                <c:pt idx="1561">
                  <c:v>42731</c:v>
                </c:pt>
                <c:pt idx="1562">
                  <c:v>42732</c:v>
                </c:pt>
                <c:pt idx="1563">
                  <c:v>42733</c:v>
                </c:pt>
                <c:pt idx="1564">
                  <c:v>42734</c:v>
                </c:pt>
                <c:pt idx="1565">
                  <c:v>42737</c:v>
                </c:pt>
                <c:pt idx="1566">
                  <c:v>42738</c:v>
                </c:pt>
                <c:pt idx="1567">
                  <c:v>42739</c:v>
                </c:pt>
                <c:pt idx="1568">
                  <c:v>42740</c:v>
                </c:pt>
                <c:pt idx="1569">
                  <c:v>42741</c:v>
                </c:pt>
                <c:pt idx="1570">
                  <c:v>42744</c:v>
                </c:pt>
                <c:pt idx="1571">
                  <c:v>42745</c:v>
                </c:pt>
                <c:pt idx="1572">
                  <c:v>42746</c:v>
                </c:pt>
                <c:pt idx="1573">
                  <c:v>42747</c:v>
                </c:pt>
                <c:pt idx="1574">
                  <c:v>42748</c:v>
                </c:pt>
                <c:pt idx="1575">
                  <c:v>42751</c:v>
                </c:pt>
                <c:pt idx="1576">
                  <c:v>42752</c:v>
                </c:pt>
                <c:pt idx="1577">
                  <c:v>42753</c:v>
                </c:pt>
                <c:pt idx="1578">
                  <c:v>42754</c:v>
                </c:pt>
                <c:pt idx="1579">
                  <c:v>42755</c:v>
                </c:pt>
                <c:pt idx="1580">
                  <c:v>42758</c:v>
                </c:pt>
                <c:pt idx="1581">
                  <c:v>42759</c:v>
                </c:pt>
                <c:pt idx="1582">
                  <c:v>42760</c:v>
                </c:pt>
                <c:pt idx="1583">
                  <c:v>42761</c:v>
                </c:pt>
                <c:pt idx="1584">
                  <c:v>42762</c:v>
                </c:pt>
                <c:pt idx="1585">
                  <c:v>42765</c:v>
                </c:pt>
                <c:pt idx="1586">
                  <c:v>42766</c:v>
                </c:pt>
                <c:pt idx="1587">
                  <c:v>42767</c:v>
                </c:pt>
                <c:pt idx="1588">
                  <c:v>42768</c:v>
                </c:pt>
                <c:pt idx="1589">
                  <c:v>42769</c:v>
                </c:pt>
                <c:pt idx="1590">
                  <c:v>42772</c:v>
                </c:pt>
                <c:pt idx="1591">
                  <c:v>42773</c:v>
                </c:pt>
                <c:pt idx="1592">
                  <c:v>42774</c:v>
                </c:pt>
                <c:pt idx="1593">
                  <c:v>42775</c:v>
                </c:pt>
                <c:pt idx="1594">
                  <c:v>42776</c:v>
                </c:pt>
                <c:pt idx="1595">
                  <c:v>42779</c:v>
                </c:pt>
                <c:pt idx="1596">
                  <c:v>42780</c:v>
                </c:pt>
                <c:pt idx="1597">
                  <c:v>42781</c:v>
                </c:pt>
                <c:pt idx="1598">
                  <c:v>42782</c:v>
                </c:pt>
                <c:pt idx="1599">
                  <c:v>42783</c:v>
                </c:pt>
                <c:pt idx="1600">
                  <c:v>42786</c:v>
                </c:pt>
                <c:pt idx="1601">
                  <c:v>42787</c:v>
                </c:pt>
                <c:pt idx="1602">
                  <c:v>42788</c:v>
                </c:pt>
                <c:pt idx="1603">
                  <c:v>42789</c:v>
                </c:pt>
                <c:pt idx="1604">
                  <c:v>42790</c:v>
                </c:pt>
                <c:pt idx="1605">
                  <c:v>42793</c:v>
                </c:pt>
                <c:pt idx="1606">
                  <c:v>42794</c:v>
                </c:pt>
                <c:pt idx="1607">
                  <c:v>42795</c:v>
                </c:pt>
                <c:pt idx="1608">
                  <c:v>42796</c:v>
                </c:pt>
                <c:pt idx="1609">
                  <c:v>42797</c:v>
                </c:pt>
                <c:pt idx="1610">
                  <c:v>42800</c:v>
                </c:pt>
                <c:pt idx="1611">
                  <c:v>42801</c:v>
                </c:pt>
                <c:pt idx="1612">
                  <c:v>42802</c:v>
                </c:pt>
                <c:pt idx="1613">
                  <c:v>42803</c:v>
                </c:pt>
                <c:pt idx="1614">
                  <c:v>42804</c:v>
                </c:pt>
                <c:pt idx="1615">
                  <c:v>42807</c:v>
                </c:pt>
                <c:pt idx="1616">
                  <c:v>42808</c:v>
                </c:pt>
                <c:pt idx="1617">
                  <c:v>42809</c:v>
                </c:pt>
                <c:pt idx="1618">
                  <c:v>42810</c:v>
                </c:pt>
                <c:pt idx="1619">
                  <c:v>42811</c:v>
                </c:pt>
                <c:pt idx="1620">
                  <c:v>42814</c:v>
                </c:pt>
                <c:pt idx="1621">
                  <c:v>42815</c:v>
                </c:pt>
                <c:pt idx="1622">
                  <c:v>42816</c:v>
                </c:pt>
                <c:pt idx="1623">
                  <c:v>42817</c:v>
                </c:pt>
                <c:pt idx="1624">
                  <c:v>42818</c:v>
                </c:pt>
                <c:pt idx="1625">
                  <c:v>42821</c:v>
                </c:pt>
                <c:pt idx="1626">
                  <c:v>42822</c:v>
                </c:pt>
                <c:pt idx="1627">
                  <c:v>42823</c:v>
                </c:pt>
                <c:pt idx="1628">
                  <c:v>42824</c:v>
                </c:pt>
                <c:pt idx="1629">
                  <c:v>42825</c:v>
                </c:pt>
                <c:pt idx="1630">
                  <c:v>42828</c:v>
                </c:pt>
                <c:pt idx="1631">
                  <c:v>42829</c:v>
                </c:pt>
                <c:pt idx="1632">
                  <c:v>42830</c:v>
                </c:pt>
                <c:pt idx="1633">
                  <c:v>42831</c:v>
                </c:pt>
                <c:pt idx="1634">
                  <c:v>42832</c:v>
                </c:pt>
                <c:pt idx="1635">
                  <c:v>42835</c:v>
                </c:pt>
                <c:pt idx="1636">
                  <c:v>42836</c:v>
                </c:pt>
                <c:pt idx="1637">
                  <c:v>42837</c:v>
                </c:pt>
                <c:pt idx="1638">
                  <c:v>42838</c:v>
                </c:pt>
                <c:pt idx="1639">
                  <c:v>42839</c:v>
                </c:pt>
                <c:pt idx="1640">
                  <c:v>42842</c:v>
                </c:pt>
                <c:pt idx="1641">
                  <c:v>42843</c:v>
                </c:pt>
                <c:pt idx="1642">
                  <c:v>42844</c:v>
                </c:pt>
                <c:pt idx="1643">
                  <c:v>42845</c:v>
                </c:pt>
                <c:pt idx="1644">
                  <c:v>42846</c:v>
                </c:pt>
                <c:pt idx="1645">
                  <c:v>42849</c:v>
                </c:pt>
                <c:pt idx="1646">
                  <c:v>42850</c:v>
                </c:pt>
                <c:pt idx="1647">
                  <c:v>42851</c:v>
                </c:pt>
                <c:pt idx="1648">
                  <c:v>42852</c:v>
                </c:pt>
                <c:pt idx="1649">
                  <c:v>42853</c:v>
                </c:pt>
                <c:pt idx="1650">
                  <c:v>42856</c:v>
                </c:pt>
                <c:pt idx="1651">
                  <c:v>42857</c:v>
                </c:pt>
                <c:pt idx="1652">
                  <c:v>42858</c:v>
                </c:pt>
                <c:pt idx="1653">
                  <c:v>42859</c:v>
                </c:pt>
                <c:pt idx="1654">
                  <c:v>42860</c:v>
                </c:pt>
                <c:pt idx="1655">
                  <c:v>42863</c:v>
                </c:pt>
                <c:pt idx="1656">
                  <c:v>42864</c:v>
                </c:pt>
                <c:pt idx="1657">
                  <c:v>42865</c:v>
                </c:pt>
                <c:pt idx="1658">
                  <c:v>42866</c:v>
                </c:pt>
                <c:pt idx="1659">
                  <c:v>42867</c:v>
                </c:pt>
                <c:pt idx="1660">
                  <c:v>42870</c:v>
                </c:pt>
                <c:pt idx="1661">
                  <c:v>42871</c:v>
                </c:pt>
                <c:pt idx="1662">
                  <c:v>42872</c:v>
                </c:pt>
                <c:pt idx="1663">
                  <c:v>42873</c:v>
                </c:pt>
                <c:pt idx="1664">
                  <c:v>42874</c:v>
                </c:pt>
                <c:pt idx="1665">
                  <c:v>42877</c:v>
                </c:pt>
                <c:pt idx="1666">
                  <c:v>42878</c:v>
                </c:pt>
                <c:pt idx="1667">
                  <c:v>42879</c:v>
                </c:pt>
                <c:pt idx="1668">
                  <c:v>42880</c:v>
                </c:pt>
                <c:pt idx="1669">
                  <c:v>42881</c:v>
                </c:pt>
                <c:pt idx="1670">
                  <c:v>42884</c:v>
                </c:pt>
                <c:pt idx="1671">
                  <c:v>42885</c:v>
                </c:pt>
                <c:pt idx="1672">
                  <c:v>42886</c:v>
                </c:pt>
                <c:pt idx="1673">
                  <c:v>42887</c:v>
                </c:pt>
                <c:pt idx="1674">
                  <c:v>42888</c:v>
                </c:pt>
                <c:pt idx="1675">
                  <c:v>42891</c:v>
                </c:pt>
                <c:pt idx="1676">
                  <c:v>42892</c:v>
                </c:pt>
                <c:pt idx="1677">
                  <c:v>42893</c:v>
                </c:pt>
                <c:pt idx="1678">
                  <c:v>42894</c:v>
                </c:pt>
                <c:pt idx="1679">
                  <c:v>42895</c:v>
                </c:pt>
                <c:pt idx="1680">
                  <c:v>42898</c:v>
                </c:pt>
                <c:pt idx="1681">
                  <c:v>42899</c:v>
                </c:pt>
                <c:pt idx="1682">
                  <c:v>42900</c:v>
                </c:pt>
                <c:pt idx="1683">
                  <c:v>42901</c:v>
                </c:pt>
                <c:pt idx="1684">
                  <c:v>42902</c:v>
                </c:pt>
                <c:pt idx="1685">
                  <c:v>42905</c:v>
                </c:pt>
                <c:pt idx="1686">
                  <c:v>42906</c:v>
                </c:pt>
                <c:pt idx="1687">
                  <c:v>42907</c:v>
                </c:pt>
                <c:pt idx="1688">
                  <c:v>42908</c:v>
                </c:pt>
                <c:pt idx="1689">
                  <c:v>42909</c:v>
                </c:pt>
                <c:pt idx="1690">
                  <c:v>42912</c:v>
                </c:pt>
                <c:pt idx="1691">
                  <c:v>42913</c:v>
                </c:pt>
                <c:pt idx="1692">
                  <c:v>42914</c:v>
                </c:pt>
                <c:pt idx="1693">
                  <c:v>42915</c:v>
                </c:pt>
                <c:pt idx="1694">
                  <c:v>42916</c:v>
                </c:pt>
                <c:pt idx="1695">
                  <c:v>42919</c:v>
                </c:pt>
                <c:pt idx="1696">
                  <c:v>42920</c:v>
                </c:pt>
                <c:pt idx="1697">
                  <c:v>42921</c:v>
                </c:pt>
                <c:pt idx="1698">
                  <c:v>42922</c:v>
                </c:pt>
                <c:pt idx="1699">
                  <c:v>42923</c:v>
                </c:pt>
                <c:pt idx="1700">
                  <c:v>42926</c:v>
                </c:pt>
                <c:pt idx="1701">
                  <c:v>42927</c:v>
                </c:pt>
                <c:pt idx="1702">
                  <c:v>42928</c:v>
                </c:pt>
                <c:pt idx="1703">
                  <c:v>42929</c:v>
                </c:pt>
                <c:pt idx="1704">
                  <c:v>42930</c:v>
                </c:pt>
                <c:pt idx="1705">
                  <c:v>42933</c:v>
                </c:pt>
                <c:pt idx="1706">
                  <c:v>42934</c:v>
                </c:pt>
                <c:pt idx="1707">
                  <c:v>42935</c:v>
                </c:pt>
                <c:pt idx="1708">
                  <c:v>42936</c:v>
                </c:pt>
                <c:pt idx="1709">
                  <c:v>42937</c:v>
                </c:pt>
                <c:pt idx="1710">
                  <c:v>42940</c:v>
                </c:pt>
                <c:pt idx="1711">
                  <c:v>42941</c:v>
                </c:pt>
                <c:pt idx="1712">
                  <c:v>42942</c:v>
                </c:pt>
                <c:pt idx="1713">
                  <c:v>42943</c:v>
                </c:pt>
                <c:pt idx="1714">
                  <c:v>42944</c:v>
                </c:pt>
                <c:pt idx="1715">
                  <c:v>42947</c:v>
                </c:pt>
                <c:pt idx="1716">
                  <c:v>42948</c:v>
                </c:pt>
                <c:pt idx="1717">
                  <c:v>42949</c:v>
                </c:pt>
                <c:pt idx="1718">
                  <c:v>42950</c:v>
                </c:pt>
                <c:pt idx="1719">
                  <c:v>42951</c:v>
                </c:pt>
                <c:pt idx="1720">
                  <c:v>42954</c:v>
                </c:pt>
                <c:pt idx="1721">
                  <c:v>42955</c:v>
                </c:pt>
                <c:pt idx="1722">
                  <c:v>42956</c:v>
                </c:pt>
                <c:pt idx="1723">
                  <c:v>42957</c:v>
                </c:pt>
                <c:pt idx="1724">
                  <c:v>42958</c:v>
                </c:pt>
                <c:pt idx="1725">
                  <c:v>42961</c:v>
                </c:pt>
                <c:pt idx="1726">
                  <c:v>42962</c:v>
                </c:pt>
                <c:pt idx="1727">
                  <c:v>42963</c:v>
                </c:pt>
                <c:pt idx="1728">
                  <c:v>42964</c:v>
                </c:pt>
                <c:pt idx="1729">
                  <c:v>42965</c:v>
                </c:pt>
                <c:pt idx="1730">
                  <c:v>42968</c:v>
                </c:pt>
                <c:pt idx="1731">
                  <c:v>42969</c:v>
                </c:pt>
                <c:pt idx="1732">
                  <c:v>42970</c:v>
                </c:pt>
                <c:pt idx="1733">
                  <c:v>42971</c:v>
                </c:pt>
                <c:pt idx="1734">
                  <c:v>42972</c:v>
                </c:pt>
                <c:pt idx="1735">
                  <c:v>42975</c:v>
                </c:pt>
                <c:pt idx="1736">
                  <c:v>42976</c:v>
                </c:pt>
                <c:pt idx="1737">
                  <c:v>42977</c:v>
                </c:pt>
                <c:pt idx="1738">
                  <c:v>42978</c:v>
                </c:pt>
                <c:pt idx="1739">
                  <c:v>42979</c:v>
                </c:pt>
                <c:pt idx="1740">
                  <c:v>42982</c:v>
                </c:pt>
                <c:pt idx="1741">
                  <c:v>42983</c:v>
                </c:pt>
                <c:pt idx="1742">
                  <c:v>42984</c:v>
                </c:pt>
                <c:pt idx="1743">
                  <c:v>42985</c:v>
                </c:pt>
                <c:pt idx="1744">
                  <c:v>42986</c:v>
                </c:pt>
                <c:pt idx="1745">
                  <c:v>42989</c:v>
                </c:pt>
                <c:pt idx="1746">
                  <c:v>42990</c:v>
                </c:pt>
                <c:pt idx="1747">
                  <c:v>42991</c:v>
                </c:pt>
                <c:pt idx="1748">
                  <c:v>42992</c:v>
                </c:pt>
                <c:pt idx="1749">
                  <c:v>42993</c:v>
                </c:pt>
                <c:pt idx="1750">
                  <c:v>42996</c:v>
                </c:pt>
                <c:pt idx="1751">
                  <c:v>42997</c:v>
                </c:pt>
                <c:pt idx="1752">
                  <c:v>42998</c:v>
                </c:pt>
                <c:pt idx="1753">
                  <c:v>42999</c:v>
                </c:pt>
                <c:pt idx="1754">
                  <c:v>43000</c:v>
                </c:pt>
                <c:pt idx="1755">
                  <c:v>43003</c:v>
                </c:pt>
                <c:pt idx="1756">
                  <c:v>43004</c:v>
                </c:pt>
                <c:pt idx="1757">
                  <c:v>43005</c:v>
                </c:pt>
                <c:pt idx="1758">
                  <c:v>43006</c:v>
                </c:pt>
                <c:pt idx="1759">
                  <c:v>43007</c:v>
                </c:pt>
                <c:pt idx="1760">
                  <c:v>43010</c:v>
                </c:pt>
                <c:pt idx="1761">
                  <c:v>43011</c:v>
                </c:pt>
                <c:pt idx="1762">
                  <c:v>43012</c:v>
                </c:pt>
                <c:pt idx="1763">
                  <c:v>43013</c:v>
                </c:pt>
                <c:pt idx="1764">
                  <c:v>43014</c:v>
                </c:pt>
                <c:pt idx="1765">
                  <c:v>43017</c:v>
                </c:pt>
                <c:pt idx="1766">
                  <c:v>43018</c:v>
                </c:pt>
                <c:pt idx="1767">
                  <c:v>43019</c:v>
                </c:pt>
                <c:pt idx="1768">
                  <c:v>43020</c:v>
                </c:pt>
                <c:pt idx="1769">
                  <c:v>43021</c:v>
                </c:pt>
                <c:pt idx="1770">
                  <c:v>43024</c:v>
                </c:pt>
                <c:pt idx="1771">
                  <c:v>43025</c:v>
                </c:pt>
                <c:pt idx="1772">
                  <c:v>43026</c:v>
                </c:pt>
                <c:pt idx="1773">
                  <c:v>43027</c:v>
                </c:pt>
                <c:pt idx="1774">
                  <c:v>43028</c:v>
                </c:pt>
                <c:pt idx="1775">
                  <c:v>43031</c:v>
                </c:pt>
                <c:pt idx="1776">
                  <c:v>43032</c:v>
                </c:pt>
                <c:pt idx="1777">
                  <c:v>43033</c:v>
                </c:pt>
                <c:pt idx="1778">
                  <c:v>43034</c:v>
                </c:pt>
                <c:pt idx="1779">
                  <c:v>43035</c:v>
                </c:pt>
                <c:pt idx="1780">
                  <c:v>43038</c:v>
                </c:pt>
                <c:pt idx="1781">
                  <c:v>43039</c:v>
                </c:pt>
                <c:pt idx="1782">
                  <c:v>43040</c:v>
                </c:pt>
                <c:pt idx="1783">
                  <c:v>43041</c:v>
                </c:pt>
                <c:pt idx="1784">
                  <c:v>43042</c:v>
                </c:pt>
                <c:pt idx="1785">
                  <c:v>43045</c:v>
                </c:pt>
                <c:pt idx="1786">
                  <c:v>43046</c:v>
                </c:pt>
                <c:pt idx="1787">
                  <c:v>43047</c:v>
                </c:pt>
                <c:pt idx="1788">
                  <c:v>43048</c:v>
                </c:pt>
                <c:pt idx="1789">
                  <c:v>43049</c:v>
                </c:pt>
                <c:pt idx="1790">
                  <c:v>43052</c:v>
                </c:pt>
                <c:pt idx="1791">
                  <c:v>43053</c:v>
                </c:pt>
                <c:pt idx="1792">
                  <c:v>43054</c:v>
                </c:pt>
                <c:pt idx="1793">
                  <c:v>43055</c:v>
                </c:pt>
                <c:pt idx="1794">
                  <c:v>43056</c:v>
                </c:pt>
                <c:pt idx="1795">
                  <c:v>43059</c:v>
                </c:pt>
                <c:pt idx="1796">
                  <c:v>43060</c:v>
                </c:pt>
                <c:pt idx="1797">
                  <c:v>43061</c:v>
                </c:pt>
                <c:pt idx="1798">
                  <c:v>43062</c:v>
                </c:pt>
                <c:pt idx="1799">
                  <c:v>43063</c:v>
                </c:pt>
                <c:pt idx="1800">
                  <c:v>43066</c:v>
                </c:pt>
                <c:pt idx="1801">
                  <c:v>43067</c:v>
                </c:pt>
                <c:pt idx="1802">
                  <c:v>43068</c:v>
                </c:pt>
                <c:pt idx="1803">
                  <c:v>43069</c:v>
                </c:pt>
                <c:pt idx="1804">
                  <c:v>43070</c:v>
                </c:pt>
                <c:pt idx="1805">
                  <c:v>43073</c:v>
                </c:pt>
                <c:pt idx="1806">
                  <c:v>43074</c:v>
                </c:pt>
                <c:pt idx="1807">
                  <c:v>43075</c:v>
                </c:pt>
                <c:pt idx="1808">
                  <c:v>43076</c:v>
                </c:pt>
                <c:pt idx="1809">
                  <c:v>43077</c:v>
                </c:pt>
                <c:pt idx="1810">
                  <c:v>43080</c:v>
                </c:pt>
                <c:pt idx="1811">
                  <c:v>43081</c:v>
                </c:pt>
                <c:pt idx="1812">
                  <c:v>43082</c:v>
                </c:pt>
                <c:pt idx="1813">
                  <c:v>43083</c:v>
                </c:pt>
                <c:pt idx="1814">
                  <c:v>43084</c:v>
                </c:pt>
                <c:pt idx="1815">
                  <c:v>43087</c:v>
                </c:pt>
                <c:pt idx="1816">
                  <c:v>43088</c:v>
                </c:pt>
                <c:pt idx="1817">
                  <c:v>43089</c:v>
                </c:pt>
                <c:pt idx="1818">
                  <c:v>43090</c:v>
                </c:pt>
                <c:pt idx="1819">
                  <c:v>43091</c:v>
                </c:pt>
                <c:pt idx="1820">
                  <c:v>43094</c:v>
                </c:pt>
                <c:pt idx="1821">
                  <c:v>43095</c:v>
                </c:pt>
                <c:pt idx="1822">
                  <c:v>43096</c:v>
                </c:pt>
                <c:pt idx="1823">
                  <c:v>43097</c:v>
                </c:pt>
                <c:pt idx="1824">
                  <c:v>43098</c:v>
                </c:pt>
                <c:pt idx="1825">
                  <c:v>43101</c:v>
                </c:pt>
                <c:pt idx="1826">
                  <c:v>43102</c:v>
                </c:pt>
                <c:pt idx="1827">
                  <c:v>43103</c:v>
                </c:pt>
                <c:pt idx="1828">
                  <c:v>43104</c:v>
                </c:pt>
                <c:pt idx="1829">
                  <c:v>43105</c:v>
                </c:pt>
                <c:pt idx="1830">
                  <c:v>43108</c:v>
                </c:pt>
                <c:pt idx="1831">
                  <c:v>43109</c:v>
                </c:pt>
                <c:pt idx="1832">
                  <c:v>43110</c:v>
                </c:pt>
                <c:pt idx="1833">
                  <c:v>43111</c:v>
                </c:pt>
                <c:pt idx="1834">
                  <c:v>43112</c:v>
                </c:pt>
                <c:pt idx="1835">
                  <c:v>43115</c:v>
                </c:pt>
                <c:pt idx="1836">
                  <c:v>43116</c:v>
                </c:pt>
                <c:pt idx="1837">
                  <c:v>43117</c:v>
                </c:pt>
                <c:pt idx="1838">
                  <c:v>43118</c:v>
                </c:pt>
                <c:pt idx="1839">
                  <c:v>43119</c:v>
                </c:pt>
                <c:pt idx="1840">
                  <c:v>43122</c:v>
                </c:pt>
                <c:pt idx="1841">
                  <c:v>43123</c:v>
                </c:pt>
                <c:pt idx="1842">
                  <c:v>43124</c:v>
                </c:pt>
                <c:pt idx="1843">
                  <c:v>43125</c:v>
                </c:pt>
                <c:pt idx="1844">
                  <c:v>43126</c:v>
                </c:pt>
                <c:pt idx="1845">
                  <c:v>43129</c:v>
                </c:pt>
                <c:pt idx="1846">
                  <c:v>43130</c:v>
                </c:pt>
                <c:pt idx="1847">
                  <c:v>43131</c:v>
                </c:pt>
                <c:pt idx="1848">
                  <c:v>43132</c:v>
                </c:pt>
                <c:pt idx="1849">
                  <c:v>43133</c:v>
                </c:pt>
                <c:pt idx="1850">
                  <c:v>43136</c:v>
                </c:pt>
                <c:pt idx="1851">
                  <c:v>43137</c:v>
                </c:pt>
                <c:pt idx="1852">
                  <c:v>43138</c:v>
                </c:pt>
                <c:pt idx="1853">
                  <c:v>43139</c:v>
                </c:pt>
                <c:pt idx="1854">
                  <c:v>43140</c:v>
                </c:pt>
                <c:pt idx="1855">
                  <c:v>43143</c:v>
                </c:pt>
                <c:pt idx="1856">
                  <c:v>43144</c:v>
                </c:pt>
                <c:pt idx="1857">
                  <c:v>43145</c:v>
                </c:pt>
                <c:pt idx="1858">
                  <c:v>43146</c:v>
                </c:pt>
                <c:pt idx="1859">
                  <c:v>43147</c:v>
                </c:pt>
                <c:pt idx="1860">
                  <c:v>43150</c:v>
                </c:pt>
                <c:pt idx="1861">
                  <c:v>43151</c:v>
                </c:pt>
                <c:pt idx="1862">
                  <c:v>43152</c:v>
                </c:pt>
                <c:pt idx="1863">
                  <c:v>43153</c:v>
                </c:pt>
                <c:pt idx="1864">
                  <c:v>43154</c:v>
                </c:pt>
                <c:pt idx="1865">
                  <c:v>43157</c:v>
                </c:pt>
                <c:pt idx="1866">
                  <c:v>43158</c:v>
                </c:pt>
                <c:pt idx="1867">
                  <c:v>43159</c:v>
                </c:pt>
                <c:pt idx="1868">
                  <c:v>43160</c:v>
                </c:pt>
                <c:pt idx="1869">
                  <c:v>43161</c:v>
                </c:pt>
                <c:pt idx="1870">
                  <c:v>43164</c:v>
                </c:pt>
                <c:pt idx="1871">
                  <c:v>43165</c:v>
                </c:pt>
                <c:pt idx="1872">
                  <c:v>43166</c:v>
                </c:pt>
                <c:pt idx="1873">
                  <c:v>43167</c:v>
                </c:pt>
                <c:pt idx="1874">
                  <c:v>43168</c:v>
                </c:pt>
                <c:pt idx="1875">
                  <c:v>43171</c:v>
                </c:pt>
                <c:pt idx="1876">
                  <c:v>43172</c:v>
                </c:pt>
                <c:pt idx="1877">
                  <c:v>43173</c:v>
                </c:pt>
                <c:pt idx="1878">
                  <c:v>43174</c:v>
                </c:pt>
                <c:pt idx="1879">
                  <c:v>43175</c:v>
                </c:pt>
                <c:pt idx="1880">
                  <c:v>43178</c:v>
                </c:pt>
                <c:pt idx="1881">
                  <c:v>43179</c:v>
                </c:pt>
                <c:pt idx="1882">
                  <c:v>43180</c:v>
                </c:pt>
                <c:pt idx="1883">
                  <c:v>43181</c:v>
                </c:pt>
                <c:pt idx="1884">
                  <c:v>43182</c:v>
                </c:pt>
                <c:pt idx="1885">
                  <c:v>43185</c:v>
                </c:pt>
                <c:pt idx="1886">
                  <c:v>43186</c:v>
                </c:pt>
                <c:pt idx="1887">
                  <c:v>43187</c:v>
                </c:pt>
                <c:pt idx="1888">
                  <c:v>43188</c:v>
                </c:pt>
                <c:pt idx="1889">
                  <c:v>43189</c:v>
                </c:pt>
                <c:pt idx="1890">
                  <c:v>43192</c:v>
                </c:pt>
                <c:pt idx="1891">
                  <c:v>43193</c:v>
                </c:pt>
                <c:pt idx="1892">
                  <c:v>43194</c:v>
                </c:pt>
                <c:pt idx="1893">
                  <c:v>43195</c:v>
                </c:pt>
                <c:pt idx="1894">
                  <c:v>43196</c:v>
                </c:pt>
                <c:pt idx="1895">
                  <c:v>43199</c:v>
                </c:pt>
                <c:pt idx="1896">
                  <c:v>43200</c:v>
                </c:pt>
                <c:pt idx="1897">
                  <c:v>43201</c:v>
                </c:pt>
                <c:pt idx="1898">
                  <c:v>43202</c:v>
                </c:pt>
                <c:pt idx="1899">
                  <c:v>43203</c:v>
                </c:pt>
                <c:pt idx="1900">
                  <c:v>43206</c:v>
                </c:pt>
                <c:pt idx="1901">
                  <c:v>43207</c:v>
                </c:pt>
                <c:pt idx="1902">
                  <c:v>43208</c:v>
                </c:pt>
                <c:pt idx="1903">
                  <c:v>43209</c:v>
                </c:pt>
                <c:pt idx="1904">
                  <c:v>43210</c:v>
                </c:pt>
                <c:pt idx="1905">
                  <c:v>43213</c:v>
                </c:pt>
                <c:pt idx="1906">
                  <c:v>43214</c:v>
                </c:pt>
                <c:pt idx="1907">
                  <c:v>43215</c:v>
                </c:pt>
                <c:pt idx="1908">
                  <c:v>43216</c:v>
                </c:pt>
                <c:pt idx="1909">
                  <c:v>43217</c:v>
                </c:pt>
                <c:pt idx="1910">
                  <c:v>43220</c:v>
                </c:pt>
                <c:pt idx="1911">
                  <c:v>43221</c:v>
                </c:pt>
                <c:pt idx="1912">
                  <c:v>43222</c:v>
                </c:pt>
                <c:pt idx="1913">
                  <c:v>43223</c:v>
                </c:pt>
                <c:pt idx="1914">
                  <c:v>43224</c:v>
                </c:pt>
                <c:pt idx="1915">
                  <c:v>43227</c:v>
                </c:pt>
                <c:pt idx="1916">
                  <c:v>43228</c:v>
                </c:pt>
                <c:pt idx="1917">
                  <c:v>43229</c:v>
                </c:pt>
                <c:pt idx="1918">
                  <c:v>43230</c:v>
                </c:pt>
                <c:pt idx="1919">
                  <c:v>43231</c:v>
                </c:pt>
                <c:pt idx="1920">
                  <c:v>43234</c:v>
                </c:pt>
                <c:pt idx="1921">
                  <c:v>43235</c:v>
                </c:pt>
                <c:pt idx="1922">
                  <c:v>43236</c:v>
                </c:pt>
                <c:pt idx="1923">
                  <c:v>43237</c:v>
                </c:pt>
                <c:pt idx="1924">
                  <c:v>43238</c:v>
                </c:pt>
                <c:pt idx="1925">
                  <c:v>43241</c:v>
                </c:pt>
                <c:pt idx="1926">
                  <c:v>43242</c:v>
                </c:pt>
                <c:pt idx="1927">
                  <c:v>43243</c:v>
                </c:pt>
                <c:pt idx="1928">
                  <c:v>43244</c:v>
                </c:pt>
                <c:pt idx="1929">
                  <c:v>43245</c:v>
                </c:pt>
                <c:pt idx="1930">
                  <c:v>43248</c:v>
                </c:pt>
                <c:pt idx="1931">
                  <c:v>43249</c:v>
                </c:pt>
                <c:pt idx="1932">
                  <c:v>43250</c:v>
                </c:pt>
                <c:pt idx="1933">
                  <c:v>43251</c:v>
                </c:pt>
                <c:pt idx="1934">
                  <c:v>43252</c:v>
                </c:pt>
                <c:pt idx="1935">
                  <c:v>43255</c:v>
                </c:pt>
                <c:pt idx="1936">
                  <c:v>43256</c:v>
                </c:pt>
                <c:pt idx="1937">
                  <c:v>43257</c:v>
                </c:pt>
                <c:pt idx="1938">
                  <c:v>43258</c:v>
                </c:pt>
                <c:pt idx="1939">
                  <c:v>43259</c:v>
                </c:pt>
                <c:pt idx="1940">
                  <c:v>43262</c:v>
                </c:pt>
                <c:pt idx="1941">
                  <c:v>43263</c:v>
                </c:pt>
                <c:pt idx="1942">
                  <c:v>43264</c:v>
                </c:pt>
                <c:pt idx="1943">
                  <c:v>43265</c:v>
                </c:pt>
                <c:pt idx="1944">
                  <c:v>43266</c:v>
                </c:pt>
                <c:pt idx="1945">
                  <c:v>43269</c:v>
                </c:pt>
                <c:pt idx="1946">
                  <c:v>43270</c:v>
                </c:pt>
                <c:pt idx="1947">
                  <c:v>43271</c:v>
                </c:pt>
                <c:pt idx="1948">
                  <c:v>43272</c:v>
                </c:pt>
                <c:pt idx="1949">
                  <c:v>43273</c:v>
                </c:pt>
                <c:pt idx="1950">
                  <c:v>43276</c:v>
                </c:pt>
                <c:pt idx="1951">
                  <c:v>43277</c:v>
                </c:pt>
                <c:pt idx="1952">
                  <c:v>43278</c:v>
                </c:pt>
                <c:pt idx="1953">
                  <c:v>43279</c:v>
                </c:pt>
                <c:pt idx="1954">
                  <c:v>43280</c:v>
                </c:pt>
                <c:pt idx="1955">
                  <c:v>43283</c:v>
                </c:pt>
                <c:pt idx="1956">
                  <c:v>43284</c:v>
                </c:pt>
                <c:pt idx="1957">
                  <c:v>43285</c:v>
                </c:pt>
                <c:pt idx="1958">
                  <c:v>43286</c:v>
                </c:pt>
                <c:pt idx="1959">
                  <c:v>43287</c:v>
                </c:pt>
                <c:pt idx="1960">
                  <c:v>43290</c:v>
                </c:pt>
                <c:pt idx="1961">
                  <c:v>43291</c:v>
                </c:pt>
                <c:pt idx="1962">
                  <c:v>43292</c:v>
                </c:pt>
                <c:pt idx="1963">
                  <c:v>43293</c:v>
                </c:pt>
                <c:pt idx="1964">
                  <c:v>43294</c:v>
                </c:pt>
                <c:pt idx="1965">
                  <c:v>43297</c:v>
                </c:pt>
                <c:pt idx="1966">
                  <c:v>43298</c:v>
                </c:pt>
                <c:pt idx="1967">
                  <c:v>43299</c:v>
                </c:pt>
                <c:pt idx="1968">
                  <c:v>43300</c:v>
                </c:pt>
                <c:pt idx="1969">
                  <c:v>43301</c:v>
                </c:pt>
                <c:pt idx="1970">
                  <c:v>43304</c:v>
                </c:pt>
                <c:pt idx="1971">
                  <c:v>43305</c:v>
                </c:pt>
                <c:pt idx="1972">
                  <c:v>43306</c:v>
                </c:pt>
                <c:pt idx="1973">
                  <c:v>43307</c:v>
                </c:pt>
                <c:pt idx="1974">
                  <c:v>43308</c:v>
                </c:pt>
                <c:pt idx="1975">
                  <c:v>43311</c:v>
                </c:pt>
                <c:pt idx="1976">
                  <c:v>43312</c:v>
                </c:pt>
                <c:pt idx="1977">
                  <c:v>43313</c:v>
                </c:pt>
                <c:pt idx="1978">
                  <c:v>43314</c:v>
                </c:pt>
                <c:pt idx="1979">
                  <c:v>43315</c:v>
                </c:pt>
                <c:pt idx="1980">
                  <c:v>43318</c:v>
                </c:pt>
                <c:pt idx="1981">
                  <c:v>43319</c:v>
                </c:pt>
                <c:pt idx="1982">
                  <c:v>43320</c:v>
                </c:pt>
                <c:pt idx="1983">
                  <c:v>43321</c:v>
                </c:pt>
                <c:pt idx="1984">
                  <c:v>43322</c:v>
                </c:pt>
                <c:pt idx="1985">
                  <c:v>43325</c:v>
                </c:pt>
                <c:pt idx="1986">
                  <c:v>43326</c:v>
                </c:pt>
                <c:pt idx="1987">
                  <c:v>43327</c:v>
                </c:pt>
                <c:pt idx="1988">
                  <c:v>43328</c:v>
                </c:pt>
                <c:pt idx="1989">
                  <c:v>43329</c:v>
                </c:pt>
                <c:pt idx="1990">
                  <c:v>43332</c:v>
                </c:pt>
                <c:pt idx="1991">
                  <c:v>43333</c:v>
                </c:pt>
                <c:pt idx="1992">
                  <c:v>43334</c:v>
                </c:pt>
                <c:pt idx="1993">
                  <c:v>43335</c:v>
                </c:pt>
                <c:pt idx="1994">
                  <c:v>43336</c:v>
                </c:pt>
                <c:pt idx="1995">
                  <c:v>43339</c:v>
                </c:pt>
                <c:pt idx="1996">
                  <c:v>43340</c:v>
                </c:pt>
                <c:pt idx="1997">
                  <c:v>43341</c:v>
                </c:pt>
                <c:pt idx="1998">
                  <c:v>43342</c:v>
                </c:pt>
                <c:pt idx="1999">
                  <c:v>43343</c:v>
                </c:pt>
                <c:pt idx="2000">
                  <c:v>43346</c:v>
                </c:pt>
                <c:pt idx="2001">
                  <c:v>43347</c:v>
                </c:pt>
                <c:pt idx="2002">
                  <c:v>43348</c:v>
                </c:pt>
                <c:pt idx="2003">
                  <c:v>43349</c:v>
                </c:pt>
                <c:pt idx="2004">
                  <c:v>43350</c:v>
                </c:pt>
                <c:pt idx="2005">
                  <c:v>43353</c:v>
                </c:pt>
                <c:pt idx="2006">
                  <c:v>43354</c:v>
                </c:pt>
                <c:pt idx="2007">
                  <c:v>43355</c:v>
                </c:pt>
                <c:pt idx="2008">
                  <c:v>43356</c:v>
                </c:pt>
                <c:pt idx="2009">
                  <c:v>43357</c:v>
                </c:pt>
                <c:pt idx="2010">
                  <c:v>43360</c:v>
                </c:pt>
                <c:pt idx="2011">
                  <c:v>43361</c:v>
                </c:pt>
                <c:pt idx="2012">
                  <c:v>43362</c:v>
                </c:pt>
                <c:pt idx="2013">
                  <c:v>43363</c:v>
                </c:pt>
                <c:pt idx="2014">
                  <c:v>43364</c:v>
                </c:pt>
                <c:pt idx="2015">
                  <c:v>43367</c:v>
                </c:pt>
                <c:pt idx="2016">
                  <c:v>43368</c:v>
                </c:pt>
                <c:pt idx="2017">
                  <c:v>43369</c:v>
                </c:pt>
                <c:pt idx="2018">
                  <c:v>43370</c:v>
                </c:pt>
                <c:pt idx="2019">
                  <c:v>43371</c:v>
                </c:pt>
                <c:pt idx="2020">
                  <c:v>43374</c:v>
                </c:pt>
                <c:pt idx="2021">
                  <c:v>43375</c:v>
                </c:pt>
                <c:pt idx="2022">
                  <c:v>43376</c:v>
                </c:pt>
                <c:pt idx="2023">
                  <c:v>43377</c:v>
                </c:pt>
                <c:pt idx="2024">
                  <c:v>43378</c:v>
                </c:pt>
                <c:pt idx="2025">
                  <c:v>43381</c:v>
                </c:pt>
                <c:pt idx="2026">
                  <c:v>43382</c:v>
                </c:pt>
                <c:pt idx="2027">
                  <c:v>43383</c:v>
                </c:pt>
                <c:pt idx="2028">
                  <c:v>43384</c:v>
                </c:pt>
                <c:pt idx="2029">
                  <c:v>43385</c:v>
                </c:pt>
                <c:pt idx="2030">
                  <c:v>43388</c:v>
                </c:pt>
                <c:pt idx="2031">
                  <c:v>43389</c:v>
                </c:pt>
                <c:pt idx="2032">
                  <c:v>43390</c:v>
                </c:pt>
                <c:pt idx="2033">
                  <c:v>43391</c:v>
                </c:pt>
                <c:pt idx="2034">
                  <c:v>43392</c:v>
                </c:pt>
                <c:pt idx="2035">
                  <c:v>43395</c:v>
                </c:pt>
                <c:pt idx="2036">
                  <c:v>43396</c:v>
                </c:pt>
                <c:pt idx="2037">
                  <c:v>43397</c:v>
                </c:pt>
                <c:pt idx="2038">
                  <c:v>43398</c:v>
                </c:pt>
                <c:pt idx="2039">
                  <c:v>43399</c:v>
                </c:pt>
                <c:pt idx="2040">
                  <c:v>43402</c:v>
                </c:pt>
                <c:pt idx="2041">
                  <c:v>43403</c:v>
                </c:pt>
                <c:pt idx="2042">
                  <c:v>43404</c:v>
                </c:pt>
                <c:pt idx="2043">
                  <c:v>43405</c:v>
                </c:pt>
                <c:pt idx="2044">
                  <c:v>43406</c:v>
                </c:pt>
                <c:pt idx="2045">
                  <c:v>43409</c:v>
                </c:pt>
                <c:pt idx="2046">
                  <c:v>43410</c:v>
                </c:pt>
                <c:pt idx="2047">
                  <c:v>43411</c:v>
                </c:pt>
                <c:pt idx="2048">
                  <c:v>43412</c:v>
                </c:pt>
                <c:pt idx="2049">
                  <c:v>43413</c:v>
                </c:pt>
                <c:pt idx="2050">
                  <c:v>43416</c:v>
                </c:pt>
                <c:pt idx="2051">
                  <c:v>43417</c:v>
                </c:pt>
                <c:pt idx="2052">
                  <c:v>43418</c:v>
                </c:pt>
                <c:pt idx="2053">
                  <c:v>43419</c:v>
                </c:pt>
                <c:pt idx="2054">
                  <c:v>43420</c:v>
                </c:pt>
                <c:pt idx="2055">
                  <c:v>43423</c:v>
                </c:pt>
                <c:pt idx="2056">
                  <c:v>43424</c:v>
                </c:pt>
                <c:pt idx="2057">
                  <c:v>43425</c:v>
                </c:pt>
                <c:pt idx="2058">
                  <c:v>43426</c:v>
                </c:pt>
                <c:pt idx="2059">
                  <c:v>43427</c:v>
                </c:pt>
                <c:pt idx="2060">
                  <c:v>43430</c:v>
                </c:pt>
                <c:pt idx="2061">
                  <c:v>43431</c:v>
                </c:pt>
                <c:pt idx="2062">
                  <c:v>43432</c:v>
                </c:pt>
                <c:pt idx="2063">
                  <c:v>43433</c:v>
                </c:pt>
                <c:pt idx="2064">
                  <c:v>43434</c:v>
                </c:pt>
                <c:pt idx="2065">
                  <c:v>43437</c:v>
                </c:pt>
                <c:pt idx="2066">
                  <c:v>43438</c:v>
                </c:pt>
                <c:pt idx="2067">
                  <c:v>43439</c:v>
                </c:pt>
                <c:pt idx="2068">
                  <c:v>43440</c:v>
                </c:pt>
                <c:pt idx="2069">
                  <c:v>43441</c:v>
                </c:pt>
                <c:pt idx="2070">
                  <c:v>43444</c:v>
                </c:pt>
                <c:pt idx="2071">
                  <c:v>43445</c:v>
                </c:pt>
                <c:pt idx="2072">
                  <c:v>43446</c:v>
                </c:pt>
                <c:pt idx="2073">
                  <c:v>43447</c:v>
                </c:pt>
                <c:pt idx="2074">
                  <c:v>43448</c:v>
                </c:pt>
                <c:pt idx="2075">
                  <c:v>43451</c:v>
                </c:pt>
                <c:pt idx="2076">
                  <c:v>43452</c:v>
                </c:pt>
                <c:pt idx="2077">
                  <c:v>43453</c:v>
                </c:pt>
                <c:pt idx="2078">
                  <c:v>43454</c:v>
                </c:pt>
                <c:pt idx="2079">
                  <c:v>43455</c:v>
                </c:pt>
                <c:pt idx="2080">
                  <c:v>43458</c:v>
                </c:pt>
                <c:pt idx="2081">
                  <c:v>43459</c:v>
                </c:pt>
                <c:pt idx="2082">
                  <c:v>43460</c:v>
                </c:pt>
                <c:pt idx="2083">
                  <c:v>43461</c:v>
                </c:pt>
                <c:pt idx="2084">
                  <c:v>43462</c:v>
                </c:pt>
                <c:pt idx="2085">
                  <c:v>43465</c:v>
                </c:pt>
                <c:pt idx="2086">
                  <c:v>43466</c:v>
                </c:pt>
                <c:pt idx="2087">
                  <c:v>43467</c:v>
                </c:pt>
                <c:pt idx="2088">
                  <c:v>43468</c:v>
                </c:pt>
                <c:pt idx="2089">
                  <c:v>43469</c:v>
                </c:pt>
                <c:pt idx="2090">
                  <c:v>43472</c:v>
                </c:pt>
                <c:pt idx="2091">
                  <c:v>43473</c:v>
                </c:pt>
                <c:pt idx="2092">
                  <c:v>43474</c:v>
                </c:pt>
                <c:pt idx="2093">
                  <c:v>43475</c:v>
                </c:pt>
                <c:pt idx="2094">
                  <c:v>43476</c:v>
                </c:pt>
                <c:pt idx="2095">
                  <c:v>43479</c:v>
                </c:pt>
                <c:pt idx="2096">
                  <c:v>43480</c:v>
                </c:pt>
                <c:pt idx="2097">
                  <c:v>43481</c:v>
                </c:pt>
                <c:pt idx="2098">
                  <c:v>43482</c:v>
                </c:pt>
                <c:pt idx="2099">
                  <c:v>43483</c:v>
                </c:pt>
                <c:pt idx="2100">
                  <c:v>43486</c:v>
                </c:pt>
                <c:pt idx="2101">
                  <c:v>43487</c:v>
                </c:pt>
                <c:pt idx="2102">
                  <c:v>43488</c:v>
                </c:pt>
                <c:pt idx="2103">
                  <c:v>43489</c:v>
                </c:pt>
                <c:pt idx="2104">
                  <c:v>43490</c:v>
                </c:pt>
                <c:pt idx="2105">
                  <c:v>43493</c:v>
                </c:pt>
                <c:pt idx="2106">
                  <c:v>43494</c:v>
                </c:pt>
                <c:pt idx="2107">
                  <c:v>43495</c:v>
                </c:pt>
                <c:pt idx="2108">
                  <c:v>43496</c:v>
                </c:pt>
                <c:pt idx="2109">
                  <c:v>43497</c:v>
                </c:pt>
                <c:pt idx="2110">
                  <c:v>43500</c:v>
                </c:pt>
                <c:pt idx="2111">
                  <c:v>43501</c:v>
                </c:pt>
                <c:pt idx="2112">
                  <c:v>43502</c:v>
                </c:pt>
                <c:pt idx="2113">
                  <c:v>43503</c:v>
                </c:pt>
                <c:pt idx="2114">
                  <c:v>43504</c:v>
                </c:pt>
                <c:pt idx="2115">
                  <c:v>43507</c:v>
                </c:pt>
                <c:pt idx="2116">
                  <c:v>43508</c:v>
                </c:pt>
                <c:pt idx="2117">
                  <c:v>43509</c:v>
                </c:pt>
                <c:pt idx="2118">
                  <c:v>43510</c:v>
                </c:pt>
                <c:pt idx="2119">
                  <c:v>43511</c:v>
                </c:pt>
                <c:pt idx="2120">
                  <c:v>43514</c:v>
                </c:pt>
                <c:pt idx="2121">
                  <c:v>43515</c:v>
                </c:pt>
                <c:pt idx="2122">
                  <c:v>43516</c:v>
                </c:pt>
                <c:pt idx="2123">
                  <c:v>43517</c:v>
                </c:pt>
                <c:pt idx="2124">
                  <c:v>43518</c:v>
                </c:pt>
                <c:pt idx="2125">
                  <c:v>43521</c:v>
                </c:pt>
                <c:pt idx="2126">
                  <c:v>43522</c:v>
                </c:pt>
                <c:pt idx="2127">
                  <c:v>43523</c:v>
                </c:pt>
                <c:pt idx="2128">
                  <c:v>43524</c:v>
                </c:pt>
                <c:pt idx="2129">
                  <c:v>43525</c:v>
                </c:pt>
                <c:pt idx="2130">
                  <c:v>43528</c:v>
                </c:pt>
                <c:pt idx="2131">
                  <c:v>43529</c:v>
                </c:pt>
                <c:pt idx="2132">
                  <c:v>43530</c:v>
                </c:pt>
                <c:pt idx="2133">
                  <c:v>43531</c:v>
                </c:pt>
                <c:pt idx="2134">
                  <c:v>43532</c:v>
                </c:pt>
                <c:pt idx="2135">
                  <c:v>43535</c:v>
                </c:pt>
                <c:pt idx="2136">
                  <c:v>43536</c:v>
                </c:pt>
                <c:pt idx="2137">
                  <c:v>43537</c:v>
                </c:pt>
                <c:pt idx="2138">
                  <c:v>43538</c:v>
                </c:pt>
                <c:pt idx="2139">
                  <c:v>43539</c:v>
                </c:pt>
                <c:pt idx="2140">
                  <c:v>43542</c:v>
                </c:pt>
                <c:pt idx="2141">
                  <c:v>43543</c:v>
                </c:pt>
                <c:pt idx="2142">
                  <c:v>43544</c:v>
                </c:pt>
                <c:pt idx="2143">
                  <c:v>43545</c:v>
                </c:pt>
                <c:pt idx="2144">
                  <c:v>43546</c:v>
                </c:pt>
                <c:pt idx="2145">
                  <c:v>43549</c:v>
                </c:pt>
                <c:pt idx="2146">
                  <c:v>43550</c:v>
                </c:pt>
                <c:pt idx="2147">
                  <c:v>43551</c:v>
                </c:pt>
                <c:pt idx="2148">
                  <c:v>43552</c:v>
                </c:pt>
                <c:pt idx="2149">
                  <c:v>43553</c:v>
                </c:pt>
                <c:pt idx="2150">
                  <c:v>43556</c:v>
                </c:pt>
                <c:pt idx="2151">
                  <c:v>43557</c:v>
                </c:pt>
                <c:pt idx="2152">
                  <c:v>43558</c:v>
                </c:pt>
                <c:pt idx="2153">
                  <c:v>43559</c:v>
                </c:pt>
                <c:pt idx="2154">
                  <c:v>43560</c:v>
                </c:pt>
                <c:pt idx="2155">
                  <c:v>43563</c:v>
                </c:pt>
                <c:pt idx="2156">
                  <c:v>43564</c:v>
                </c:pt>
                <c:pt idx="2157">
                  <c:v>43565</c:v>
                </c:pt>
                <c:pt idx="2158">
                  <c:v>43566</c:v>
                </c:pt>
                <c:pt idx="2159">
                  <c:v>43567</c:v>
                </c:pt>
                <c:pt idx="2160">
                  <c:v>43570</c:v>
                </c:pt>
                <c:pt idx="2161">
                  <c:v>43571</c:v>
                </c:pt>
                <c:pt idx="2162">
                  <c:v>43572</c:v>
                </c:pt>
                <c:pt idx="2163">
                  <c:v>43573</c:v>
                </c:pt>
                <c:pt idx="2164">
                  <c:v>43574</c:v>
                </c:pt>
                <c:pt idx="2165">
                  <c:v>43577</c:v>
                </c:pt>
                <c:pt idx="2166">
                  <c:v>43578</c:v>
                </c:pt>
                <c:pt idx="2167">
                  <c:v>43579</c:v>
                </c:pt>
                <c:pt idx="2168">
                  <c:v>43580</c:v>
                </c:pt>
                <c:pt idx="2169">
                  <c:v>43581</c:v>
                </c:pt>
                <c:pt idx="2170">
                  <c:v>43584</c:v>
                </c:pt>
                <c:pt idx="2171">
                  <c:v>43585</c:v>
                </c:pt>
                <c:pt idx="2172">
                  <c:v>43586</c:v>
                </c:pt>
                <c:pt idx="2173">
                  <c:v>43587</c:v>
                </c:pt>
                <c:pt idx="2174">
                  <c:v>43588</c:v>
                </c:pt>
                <c:pt idx="2175">
                  <c:v>43591</c:v>
                </c:pt>
                <c:pt idx="2176">
                  <c:v>43592</c:v>
                </c:pt>
                <c:pt idx="2177">
                  <c:v>43593</c:v>
                </c:pt>
                <c:pt idx="2178">
                  <c:v>43594</c:v>
                </c:pt>
                <c:pt idx="2179">
                  <c:v>43595</c:v>
                </c:pt>
                <c:pt idx="2180">
                  <c:v>43598</c:v>
                </c:pt>
                <c:pt idx="2181">
                  <c:v>43599</c:v>
                </c:pt>
                <c:pt idx="2182">
                  <c:v>43600</c:v>
                </c:pt>
                <c:pt idx="2183">
                  <c:v>43601</c:v>
                </c:pt>
                <c:pt idx="2184">
                  <c:v>43602</c:v>
                </c:pt>
                <c:pt idx="2185">
                  <c:v>43605</c:v>
                </c:pt>
                <c:pt idx="2186">
                  <c:v>43606</c:v>
                </c:pt>
                <c:pt idx="2187">
                  <c:v>43607</c:v>
                </c:pt>
                <c:pt idx="2188">
                  <c:v>43608</c:v>
                </c:pt>
                <c:pt idx="2189">
                  <c:v>43609</c:v>
                </c:pt>
                <c:pt idx="2190">
                  <c:v>43612</c:v>
                </c:pt>
                <c:pt idx="2191">
                  <c:v>43613</c:v>
                </c:pt>
                <c:pt idx="2192">
                  <c:v>43614</c:v>
                </c:pt>
                <c:pt idx="2193">
                  <c:v>43615</c:v>
                </c:pt>
                <c:pt idx="2194">
                  <c:v>43616</c:v>
                </c:pt>
                <c:pt idx="2195">
                  <c:v>43619</c:v>
                </c:pt>
                <c:pt idx="2196">
                  <c:v>43620</c:v>
                </c:pt>
                <c:pt idx="2197">
                  <c:v>43621</c:v>
                </c:pt>
                <c:pt idx="2198">
                  <c:v>43622</c:v>
                </c:pt>
                <c:pt idx="2199">
                  <c:v>43623</c:v>
                </c:pt>
                <c:pt idx="2200">
                  <c:v>43626</c:v>
                </c:pt>
                <c:pt idx="2201">
                  <c:v>43627</c:v>
                </c:pt>
                <c:pt idx="2202">
                  <c:v>43628</c:v>
                </c:pt>
                <c:pt idx="2203">
                  <c:v>43629</c:v>
                </c:pt>
                <c:pt idx="2204">
                  <c:v>43630</c:v>
                </c:pt>
                <c:pt idx="2205">
                  <c:v>43633</c:v>
                </c:pt>
                <c:pt idx="2206">
                  <c:v>43634</c:v>
                </c:pt>
                <c:pt idx="2207">
                  <c:v>43635</c:v>
                </c:pt>
                <c:pt idx="2208">
                  <c:v>43636</c:v>
                </c:pt>
                <c:pt idx="2209">
                  <c:v>43637</c:v>
                </c:pt>
                <c:pt idx="2210">
                  <c:v>43640</c:v>
                </c:pt>
                <c:pt idx="2211">
                  <c:v>43641</c:v>
                </c:pt>
                <c:pt idx="2212">
                  <c:v>43642</c:v>
                </c:pt>
                <c:pt idx="2213">
                  <c:v>43643</c:v>
                </c:pt>
                <c:pt idx="2214">
                  <c:v>43644</c:v>
                </c:pt>
                <c:pt idx="2215">
                  <c:v>43647</c:v>
                </c:pt>
                <c:pt idx="2216">
                  <c:v>43648</c:v>
                </c:pt>
                <c:pt idx="2217">
                  <c:v>43649</c:v>
                </c:pt>
                <c:pt idx="2218">
                  <c:v>43650</c:v>
                </c:pt>
                <c:pt idx="2219">
                  <c:v>43651</c:v>
                </c:pt>
                <c:pt idx="2220">
                  <c:v>43654</c:v>
                </c:pt>
                <c:pt idx="2221">
                  <c:v>43655</c:v>
                </c:pt>
                <c:pt idx="2222">
                  <c:v>43656</c:v>
                </c:pt>
                <c:pt idx="2223">
                  <c:v>43657</c:v>
                </c:pt>
                <c:pt idx="2224">
                  <c:v>43658</c:v>
                </c:pt>
                <c:pt idx="2225">
                  <c:v>43661</c:v>
                </c:pt>
                <c:pt idx="2226">
                  <c:v>43662</c:v>
                </c:pt>
                <c:pt idx="2227">
                  <c:v>43663</c:v>
                </c:pt>
                <c:pt idx="2228">
                  <c:v>43664</c:v>
                </c:pt>
                <c:pt idx="2229">
                  <c:v>43665</c:v>
                </c:pt>
                <c:pt idx="2230">
                  <c:v>43668</c:v>
                </c:pt>
                <c:pt idx="2231">
                  <c:v>43669</c:v>
                </c:pt>
                <c:pt idx="2232">
                  <c:v>43670</c:v>
                </c:pt>
                <c:pt idx="2233">
                  <c:v>43671</c:v>
                </c:pt>
                <c:pt idx="2234">
                  <c:v>43672</c:v>
                </c:pt>
                <c:pt idx="2235">
                  <c:v>43675</c:v>
                </c:pt>
                <c:pt idx="2236">
                  <c:v>43676</c:v>
                </c:pt>
                <c:pt idx="2237">
                  <c:v>43677</c:v>
                </c:pt>
                <c:pt idx="2238">
                  <c:v>43678</c:v>
                </c:pt>
                <c:pt idx="2239">
                  <c:v>43679</c:v>
                </c:pt>
                <c:pt idx="2240">
                  <c:v>43682</c:v>
                </c:pt>
                <c:pt idx="2241">
                  <c:v>43683</c:v>
                </c:pt>
                <c:pt idx="2242">
                  <c:v>43684</c:v>
                </c:pt>
                <c:pt idx="2243">
                  <c:v>43685</c:v>
                </c:pt>
                <c:pt idx="2244">
                  <c:v>43686</c:v>
                </c:pt>
                <c:pt idx="2245">
                  <c:v>43689</c:v>
                </c:pt>
                <c:pt idx="2246">
                  <c:v>43690</c:v>
                </c:pt>
                <c:pt idx="2247">
                  <c:v>43691</c:v>
                </c:pt>
                <c:pt idx="2248">
                  <c:v>43692</c:v>
                </c:pt>
                <c:pt idx="2249">
                  <c:v>43693</c:v>
                </c:pt>
                <c:pt idx="2250">
                  <c:v>43696</c:v>
                </c:pt>
                <c:pt idx="2251">
                  <c:v>43697</c:v>
                </c:pt>
                <c:pt idx="2252">
                  <c:v>43698</c:v>
                </c:pt>
                <c:pt idx="2253">
                  <c:v>43699</c:v>
                </c:pt>
                <c:pt idx="2254">
                  <c:v>43700</c:v>
                </c:pt>
                <c:pt idx="2255">
                  <c:v>43703</c:v>
                </c:pt>
                <c:pt idx="2256">
                  <c:v>43704</c:v>
                </c:pt>
                <c:pt idx="2257">
                  <c:v>43705</c:v>
                </c:pt>
                <c:pt idx="2258">
                  <c:v>43706</c:v>
                </c:pt>
                <c:pt idx="2259">
                  <c:v>43707</c:v>
                </c:pt>
                <c:pt idx="2260">
                  <c:v>43710</c:v>
                </c:pt>
                <c:pt idx="2261">
                  <c:v>43711</c:v>
                </c:pt>
                <c:pt idx="2262">
                  <c:v>43712</c:v>
                </c:pt>
                <c:pt idx="2263">
                  <c:v>43713</c:v>
                </c:pt>
                <c:pt idx="2264">
                  <c:v>43714</c:v>
                </c:pt>
                <c:pt idx="2265">
                  <c:v>43717</c:v>
                </c:pt>
                <c:pt idx="2266">
                  <c:v>43718</c:v>
                </c:pt>
                <c:pt idx="2267">
                  <c:v>43719</c:v>
                </c:pt>
                <c:pt idx="2268">
                  <c:v>43720</c:v>
                </c:pt>
                <c:pt idx="2269">
                  <c:v>43721</c:v>
                </c:pt>
                <c:pt idx="2270">
                  <c:v>43724</c:v>
                </c:pt>
                <c:pt idx="2271">
                  <c:v>43725</c:v>
                </c:pt>
                <c:pt idx="2272">
                  <c:v>43726</c:v>
                </c:pt>
                <c:pt idx="2273">
                  <c:v>43727</c:v>
                </c:pt>
                <c:pt idx="2274">
                  <c:v>43728</c:v>
                </c:pt>
                <c:pt idx="2275">
                  <c:v>43731</c:v>
                </c:pt>
                <c:pt idx="2276">
                  <c:v>43732</c:v>
                </c:pt>
                <c:pt idx="2277">
                  <c:v>43733</c:v>
                </c:pt>
                <c:pt idx="2278">
                  <c:v>43734</c:v>
                </c:pt>
                <c:pt idx="2279">
                  <c:v>43735</c:v>
                </c:pt>
                <c:pt idx="2280">
                  <c:v>43738</c:v>
                </c:pt>
                <c:pt idx="2281">
                  <c:v>43739</c:v>
                </c:pt>
                <c:pt idx="2282">
                  <c:v>43740</c:v>
                </c:pt>
                <c:pt idx="2283">
                  <c:v>43741</c:v>
                </c:pt>
                <c:pt idx="2284">
                  <c:v>43742</c:v>
                </c:pt>
                <c:pt idx="2285">
                  <c:v>43745</c:v>
                </c:pt>
                <c:pt idx="2286">
                  <c:v>43746</c:v>
                </c:pt>
                <c:pt idx="2287">
                  <c:v>43747</c:v>
                </c:pt>
                <c:pt idx="2288">
                  <c:v>43748</c:v>
                </c:pt>
                <c:pt idx="2289">
                  <c:v>43749</c:v>
                </c:pt>
                <c:pt idx="2290">
                  <c:v>43752</c:v>
                </c:pt>
                <c:pt idx="2291">
                  <c:v>43753</c:v>
                </c:pt>
                <c:pt idx="2292">
                  <c:v>43754</c:v>
                </c:pt>
                <c:pt idx="2293">
                  <c:v>43755</c:v>
                </c:pt>
                <c:pt idx="2294">
                  <c:v>43756</c:v>
                </c:pt>
                <c:pt idx="2295">
                  <c:v>43759</c:v>
                </c:pt>
                <c:pt idx="2296">
                  <c:v>43760</c:v>
                </c:pt>
                <c:pt idx="2297">
                  <c:v>43761</c:v>
                </c:pt>
                <c:pt idx="2298">
                  <c:v>43762</c:v>
                </c:pt>
                <c:pt idx="2299">
                  <c:v>43763</c:v>
                </c:pt>
                <c:pt idx="2300">
                  <c:v>43766</c:v>
                </c:pt>
                <c:pt idx="2301">
                  <c:v>43767</c:v>
                </c:pt>
                <c:pt idx="2302">
                  <c:v>43768</c:v>
                </c:pt>
                <c:pt idx="2303">
                  <c:v>43769</c:v>
                </c:pt>
                <c:pt idx="2304">
                  <c:v>43770</c:v>
                </c:pt>
                <c:pt idx="2305">
                  <c:v>43773</c:v>
                </c:pt>
                <c:pt idx="2306">
                  <c:v>43774</c:v>
                </c:pt>
                <c:pt idx="2307">
                  <c:v>43775</c:v>
                </c:pt>
                <c:pt idx="2308">
                  <c:v>43776</c:v>
                </c:pt>
                <c:pt idx="2309">
                  <c:v>43777</c:v>
                </c:pt>
                <c:pt idx="2310">
                  <c:v>43780</c:v>
                </c:pt>
                <c:pt idx="2311">
                  <c:v>43781</c:v>
                </c:pt>
                <c:pt idx="2312">
                  <c:v>43782</c:v>
                </c:pt>
                <c:pt idx="2313">
                  <c:v>43783</c:v>
                </c:pt>
                <c:pt idx="2314">
                  <c:v>43784</c:v>
                </c:pt>
                <c:pt idx="2315">
                  <c:v>43787</c:v>
                </c:pt>
                <c:pt idx="2316">
                  <c:v>43788</c:v>
                </c:pt>
                <c:pt idx="2317">
                  <c:v>43789</c:v>
                </c:pt>
                <c:pt idx="2318">
                  <c:v>43790</c:v>
                </c:pt>
                <c:pt idx="2319">
                  <c:v>43791</c:v>
                </c:pt>
                <c:pt idx="2320">
                  <c:v>43794</c:v>
                </c:pt>
                <c:pt idx="2321">
                  <c:v>43795</c:v>
                </c:pt>
                <c:pt idx="2322">
                  <c:v>43796</c:v>
                </c:pt>
                <c:pt idx="2323">
                  <c:v>43797</c:v>
                </c:pt>
                <c:pt idx="2324">
                  <c:v>43798</c:v>
                </c:pt>
                <c:pt idx="2325">
                  <c:v>43801</c:v>
                </c:pt>
                <c:pt idx="2326">
                  <c:v>43802</c:v>
                </c:pt>
                <c:pt idx="2327">
                  <c:v>43803</c:v>
                </c:pt>
                <c:pt idx="2328">
                  <c:v>43804</c:v>
                </c:pt>
                <c:pt idx="2329">
                  <c:v>43805</c:v>
                </c:pt>
                <c:pt idx="2330">
                  <c:v>43808</c:v>
                </c:pt>
                <c:pt idx="2331">
                  <c:v>43809</c:v>
                </c:pt>
                <c:pt idx="2332">
                  <c:v>43810</c:v>
                </c:pt>
                <c:pt idx="2333">
                  <c:v>43811</c:v>
                </c:pt>
                <c:pt idx="2334">
                  <c:v>43812</c:v>
                </c:pt>
                <c:pt idx="2335">
                  <c:v>43815</c:v>
                </c:pt>
                <c:pt idx="2336">
                  <c:v>43816</c:v>
                </c:pt>
                <c:pt idx="2337">
                  <c:v>43817</c:v>
                </c:pt>
                <c:pt idx="2338">
                  <c:v>43818</c:v>
                </c:pt>
                <c:pt idx="2339">
                  <c:v>43819</c:v>
                </c:pt>
                <c:pt idx="2340">
                  <c:v>43822</c:v>
                </c:pt>
                <c:pt idx="2341">
                  <c:v>43823</c:v>
                </c:pt>
                <c:pt idx="2342">
                  <c:v>43824</c:v>
                </c:pt>
                <c:pt idx="2343">
                  <c:v>43825</c:v>
                </c:pt>
                <c:pt idx="2344">
                  <c:v>43826</c:v>
                </c:pt>
                <c:pt idx="2345">
                  <c:v>43829</c:v>
                </c:pt>
                <c:pt idx="2346">
                  <c:v>43830</c:v>
                </c:pt>
                <c:pt idx="2347">
                  <c:v>43831</c:v>
                </c:pt>
                <c:pt idx="2348">
                  <c:v>43832</c:v>
                </c:pt>
                <c:pt idx="2349">
                  <c:v>43833</c:v>
                </c:pt>
                <c:pt idx="2350">
                  <c:v>43836</c:v>
                </c:pt>
                <c:pt idx="2351">
                  <c:v>43837</c:v>
                </c:pt>
                <c:pt idx="2352">
                  <c:v>43838</c:v>
                </c:pt>
                <c:pt idx="2353">
                  <c:v>43839</c:v>
                </c:pt>
                <c:pt idx="2354">
                  <c:v>43840</c:v>
                </c:pt>
                <c:pt idx="2355">
                  <c:v>43843</c:v>
                </c:pt>
                <c:pt idx="2356">
                  <c:v>43844</c:v>
                </c:pt>
                <c:pt idx="2357">
                  <c:v>43845</c:v>
                </c:pt>
                <c:pt idx="2358">
                  <c:v>43846</c:v>
                </c:pt>
                <c:pt idx="2359">
                  <c:v>43847</c:v>
                </c:pt>
                <c:pt idx="2360">
                  <c:v>43850</c:v>
                </c:pt>
                <c:pt idx="2361">
                  <c:v>43851</c:v>
                </c:pt>
                <c:pt idx="2362">
                  <c:v>43852</c:v>
                </c:pt>
                <c:pt idx="2363">
                  <c:v>43853</c:v>
                </c:pt>
                <c:pt idx="2364">
                  <c:v>43854</c:v>
                </c:pt>
                <c:pt idx="2365">
                  <c:v>43857</c:v>
                </c:pt>
                <c:pt idx="2366">
                  <c:v>43858</c:v>
                </c:pt>
                <c:pt idx="2367">
                  <c:v>43859</c:v>
                </c:pt>
                <c:pt idx="2368">
                  <c:v>43860</c:v>
                </c:pt>
                <c:pt idx="2369">
                  <c:v>43861</c:v>
                </c:pt>
                <c:pt idx="2370">
                  <c:v>43864</c:v>
                </c:pt>
                <c:pt idx="2371">
                  <c:v>43865</c:v>
                </c:pt>
                <c:pt idx="2372">
                  <c:v>43866</c:v>
                </c:pt>
                <c:pt idx="2373">
                  <c:v>43867</c:v>
                </c:pt>
                <c:pt idx="2374">
                  <c:v>43868</c:v>
                </c:pt>
                <c:pt idx="2375">
                  <c:v>43871</c:v>
                </c:pt>
                <c:pt idx="2376">
                  <c:v>43872</c:v>
                </c:pt>
                <c:pt idx="2377">
                  <c:v>43873</c:v>
                </c:pt>
                <c:pt idx="2378">
                  <c:v>43874</c:v>
                </c:pt>
                <c:pt idx="2379">
                  <c:v>43875</c:v>
                </c:pt>
                <c:pt idx="2380">
                  <c:v>43878</c:v>
                </c:pt>
                <c:pt idx="2381">
                  <c:v>43879</c:v>
                </c:pt>
                <c:pt idx="2382">
                  <c:v>43880</c:v>
                </c:pt>
                <c:pt idx="2383">
                  <c:v>43881</c:v>
                </c:pt>
                <c:pt idx="2384">
                  <c:v>43882</c:v>
                </c:pt>
                <c:pt idx="2385">
                  <c:v>43885</c:v>
                </c:pt>
                <c:pt idx="2386">
                  <c:v>43886</c:v>
                </c:pt>
                <c:pt idx="2387">
                  <c:v>43887</c:v>
                </c:pt>
                <c:pt idx="2388">
                  <c:v>43888</c:v>
                </c:pt>
                <c:pt idx="2389">
                  <c:v>43889</c:v>
                </c:pt>
                <c:pt idx="2390">
                  <c:v>43892</c:v>
                </c:pt>
                <c:pt idx="2391">
                  <c:v>43893</c:v>
                </c:pt>
                <c:pt idx="2392">
                  <c:v>43894</c:v>
                </c:pt>
                <c:pt idx="2393">
                  <c:v>43895</c:v>
                </c:pt>
                <c:pt idx="2394">
                  <c:v>43896</c:v>
                </c:pt>
                <c:pt idx="2395">
                  <c:v>43899</c:v>
                </c:pt>
                <c:pt idx="2396">
                  <c:v>43900</c:v>
                </c:pt>
                <c:pt idx="2397">
                  <c:v>43901</c:v>
                </c:pt>
                <c:pt idx="2398">
                  <c:v>43902</c:v>
                </c:pt>
                <c:pt idx="2399">
                  <c:v>43903</c:v>
                </c:pt>
                <c:pt idx="2400">
                  <c:v>43906</c:v>
                </c:pt>
                <c:pt idx="2401">
                  <c:v>43907</c:v>
                </c:pt>
                <c:pt idx="2402">
                  <c:v>43908</c:v>
                </c:pt>
                <c:pt idx="2403">
                  <c:v>43909</c:v>
                </c:pt>
                <c:pt idx="2404">
                  <c:v>43910</c:v>
                </c:pt>
                <c:pt idx="2405">
                  <c:v>43913</c:v>
                </c:pt>
                <c:pt idx="2406">
                  <c:v>43914</c:v>
                </c:pt>
                <c:pt idx="2407">
                  <c:v>43915</c:v>
                </c:pt>
                <c:pt idx="2408">
                  <c:v>43916</c:v>
                </c:pt>
                <c:pt idx="2409">
                  <c:v>43917</c:v>
                </c:pt>
                <c:pt idx="2410">
                  <c:v>43920</c:v>
                </c:pt>
                <c:pt idx="2411">
                  <c:v>43921</c:v>
                </c:pt>
                <c:pt idx="2412">
                  <c:v>43922</c:v>
                </c:pt>
                <c:pt idx="2413">
                  <c:v>43923</c:v>
                </c:pt>
                <c:pt idx="2414">
                  <c:v>43924</c:v>
                </c:pt>
                <c:pt idx="2415">
                  <c:v>43927</c:v>
                </c:pt>
                <c:pt idx="2416">
                  <c:v>43928</c:v>
                </c:pt>
                <c:pt idx="2417">
                  <c:v>43929</c:v>
                </c:pt>
                <c:pt idx="2418">
                  <c:v>43930</c:v>
                </c:pt>
                <c:pt idx="2419">
                  <c:v>43931</c:v>
                </c:pt>
                <c:pt idx="2420">
                  <c:v>43934</c:v>
                </c:pt>
                <c:pt idx="2421">
                  <c:v>43935</c:v>
                </c:pt>
                <c:pt idx="2422">
                  <c:v>43936</c:v>
                </c:pt>
                <c:pt idx="2423">
                  <c:v>43937</c:v>
                </c:pt>
                <c:pt idx="2424">
                  <c:v>43938</c:v>
                </c:pt>
                <c:pt idx="2425">
                  <c:v>43941</c:v>
                </c:pt>
                <c:pt idx="2426">
                  <c:v>43942</c:v>
                </c:pt>
                <c:pt idx="2427">
                  <c:v>43943</c:v>
                </c:pt>
                <c:pt idx="2428">
                  <c:v>43944</c:v>
                </c:pt>
                <c:pt idx="2429">
                  <c:v>43945</c:v>
                </c:pt>
                <c:pt idx="2430">
                  <c:v>43948</c:v>
                </c:pt>
                <c:pt idx="2431">
                  <c:v>43949</c:v>
                </c:pt>
                <c:pt idx="2432">
                  <c:v>43950</c:v>
                </c:pt>
                <c:pt idx="2433">
                  <c:v>43951</c:v>
                </c:pt>
                <c:pt idx="2434">
                  <c:v>43952</c:v>
                </c:pt>
                <c:pt idx="2435">
                  <c:v>43955</c:v>
                </c:pt>
                <c:pt idx="2436">
                  <c:v>43956</c:v>
                </c:pt>
                <c:pt idx="2437">
                  <c:v>43957</c:v>
                </c:pt>
                <c:pt idx="2438">
                  <c:v>43958</c:v>
                </c:pt>
                <c:pt idx="2439">
                  <c:v>43959</c:v>
                </c:pt>
                <c:pt idx="2440">
                  <c:v>43962</c:v>
                </c:pt>
                <c:pt idx="2441">
                  <c:v>43963</c:v>
                </c:pt>
                <c:pt idx="2442">
                  <c:v>43964</c:v>
                </c:pt>
                <c:pt idx="2443">
                  <c:v>43965</c:v>
                </c:pt>
                <c:pt idx="2444">
                  <c:v>43966</c:v>
                </c:pt>
                <c:pt idx="2445">
                  <c:v>43969</c:v>
                </c:pt>
                <c:pt idx="2446">
                  <c:v>43970</c:v>
                </c:pt>
                <c:pt idx="2447">
                  <c:v>43971</c:v>
                </c:pt>
                <c:pt idx="2448">
                  <c:v>43972</c:v>
                </c:pt>
                <c:pt idx="2449">
                  <c:v>43973</c:v>
                </c:pt>
                <c:pt idx="2450">
                  <c:v>43976</c:v>
                </c:pt>
                <c:pt idx="2451">
                  <c:v>43977</c:v>
                </c:pt>
                <c:pt idx="2452">
                  <c:v>43978</c:v>
                </c:pt>
                <c:pt idx="2453">
                  <c:v>43979</c:v>
                </c:pt>
                <c:pt idx="2454">
                  <c:v>43980</c:v>
                </c:pt>
                <c:pt idx="2455">
                  <c:v>43983</c:v>
                </c:pt>
                <c:pt idx="2456">
                  <c:v>43984</c:v>
                </c:pt>
                <c:pt idx="2457">
                  <c:v>43985</c:v>
                </c:pt>
                <c:pt idx="2458">
                  <c:v>43986</c:v>
                </c:pt>
                <c:pt idx="2459">
                  <c:v>43987</c:v>
                </c:pt>
                <c:pt idx="2460">
                  <c:v>43990</c:v>
                </c:pt>
                <c:pt idx="2461">
                  <c:v>43991</c:v>
                </c:pt>
                <c:pt idx="2462">
                  <c:v>43992</c:v>
                </c:pt>
                <c:pt idx="2463">
                  <c:v>43993</c:v>
                </c:pt>
                <c:pt idx="2464">
                  <c:v>43994</c:v>
                </c:pt>
                <c:pt idx="2465">
                  <c:v>43997</c:v>
                </c:pt>
                <c:pt idx="2466">
                  <c:v>43998</c:v>
                </c:pt>
                <c:pt idx="2467">
                  <c:v>43999</c:v>
                </c:pt>
                <c:pt idx="2468">
                  <c:v>44000</c:v>
                </c:pt>
                <c:pt idx="2469">
                  <c:v>44001</c:v>
                </c:pt>
                <c:pt idx="2470">
                  <c:v>44004</c:v>
                </c:pt>
                <c:pt idx="2471">
                  <c:v>44005</c:v>
                </c:pt>
                <c:pt idx="2472">
                  <c:v>44006</c:v>
                </c:pt>
                <c:pt idx="2473">
                  <c:v>44007</c:v>
                </c:pt>
                <c:pt idx="2474">
                  <c:v>44008</c:v>
                </c:pt>
                <c:pt idx="2475">
                  <c:v>44011</c:v>
                </c:pt>
                <c:pt idx="2476">
                  <c:v>44012</c:v>
                </c:pt>
                <c:pt idx="2477">
                  <c:v>44013</c:v>
                </c:pt>
                <c:pt idx="2478">
                  <c:v>44014</c:v>
                </c:pt>
                <c:pt idx="2479">
                  <c:v>44015</c:v>
                </c:pt>
                <c:pt idx="2480">
                  <c:v>44018</c:v>
                </c:pt>
                <c:pt idx="2481">
                  <c:v>44019</c:v>
                </c:pt>
                <c:pt idx="2482">
                  <c:v>44020</c:v>
                </c:pt>
                <c:pt idx="2483">
                  <c:v>44021</c:v>
                </c:pt>
                <c:pt idx="2484">
                  <c:v>44022</c:v>
                </c:pt>
                <c:pt idx="2485">
                  <c:v>44025</c:v>
                </c:pt>
                <c:pt idx="2486">
                  <c:v>44026</c:v>
                </c:pt>
                <c:pt idx="2487">
                  <c:v>44027</c:v>
                </c:pt>
                <c:pt idx="2488">
                  <c:v>44028</c:v>
                </c:pt>
                <c:pt idx="2489">
                  <c:v>44029</c:v>
                </c:pt>
                <c:pt idx="2490">
                  <c:v>44032</c:v>
                </c:pt>
                <c:pt idx="2491">
                  <c:v>44033</c:v>
                </c:pt>
                <c:pt idx="2492">
                  <c:v>44034</c:v>
                </c:pt>
                <c:pt idx="2493">
                  <c:v>44035</c:v>
                </c:pt>
                <c:pt idx="2494">
                  <c:v>44036</c:v>
                </c:pt>
                <c:pt idx="2495">
                  <c:v>44039</c:v>
                </c:pt>
                <c:pt idx="2496">
                  <c:v>44040</c:v>
                </c:pt>
                <c:pt idx="2497">
                  <c:v>44041</c:v>
                </c:pt>
                <c:pt idx="2498">
                  <c:v>44042</c:v>
                </c:pt>
                <c:pt idx="2499">
                  <c:v>44043</c:v>
                </c:pt>
                <c:pt idx="2500">
                  <c:v>44046</c:v>
                </c:pt>
                <c:pt idx="2501">
                  <c:v>44047</c:v>
                </c:pt>
                <c:pt idx="2502">
                  <c:v>44048</c:v>
                </c:pt>
                <c:pt idx="2503">
                  <c:v>44049</c:v>
                </c:pt>
                <c:pt idx="2504">
                  <c:v>44050</c:v>
                </c:pt>
                <c:pt idx="2505">
                  <c:v>44053</c:v>
                </c:pt>
                <c:pt idx="2506">
                  <c:v>44054</c:v>
                </c:pt>
                <c:pt idx="2507">
                  <c:v>44055</c:v>
                </c:pt>
                <c:pt idx="2508">
                  <c:v>44056</c:v>
                </c:pt>
                <c:pt idx="2509">
                  <c:v>44057</c:v>
                </c:pt>
                <c:pt idx="2510">
                  <c:v>44060</c:v>
                </c:pt>
                <c:pt idx="2511">
                  <c:v>44061</c:v>
                </c:pt>
                <c:pt idx="2512">
                  <c:v>44062</c:v>
                </c:pt>
                <c:pt idx="2513">
                  <c:v>44063</c:v>
                </c:pt>
                <c:pt idx="2514">
                  <c:v>44064</c:v>
                </c:pt>
                <c:pt idx="2515">
                  <c:v>44067</c:v>
                </c:pt>
                <c:pt idx="2516">
                  <c:v>44068</c:v>
                </c:pt>
                <c:pt idx="2517">
                  <c:v>44069</c:v>
                </c:pt>
                <c:pt idx="2518">
                  <c:v>44070</c:v>
                </c:pt>
                <c:pt idx="2519">
                  <c:v>44071</c:v>
                </c:pt>
                <c:pt idx="2520">
                  <c:v>44074</c:v>
                </c:pt>
                <c:pt idx="2521">
                  <c:v>44075</c:v>
                </c:pt>
                <c:pt idx="2522">
                  <c:v>44076</c:v>
                </c:pt>
                <c:pt idx="2523">
                  <c:v>44077</c:v>
                </c:pt>
                <c:pt idx="2524">
                  <c:v>44078</c:v>
                </c:pt>
                <c:pt idx="2525">
                  <c:v>44081</c:v>
                </c:pt>
                <c:pt idx="2526">
                  <c:v>44082</c:v>
                </c:pt>
                <c:pt idx="2527">
                  <c:v>44083</c:v>
                </c:pt>
                <c:pt idx="2528">
                  <c:v>44084</c:v>
                </c:pt>
                <c:pt idx="2529">
                  <c:v>44085</c:v>
                </c:pt>
              </c:numCache>
            </c:numRef>
          </c:xVal>
          <c:yVal>
            <c:numRef>
              <c:f>CISS!$E$3137:$E$5666</c:f>
              <c:numCache>
                <c:formatCode>General</c:formatCode>
                <c:ptCount val="2530"/>
                <c:pt idx="20">
                  <c:v>0.48</c:v>
                </c:pt>
                <c:pt idx="40">
                  <c:v>0.43709999999999999</c:v>
                </c:pt>
                <c:pt idx="63">
                  <c:v>0.45350000000000001</c:v>
                </c:pt>
                <c:pt idx="84">
                  <c:v>0.44440000000000002</c:v>
                </c:pt>
                <c:pt idx="106">
                  <c:v>0.43869999999999998</c:v>
                </c:pt>
                <c:pt idx="128">
                  <c:v>0.44729999999999998</c:v>
                </c:pt>
                <c:pt idx="149">
                  <c:v>0.51959999999999995</c:v>
                </c:pt>
                <c:pt idx="172">
                  <c:v>0.52769999999999995</c:v>
                </c:pt>
                <c:pt idx="194">
                  <c:v>0.56620000000000004</c:v>
                </c:pt>
                <c:pt idx="215">
                  <c:v>0.58299999999999996</c:v>
                </c:pt>
                <c:pt idx="237">
                  <c:v>0.6341</c:v>
                </c:pt>
                <c:pt idx="259">
                  <c:v>0.623</c:v>
                </c:pt>
                <c:pt idx="281">
                  <c:v>0.62739999999999996</c:v>
                </c:pt>
                <c:pt idx="302">
                  <c:v>0.5464</c:v>
                </c:pt>
                <c:pt idx="324">
                  <c:v>0.50260000000000005</c:v>
                </c:pt>
                <c:pt idx="345">
                  <c:v>0.50080000000000002</c:v>
                </c:pt>
                <c:pt idx="368">
                  <c:v>0.51329999999999998</c:v>
                </c:pt>
                <c:pt idx="389">
                  <c:v>0.52690000000000003</c:v>
                </c:pt>
                <c:pt idx="411">
                  <c:v>0.51549999999999996</c:v>
                </c:pt>
                <c:pt idx="434">
                  <c:v>0.45529999999999998</c:v>
                </c:pt>
                <c:pt idx="454">
                  <c:v>0.44900000000000001</c:v>
                </c:pt>
                <c:pt idx="477">
                  <c:v>0.40239999999999998</c:v>
                </c:pt>
                <c:pt idx="499">
                  <c:v>0.37440000000000001</c:v>
                </c:pt>
                <c:pt idx="520">
                  <c:v>0.35639999999999999</c:v>
                </c:pt>
                <c:pt idx="543">
                  <c:v>0.3261</c:v>
                </c:pt>
                <c:pt idx="563">
                  <c:v>0.31119999999999998</c:v>
                </c:pt>
                <c:pt idx="584">
                  <c:v>0.30919999999999997</c:v>
                </c:pt>
                <c:pt idx="606">
                  <c:v>0.28849999999999998</c:v>
                </c:pt>
                <c:pt idx="629">
                  <c:v>0.25890000000000002</c:v>
                </c:pt>
                <c:pt idx="649">
                  <c:v>0.30449999999999999</c:v>
                </c:pt>
                <c:pt idx="672">
                  <c:v>0.28739999999999999</c:v>
                </c:pt>
                <c:pt idx="694">
                  <c:v>0.24490000000000001</c:v>
                </c:pt>
                <c:pt idx="715">
                  <c:v>0.254</c:v>
                </c:pt>
                <c:pt idx="738">
                  <c:v>0.22789999999999999</c:v>
                </c:pt>
                <c:pt idx="759">
                  <c:v>0.18160000000000001</c:v>
                </c:pt>
                <c:pt idx="781">
                  <c:v>0.1777</c:v>
                </c:pt>
                <c:pt idx="804">
                  <c:v>0.1638</c:v>
                </c:pt>
                <c:pt idx="824">
                  <c:v>0.14460000000000001</c:v>
                </c:pt>
                <c:pt idx="845">
                  <c:v>0.14410000000000001</c:v>
                </c:pt>
                <c:pt idx="867">
                  <c:v>0.1234</c:v>
                </c:pt>
                <c:pt idx="889">
                  <c:v>0.13270000000000001</c:v>
                </c:pt>
                <c:pt idx="910">
                  <c:v>0.12839999999999999</c:v>
                </c:pt>
                <c:pt idx="933">
                  <c:v>0.11509999999999999</c:v>
                </c:pt>
                <c:pt idx="954">
                  <c:v>0.1242</c:v>
                </c:pt>
                <c:pt idx="976">
                  <c:v>0.1081</c:v>
                </c:pt>
                <c:pt idx="999">
                  <c:v>0.13739999999999999</c:v>
                </c:pt>
                <c:pt idx="1019">
                  <c:v>0.12909999999999999</c:v>
                </c:pt>
                <c:pt idx="1042">
                  <c:v>0.1338</c:v>
                </c:pt>
                <c:pt idx="1064">
                  <c:v>0.16619999999999999</c:v>
                </c:pt>
                <c:pt idx="1084">
                  <c:v>0.15459999999999999</c:v>
                </c:pt>
                <c:pt idx="1106">
                  <c:v>0.14680000000000001</c:v>
                </c:pt>
                <c:pt idx="1128">
                  <c:v>0.13830000000000001</c:v>
                </c:pt>
                <c:pt idx="1149">
                  <c:v>0.15110000000000001</c:v>
                </c:pt>
                <c:pt idx="1171">
                  <c:v>0.16350000000000001</c:v>
                </c:pt>
                <c:pt idx="1194">
                  <c:v>0.17030000000000001</c:v>
                </c:pt>
                <c:pt idx="1215">
                  <c:v>0.15509999999999999</c:v>
                </c:pt>
                <c:pt idx="1237">
                  <c:v>0.1275</c:v>
                </c:pt>
                <c:pt idx="1259">
                  <c:v>0.106</c:v>
                </c:pt>
                <c:pt idx="1280">
                  <c:v>0.1091</c:v>
                </c:pt>
                <c:pt idx="1303">
                  <c:v>0.10780000000000001</c:v>
                </c:pt>
                <c:pt idx="1324">
                  <c:v>0.1067</c:v>
                </c:pt>
                <c:pt idx="1345">
                  <c:v>0.124</c:v>
                </c:pt>
                <c:pt idx="1368">
                  <c:v>0.1226</c:v>
                </c:pt>
                <c:pt idx="1389">
                  <c:v>0.12859999999999999</c:v>
                </c:pt>
                <c:pt idx="1411">
                  <c:v>0.1095</c:v>
                </c:pt>
                <c:pt idx="1433">
                  <c:v>0.1244</c:v>
                </c:pt>
                <c:pt idx="1454">
                  <c:v>0.1235</c:v>
                </c:pt>
                <c:pt idx="1477">
                  <c:v>0.10059999999999999</c:v>
                </c:pt>
                <c:pt idx="1499">
                  <c:v>9.9400000000000002E-2</c:v>
                </c:pt>
                <c:pt idx="1520">
                  <c:v>9.4200000000000006E-2</c:v>
                </c:pt>
                <c:pt idx="1542">
                  <c:v>0.1153</c:v>
                </c:pt>
                <c:pt idx="1564">
                  <c:v>0.13500000000000001</c:v>
                </c:pt>
                <c:pt idx="1586">
                  <c:v>0.1447</c:v>
                </c:pt>
                <c:pt idx="1606">
                  <c:v>0.1777</c:v>
                </c:pt>
                <c:pt idx="1629">
                  <c:v>0.17630000000000001</c:v>
                </c:pt>
                <c:pt idx="1649">
                  <c:v>0.15279999999999999</c:v>
                </c:pt>
                <c:pt idx="1672">
                  <c:v>0.12280000000000001</c:v>
                </c:pt>
                <c:pt idx="1694">
                  <c:v>0.10979999999999999</c:v>
                </c:pt>
                <c:pt idx="1715">
                  <c:v>9.4200000000000006E-2</c:v>
                </c:pt>
                <c:pt idx="1738">
                  <c:v>7.9500000000000001E-2</c:v>
                </c:pt>
                <c:pt idx="1759">
                  <c:v>6.5699999999999995E-2</c:v>
                </c:pt>
                <c:pt idx="1781">
                  <c:v>6.3700000000000007E-2</c:v>
                </c:pt>
                <c:pt idx="1803">
                  <c:v>6.8400000000000002E-2</c:v>
                </c:pt>
                <c:pt idx="1824">
                  <c:v>7.5700000000000003E-2</c:v>
                </c:pt>
                <c:pt idx="1847">
                  <c:v>7.1599999999999997E-2</c:v>
                </c:pt>
                <c:pt idx="1867">
                  <c:v>6.6600000000000006E-2</c:v>
                </c:pt>
                <c:pt idx="1889">
                  <c:v>7.0900000000000005E-2</c:v>
                </c:pt>
                <c:pt idx="1910">
                  <c:v>7.0900000000000005E-2</c:v>
                </c:pt>
                <c:pt idx="1933">
                  <c:v>8.9099999999999999E-2</c:v>
                </c:pt>
                <c:pt idx="1954">
                  <c:v>0.13969999999999999</c:v>
                </c:pt>
                <c:pt idx="1976">
                  <c:v>0.1268</c:v>
                </c:pt>
                <c:pt idx="1999">
                  <c:v>0.13819999999999999</c:v>
                </c:pt>
                <c:pt idx="2019">
                  <c:v>0.14280000000000001</c:v>
                </c:pt>
                <c:pt idx="2042">
                  <c:v>0.14929999999999999</c:v>
                </c:pt>
                <c:pt idx="2064">
                  <c:v>0.1429</c:v>
                </c:pt>
                <c:pt idx="2085">
                  <c:v>0.13539999999999999</c:v>
                </c:pt>
                <c:pt idx="2108">
                  <c:v>0.1145</c:v>
                </c:pt>
                <c:pt idx="2128">
                  <c:v>0.1118</c:v>
                </c:pt>
                <c:pt idx="2149">
                  <c:v>9.35E-2</c:v>
                </c:pt>
                <c:pt idx="2171">
                  <c:v>7.8100000000000003E-2</c:v>
                </c:pt>
                <c:pt idx="2194">
                  <c:v>8.4400000000000003E-2</c:v>
                </c:pt>
                <c:pt idx="2214">
                  <c:v>8.7999999999999995E-2</c:v>
                </c:pt>
                <c:pt idx="2237">
                  <c:v>8.3900000000000002E-2</c:v>
                </c:pt>
                <c:pt idx="2259">
                  <c:v>8.7400000000000005E-2</c:v>
                </c:pt>
                <c:pt idx="2280">
                  <c:v>7.1999999999999995E-2</c:v>
                </c:pt>
                <c:pt idx="2303">
                  <c:v>6.0100000000000001E-2</c:v>
                </c:pt>
                <c:pt idx="2324">
                  <c:v>6.4699999999999994E-2</c:v>
                </c:pt>
                <c:pt idx="2346">
                  <c:v>6.4199999999999993E-2</c:v>
                </c:pt>
                <c:pt idx="2369">
                  <c:v>4.99E-2</c:v>
                </c:pt>
                <c:pt idx="2389">
                  <c:v>4.5499999999999999E-2</c:v>
                </c:pt>
                <c:pt idx="2411">
                  <c:v>0.1827</c:v>
                </c:pt>
                <c:pt idx="2433">
                  <c:v>0.17879999999999999</c:v>
                </c:pt>
                <c:pt idx="2454">
                  <c:v>0.1275</c:v>
                </c:pt>
                <c:pt idx="2476">
                  <c:v>9.8500000000000004E-2</c:v>
                </c:pt>
                <c:pt idx="2499">
                  <c:v>6.7400000000000002E-2</c:v>
                </c:pt>
              </c:numCache>
            </c:numRef>
          </c:yVal>
          <c:smooth val="0"/>
          <c:extLst>
            <c:ext xmlns:c16="http://schemas.microsoft.com/office/drawing/2014/chart" uri="{C3380CC4-5D6E-409C-BE32-E72D297353CC}">
              <c16:uniqueId val="{00000002-D511-4DAD-A719-CC1586DC7FD4}"/>
            </c:ext>
          </c:extLst>
        </c:ser>
        <c:dLbls>
          <c:showLegendKey val="0"/>
          <c:showVal val="0"/>
          <c:showCatName val="0"/>
          <c:showSerName val="0"/>
          <c:showPercent val="0"/>
          <c:showBubbleSize val="0"/>
        </c:dLbls>
        <c:axId val="112607232"/>
        <c:axId val="112609152"/>
      </c:scatterChart>
      <c:dateAx>
        <c:axId val="112607232"/>
        <c:scaling>
          <c:orientation val="minMax"/>
        </c:scaling>
        <c:delete val="0"/>
        <c:axPos val="b"/>
        <c:numFmt formatCode="yyyy" sourceLinked="0"/>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2609152"/>
        <c:crosses val="autoZero"/>
        <c:auto val="0"/>
        <c:lblOffset val="100"/>
        <c:baseTimeUnit val="days"/>
        <c:majorUnit val="18"/>
        <c:majorTimeUnit val="months"/>
      </c:dateAx>
      <c:valAx>
        <c:axId val="112609152"/>
        <c:scaling>
          <c:orientation val="minMax"/>
        </c:scaling>
        <c:delete val="0"/>
        <c:axPos val="l"/>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2607232"/>
        <c:crosses val="autoZero"/>
        <c:crossBetween val="between"/>
      </c:valAx>
      <c:spPr>
        <a:noFill/>
        <a:ln>
          <a:noFill/>
        </a:ln>
        <a:effectLst/>
      </c:spPr>
    </c:plotArea>
    <c:legend>
      <c:legendPos val="b"/>
      <c:layout>
        <c:manualLayout>
          <c:xMode val="edge"/>
          <c:yMode val="edge"/>
          <c:x val="0.21441866124350345"/>
          <c:y val="2.1385733862913155E-2"/>
          <c:w val="0.78558137153431762"/>
          <c:h val="0.33958913363677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EA19*</c:v>
          </c:tx>
          <c:spPr>
            <a:ln w="28575" cap="rnd">
              <a:solidFill>
                <a:srgbClr val="002060"/>
              </a:solidFill>
              <a:round/>
            </a:ln>
            <a:effectLst/>
          </c:spPr>
          <c:marker>
            <c:symbol val="none"/>
          </c:marker>
          <c:cat>
            <c:strRef>
              <c:f>RoE!$B$6:$N$6</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RoE!$A$7:$N$7</c:f>
              <c:numCache>
                <c:formatCode>General</c:formatCode>
                <c:ptCount val="14"/>
                <c:pt idx="0">
                  <c:v>9.8919999999999995</c:v>
                </c:pt>
                <c:pt idx="1">
                  <c:v>-1.2525999999999999</c:v>
                </c:pt>
                <c:pt idx="2">
                  <c:v>1.3167</c:v>
                </c:pt>
                <c:pt idx="3">
                  <c:v>3.3557999999999999</c:v>
                </c:pt>
                <c:pt idx="4">
                  <c:v>-3.2227000000000001</c:v>
                </c:pt>
                <c:pt idx="5">
                  <c:v>-3.6667000000000001</c:v>
                </c:pt>
                <c:pt idx="6">
                  <c:v>1.5114000000000001</c:v>
                </c:pt>
                <c:pt idx="7">
                  <c:v>2.5979000000000001</c:v>
                </c:pt>
                <c:pt idx="8">
                  <c:v>4.3632</c:v>
                </c:pt>
                <c:pt idx="9">
                  <c:v>3.2431000000000001</c:v>
                </c:pt>
                <c:pt idx="10">
                  <c:v>5.6985000000000001</c:v>
                </c:pt>
                <c:pt idx="11">
                  <c:v>5.7611999999999997</c:v>
                </c:pt>
                <c:pt idx="12">
                  <c:v>5.1102999999999996</c:v>
                </c:pt>
              </c:numCache>
            </c:numRef>
          </c:val>
          <c:smooth val="0"/>
          <c:extLst>
            <c:ext xmlns:c16="http://schemas.microsoft.com/office/drawing/2014/chart" uri="{C3380CC4-5D6E-409C-BE32-E72D297353CC}">
              <c16:uniqueId val="{00000000-A1ED-41FA-B880-CB50EAB9DF66}"/>
            </c:ext>
          </c:extLst>
        </c:ser>
        <c:ser>
          <c:idx val="1"/>
          <c:order val="1"/>
          <c:tx>
            <c:v>SSM banks**</c:v>
          </c:tx>
          <c:spPr>
            <a:ln w="28575" cap="rnd">
              <a:solidFill>
                <a:schemeClr val="accent2"/>
              </a:solidFill>
              <a:round/>
            </a:ln>
            <a:effectLst/>
          </c:spPr>
          <c:marker>
            <c:symbol val="none"/>
          </c:marker>
          <c:cat>
            <c:strRef>
              <c:f>RoE!$B$6:$N$6</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RoE!$A$8:$N$8</c:f>
              <c:numCache>
                <c:formatCode>General</c:formatCode>
                <c:ptCount val="14"/>
                <c:pt idx="8">
                  <c:v>5.4243333333333332</c:v>
                </c:pt>
                <c:pt idx="9">
                  <c:v>4.7741500000000006</c:v>
                </c:pt>
                <c:pt idx="10">
                  <c:v>6.7718749999999996</c:v>
                </c:pt>
                <c:pt idx="11">
                  <c:v>6.625</c:v>
                </c:pt>
                <c:pt idx="12">
                  <c:v>5.6925000000000008</c:v>
                </c:pt>
                <c:pt idx="13">
                  <c:v>0.61</c:v>
                </c:pt>
              </c:numCache>
            </c:numRef>
          </c:val>
          <c:smooth val="0"/>
          <c:extLst>
            <c:ext xmlns:c16="http://schemas.microsoft.com/office/drawing/2014/chart" uri="{C3380CC4-5D6E-409C-BE32-E72D297353CC}">
              <c16:uniqueId val="{00000001-A1ED-41FA-B880-CB50EAB9DF66}"/>
            </c:ext>
          </c:extLst>
        </c:ser>
        <c:dLbls>
          <c:showLegendKey val="0"/>
          <c:showVal val="0"/>
          <c:showCatName val="0"/>
          <c:showSerName val="0"/>
          <c:showPercent val="0"/>
          <c:showBubbleSize val="0"/>
        </c:dLbls>
        <c:smooth val="0"/>
        <c:axId val="112634496"/>
        <c:axId val="112644480"/>
      </c:lineChart>
      <c:catAx>
        <c:axId val="112634496"/>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2644480"/>
        <c:crosses val="autoZero"/>
        <c:auto val="1"/>
        <c:lblAlgn val="ctr"/>
        <c:lblOffset val="100"/>
        <c:noMultiLvlLbl val="0"/>
      </c:catAx>
      <c:valAx>
        <c:axId val="112644480"/>
        <c:scaling>
          <c:orientation val="minMax"/>
          <c:max val="12"/>
          <c:min val="-4"/>
        </c:scaling>
        <c:delete val="0"/>
        <c:axPos val="l"/>
        <c:majorGridlines>
          <c:spPr>
            <a:ln w="9525" cap="flat" cmpd="sng" algn="ctr">
              <a:noFill/>
              <a:round/>
            </a:ln>
            <a:effectLst/>
          </c:spPr>
        </c:majorGridlines>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2634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1280198886031"/>
          <c:y val="6.4610866372980913E-2"/>
          <c:w val="0.81123463527455109"/>
          <c:h val="0.81938376308427441"/>
        </c:manualLayout>
      </c:layout>
      <c:lineChart>
        <c:grouping val="standard"/>
        <c:varyColors val="0"/>
        <c:ser>
          <c:idx val="0"/>
          <c:order val="0"/>
          <c:tx>
            <c:strRef>
              <c:f>'Loans NFPS'!$B$1</c:f>
              <c:strCache>
                <c:ptCount val="1"/>
                <c:pt idx="0">
                  <c:v>Non-financial corporations</c:v>
                </c:pt>
              </c:strCache>
            </c:strRef>
          </c:tx>
          <c:spPr>
            <a:ln w="28575" cap="rnd">
              <a:solidFill>
                <a:schemeClr val="accent1"/>
              </a:solidFill>
              <a:round/>
            </a:ln>
            <a:effectLst/>
          </c:spPr>
          <c:marker>
            <c:symbol val="none"/>
          </c:marker>
          <c:cat>
            <c:numRef>
              <c:f>'Loans NFPS'!$A$214:$A$269</c:f>
              <c:numCache>
                <c:formatCode>m/d/yyyy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numCache>
            </c:numRef>
          </c:cat>
          <c:val>
            <c:numRef>
              <c:f>'Loans NFPS'!$B$214:$B$269</c:f>
              <c:numCache>
                <c:formatCode>General</c:formatCode>
                <c:ptCount val="56"/>
                <c:pt idx="0">
                  <c:v>1.1000000000000001</c:v>
                </c:pt>
                <c:pt idx="1">
                  <c:v>1.5</c:v>
                </c:pt>
                <c:pt idx="2">
                  <c:v>1.3</c:v>
                </c:pt>
                <c:pt idx="3">
                  <c:v>1.5</c:v>
                </c:pt>
                <c:pt idx="4">
                  <c:v>1.7</c:v>
                </c:pt>
                <c:pt idx="5">
                  <c:v>1.9</c:v>
                </c:pt>
                <c:pt idx="6">
                  <c:v>2</c:v>
                </c:pt>
                <c:pt idx="7">
                  <c:v>2.1</c:v>
                </c:pt>
                <c:pt idx="8">
                  <c:v>2.1</c:v>
                </c:pt>
                <c:pt idx="9">
                  <c:v>2.2000000000000002</c:v>
                </c:pt>
                <c:pt idx="10">
                  <c:v>2.1</c:v>
                </c:pt>
                <c:pt idx="11">
                  <c:v>2.4</c:v>
                </c:pt>
                <c:pt idx="12">
                  <c:v>2.4</c:v>
                </c:pt>
                <c:pt idx="13">
                  <c:v>2</c:v>
                </c:pt>
                <c:pt idx="14">
                  <c:v>2.5</c:v>
                </c:pt>
                <c:pt idx="15">
                  <c:v>2.5</c:v>
                </c:pt>
                <c:pt idx="16">
                  <c:v>2.5</c:v>
                </c:pt>
                <c:pt idx="17">
                  <c:v>2.1</c:v>
                </c:pt>
                <c:pt idx="18">
                  <c:v>2.2999999999999998</c:v>
                </c:pt>
                <c:pt idx="19">
                  <c:v>2.4</c:v>
                </c:pt>
                <c:pt idx="20">
                  <c:v>2.6</c:v>
                </c:pt>
                <c:pt idx="21">
                  <c:v>2.9</c:v>
                </c:pt>
                <c:pt idx="22">
                  <c:v>3.2</c:v>
                </c:pt>
                <c:pt idx="23">
                  <c:v>3.2</c:v>
                </c:pt>
                <c:pt idx="24">
                  <c:v>3.5</c:v>
                </c:pt>
                <c:pt idx="25">
                  <c:v>3.3</c:v>
                </c:pt>
                <c:pt idx="26">
                  <c:v>3.3</c:v>
                </c:pt>
                <c:pt idx="27">
                  <c:v>3.4</c:v>
                </c:pt>
                <c:pt idx="28">
                  <c:v>3.7</c:v>
                </c:pt>
                <c:pt idx="29">
                  <c:v>4.2</c:v>
                </c:pt>
                <c:pt idx="30">
                  <c:v>4.2</c:v>
                </c:pt>
                <c:pt idx="31">
                  <c:v>4.3</c:v>
                </c:pt>
                <c:pt idx="32">
                  <c:v>4.4000000000000004</c:v>
                </c:pt>
                <c:pt idx="33">
                  <c:v>4</c:v>
                </c:pt>
                <c:pt idx="34">
                  <c:v>4.0999999999999996</c:v>
                </c:pt>
                <c:pt idx="35">
                  <c:v>4.0999999999999996</c:v>
                </c:pt>
                <c:pt idx="36">
                  <c:v>3.5</c:v>
                </c:pt>
                <c:pt idx="37">
                  <c:v>3.9</c:v>
                </c:pt>
                <c:pt idx="38">
                  <c:v>3.8</c:v>
                </c:pt>
                <c:pt idx="39">
                  <c:v>4</c:v>
                </c:pt>
                <c:pt idx="40">
                  <c:v>3.9</c:v>
                </c:pt>
                <c:pt idx="41">
                  <c:v>3.9</c:v>
                </c:pt>
                <c:pt idx="42">
                  <c:v>4</c:v>
                </c:pt>
                <c:pt idx="43">
                  <c:v>4.2</c:v>
                </c:pt>
                <c:pt idx="44">
                  <c:v>3.6</c:v>
                </c:pt>
                <c:pt idx="45">
                  <c:v>3.8</c:v>
                </c:pt>
                <c:pt idx="46">
                  <c:v>3.4</c:v>
                </c:pt>
                <c:pt idx="47">
                  <c:v>3.2</c:v>
                </c:pt>
                <c:pt idx="48">
                  <c:v>3.2</c:v>
                </c:pt>
                <c:pt idx="49">
                  <c:v>3</c:v>
                </c:pt>
                <c:pt idx="50">
                  <c:v>5.5</c:v>
                </c:pt>
                <c:pt idx="51">
                  <c:v>6.6</c:v>
                </c:pt>
                <c:pt idx="52">
                  <c:v>7.3</c:v>
                </c:pt>
                <c:pt idx="53">
                  <c:v>7.1</c:v>
                </c:pt>
                <c:pt idx="54">
                  <c:v>7.1</c:v>
                </c:pt>
                <c:pt idx="55">
                  <c:v>7.1</c:v>
                </c:pt>
              </c:numCache>
            </c:numRef>
          </c:val>
          <c:smooth val="0"/>
          <c:extLst>
            <c:ext xmlns:c16="http://schemas.microsoft.com/office/drawing/2014/chart" uri="{C3380CC4-5D6E-409C-BE32-E72D297353CC}">
              <c16:uniqueId val="{00000000-E6BD-4304-BEB2-36C7876F2025}"/>
            </c:ext>
          </c:extLst>
        </c:ser>
        <c:ser>
          <c:idx val="1"/>
          <c:order val="1"/>
          <c:tx>
            <c:strRef>
              <c:f>'Loans NFPS'!$C$1</c:f>
              <c:strCache>
                <c:ptCount val="1"/>
                <c:pt idx="0">
                  <c:v>Households</c:v>
                </c:pt>
              </c:strCache>
            </c:strRef>
          </c:tx>
          <c:spPr>
            <a:ln w="28575" cap="rnd">
              <a:solidFill>
                <a:srgbClr val="7030A0"/>
              </a:solidFill>
              <a:round/>
            </a:ln>
            <a:effectLst/>
          </c:spPr>
          <c:marker>
            <c:symbol val="none"/>
          </c:marker>
          <c:cat>
            <c:numRef>
              <c:f>'Loans NFPS'!$A$214:$A$269</c:f>
              <c:numCache>
                <c:formatCode>m/d/yyyy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numCache>
            </c:numRef>
          </c:cat>
          <c:val>
            <c:numRef>
              <c:f>'Loans NFPS'!$C$214:$C$269</c:f>
              <c:numCache>
                <c:formatCode>General</c:formatCode>
                <c:ptCount val="56"/>
                <c:pt idx="0">
                  <c:v>1.4</c:v>
                </c:pt>
                <c:pt idx="1">
                  <c:v>1.5</c:v>
                </c:pt>
                <c:pt idx="2">
                  <c:v>1.6</c:v>
                </c:pt>
                <c:pt idx="3">
                  <c:v>1.5</c:v>
                </c:pt>
                <c:pt idx="4">
                  <c:v>1.6</c:v>
                </c:pt>
                <c:pt idx="5">
                  <c:v>1.8</c:v>
                </c:pt>
                <c:pt idx="6">
                  <c:v>1.8</c:v>
                </c:pt>
                <c:pt idx="7">
                  <c:v>1.8</c:v>
                </c:pt>
                <c:pt idx="8">
                  <c:v>1.8</c:v>
                </c:pt>
                <c:pt idx="9">
                  <c:v>1.9</c:v>
                </c:pt>
                <c:pt idx="10">
                  <c:v>1.9</c:v>
                </c:pt>
                <c:pt idx="11">
                  <c:v>2</c:v>
                </c:pt>
                <c:pt idx="12">
                  <c:v>2.2000000000000002</c:v>
                </c:pt>
                <c:pt idx="13">
                  <c:v>2.2999999999999998</c:v>
                </c:pt>
                <c:pt idx="14">
                  <c:v>2.4</c:v>
                </c:pt>
                <c:pt idx="15">
                  <c:v>2.5</c:v>
                </c:pt>
                <c:pt idx="16">
                  <c:v>2.6</c:v>
                </c:pt>
                <c:pt idx="17">
                  <c:v>2.6</c:v>
                </c:pt>
                <c:pt idx="18">
                  <c:v>2.6</c:v>
                </c:pt>
                <c:pt idx="19">
                  <c:v>2.7</c:v>
                </c:pt>
                <c:pt idx="20">
                  <c:v>2.7</c:v>
                </c:pt>
                <c:pt idx="21">
                  <c:v>2.7</c:v>
                </c:pt>
                <c:pt idx="22">
                  <c:v>2.8</c:v>
                </c:pt>
                <c:pt idx="23">
                  <c:v>2.9</c:v>
                </c:pt>
                <c:pt idx="24">
                  <c:v>2.9</c:v>
                </c:pt>
                <c:pt idx="25">
                  <c:v>2.9</c:v>
                </c:pt>
                <c:pt idx="26">
                  <c:v>2.9</c:v>
                </c:pt>
                <c:pt idx="27">
                  <c:v>2.9</c:v>
                </c:pt>
                <c:pt idx="28">
                  <c:v>2.9</c:v>
                </c:pt>
                <c:pt idx="29">
                  <c:v>2.9</c:v>
                </c:pt>
                <c:pt idx="30">
                  <c:v>3</c:v>
                </c:pt>
                <c:pt idx="31">
                  <c:v>3.1</c:v>
                </c:pt>
                <c:pt idx="32">
                  <c:v>3.1</c:v>
                </c:pt>
                <c:pt idx="33">
                  <c:v>3.2</c:v>
                </c:pt>
                <c:pt idx="34">
                  <c:v>3.3</c:v>
                </c:pt>
                <c:pt idx="35">
                  <c:v>3.2</c:v>
                </c:pt>
                <c:pt idx="36">
                  <c:v>3.2</c:v>
                </c:pt>
                <c:pt idx="37">
                  <c:v>3.3</c:v>
                </c:pt>
                <c:pt idx="38">
                  <c:v>3.3</c:v>
                </c:pt>
                <c:pt idx="39">
                  <c:v>3.3</c:v>
                </c:pt>
                <c:pt idx="40">
                  <c:v>3.4</c:v>
                </c:pt>
                <c:pt idx="41">
                  <c:v>3.3</c:v>
                </c:pt>
                <c:pt idx="42">
                  <c:v>3.4</c:v>
                </c:pt>
                <c:pt idx="43">
                  <c:v>3.4</c:v>
                </c:pt>
                <c:pt idx="44">
                  <c:v>3.4</c:v>
                </c:pt>
                <c:pt idx="45">
                  <c:v>3.4</c:v>
                </c:pt>
                <c:pt idx="46">
                  <c:v>3.5</c:v>
                </c:pt>
                <c:pt idx="47">
                  <c:v>3.6</c:v>
                </c:pt>
                <c:pt idx="48">
                  <c:v>3.7</c:v>
                </c:pt>
                <c:pt idx="49">
                  <c:v>3.7</c:v>
                </c:pt>
                <c:pt idx="50">
                  <c:v>3.4</c:v>
                </c:pt>
                <c:pt idx="51">
                  <c:v>3</c:v>
                </c:pt>
                <c:pt idx="52">
                  <c:v>3</c:v>
                </c:pt>
                <c:pt idx="53">
                  <c:v>3</c:v>
                </c:pt>
                <c:pt idx="54">
                  <c:v>3</c:v>
                </c:pt>
                <c:pt idx="55">
                  <c:v>3</c:v>
                </c:pt>
              </c:numCache>
            </c:numRef>
          </c:val>
          <c:smooth val="0"/>
          <c:extLst>
            <c:ext xmlns:c16="http://schemas.microsoft.com/office/drawing/2014/chart" uri="{C3380CC4-5D6E-409C-BE32-E72D297353CC}">
              <c16:uniqueId val="{00000001-E6BD-4304-BEB2-36C7876F2025}"/>
            </c:ext>
          </c:extLst>
        </c:ser>
        <c:dLbls>
          <c:showLegendKey val="0"/>
          <c:showVal val="0"/>
          <c:showCatName val="0"/>
          <c:showSerName val="0"/>
          <c:showPercent val="0"/>
          <c:showBubbleSize val="0"/>
        </c:dLbls>
        <c:smooth val="0"/>
        <c:axId val="113056768"/>
        <c:axId val="113070848"/>
      </c:lineChart>
      <c:dateAx>
        <c:axId val="113056768"/>
        <c:scaling>
          <c:orientation val="minMax"/>
        </c:scaling>
        <c:delete val="0"/>
        <c:axPos val="b"/>
        <c:numFmt formatCode="yyyy" sourceLinked="0"/>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3070848"/>
        <c:crosses val="autoZero"/>
        <c:auto val="0"/>
        <c:lblOffset val="100"/>
        <c:baseTimeUnit val="days"/>
        <c:majorUnit val="12"/>
        <c:minorUnit val="1"/>
      </c:dateAx>
      <c:valAx>
        <c:axId val="113070848"/>
        <c:scaling>
          <c:orientation val="minMax"/>
        </c:scaling>
        <c:delete val="0"/>
        <c:axPos val="l"/>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3056768"/>
        <c:crosses val="autoZero"/>
        <c:crossBetween val="between"/>
      </c:valAx>
      <c:spPr>
        <a:noFill/>
        <a:ln>
          <a:noFill/>
        </a:ln>
        <a:effectLst/>
      </c:spPr>
    </c:plotArea>
    <c:legend>
      <c:legendPos val="b"/>
      <c:layout>
        <c:manualLayout>
          <c:xMode val="edge"/>
          <c:yMode val="edge"/>
          <c:x val="6.7601846798853116E-2"/>
          <c:y val="0.10470012834298797"/>
          <c:w val="0.75918574534618821"/>
          <c:h val="0.2022014869286713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3414989792942"/>
          <c:y val="6.8654497487505101E-2"/>
          <c:w val="0.80838436862058904"/>
          <c:h val="0.84451780805505827"/>
        </c:manualLayout>
      </c:layout>
      <c:lineChart>
        <c:grouping val="standard"/>
        <c:varyColors val="0"/>
        <c:ser>
          <c:idx val="0"/>
          <c:order val="0"/>
          <c:tx>
            <c:strRef>
              <c:f>Chart!$B$1</c:f>
              <c:strCache>
                <c:ptCount val="1"/>
                <c:pt idx="0">
                  <c:v>Foreign Exchange Reserves</c:v>
                </c:pt>
              </c:strCache>
            </c:strRef>
          </c:tx>
          <c:spPr>
            <a:ln w="22225" cap="rnd">
              <a:solidFill>
                <a:srgbClr val="002060"/>
              </a:solidFill>
              <a:round/>
            </a:ln>
            <a:effectLst/>
          </c:spPr>
          <c:marker>
            <c:symbol val="none"/>
          </c:marker>
          <c:cat>
            <c:numRef>
              <c:f>Chart!$A$2:$A$83</c:f>
              <c:numCache>
                <c:formatCode>[$-409]mmm/yy;@</c:formatCode>
                <c:ptCount val="82"/>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pt idx="68">
                  <c:v>42795</c:v>
                </c:pt>
                <c:pt idx="69">
                  <c:v>42887</c:v>
                </c:pt>
                <c:pt idx="70">
                  <c:v>42979</c:v>
                </c:pt>
                <c:pt idx="71">
                  <c:v>43070</c:v>
                </c:pt>
                <c:pt idx="72">
                  <c:v>43160</c:v>
                </c:pt>
                <c:pt idx="73">
                  <c:v>43252</c:v>
                </c:pt>
                <c:pt idx="74">
                  <c:v>43344</c:v>
                </c:pt>
                <c:pt idx="75">
                  <c:v>43435</c:v>
                </c:pt>
                <c:pt idx="76">
                  <c:v>43525</c:v>
                </c:pt>
                <c:pt idx="77">
                  <c:v>43617</c:v>
                </c:pt>
                <c:pt idx="78">
                  <c:v>43709</c:v>
                </c:pt>
                <c:pt idx="79">
                  <c:v>43800</c:v>
                </c:pt>
                <c:pt idx="80">
                  <c:v>43891</c:v>
                </c:pt>
                <c:pt idx="81">
                  <c:v>43983</c:v>
                </c:pt>
              </c:numCache>
            </c:numRef>
          </c:cat>
          <c:val>
            <c:numRef>
              <c:f>Chart!$B$2:$B$83</c:f>
              <c:numCache>
                <c:formatCode>#,##0.00</c:formatCode>
                <c:ptCount val="82"/>
                <c:pt idx="0">
                  <c:v>17.504980921703535</c:v>
                </c:pt>
                <c:pt idx="1">
                  <c:v>17.514839919650118</c:v>
                </c:pt>
                <c:pt idx="2">
                  <c:v>16.973640160600514</c:v>
                </c:pt>
                <c:pt idx="3">
                  <c:v>18.290385771325059</c:v>
                </c:pt>
                <c:pt idx="4">
                  <c:v>17.707526040129125</c:v>
                </c:pt>
                <c:pt idx="5">
                  <c:v>17.630876955978763</c:v>
                </c:pt>
                <c:pt idx="6">
                  <c:v>18.902620453522857</c:v>
                </c:pt>
                <c:pt idx="7">
                  <c:v>19.183002205202367</c:v>
                </c:pt>
                <c:pt idx="8">
                  <c:v>19.671963956440731</c:v>
                </c:pt>
                <c:pt idx="9">
                  <c:v>21.39478506908593</c:v>
                </c:pt>
                <c:pt idx="10">
                  <c:v>22.427570242390651</c:v>
                </c:pt>
                <c:pt idx="11">
                  <c:v>23.650112028596659</c:v>
                </c:pt>
                <c:pt idx="12">
                  <c:v>24.516778413234057</c:v>
                </c:pt>
                <c:pt idx="13">
                  <c:v>24.971032338996082</c:v>
                </c:pt>
                <c:pt idx="14">
                  <c:v>24.449135221696348</c:v>
                </c:pt>
                <c:pt idx="15">
                  <c:v>25.032866911625035</c:v>
                </c:pt>
                <c:pt idx="16">
                  <c:v>23.435688200108352</c:v>
                </c:pt>
                <c:pt idx="17">
                  <c:v>23.308667596631196</c:v>
                </c:pt>
                <c:pt idx="18">
                  <c:v>23.767343689186578</c:v>
                </c:pt>
                <c:pt idx="19">
                  <c:v>24.679503987644278</c:v>
                </c:pt>
                <c:pt idx="20">
                  <c:v>24.900589098694919</c:v>
                </c:pt>
                <c:pt idx="21">
                  <c:v>24.548654416209683</c:v>
                </c:pt>
                <c:pt idx="22">
                  <c:v>24.124387579423306</c:v>
                </c:pt>
                <c:pt idx="23">
                  <c:v>23.889645829019486</c:v>
                </c:pt>
                <c:pt idx="24">
                  <c:v>24.370885145642308</c:v>
                </c:pt>
                <c:pt idx="25">
                  <c:v>24.634854946607625</c:v>
                </c:pt>
                <c:pt idx="26">
                  <c:v>24.30524436844172</c:v>
                </c:pt>
                <c:pt idx="27">
                  <c:v>24.994625031057495</c:v>
                </c:pt>
                <c:pt idx="28">
                  <c:v>25.06596313936512</c:v>
                </c:pt>
                <c:pt idx="29">
                  <c:v>25.166966614389345</c:v>
                </c:pt>
                <c:pt idx="30">
                  <c:v>26.010158559654645</c:v>
                </c:pt>
                <c:pt idx="31">
                  <c:v>26.133350507340523</c:v>
                </c:pt>
                <c:pt idx="32">
                  <c:v>26.546311656238707</c:v>
                </c:pt>
                <c:pt idx="33">
                  <c:v>26.615088606576759</c:v>
                </c:pt>
                <c:pt idx="34">
                  <c:v>25.319728622463995</c:v>
                </c:pt>
                <c:pt idx="35">
                  <c:v>26.214297168330265</c:v>
                </c:pt>
                <c:pt idx="36">
                  <c:v>25.817881423430556</c:v>
                </c:pt>
                <c:pt idx="37">
                  <c:v>27.569931813084956</c:v>
                </c:pt>
                <c:pt idx="38">
                  <c:v>28.026390994171539</c:v>
                </c:pt>
                <c:pt idx="39">
                  <c:v>27.700997236984993</c:v>
                </c:pt>
                <c:pt idx="40">
                  <c:v>27.058272995679939</c:v>
                </c:pt>
                <c:pt idx="41">
                  <c:v>26.015373169164835</c:v>
                </c:pt>
                <c:pt idx="42">
                  <c:v>26.389704299179513</c:v>
                </c:pt>
                <c:pt idx="43">
                  <c:v>25.758911060681488</c:v>
                </c:pt>
                <c:pt idx="44">
                  <c:v>26.195150362700858</c:v>
                </c:pt>
                <c:pt idx="45">
                  <c:v>26.488181654736259</c:v>
                </c:pt>
                <c:pt idx="46">
                  <c:v>25.34692759749576</c:v>
                </c:pt>
                <c:pt idx="47">
                  <c:v>24.446564559497418</c:v>
                </c:pt>
                <c:pt idx="48">
                  <c:v>24.606278998472192</c:v>
                </c:pt>
                <c:pt idx="49">
                  <c:v>24.798822798620147</c:v>
                </c:pt>
                <c:pt idx="50">
                  <c:v>24.038691242696625</c:v>
                </c:pt>
                <c:pt idx="51">
                  <c:v>24.069918791009425</c:v>
                </c:pt>
                <c:pt idx="52">
                  <c:v>23.402087287624813</c:v>
                </c:pt>
                <c:pt idx="53">
                  <c:v>23.680607265400351</c:v>
                </c:pt>
                <c:pt idx="54">
                  <c:v>23.946712128305485</c:v>
                </c:pt>
                <c:pt idx="55">
                  <c:v>24.211871508466963</c:v>
                </c:pt>
                <c:pt idx="56">
                  <c:v>23.265330883627641</c:v>
                </c:pt>
                <c:pt idx="57">
                  <c:v>22.967455629377952</c:v>
                </c:pt>
                <c:pt idx="58">
                  <c:v>21.57718701349576</c:v>
                </c:pt>
                <c:pt idx="59">
                  <c:v>21.213910189156319</c:v>
                </c:pt>
                <c:pt idx="60">
                  <c:v>20.022271873062778</c:v>
                </c:pt>
                <c:pt idx="61">
                  <c:v>19.898658035104809</c:v>
                </c:pt>
                <c:pt idx="62">
                  <c:v>19.792496735299359</c:v>
                </c:pt>
                <c:pt idx="63">
                  <c:v>19.146709800820449</c:v>
                </c:pt>
                <c:pt idx="64">
                  <c:v>19.550475326819971</c:v>
                </c:pt>
                <c:pt idx="65">
                  <c:v>19.406666261935399</c:v>
                </c:pt>
                <c:pt idx="66">
                  <c:v>19.675427162642826</c:v>
                </c:pt>
                <c:pt idx="67">
                  <c:v>19.136656296420387</c:v>
                </c:pt>
                <c:pt idx="68">
                  <c:v>19.283613128752052</c:v>
                </c:pt>
                <c:pt idx="69">
                  <c:v>19.957187878962827</c:v>
                </c:pt>
                <c:pt idx="70">
                  <c:v>20.066443926580366</c:v>
                </c:pt>
                <c:pt idx="71">
                  <c:v>20.168117939136764</c:v>
                </c:pt>
                <c:pt idx="72">
                  <c:v>20.35990634741777</c:v>
                </c:pt>
                <c:pt idx="73">
                  <c:v>20.253841315032822</c:v>
                </c:pt>
                <c:pt idx="74">
                  <c:v>20.47600747516881</c:v>
                </c:pt>
                <c:pt idx="75">
                  <c:v>20.672435574367089</c:v>
                </c:pt>
                <c:pt idx="76">
                  <c:v>20.269670033649426</c:v>
                </c:pt>
                <c:pt idx="77">
                  <c:v>20.550236736447161</c:v>
                </c:pt>
                <c:pt idx="78">
                  <c:v>20.250635070681181</c:v>
                </c:pt>
                <c:pt idx="79">
                  <c:v>20.581436780695849</c:v>
                </c:pt>
                <c:pt idx="80">
                  <c:v>20.05460069927862</c:v>
                </c:pt>
                <c:pt idx="81">
                  <c:v>20.273603578810608</c:v>
                </c:pt>
              </c:numCache>
            </c:numRef>
          </c:val>
          <c:smooth val="0"/>
          <c:extLst>
            <c:ext xmlns:c16="http://schemas.microsoft.com/office/drawing/2014/chart" uri="{C3380CC4-5D6E-409C-BE32-E72D297353CC}">
              <c16:uniqueId val="{00000000-4230-494F-8F94-237FE67CB0B9}"/>
            </c:ext>
          </c:extLst>
        </c:ser>
        <c:ser>
          <c:idx val="1"/>
          <c:order val="1"/>
          <c:tx>
            <c:strRef>
              <c:f>Chart!$C$1</c:f>
              <c:strCache>
                <c:ptCount val="1"/>
                <c:pt idx="0">
                  <c:v>International Debt Securities</c:v>
                </c:pt>
              </c:strCache>
            </c:strRef>
          </c:tx>
          <c:spPr>
            <a:ln w="22225" cap="rnd">
              <a:solidFill>
                <a:schemeClr val="accent6"/>
              </a:solidFill>
              <a:round/>
            </a:ln>
            <a:effectLst/>
          </c:spPr>
          <c:marker>
            <c:symbol val="none"/>
          </c:marker>
          <c:cat>
            <c:numRef>
              <c:f>Chart!$A$2:$A$83</c:f>
              <c:numCache>
                <c:formatCode>[$-409]mmm/yy;@</c:formatCode>
                <c:ptCount val="82"/>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pt idx="68">
                  <c:v>42795</c:v>
                </c:pt>
                <c:pt idx="69">
                  <c:v>42887</c:v>
                </c:pt>
                <c:pt idx="70">
                  <c:v>42979</c:v>
                </c:pt>
                <c:pt idx="71">
                  <c:v>43070</c:v>
                </c:pt>
                <c:pt idx="72">
                  <c:v>43160</c:v>
                </c:pt>
                <c:pt idx="73">
                  <c:v>43252</c:v>
                </c:pt>
                <c:pt idx="74">
                  <c:v>43344</c:v>
                </c:pt>
                <c:pt idx="75">
                  <c:v>43435</c:v>
                </c:pt>
                <c:pt idx="76">
                  <c:v>43525</c:v>
                </c:pt>
                <c:pt idx="77">
                  <c:v>43617</c:v>
                </c:pt>
                <c:pt idx="78">
                  <c:v>43709</c:v>
                </c:pt>
                <c:pt idx="79">
                  <c:v>43800</c:v>
                </c:pt>
                <c:pt idx="80">
                  <c:v>43891</c:v>
                </c:pt>
                <c:pt idx="81">
                  <c:v>43983</c:v>
                </c:pt>
              </c:numCache>
            </c:numRef>
          </c:cat>
          <c:val>
            <c:numRef>
              <c:f>Chart!$C$2:$C$83</c:f>
              <c:numCache>
                <c:formatCode>#,##0.00</c:formatCode>
                <c:ptCount val="82"/>
                <c:pt idx="0">
                  <c:v>13.730729198093282</c:v>
                </c:pt>
                <c:pt idx="1">
                  <c:v>15.677027764993646</c:v>
                </c:pt>
                <c:pt idx="2">
                  <c:v>16.137551293704856</c:v>
                </c:pt>
                <c:pt idx="3">
                  <c:v>18.462158233058343</c:v>
                </c:pt>
                <c:pt idx="4">
                  <c:v>20.078245532188298</c:v>
                </c:pt>
                <c:pt idx="5">
                  <c:v>20.972416317181512</c:v>
                </c:pt>
                <c:pt idx="6">
                  <c:v>22.522224070758746</c:v>
                </c:pt>
                <c:pt idx="7">
                  <c:v>23.727334942018654</c:v>
                </c:pt>
                <c:pt idx="8">
                  <c:v>24.935785821062556</c:v>
                </c:pt>
                <c:pt idx="9">
                  <c:v>27.642236862167863</c:v>
                </c:pt>
                <c:pt idx="10">
                  <c:v>28.348866046177619</c:v>
                </c:pt>
                <c:pt idx="11">
                  <c:v>30.151133317377361</c:v>
                </c:pt>
                <c:pt idx="12">
                  <c:v>32.56627468877803</c:v>
                </c:pt>
                <c:pt idx="13">
                  <c:v>34.929329685051222</c:v>
                </c:pt>
                <c:pt idx="14">
                  <c:v>35.675826791337656</c:v>
                </c:pt>
                <c:pt idx="15">
                  <c:v>37.942404162864982</c:v>
                </c:pt>
                <c:pt idx="16">
                  <c:v>37.856575998588973</c:v>
                </c:pt>
                <c:pt idx="17">
                  <c:v>38.675672904580807</c:v>
                </c:pt>
                <c:pt idx="18">
                  <c:v>39.82055051461959</c:v>
                </c:pt>
                <c:pt idx="19">
                  <c:v>42.061813063796883</c:v>
                </c:pt>
                <c:pt idx="20">
                  <c:v>41.852473738685397</c:v>
                </c:pt>
                <c:pt idx="21">
                  <c:v>41.696766565507261</c:v>
                </c:pt>
                <c:pt idx="22">
                  <c:v>41.628665859464625</c:v>
                </c:pt>
                <c:pt idx="23">
                  <c:v>41.74228871784905</c:v>
                </c:pt>
                <c:pt idx="24">
                  <c:v>43.061075385904623</c:v>
                </c:pt>
                <c:pt idx="25">
                  <c:v>44.166359430562657</c:v>
                </c:pt>
                <c:pt idx="26">
                  <c:v>44.227998298854857</c:v>
                </c:pt>
                <c:pt idx="27">
                  <c:v>45.035986439487509</c:v>
                </c:pt>
                <c:pt idx="28">
                  <c:v>45.800274563003569</c:v>
                </c:pt>
                <c:pt idx="29">
                  <c:v>46.109436753140223</c:v>
                </c:pt>
                <c:pt idx="30">
                  <c:v>46.821611809779796</c:v>
                </c:pt>
                <c:pt idx="31">
                  <c:v>47.797877623088979</c:v>
                </c:pt>
                <c:pt idx="32">
                  <c:v>49.563572444072747</c:v>
                </c:pt>
                <c:pt idx="33">
                  <c:v>49.876773445899438</c:v>
                </c:pt>
                <c:pt idx="34">
                  <c:v>48.07507640133791</c:v>
                </c:pt>
                <c:pt idx="35">
                  <c:v>48.77083472416939</c:v>
                </c:pt>
                <c:pt idx="36">
                  <c:v>48.263059384075987</c:v>
                </c:pt>
                <c:pt idx="37">
                  <c:v>49.099793477593842</c:v>
                </c:pt>
                <c:pt idx="38">
                  <c:v>49.903064962560713</c:v>
                </c:pt>
                <c:pt idx="39">
                  <c:v>49.372381349191464</c:v>
                </c:pt>
                <c:pt idx="40">
                  <c:v>48.223930882259729</c:v>
                </c:pt>
                <c:pt idx="41">
                  <c:v>46.013108268582151</c:v>
                </c:pt>
                <c:pt idx="42">
                  <c:v>47.722647602664267</c:v>
                </c:pt>
                <c:pt idx="43">
                  <c:v>46.870946736706351</c:v>
                </c:pt>
                <c:pt idx="44">
                  <c:v>48.024311844251216</c:v>
                </c:pt>
                <c:pt idx="45">
                  <c:v>48.028574377664057</c:v>
                </c:pt>
                <c:pt idx="46">
                  <c:v>46.654934253190525</c:v>
                </c:pt>
                <c:pt idx="47">
                  <c:v>45.679063217214129</c:v>
                </c:pt>
                <c:pt idx="48">
                  <c:v>46.348550975646383</c:v>
                </c:pt>
                <c:pt idx="49">
                  <c:v>44.76543959869327</c:v>
                </c:pt>
                <c:pt idx="50">
                  <c:v>44.532007024211055</c:v>
                </c:pt>
                <c:pt idx="51">
                  <c:v>44.747078375315581</c:v>
                </c:pt>
                <c:pt idx="52">
                  <c:v>43.673860517455267</c:v>
                </c:pt>
                <c:pt idx="53">
                  <c:v>43.940545227858387</c:v>
                </c:pt>
                <c:pt idx="54">
                  <c:v>44.230484003971384</c:v>
                </c:pt>
                <c:pt idx="55">
                  <c:v>44.527979840625413</c:v>
                </c:pt>
                <c:pt idx="56">
                  <c:v>43.992350113019683</c:v>
                </c:pt>
                <c:pt idx="57">
                  <c:v>43.264244677446598</c:v>
                </c:pt>
                <c:pt idx="58">
                  <c:v>41.358493121132113</c:v>
                </c:pt>
                <c:pt idx="59">
                  <c:v>40.740643493532289</c:v>
                </c:pt>
                <c:pt idx="60">
                  <c:v>38.18528314107111</c:v>
                </c:pt>
                <c:pt idx="61">
                  <c:v>38.576581523686961</c:v>
                </c:pt>
                <c:pt idx="62">
                  <c:v>38.941405339052451</c:v>
                </c:pt>
                <c:pt idx="63">
                  <c:v>38.319750759662163</c:v>
                </c:pt>
                <c:pt idx="64">
                  <c:v>39.307656480497904</c:v>
                </c:pt>
                <c:pt idx="65">
                  <c:v>38.618108423955491</c:v>
                </c:pt>
                <c:pt idx="66">
                  <c:v>38.344917493177377</c:v>
                </c:pt>
                <c:pt idx="67">
                  <c:v>37.30708852774174</c:v>
                </c:pt>
                <c:pt idx="68">
                  <c:v>37.182755344834504</c:v>
                </c:pt>
                <c:pt idx="69">
                  <c:v>38.462384617435383</c:v>
                </c:pt>
                <c:pt idx="70">
                  <c:v>38.793314676021815</c:v>
                </c:pt>
                <c:pt idx="71">
                  <c:v>39.094456483372319</c:v>
                </c:pt>
                <c:pt idx="72">
                  <c:v>39.567736748926954</c:v>
                </c:pt>
                <c:pt idx="73">
                  <c:v>38.52448281993604</c:v>
                </c:pt>
                <c:pt idx="74">
                  <c:v>38.563856785415176</c:v>
                </c:pt>
                <c:pt idx="75">
                  <c:v>38.425287262077553</c:v>
                </c:pt>
                <c:pt idx="76">
                  <c:v>37.891041237406256</c:v>
                </c:pt>
                <c:pt idx="77">
                  <c:v>38.260159565389039</c:v>
                </c:pt>
                <c:pt idx="78">
                  <c:v>37.396345112239729</c:v>
                </c:pt>
                <c:pt idx="79">
                  <c:v>37.838697144718267</c:v>
                </c:pt>
                <c:pt idx="80">
                  <c:v>37.794847514224486</c:v>
                </c:pt>
                <c:pt idx="81">
                  <c:v>38.523956570476635</c:v>
                </c:pt>
              </c:numCache>
            </c:numRef>
          </c:val>
          <c:smooth val="0"/>
          <c:extLst>
            <c:ext xmlns:c16="http://schemas.microsoft.com/office/drawing/2014/chart" uri="{C3380CC4-5D6E-409C-BE32-E72D297353CC}">
              <c16:uniqueId val="{00000001-4230-494F-8F94-237FE67CB0B9}"/>
            </c:ext>
          </c:extLst>
        </c:ser>
        <c:ser>
          <c:idx val="2"/>
          <c:order val="2"/>
          <c:tx>
            <c:strRef>
              <c:f>Chart!$D$1</c:f>
              <c:strCache>
                <c:ptCount val="1"/>
                <c:pt idx="0">
                  <c:v>Cross-border loans</c:v>
                </c:pt>
              </c:strCache>
            </c:strRef>
          </c:tx>
          <c:spPr>
            <a:ln w="22225" cap="rnd">
              <a:solidFill>
                <a:srgbClr val="7030A0"/>
              </a:solidFill>
              <a:round/>
            </a:ln>
            <a:effectLst/>
          </c:spPr>
          <c:marker>
            <c:symbol val="none"/>
          </c:marker>
          <c:cat>
            <c:numRef>
              <c:f>Chart!$A$2:$A$83</c:f>
              <c:numCache>
                <c:formatCode>[$-409]mmm/yy;@</c:formatCode>
                <c:ptCount val="82"/>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pt idx="68">
                  <c:v>42795</c:v>
                </c:pt>
                <c:pt idx="69">
                  <c:v>42887</c:v>
                </c:pt>
                <c:pt idx="70">
                  <c:v>42979</c:v>
                </c:pt>
                <c:pt idx="71">
                  <c:v>43070</c:v>
                </c:pt>
                <c:pt idx="72">
                  <c:v>43160</c:v>
                </c:pt>
                <c:pt idx="73">
                  <c:v>43252</c:v>
                </c:pt>
                <c:pt idx="74">
                  <c:v>43344</c:v>
                </c:pt>
                <c:pt idx="75">
                  <c:v>43435</c:v>
                </c:pt>
                <c:pt idx="76">
                  <c:v>43525</c:v>
                </c:pt>
                <c:pt idx="77">
                  <c:v>43617</c:v>
                </c:pt>
                <c:pt idx="78">
                  <c:v>43709</c:v>
                </c:pt>
                <c:pt idx="79">
                  <c:v>43800</c:v>
                </c:pt>
                <c:pt idx="80">
                  <c:v>43891</c:v>
                </c:pt>
                <c:pt idx="81">
                  <c:v>43983</c:v>
                </c:pt>
              </c:numCache>
            </c:numRef>
          </c:cat>
          <c:val>
            <c:numRef>
              <c:f>Chart!$D$2:$D$83</c:f>
              <c:numCache>
                <c:formatCode>#,##0.00</c:formatCode>
                <c:ptCount val="82"/>
                <c:pt idx="0">
                  <c:v>29.305074717069708</c:v>
                </c:pt>
                <c:pt idx="1">
                  <c:v>29.389132414563562</c:v>
                </c:pt>
                <c:pt idx="2">
                  <c:v>28.171940484642615</c:v>
                </c:pt>
                <c:pt idx="3">
                  <c:v>28.943084529692438</c:v>
                </c:pt>
                <c:pt idx="4">
                  <c:v>30.076389377490536</c:v>
                </c:pt>
                <c:pt idx="5">
                  <c:v>29.826000248584421</c:v>
                </c:pt>
                <c:pt idx="6">
                  <c:v>31.495066162475009</c:v>
                </c:pt>
                <c:pt idx="7">
                  <c:v>29.872856132389298</c:v>
                </c:pt>
                <c:pt idx="8">
                  <c:v>30.019788802536336</c:v>
                </c:pt>
                <c:pt idx="9">
                  <c:v>32.439097247637427</c:v>
                </c:pt>
                <c:pt idx="10">
                  <c:v>33.725215064779285</c:v>
                </c:pt>
                <c:pt idx="11">
                  <c:v>34.831052073568799</c:v>
                </c:pt>
                <c:pt idx="12">
                  <c:v>36.292917537083774</c:v>
                </c:pt>
                <c:pt idx="13">
                  <c:v>37.344425353755675</c:v>
                </c:pt>
                <c:pt idx="14">
                  <c:v>37.662375415649073</c:v>
                </c:pt>
                <c:pt idx="15">
                  <c:v>38.731656231165431</c:v>
                </c:pt>
                <c:pt idx="16">
                  <c:v>37.799950699234984</c:v>
                </c:pt>
                <c:pt idx="17">
                  <c:v>37.78549460633208</c:v>
                </c:pt>
                <c:pt idx="18">
                  <c:v>38.972815290088548</c:v>
                </c:pt>
                <c:pt idx="19">
                  <c:v>40.023157262532933</c:v>
                </c:pt>
                <c:pt idx="20">
                  <c:v>39.865109384035172</c:v>
                </c:pt>
                <c:pt idx="21">
                  <c:v>38.352687479434856</c:v>
                </c:pt>
                <c:pt idx="22">
                  <c:v>38.105731907682582</c:v>
                </c:pt>
                <c:pt idx="23">
                  <c:v>37.909025335040461</c:v>
                </c:pt>
                <c:pt idx="24">
                  <c:v>38.387747879395739</c:v>
                </c:pt>
                <c:pt idx="25">
                  <c:v>38.974036527292704</c:v>
                </c:pt>
                <c:pt idx="26">
                  <c:v>38.293460438314995</c:v>
                </c:pt>
                <c:pt idx="27">
                  <c:v>38.679448178445945</c:v>
                </c:pt>
                <c:pt idx="28">
                  <c:v>38.633461315634499</c:v>
                </c:pt>
                <c:pt idx="29">
                  <c:v>38.304349413246065</c:v>
                </c:pt>
                <c:pt idx="30">
                  <c:v>38.700974667508362</c:v>
                </c:pt>
                <c:pt idx="31">
                  <c:v>39.31789377034427</c:v>
                </c:pt>
                <c:pt idx="32">
                  <c:v>39.972749256776119</c:v>
                </c:pt>
                <c:pt idx="33">
                  <c:v>40.688656607546349</c:v>
                </c:pt>
                <c:pt idx="34">
                  <c:v>39.073822814085887</c:v>
                </c:pt>
                <c:pt idx="35">
                  <c:v>39.660197693629797</c:v>
                </c:pt>
                <c:pt idx="36">
                  <c:v>38.848734560035155</c:v>
                </c:pt>
                <c:pt idx="37">
                  <c:v>39.907415686388767</c:v>
                </c:pt>
                <c:pt idx="38">
                  <c:v>40.163571406699866</c:v>
                </c:pt>
                <c:pt idx="39">
                  <c:v>39.597594639427953</c:v>
                </c:pt>
                <c:pt idx="40">
                  <c:v>38.054152260887811</c:v>
                </c:pt>
                <c:pt idx="41">
                  <c:v>36.748890439736229</c:v>
                </c:pt>
                <c:pt idx="42">
                  <c:v>37.584398404909678</c:v>
                </c:pt>
                <c:pt idx="43">
                  <c:v>35.862420774294385</c:v>
                </c:pt>
                <c:pt idx="44">
                  <c:v>36.480423352713814</c:v>
                </c:pt>
                <c:pt idx="45">
                  <c:v>36.948665805688883</c:v>
                </c:pt>
                <c:pt idx="46">
                  <c:v>35.719298337832342</c:v>
                </c:pt>
                <c:pt idx="47">
                  <c:v>34.855653915313113</c:v>
                </c:pt>
                <c:pt idx="48">
                  <c:v>36.071768953498591</c:v>
                </c:pt>
                <c:pt idx="49">
                  <c:v>36.032441091527787</c:v>
                </c:pt>
                <c:pt idx="50">
                  <c:v>35.68137165543363</c:v>
                </c:pt>
                <c:pt idx="51">
                  <c:v>35.780542971844667</c:v>
                </c:pt>
                <c:pt idx="52">
                  <c:v>34.896092445576969</c:v>
                </c:pt>
                <c:pt idx="53">
                  <c:v>34.827215142928779</c:v>
                </c:pt>
                <c:pt idx="54">
                  <c:v>34.784827375385483</c:v>
                </c:pt>
                <c:pt idx="55">
                  <c:v>34.21685399134077</c:v>
                </c:pt>
                <c:pt idx="56">
                  <c:v>34.020742513287189</c:v>
                </c:pt>
                <c:pt idx="57">
                  <c:v>34.019569525241508</c:v>
                </c:pt>
                <c:pt idx="58">
                  <c:v>31.981958729964287</c:v>
                </c:pt>
                <c:pt idx="59">
                  <c:v>31.938717473168222</c:v>
                </c:pt>
                <c:pt idx="60">
                  <c:v>30.57543666994561</c:v>
                </c:pt>
                <c:pt idx="61">
                  <c:v>30.332397302961994</c:v>
                </c:pt>
                <c:pt idx="62">
                  <c:v>30.544663195506711</c:v>
                </c:pt>
                <c:pt idx="63">
                  <c:v>28.769417177354402</c:v>
                </c:pt>
                <c:pt idx="64">
                  <c:v>30.033712560242943</c:v>
                </c:pt>
                <c:pt idx="65">
                  <c:v>29.155327302563421</c:v>
                </c:pt>
                <c:pt idx="66">
                  <c:v>28.824452040523095</c:v>
                </c:pt>
                <c:pt idx="67">
                  <c:v>27.575770499385964</c:v>
                </c:pt>
                <c:pt idx="68">
                  <c:v>28.259713585160839</c:v>
                </c:pt>
                <c:pt idx="69">
                  <c:v>28.994224490417619</c:v>
                </c:pt>
                <c:pt idx="70">
                  <c:v>28.807410771539782</c:v>
                </c:pt>
                <c:pt idx="71">
                  <c:v>28.849516620600784</c:v>
                </c:pt>
                <c:pt idx="72">
                  <c:v>29.683324292578767</c:v>
                </c:pt>
                <c:pt idx="73">
                  <c:v>29.389102751129986</c:v>
                </c:pt>
                <c:pt idx="74">
                  <c:v>29.326886120041156</c:v>
                </c:pt>
                <c:pt idx="75">
                  <c:v>28.913887157198339</c:v>
                </c:pt>
                <c:pt idx="76">
                  <c:v>29.294493751593702</c:v>
                </c:pt>
                <c:pt idx="77">
                  <c:v>30.132120007184504</c:v>
                </c:pt>
                <c:pt idx="78">
                  <c:v>29.454072115888835</c:v>
                </c:pt>
                <c:pt idx="79">
                  <c:v>28.774789126203959</c:v>
                </c:pt>
                <c:pt idx="80">
                  <c:v>28.452609964727792</c:v>
                </c:pt>
              </c:numCache>
            </c:numRef>
          </c:val>
          <c:smooth val="0"/>
          <c:extLst>
            <c:ext xmlns:c16="http://schemas.microsoft.com/office/drawing/2014/chart" uri="{C3380CC4-5D6E-409C-BE32-E72D297353CC}">
              <c16:uniqueId val="{00000002-4230-494F-8F94-237FE67CB0B9}"/>
            </c:ext>
          </c:extLst>
        </c:ser>
        <c:dLbls>
          <c:showLegendKey val="0"/>
          <c:showVal val="0"/>
          <c:showCatName val="0"/>
          <c:showSerName val="0"/>
          <c:showPercent val="0"/>
          <c:showBubbleSize val="0"/>
        </c:dLbls>
        <c:smooth val="0"/>
        <c:axId val="112542848"/>
        <c:axId val="112544384"/>
      </c:lineChart>
      <c:dateAx>
        <c:axId val="112542848"/>
        <c:scaling>
          <c:orientation val="minMax"/>
        </c:scaling>
        <c:delete val="0"/>
        <c:axPos val="b"/>
        <c:numFmt formatCode="yyyy" sourceLinked="0"/>
        <c:majorTickMark val="none"/>
        <c:minorTickMark val="none"/>
        <c:tickLblPos val="nextTo"/>
        <c:spPr>
          <a:noFill/>
          <a:ln w="3175" cap="flat" cmpd="sng" algn="ctr">
            <a:solidFill>
              <a:srgbClr val="002060"/>
            </a:solidFill>
            <a:round/>
          </a:ln>
          <a:effectLst/>
        </c:spPr>
        <c:txPr>
          <a:bodyPr rot="0" spcFirstLastPara="1" vertOverflow="ellipsis" wrap="square" anchor="ctr" anchorCtr="1"/>
          <a:lstStyle/>
          <a:p>
            <a:pPr>
              <a:defRPr sz="700" b="0" i="0" u="none" strike="noStrike" kern="1200" cap="none" spc="0" normalizeH="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2544384"/>
        <c:crosses val="autoZero"/>
        <c:auto val="0"/>
        <c:lblOffset val="100"/>
        <c:baseTimeUnit val="months"/>
        <c:majorUnit val="3"/>
        <c:majorTimeUnit val="years"/>
      </c:dateAx>
      <c:valAx>
        <c:axId val="112544384"/>
        <c:scaling>
          <c:orientation val="minMax"/>
          <c:max val="70"/>
          <c:min val="0"/>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600" b="0" i="1"/>
                  <a:t>%</a:t>
                </a:r>
                <a:r>
                  <a:rPr lang="it-IT" sz="600" b="0" i="1" baseline="0"/>
                  <a:t> of total</a:t>
                </a:r>
                <a:endParaRPr lang="it-IT" sz="600" b="0" i="1"/>
              </a:p>
            </c:rich>
          </c:tx>
          <c:layout>
            <c:manualLayout>
              <c:xMode val="edge"/>
              <c:yMode val="edge"/>
              <c:x val="0.12787328667249928"/>
              <c:y val="6.7522455676562551E-2"/>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12542848"/>
        <c:crossesAt val="36586"/>
        <c:crossBetween val="midCat"/>
      </c:valAx>
      <c:spPr>
        <a:noFill/>
        <a:ln>
          <a:noFill/>
        </a:ln>
        <a:effectLst/>
      </c:spPr>
    </c:plotArea>
    <c:legend>
      <c:legendPos val="t"/>
      <c:layout>
        <c:manualLayout>
          <c:xMode val="edge"/>
          <c:yMode val="edge"/>
          <c:x val="0.32871646252551762"/>
          <c:y val="3.1315498538995706E-2"/>
          <c:w val="0.66583582224635718"/>
          <c:h val="0.1694036411707705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lt1"/>
    </a:solidFill>
    <a:ln w="9525" cap="flat" cmpd="sng" algn="ctr">
      <a:solidFill>
        <a:schemeClr val="bg1"/>
      </a:solid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18891088060818E-2"/>
          <c:y val="6.4753480209862463E-2"/>
          <c:w val="0.87373545679555731"/>
          <c:h val="0.82588173891600714"/>
        </c:manualLayout>
      </c:layout>
      <c:barChart>
        <c:barDir val="col"/>
        <c:grouping val="stacked"/>
        <c:varyColors val="0"/>
        <c:ser>
          <c:idx val="0"/>
          <c:order val="0"/>
          <c:tx>
            <c:v>AAA EA governent debt</c:v>
          </c:tx>
          <c:spPr>
            <a:solidFill>
              <a:srgbClr val="4F81BD"/>
            </a:solidFill>
            <a:ln>
              <a:noFill/>
            </a:ln>
            <a:effectLst/>
          </c:spPr>
          <c:invertIfNegative val="0"/>
          <c:dPt>
            <c:idx val="6"/>
            <c:invertIfNegative val="0"/>
            <c:bubble3D val="0"/>
            <c:spPr>
              <a:solidFill>
                <a:srgbClr val="4F81BD"/>
              </a:solidFill>
              <a:ln>
                <a:solidFill>
                  <a:srgbClr val="4F81BD"/>
                </a:solidFill>
              </a:ln>
              <a:effectLst/>
            </c:spPr>
            <c:extLst>
              <c:ext xmlns:c16="http://schemas.microsoft.com/office/drawing/2014/chart" uri="{C3380CC4-5D6E-409C-BE32-E72D297353CC}">
                <c16:uniqueId val="{00000001-B8DF-4633-A94A-F867A63243AA}"/>
              </c:ext>
            </c:extLst>
          </c:dPt>
          <c:cat>
            <c:numRef>
              <c:f>'[Chart 25, 26, 27, 28, 30.xlsx]Rating_vs_Debt_AAA'!$AG$104:$AG$110</c:f>
              <c:numCache>
                <c:formatCode>General</c:formatCode>
                <c:ptCount val="7"/>
                <c:pt idx="0">
                  <c:v>2015</c:v>
                </c:pt>
                <c:pt idx="1">
                  <c:v>2016</c:v>
                </c:pt>
                <c:pt idx="2">
                  <c:v>2017</c:v>
                </c:pt>
                <c:pt idx="3">
                  <c:v>2018</c:v>
                </c:pt>
                <c:pt idx="4">
                  <c:v>2019</c:v>
                </c:pt>
                <c:pt idx="5">
                  <c:v>2020</c:v>
                </c:pt>
                <c:pt idx="6">
                  <c:v>2026</c:v>
                </c:pt>
              </c:numCache>
            </c:numRef>
          </c:cat>
          <c:val>
            <c:numRef>
              <c:f>'[Chart 25, 26, 27, 28, 30.xlsx]Rating_vs_Debt_AAA'!$AI$104:$AI$110</c:f>
              <c:numCache>
                <c:formatCode>General</c:formatCode>
                <c:ptCount val="7"/>
                <c:pt idx="0">
                  <c:v>3069614.9</c:v>
                </c:pt>
                <c:pt idx="1">
                  <c:v>2618670.9</c:v>
                </c:pt>
                <c:pt idx="2">
                  <c:v>2551662.7000000002</c:v>
                </c:pt>
                <c:pt idx="3">
                  <c:v>2486943.7999999998</c:v>
                </c:pt>
                <c:pt idx="4">
                  <c:v>2461712.2999999998</c:v>
                </c:pt>
                <c:pt idx="5">
                  <c:v>2973700.5842633201</c:v>
                </c:pt>
                <c:pt idx="6">
                  <c:v>3246866.6724678599</c:v>
                </c:pt>
              </c:numCache>
            </c:numRef>
          </c:val>
          <c:extLst>
            <c:ext xmlns:c16="http://schemas.microsoft.com/office/drawing/2014/chart" uri="{C3380CC4-5D6E-409C-BE32-E72D297353CC}">
              <c16:uniqueId val="{00000002-B8DF-4633-A94A-F867A63243AA}"/>
            </c:ext>
          </c:extLst>
        </c:ser>
        <c:ser>
          <c:idx val="1"/>
          <c:order val="1"/>
          <c:tx>
            <c:v>NGEU/SURE issuance</c:v>
          </c:tx>
          <c:spPr>
            <a:pattFill prst="dkUpDiag">
              <a:fgClr>
                <a:srgbClr val="8064A2"/>
              </a:fgClr>
              <a:bgClr>
                <a:schemeClr val="bg1"/>
              </a:bgClr>
            </a:pattFill>
            <a:ln>
              <a:solidFill>
                <a:srgbClr val="8064A2"/>
              </a:solidFill>
            </a:ln>
            <a:effectLst/>
          </c:spPr>
          <c:invertIfNegative val="0"/>
          <c:dPt>
            <c:idx val="6"/>
            <c:invertIfNegative val="0"/>
            <c:bubble3D val="0"/>
            <c:spPr>
              <a:pattFill prst="dkUpDiag"/>
              <a:ln>
                <a:solidFill>
                  <a:srgbClr val="8064A2"/>
                </a:solidFill>
              </a:ln>
              <a:effectLst/>
            </c:spPr>
            <c:extLst>
              <c:ext xmlns:c16="http://schemas.microsoft.com/office/drawing/2014/chart" uri="{C3380CC4-5D6E-409C-BE32-E72D297353CC}">
                <c16:uniqueId val="{00000004-B8DF-4633-A94A-F867A63243AA}"/>
              </c:ext>
            </c:extLst>
          </c:dPt>
          <c:cat>
            <c:numRef>
              <c:f>'[Chart 25, 26, 27, 28, 30.xlsx]Rating_vs_Debt_AAA'!$AG$104:$AG$110</c:f>
              <c:numCache>
                <c:formatCode>General</c:formatCode>
                <c:ptCount val="7"/>
                <c:pt idx="0">
                  <c:v>2015</c:v>
                </c:pt>
                <c:pt idx="1">
                  <c:v>2016</c:v>
                </c:pt>
                <c:pt idx="2">
                  <c:v>2017</c:v>
                </c:pt>
                <c:pt idx="3">
                  <c:v>2018</c:v>
                </c:pt>
                <c:pt idx="4">
                  <c:v>2019</c:v>
                </c:pt>
                <c:pt idx="5">
                  <c:v>2020</c:v>
                </c:pt>
                <c:pt idx="6">
                  <c:v>2026</c:v>
                </c:pt>
              </c:numCache>
            </c:numRef>
          </c:cat>
          <c:val>
            <c:numRef>
              <c:f>'[Chart 25, 26, 27, 28, 30.xlsx]Rating_vs_Debt_AAA'!$AJ$104:$AJ$110</c:f>
              <c:numCache>
                <c:formatCode>General</c:formatCode>
                <c:ptCount val="7"/>
                <c:pt idx="6">
                  <c:v>850000</c:v>
                </c:pt>
              </c:numCache>
            </c:numRef>
          </c:val>
          <c:extLst>
            <c:ext xmlns:c16="http://schemas.microsoft.com/office/drawing/2014/chart" uri="{C3380CC4-5D6E-409C-BE32-E72D297353CC}">
              <c16:uniqueId val="{00000005-B8DF-4633-A94A-F867A63243AA}"/>
            </c:ext>
          </c:extLst>
        </c:ser>
        <c:dLbls>
          <c:showLegendKey val="0"/>
          <c:showVal val="0"/>
          <c:showCatName val="0"/>
          <c:showSerName val="0"/>
          <c:showPercent val="0"/>
          <c:showBubbleSize val="0"/>
        </c:dLbls>
        <c:gapWidth val="150"/>
        <c:overlap val="100"/>
        <c:axId val="112572672"/>
        <c:axId val="112582656"/>
      </c:barChart>
      <c:catAx>
        <c:axId val="11257267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82656"/>
        <c:crosses val="autoZero"/>
        <c:auto val="1"/>
        <c:lblAlgn val="ctr"/>
        <c:lblOffset val="100"/>
        <c:noMultiLvlLbl val="0"/>
      </c:catAx>
      <c:valAx>
        <c:axId val="112582656"/>
        <c:scaling>
          <c:orientation val="minMax"/>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600" i="1">
                    <a:latin typeface="Verdana" panose="020B0604030504040204" pitchFamily="34" charset="0"/>
                    <a:ea typeface="Verdana" panose="020B0604030504040204" pitchFamily="34" charset="0"/>
                  </a:rPr>
                  <a:t>EUR trn</a:t>
                </a:r>
              </a:p>
            </c:rich>
          </c:tx>
          <c:layout>
            <c:manualLayout>
              <c:xMode val="edge"/>
              <c:yMode val="edge"/>
              <c:x val="8.0521003338693942E-2"/>
              <c:y val="7.4063538907358339E-2"/>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72672"/>
        <c:crosses val="autoZero"/>
        <c:crossBetween val="between"/>
        <c:majorUnit val="1000000"/>
        <c:dispUnits>
          <c:builtInUnit val="millions"/>
        </c:dispUnits>
      </c:valAx>
      <c:spPr>
        <a:noFill/>
        <a:ln>
          <a:noFill/>
        </a:ln>
        <a:effectLst/>
      </c:spPr>
    </c:plotArea>
    <c:legend>
      <c:legendPos val="b"/>
      <c:layout>
        <c:manualLayout>
          <c:xMode val="edge"/>
          <c:yMode val="edge"/>
          <c:x val="0.23357058249617349"/>
          <c:y val="4.5584474054313519E-2"/>
          <c:w val="0.51160449753998827"/>
          <c:h val="0.19087138125698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02980681195153E-2"/>
          <c:y val="7.1361884642468482E-2"/>
          <c:w val="0.85287446509923748"/>
          <c:h val="0.78379053837782475"/>
        </c:manualLayout>
      </c:layout>
      <c:lineChart>
        <c:grouping val="standard"/>
        <c:varyColors val="0"/>
        <c:ser>
          <c:idx val="0"/>
          <c:order val="0"/>
          <c:tx>
            <c:strRef>
              <c:f>'[ESTAT_Hours worked Persons GVA by sector_namq_10_a10_e_ML.xls]Graph hours and Empl 2006-2020'!$A$40</c:f>
              <c:strCache>
                <c:ptCount val="1"/>
                <c:pt idx="0">
                  <c:v>Hours worked </c:v>
                </c:pt>
              </c:strCache>
            </c:strRef>
          </c:tx>
          <c:spPr>
            <a:ln w="28575" cap="rnd">
              <a:solidFill>
                <a:srgbClr val="002060"/>
              </a:solidFill>
              <a:round/>
            </a:ln>
            <a:effectLst/>
          </c:spPr>
          <c:marker>
            <c:symbol val="none"/>
          </c:marker>
          <c:cat>
            <c:numRef>
              <c:f>'[ESTAT_Hours worked Persons GVA by sector_namq_10_a10_e_ML.xls]Graph hours and Empl 2006-2020'!$B$66:$K$66</c:f>
              <c:numCache>
                <c:formatCode>[$-409]mmm/yy;@</c:formatCode>
                <c:ptCount val="10"/>
                <c:pt idx="0">
                  <c:v>43160</c:v>
                </c:pt>
                <c:pt idx="1">
                  <c:v>43252</c:v>
                </c:pt>
                <c:pt idx="2">
                  <c:v>43344</c:v>
                </c:pt>
                <c:pt idx="3">
                  <c:v>43435</c:v>
                </c:pt>
                <c:pt idx="4">
                  <c:v>43525</c:v>
                </c:pt>
                <c:pt idx="5">
                  <c:v>43617</c:v>
                </c:pt>
                <c:pt idx="6">
                  <c:v>43709</c:v>
                </c:pt>
                <c:pt idx="7">
                  <c:v>43800</c:v>
                </c:pt>
                <c:pt idx="8">
                  <c:v>43891</c:v>
                </c:pt>
                <c:pt idx="9">
                  <c:v>43983</c:v>
                </c:pt>
              </c:numCache>
            </c:numRef>
          </c:cat>
          <c:val>
            <c:numRef>
              <c:f>'[ESTAT_Hours worked Persons GVA by sector_namq_10_a10_e_ML.xls]Graph hours and Empl 2006-2020'!$B$40:$K$40</c:f>
              <c:numCache>
                <c:formatCode>General</c:formatCode>
                <c:ptCount val="10"/>
                <c:pt idx="0">
                  <c:v>100</c:v>
                </c:pt>
                <c:pt idx="1">
                  <c:v>100.89717482490761</c:v>
                </c:pt>
                <c:pt idx="2">
                  <c:v>101.09588260339073</c:v>
                </c:pt>
                <c:pt idx="3">
                  <c:v>101.30482361954311</c:v>
                </c:pt>
                <c:pt idx="4">
                  <c:v>101.76575001738597</c:v>
                </c:pt>
                <c:pt idx="5">
                  <c:v>101.95114001425043</c:v>
                </c:pt>
                <c:pt idx="6">
                  <c:v>102.11281869269256</c:v>
                </c:pt>
                <c:pt idx="7">
                  <c:v>102.1515236473202</c:v>
                </c:pt>
                <c:pt idx="8">
                  <c:v>98.003738208197305</c:v>
                </c:pt>
                <c:pt idx="9">
                  <c:v>85.441425360472664</c:v>
                </c:pt>
              </c:numCache>
            </c:numRef>
          </c:val>
          <c:smooth val="0"/>
          <c:extLst>
            <c:ext xmlns:c16="http://schemas.microsoft.com/office/drawing/2014/chart" uri="{C3380CC4-5D6E-409C-BE32-E72D297353CC}">
              <c16:uniqueId val="{00000000-6890-49B9-81F7-8AD2219DB7CC}"/>
            </c:ext>
          </c:extLst>
        </c:ser>
        <c:ser>
          <c:idx val="1"/>
          <c:order val="1"/>
          <c:tx>
            <c:strRef>
              <c:f>'[ESTAT_Hours worked Persons GVA by sector_namq_10_a10_e_ML.xls]Graph hours and Empl 2006-2020'!$A$41</c:f>
              <c:strCache>
                <c:ptCount val="1"/>
                <c:pt idx="0">
                  <c:v>Total employment</c:v>
                </c:pt>
              </c:strCache>
            </c:strRef>
          </c:tx>
          <c:spPr>
            <a:ln w="28575" cap="rnd">
              <a:solidFill>
                <a:schemeClr val="accent6">
                  <a:lumMod val="60000"/>
                  <a:lumOff val="40000"/>
                </a:schemeClr>
              </a:solidFill>
              <a:round/>
            </a:ln>
            <a:effectLst/>
          </c:spPr>
          <c:marker>
            <c:symbol val="none"/>
          </c:marker>
          <c:cat>
            <c:numRef>
              <c:f>'[ESTAT_Hours worked Persons GVA by sector_namq_10_a10_e_ML.xls]Graph hours and Empl 2006-2020'!$B$66:$K$66</c:f>
              <c:numCache>
                <c:formatCode>[$-409]mmm/yy;@</c:formatCode>
                <c:ptCount val="10"/>
                <c:pt idx="0">
                  <c:v>43160</c:v>
                </c:pt>
                <c:pt idx="1">
                  <c:v>43252</c:v>
                </c:pt>
                <c:pt idx="2">
                  <c:v>43344</c:v>
                </c:pt>
                <c:pt idx="3">
                  <c:v>43435</c:v>
                </c:pt>
                <c:pt idx="4">
                  <c:v>43525</c:v>
                </c:pt>
                <c:pt idx="5">
                  <c:v>43617</c:v>
                </c:pt>
                <c:pt idx="6">
                  <c:v>43709</c:v>
                </c:pt>
                <c:pt idx="7">
                  <c:v>43800</c:v>
                </c:pt>
                <c:pt idx="8">
                  <c:v>43891</c:v>
                </c:pt>
                <c:pt idx="9">
                  <c:v>43983</c:v>
                </c:pt>
              </c:numCache>
            </c:numRef>
          </c:cat>
          <c:val>
            <c:numRef>
              <c:f>'[ESTAT_Hours worked Persons GVA by sector_namq_10_a10_e_ML.xls]Graph hours and Empl 2006-2020'!$B$41:$K$41</c:f>
              <c:numCache>
                <c:formatCode>General</c:formatCode>
                <c:ptCount val="10"/>
                <c:pt idx="0">
                  <c:v>100</c:v>
                </c:pt>
                <c:pt idx="1">
                  <c:v>100.52035125377563</c:v>
                </c:pt>
                <c:pt idx="2">
                  <c:v>100.75051358102603</c:v>
                </c:pt>
                <c:pt idx="3">
                  <c:v>101.04510585605317</c:v>
                </c:pt>
                <c:pt idx="4">
                  <c:v>101.42856570993702</c:v>
                </c:pt>
                <c:pt idx="5">
                  <c:v>101.83244108869329</c:v>
                </c:pt>
                <c:pt idx="6">
                  <c:v>101.91592679715869</c:v>
                </c:pt>
                <c:pt idx="7">
                  <c:v>102.12516527647722</c:v>
                </c:pt>
                <c:pt idx="8">
                  <c:v>101.84299514621371</c:v>
                </c:pt>
                <c:pt idx="9">
                  <c:v>98.86663655276142</c:v>
                </c:pt>
              </c:numCache>
            </c:numRef>
          </c:val>
          <c:smooth val="0"/>
          <c:extLst>
            <c:ext xmlns:c16="http://schemas.microsoft.com/office/drawing/2014/chart" uri="{C3380CC4-5D6E-409C-BE32-E72D297353CC}">
              <c16:uniqueId val="{00000001-6890-49B9-81F7-8AD2219DB7CC}"/>
            </c:ext>
          </c:extLst>
        </c:ser>
        <c:ser>
          <c:idx val="2"/>
          <c:order val="2"/>
          <c:tx>
            <c:strRef>
              <c:f>'[ESTAT_Hours worked Persons GVA by sector_namq_10_a10_e_ML.xls]Graph hours and Empl 2006-2020'!$A$67</c:f>
              <c:strCache>
                <c:ptCount val="1"/>
                <c:pt idx="0">
                  <c:v>Activity Rate</c:v>
                </c:pt>
              </c:strCache>
            </c:strRef>
          </c:tx>
          <c:marker>
            <c:symbol val="none"/>
          </c:marker>
          <c:cat>
            <c:numRef>
              <c:f>'[ESTAT_Hours worked Persons GVA by sector_namq_10_a10_e_ML.xls]Graph hours and Empl 2006-2020'!$B$66:$K$66</c:f>
              <c:numCache>
                <c:formatCode>[$-409]mmm/yy;@</c:formatCode>
                <c:ptCount val="10"/>
                <c:pt idx="0">
                  <c:v>43160</c:v>
                </c:pt>
                <c:pt idx="1">
                  <c:v>43252</c:v>
                </c:pt>
                <c:pt idx="2">
                  <c:v>43344</c:v>
                </c:pt>
                <c:pt idx="3">
                  <c:v>43435</c:v>
                </c:pt>
                <c:pt idx="4">
                  <c:v>43525</c:v>
                </c:pt>
                <c:pt idx="5">
                  <c:v>43617</c:v>
                </c:pt>
                <c:pt idx="6">
                  <c:v>43709</c:v>
                </c:pt>
                <c:pt idx="7">
                  <c:v>43800</c:v>
                </c:pt>
                <c:pt idx="8">
                  <c:v>43891</c:v>
                </c:pt>
                <c:pt idx="9">
                  <c:v>43983</c:v>
                </c:pt>
              </c:numCache>
            </c:numRef>
          </c:cat>
          <c:val>
            <c:numRef>
              <c:f>'[ESTAT_Hours worked Persons GVA by sector_namq_10_a10_e_ML.xls]Graph hours and Empl 2006-2020'!$B$69:$K$69</c:f>
              <c:numCache>
                <c:formatCode>General</c:formatCode>
                <c:ptCount val="10"/>
                <c:pt idx="0">
                  <c:v>100</c:v>
                </c:pt>
                <c:pt idx="1">
                  <c:v>100.38510911424903</c:v>
                </c:pt>
                <c:pt idx="2">
                  <c:v>100.38510911424903</c:v>
                </c:pt>
                <c:pt idx="3">
                  <c:v>100.64184852374839</c:v>
                </c:pt>
                <c:pt idx="4">
                  <c:v>100.38510911424903</c:v>
                </c:pt>
                <c:pt idx="5">
                  <c:v>100.64184852374839</c:v>
                </c:pt>
                <c:pt idx="6">
                  <c:v>100.64184852374839</c:v>
                </c:pt>
                <c:pt idx="7">
                  <c:v>100.89858793324773</c:v>
                </c:pt>
                <c:pt idx="8">
                  <c:v>100.12836970474967</c:v>
                </c:pt>
                <c:pt idx="9">
                  <c:v>98.074454428754805</c:v>
                </c:pt>
              </c:numCache>
            </c:numRef>
          </c:val>
          <c:smooth val="0"/>
          <c:extLst>
            <c:ext xmlns:c16="http://schemas.microsoft.com/office/drawing/2014/chart" uri="{C3380CC4-5D6E-409C-BE32-E72D297353CC}">
              <c16:uniqueId val="{00000002-6890-49B9-81F7-8AD2219DB7CC}"/>
            </c:ext>
          </c:extLst>
        </c:ser>
        <c:dLbls>
          <c:showLegendKey val="0"/>
          <c:showVal val="0"/>
          <c:showCatName val="0"/>
          <c:showSerName val="0"/>
          <c:showPercent val="0"/>
          <c:showBubbleSize val="0"/>
        </c:dLbls>
        <c:smooth val="0"/>
        <c:axId val="107885312"/>
        <c:axId val="107886848"/>
      </c:lineChart>
      <c:dateAx>
        <c:axId val="107885312"/>
        <c:scaling>
          <c:orientation val="minMax"/>
        </c:scaling>
        <c:delete val="0"/>
        <c:axPos val="b"/>
        <c:numFmt formatCode="[$-409]mmm/yy;@" sourceLinked="0"/>
        <c:majorTickMark val="none"/>
        <c:minorTickMark val="none"/>
        <c:tickLblPos val="nextTo"/>
        <c:spPr>
          <a:noFill/>
          <a:ln w="3175" cap="flat" cmpd="sng" algn="ctr">
            <a:solidFill>
              <a:sysClr val="windowText" lastClr="000000"/>
            </a:solidFill>
            <a:round/>
          </a:ln>
          <a:effectLst/>
        </c:spPr>
        <c:txPr>
          <a:bodyPr rot="-60000000" vert="horz"/>
          <a:lstStyle/>
          <a:p>
            <a:pPr>
              <a:defRPr/>
            </a:pPr>
            <a:endParaRPr lang="en-US"/>
          </a:p>
        </c:txPr>
        <c:crossAx val="107886848"/>
        <c:crosses val="autoZero"/>
        <c:auto val="1"/>
        <c:lblOffset val="100"/>
        <c:baseTimeUnit val="months"/>
        <c:majorUnit val="9"/>
        <c:majorTimeUnit val="months"/>
        <c:minorUnit val="4"/>
        <c:minorTimeUnit val="months"/>
      </c:dateAx>
      <c:valAx>
        <c:axId val="107886848"/>
        <c:scaling>
          <c:orientation val="minMax"/>
          <c:max val="103"/>
          <c:min val="85"/>
        </c:scaling>
        <c:delete val="0"/>
        <c:axPos val="l"/>
        <c:title>
          <c:tx>
            <c:rich>
              <a:bodyPr rot="0" vert="horz"/>
              <a:lstStyle/>
              <a:p>
                <a:pPr>
                  <a:defRPr sz="500" b="0" i="1">
                    <a:solidFill>
                      <a:sysClr val="windowText" lastClr="000000"/>
                    </a:solidFill>
                  </a:defRPr>
                </a:pPr>
                <a:r>
                  <a:rPr lang="it-IT" sz="400" b="0" i="1">
                    <a:solidFill>
                      <a:sysClr val="windowText" lastClr="000000"/>
                    </a:solidFill>
                  </a:rPr>
                  <a:t>Mar-2018 =</a:t>
                </a:r>
                <a:r>
                  <a:rPr lang="it-IT" sz="400" b="0" i="1" baseline="0">
                    <a:solidFill>
                      <a:sysClr val="windowText" lastClr="000000"/>
                    </a:solidFill>
                  </a:rPr>
                  <a:t> 100</a:t>
                </a:r>
                <a:endParaRPr lang="it-IT" sz="400" b="0" i="1">
                  <a:solidFill>
                    <a:sysClr val="windowText" lastClr="000000"/>
                  </a:solidFill>
                </a:endParaRPr>
              </a:p>
            </c:rich>
          </c:tx>
          <c:layout>
            <c:manualLayout>
              <c:xMode val="edge"/>
              <c:yMode val="edge"/>
              <c:x val="0.11784625842632983"/>
              <c:y val="4.9451891684271172E-2"/>
            </c:manualLayout>
          </c:layout>
          <c:overlay val="0"/>
        </c:title>
        <c:numFmt formatCode="General" sourceLinked="1"/>
        <c:majorTickMark val="none"/>
        <c:minorTickMark val="none"/>
        <c:tickLblPos val="nextTo"/>
        <c:spPr>
          <a:noFill/>
          <a:ln w="3175">
            <a:solidFill>
              <a:schemeClr val="tx1"/>
            </a:solidFill>
          </a:ln>
          <a:effectLst/>
        </c:spPr>
        <c:txPr>
          <a:bodyPr rot="-60000000" vert="horz"/>
          <a:lstStyle/>
          <a:p>
            <a:pPr>
              <a:defRPr/>
            </a:pPr>
            <a:endParaRPr lang="en-US"/>
          </a:p>
        </c:txPr>
        <c:crossAx val="107885312"/>
        <c:crosses val="autoZero"/>
        <c:crossBetween val="between"/>
        <c:majorUnit val="3"/>
      </c:valAx>
      <c:spPr>
        <a:noFill/>
        <a:ln w="25400">
          <a:noFill/>
        </a:ln>
      </c:spPr>
    </c:plotArea>
    <c:legend>
      <c:legendPos val="r"/>
      <c:layout>
        <c:manualLayout>
          <c:xMode val="edge"/>
          <c:yMode val="edge"/>
          <c:x val="0.11327785474653822"/>
          <c:y val="0.4360683695025927"/>
          <c:w val="0.55407308129037058"/>
          <c:h val="0.3049899494270533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738291564334852E-2"/>
          <c:y val="6.4593575331527611E-2"/>
          <c:w val="0.90333344506778723"/>
          <c:h val="0.82017416478149896"/>
        </c:manualLayout>
      </c:layout>
      <c:lineChart>
        <c:grouping val="standard"/>
        <c:varyColors val="0"/>
        <c:ser>
          <c:idx val="1"/>
          <c:order val="1"/>
          <c:tx>
            <c:strRef>
              <c:f>'3'!$C$1</c:f>
              <c:strCache>
                <c:ptCount val="1"/>
                <c:pt idx="0">
                  <c:v>US</c:v>
                </c:pt>
              </c:strCache>
            </c:strRef>
          </c:tx>
          <c:spPr>
            <a:ln w="28575" cap="rnd">
              <a:solidFill>
                <a:srgbClr val="002060"/>
              </a:solidFill>
              <a:round/>
            </a:ln>
            <a:effectLst/>
          </c:spPr>
          <c:marker>
            <c:symbol val="none"/>
          </c:marker>
          <c:cat>
            <c:numRef>
              <c:f>'3'!$A$2:$A$251</c:f>
              <c:numCache>
                <c:formatCode>yyyy\-mm\-dd</c:formatCode>
                <c:ptCount val="250"/>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pt idx="207">
                  <c:v>42826</c:v>
                </c:pt>
                <c:pt idx="208">
                  <c:v>42856</c:v>
                </c:pt>
                <c:pt idx="209">
                  <c:v>42887</c:v>
                </c:pt>
                <c:pt idx="210">
                  <c:v>42917</c:v>
                </c:pt>
                <c:pt idx="211">
                  <c:v>42948</c:v>
                </c:pt>
                <c:pt idx="212">
                  <c:v>42979</c:v>
                </c:pt>
                <c:pt idx="213">
                  <c:v>43009</c:v>
                </c:pt>
                <c:pt idx="214">
                  <c:v>43040</c:v>
                </c:pt>
                <c:pt idx="215">
                  <c:v>43070</c:v>
                </c:pt>
                <c:pt idx="216">
                  <c:v>43101</c:v>
                </c:pt>
                <c:pt idx="217">
                  <c:v>43132</c:v>
                </c:pt>
                <c:pt idx="218">
                  <c:v>43160</c:v>
                </c:pt>
                <c:pt idx="219">
                  <c:v>43191</c:v>
                </c:pt>
                <c:pt idx="220">
                  <c:v>43221</c:v>
                </c:pt>
                <c:pt idx="221">
                  <c:v>43252</c:v>
                </c:pt>
                <c:pt idx="222">
                  <c:v>43282</c:v>
                </c:pt>
                <c:pt idx="223">
                  <c:v>43313</c:v>
                </c:pt>
                <c:pt idx="224">
                  <c:v>43344</c:v>
                </c:pt>
                <c:pt idx="225">
                  <c:v>43374</c:v>
                </c:pt>
                <c:pt idx="226">
                  <c:v>43405</c:v>
                </c:pt>
                <c:pt idx="227">
                  <c:v>43435</c:v>
                </c:pt>
                <c:pt idx="228">
                  <c:v>43466</c:v>
                </c:pt>
                <c:pt idx="229">
                  <c:v>43497</c:v>
                </c:pt>
                <c:pt idx="230">
                  <c:v>43525</c:v>
                </c:pt>
                <c:pt idx="231">
                  <c:v>43556</c:v>
                </c:pt>
                <c:pt idx="232">
                  <c:v>43586</c:v>
                </c:pt>
                <c:pt idx="233">
                  <c:v>43617</c:v>
                </c:pt>
                <c:pt idx="234">
                  <c:v>43647</c:v>
                </c:pt>
                <c:pt idx="235">
                  <c:v>43678</c:v>
                </c:pt>
                <c:pt idx="236">
                  <c:v>43709</c:v>
                </c:pt>
                <c:pt idx="237">
                  <c:v>43739</c:v>
                </c:pt>
                <c:pt idx="238">
                  <c:v>43770</c:v>
                </c:pt>
                <c:pt idx="239">
                  <c:v>43800</c:v>
                </c:pt>
                <c:pt idx="240">
                  <c:v>43831</c:v>
                </c:pt>
                <c:pt idx="241">
                  <c:v>43862</c:v>
                </c:pt>
                <c:pt idx="242">
                  <c:v>43891</c:v>
                </c:pt>
                <c:pt idx="243">
                  <c:v>43922</c:v>
                </c:pt>
                <c:pt idx="244">
                  <c:v>43952</c:v>
                </c:pt>
                <c:pt idx="245">
                  <c:v>43983</c:v>
                </c:pt>
                <c:pt idx="246">
                  <c:v>44013</c:v>
                </c:pt>
                <c:pt idx="247">
                  <c:v>44044</c:v>
                </c:pt>
                <c:pt idx="248">
                  <c:v>44075</c:v>
                </c:pt>
                <c:pt idx="249">
                  <c:v>44105</c:v>
                </c:pt>
              </c:numCache>
            </c:numRef>
          </c:cat>
          <c:val>
            <c:numRef>
              <c:f>'3'!$C$2:$C$251</c:f>
              <c:numCache>
                <c:formatCode>0.0</c:formatCode>
                <c:ptCount val="250"/>
                <c:pt idx="0">
                  <c:v>4</c:v>
                </c:pt>
                <c:pt idx="1">
                  <c:v>4.0999999999999996</c:v>
                </c:pt>
                <c:pt idx="2">
                  <c:v>4</c:v>
                </c:pt>
                <c:pt idx="3">
                  <c:v>3.8</c:v>
                </c:pt>
                <c:pt idx="4">
                  <c:v>4</c:v>
                </c:pt>
                <c:pt idx="5">
                  <c:v>4</c:v>
                </c:pt>
                <c:pt idx="6">
                  <c:v>4</c:v>
                </c:pt>
                <c:pt idx="7">
                  <c:v>4.0999999999999996</c:v>
                </c:pt>
                <c:pt idx="8">
                  <c:v>3.9</c:v>
                </c:pt>
                <c:pt idx="9">
                  <c:v>3.9</c:v>
                </c:pt>
                <c:pt idx="10">
                  <c:v>3.9</c:v>
                </c:pt>
                <c:pt idx="11">
                  <c:v>3.9</c:v>
                </c:pt>
                <c:pt idx="12">
                  <c:v>4.2</c:v>
                </c:pt>
                <c:pt idx="13">
                  <c:v>4.2</c:v>
                </c:pt>
                <c:pt idx="14">
                  <c:v>4.3</c:v>
                </c:pt>
                <c:pt idx="15">
                  <c:v>4.4000000000000004</c:v>
                </c:pt>
                <c:pt idx="16">
                  <c:v>4.3</c:v>
                </c:pt>
                <c:pt idx="17">
                  <c:v>4.5</c:v>
                </c:pt>
                <c:pt idx="18">
                  <c:v>4.5999999999999996</c:v>
                </c:pt>
                <c:pt idx="19">
                  <c:v>4.9000000000000004</c:v>
                </c:pt>
                <c:pt idx="20">
                  <c:v>5</c:v>
                </c:pt>
                <c:pt idx="21">
                  <c:v>5.3</c:v>
                </c:pt>
                <c:pt idx="22">
                  <c:v>5.5</c:v>
                </c:pt>
                <c:pt idx="23">
                  <c:v>5.7</c:v>
                </c:pt>
                <c:pt idx="24">
                  <c:v>5.7</c:v>
                </c:pt>
                <c:pt idx="25">
                  <c:v>5.7</c:v>
                </c:pt>
                <c:pt idx="26">
                  <c:v>5.7</c:v>
                </c:pt>
                <c:pt idx="27">
                  <c:v>5.9</c:v>
                </c:pt>
                <c:pt idx="28">
                  <c:v>5.8</c:v>
                </c:pt>
                <c:pt idx="29">
                  <c:v>5.8</c:v>
                </c:pt>
                <c:pt idx="30">
                  <c:v>5.8</c:v>
                </c:pt>
                <c:pt idx="31">
                  <c:v>5.7</c:v>
                </c:pt>
                <c:pt idx="32">
                  <c:v>5.7</c:v>
                </c:pt>
                <c:pt idx="33">
                  <c:v>5.7</c:v>
                </c:pt>
                <c:pt idx="34">
                  <c:v>5.9</c:v>
                </c:pt>
                <c:pt idx="35">
                  <c:v>6</c:v>
                </c:pt>
                <c:pt idx="36">
                  <c:v>5.8</c:v>
                </c:pt>
                <c:pt idx="37">
                  <c:v>5.9</c:v>
                </c:pt>
                <c:pt idx="38">
                  <c:v>5.9</c:v>
                </c:pt>
                <c:pt idx="39">
                  <c:v>6</c:v>
                </c:pt>
                <c:pt idx="40">
                  <c:v>6.1</c:v>
                </c:pt>
                <c:pt idx="41">
                  <c:v>6.3</c:v>
                </c:pt>
                <c:pt idx="42">
                  <c:v>6.2</c:v>
                </c:pt>
                <c:pt idx="43">
                  <c:v>6.1</c:v>
                </c:pt>
                <c:pt idx="44">
                  <c:v>6.1</c:v>
                </c:pt>
                <c:pt idx="45">
                  <c:v>6</c:v>
                </c:pt>
                <c:pt idx="46">
                  <c:v>5.8</c:v>
                </c:pt>
                <c:pt idx="47">
                  <c:v>5.7</c:v>
                </c:pt>
                <c:pt idx="48">
                  <c:v>5.7</c:v>
                </c:pt>
                <c:pt idx="49">
                  <c:v>5.6</c:v>
                </c:pt>
                <c:pt idx="50">
                  <c:v>5.8</c:v>
                </c:pt>
                <c:pt idx="51">
                  <c:v>5.6</c:v>
                </c:pt>
                <c:pt idx="52">
                  <c:v>5.6</c:v>
                </c:pt>
                <c:pt idx="53">
                  <c:v>5.6</c:v>
                </c:pt>
                <c:pt idx="54">
                  <c:v>5.5</c:v>
                </c:pt>
                <c:pt idx="55">
                  <c:v>5.4</c:v>
                </c:pt>
                <c:pt idx="56">
                  <c:v>5.4</c:v>
                </c:pt>
                <c:pt idx="57">
                  <c:v>5.5</c:v>
                </c:pt>
                <c:pt idx="58">
                  <c:v>5.4</c:v>
                </c:pt>
                <c:pt idx="59">
                  <c:v>5.4</c:v>
                </c:pt>
                <c:pt idx="60">
                  <c:v>5.3</c:v>
                </c:pt>
                <c:pt idx="61">
                  <c:v>5.4</c:v>
                </c:pt>
                <c:pt idx="62">
                  <c:v>5.2</c:v>
                </c:pt>
                <c:pt idx="63">
                  <c:v>5.2</c:v>
                </c:pt>
                <c:pt idx="64">
                  <c:v>5.0999999999999996</c:v>
                </c:pt>
                <c:pt idx="65">
                  <c:v>5</c:v>
                </c:pt>
                <c:pt idx="66">
                  <c:v>5</c:v>
                </c:pt>
                <c:pt idx="67">
                  <c:v>4.9000000000000004</c:v>
                </c:pt>
                <c:pt idx="68">
                  <c:v>5</c:v>
                </c:pt>
                <c:pt idx="69">
                  <c:v>5</c:v>
                </c:pt>
                <c:pt idx="70">
                  <c:v>5</c:v>
                </c:pt>
                <c:pt idx="71">
                  <c:v>4.9000000000000004</c:v>
                </c:pt>
                <c:pt idx="72">
                  <c:v>4.7</c:v>
                </c:pt>
                <c:pt idx="73">
                  <c:v>4.8</c:v>
                </c:pt>
                <c:pt idx="74">
                  <c:v>4.7</c:v>
                </c:pt>
                <c:pt idx="75">
                  <c:v>4.7</c:v>
                </c:pt>
                <c:pt idx="76">
                  <c:v>4.5999999999999996</c:v>
                </c:pt>
                <c:pt idx="77">
                  <c:v>4.5999999999999996</c:v>
                </c:pt>
                <c:pt idx="78">
                  <c:v>4.7</c:v>
                </c:pt>
                <c:pt idx="79">
                  <c:v>4.7</c:v>
                </c:pt>
                <c:pt idx="80">
                  <c:v>4.5</c:v>
                </c:pt>
                <c:pt idx="81">
                  <c:v>4.4000000000000004</c:v>
                </c:pt>
                <c:pt idx="82">
                  <c:v>4.5</c:v>
                </c:pt>
                <c:pt idx="83">
                  <c:v>4.4000000000000004</c:v>
                </c:pt>
                <c:pt idx="84">
                  <c:v>4.5999999999999996</c:v>
                </c:pt>
                <c:pt idx="85">
                  <c:v>4.5</c:v>
                </c:pt>
                <c:pt idx="86">
                  <c:v>4.4000000000000004</c:v>
                </c:pt>
                <c:pt idx="87">
                  <c:v>4.5</c:v>
                </c:pt>
                <c:pt idx="88">
                  <c:v>4.4000000000000004</c:v>
                </c:pt>
                <c:pt idx="89">
                  <c:v>4.5999999999999996</c:v>
                </c:pt>
                <c:pt idx="90">
                  <c:v>4.7</c:v>
                </c:pt>
                <c:pt idx="91">
                  <c:v>4.5999999999999996</c:v>
                </c:pt>
                <c:pt idx="92">
                  <c:v>4.7</c:v>
                </c:pt>
                <c:pt idx="93">
                  <c:v>4.7</c:v>
                </c:pt>
                <c:pt idx="94">
                  <c:v>4.7</c:v>
                </c:pt>
                <c:pt idx="95">
                  <c:v>5</c:v>
                </c:pt>
                <c:pt idx="96">
                  <c:v>5</c:v>
                </c:pt>
                <c:pt idx="97">
                  <c:v>4.9000000000000004</c:v>
                </c:pt>
                <c:pt idx="98">
                  <c:v>5.0999999999999996</c:v>
                </c:pt>
                <c:pt idx="99">
                  <c:v>5</c:v>
                </c:pt>
                <c:pt idx="100">
                  <c:v>5.4</c:v>
                </c:pt>
                <c:pt idx="101">
                  <c:v>5.6</c:v>
                </c:pt>
                <c:pt idx="102">
                  <c:v>5.8</c:v>
                </c:pt>
                <c:pt idx="103">
                  <c:v>6.1</c:v>
                </c:pt>
                <c:pt idx="104">
                  <c:v>6.1</c:v>
                </c:pt>
                <c:pt idx="105">
                  <c:v>6.5</c:v>
                </c:pt>
                <c:pt idx="106">
                  <c:v>6.8</c:v>
                </c:pt>
                <c:pt idx="107">
                  <c:v>7.3</c:v>
                </c:pt>
                <c:pt idx="108">
                  <c:v>7.8</c:v>
                </c:pt>
                <c:pt idx="109">
                  <c:v>8.3000000000000007</c:v>
                </c:pt>
                <c:pt idx="110">
                  <c:v>8.6999999999999993</c:v>
                </c:pt>
                <c:pt idx="111">
                  <c:v>9</c:v>
                </c:pt>
                <c:pt idx="112">
                  <c:v>9.4</c:v>
                </c:pt>
                <c:pt idx="113">
                  <c:v>9.5</c:v>
                </c:pt>
                <c:pt idx="114">
                  <c:v>9.5</c:v>
                </c:pt>
                <c:pt idx="115">
                  <c:v>9.6</c:v>
                </c:pt>
                <c:pt idx="116">
                  <c:v>9.8000000000000007</c:v>
                </c:pt>
                <c:pt idx="117">
                  <c:v>10</c:v>
                </c:pt>
                <c:pt idx="118">
                  <c:v>9.9</c:v>
                </c:pt>
                <c:pt idx="119">
                  <c:v>9.9</c:v>
                </c:pt>
                <c:pt idx="120">
                  <c:v>9.8000000000000007</c:v>
                </c:pt>
                <c:pt idx="121">
                  <c:v>9.8000000000000007</c:v>
                </c:pt>
                <c:pt idx="122">
                  <c:v>9.9</c:v>
                </c:pt>
                <c:pt idx="123">
                  <c:v>9.9</c:v>
                </c:pt>
                <c:pt idx="124">
                  <c:v>9.6</c:v>
                </c:pt>
                <c:pt idx="125">
                  <c:v>9.4</c:v>
                </c:pt>
                <c:pt idx="126">
                  <c:v>9.4</c:v>
                </c:pt>
                <c:pt idx="127">
                  <c:v>9.5</c:v>
                </c:pt>
                <c:pt idx="128">
                  <c:v>9.5</c:v>
                </c:pt>
                <c:pt idx="129">
                  <c:v>9.4</c:v>
                </c:pt>
                <c:pt idx="130">
                  <c:v>9.8000000000000007</c:v>
                </c:pt>
                <c:pt idx="131">
                  <c:v>9.3000000000000007</c:v>
                </c:pt>
                <c:pt idx="132">
                  <c:v>9.1</c:v>
                </c:pt>
                <c:pt idx="133">
                  <c:v>9</c:v>
                </c:pt>
                <c:pt idx="134">
                  <c:v>9</c:v>
                </c:pt>
                <c:pt idx="135">
                  <c:v>9.1</c:v>
                </c:pt>
                <c:pt idx="136">
                  <c:v>9</c:v>
                </c:pt>
                <c:pt idx="137">
                  <c:v>9.1</c:v>
                </c:pt>
                <c:pt idx="138">
                  <c:v>9</c:v>
                </c:pt>
                <c:pt idx="139">
                  <c:v>9</c:v>
                </c:pt>
                <c:pt idx="140">
                  <c:v>9</c:v>
                </c:pt>
                <c:pt idx="141">
                  <c:v>8.8000000000000007</c:v>
                </c:pt>
                <c:pt idx="142">
                  <c:v>8.6</c:v>
                </c:pt>
                <c:pt idx="143">
                  <c:v>8.5</c:v>
                </c:pt>
                <c:pt idx="144">
                  <c:v>8.3000000000000007</c:v>
                </c:pt>
                <c:pt idx="145">
                  <c:v>8.3000000000000007</c:v>
                </c:pt>
                <c:pt idx="146">
                  <c:v>8.1999999999999993</c:v>
                </c:pt>
                <c:pt idx="147">
                  <c:v>8.1999999999999993</c:v>
                </c:pt>
                <c:pt idx="148">
                  <c:v>8.1999999999999993</c:v>
                </c:pt>
                <c:pt idx="149">
                  <c:v>8.1999999999999993</c:v>
                </c:pt>
                <c:pt idx="150">
                  <c:v>8.1999999999999993</c:v>
                </c:pt>
                <c:pt idx="151">
                  <c:v>8.1</c:v>
                </c:pt>
                <c:pt idx="152">
                  <c:v>7.8</c:v>
                </c:pt>
                <c:pt idx="153">
                  <c:v>7.8</c:v>
                </c:pt>
                <c:pt idx="154">
                  <c:v>7.7</c:v>
                </c:pt>
                <c:pt idx="155">
                  <c:v>7.9</c:v>
                </c:pt>
                <c:pt idx="156">
                  <c:v>8</c:v>
                </c:pt>
                <c:pt idx="157">
                  <c:v>7.7</c:v>
                </c:pt>
                <c:pt idx="158">
                  <c:v>7.5</c:v>
                </c:pt>
                <c:pt idx="159">
                  <c:v>7.6</c:v>
                </c:pt>
                <c:pt idx="160">
                  <c:v>7.5</c:v>
                </c:pt>
                <c:pt idx="161">
                  <c:v>7.5</c:v>
                </c:pt>
                <c:pt idx="162">
                  <c:v>7.3</c:v>
                </c:pt>
                <c:pt idx="163">
                  <c:v>7.2</c:v>
                </c:pt>
                <c:pt idx="164">
                  <c:v>7.2</c:v>
                </c:pt>
                <c:pt idx="165">
                  <c:v>7.2</c:v>
                </c:pt>
                <c:pt idx="166">
                  <c:v>6.9</c:v>
                </c:pt>
                <c:pt idx="167">
                  <c:v>6.7</c:v>
                </c:pt>
                <c:pt idx="168">
                  <c:v>6.6</c:v>
                </c:pt>
                <c:pt idx="169">
                  <c:v>6.7</c:v>
                </c:pt>
                <c:pt idx="170">
                  <c:v>6.7</c:v>
                </c:pt>
                <c:pt idx="171">
                  <c:v>6.2</c:v>
                </c:pt>
                <c:pt idx="172">
                  <c:v>6.3</c:v>
                </c:pt>
                <c:pt idx="173">
                  <c:v>6.1</c:v>
                </c:pt>
                <c:pt idx="174">
                  <c:v>6.2</c:v>
                </c:pt>
                <c:pt idx="175">
                  <c:v>6.1</c:v>
                </c:pt>
                <c:pt idx="176">
                  <c:v>5.9</c:v>
                </c:pt>
                <c:pt idx="177">
                  <c:v>5.7</c:v>
                </c:pt>
                <c:pt idx="178">
                  <c:v>5.8</c:v>
                </c:pt>
                <c:pt idx="179">
                  <c:v>5.6</c:v>
                </c:pt>
                <c:pt idx="180">
                  <c:v>5.7</c:v>
                </c:pt>
                <c:pt idx="181">
                  <c:v>5.5</c:v>
                </c:pt>
                <c:pt idx="182">
                  <c:v>5.4</c:v>
                </c:pt>
                <c:pt idx="183">
                  <c:v>5.4</c:v>
                </c:pt>
                <c:pt idx="184">
                  <c:v>5.6</c:v>
                </c:pt>
                <c:pt idx="185">
                  <c:v>5.3</c:v>
                </c:pt>
                <c:pt idx="186">
                  <c:v>5.2</c:v>
                </c:pt>
                <c:pt idx="187">
                  <c:v>5.0999999999999996</c:v>
                </c:pt>
                <c:pt idx="188">
                  <c:v>5</c:v>
                </c:pt>
                <c:pt idx="189">
                  <c:v>5</c:v>
                </c:pt>
                <c:pt idx="190">
                  <c:v>5.0999999999999996</c:v>
                </c:pt>
                <c:pt idx="191">
                  <c:v>5</c:v>
                </c:pt>
                <c:pt idx="192">
                  <c:v>4.9000000000000004</c:v>
                </c:pt>
                <c:pt idx="193">
                  <c:v>4.9000000000000004</c:v>
                </c:pt>
                <c:pt idx="194">
                  <c:v>5</c:v>
                </c:pt>
                <c:pt idx="195">
                  <c:v>5</c:v>
                </c:pt>
                <c:pt idx="196">
                  <c:v>4.8</c:v>
                </c:pt>
                <c:pt idx="197">
                  <c:v>4.9000000000000004</c:v>
                </c:pt>
                <c:pt idx="198">
                  <c:v>4.8</c:v>
                </c:pt>
                <c:pt idx="199">
                  <c:v>4.9000000000000004</c:v>
                </c:pt>
                <c:pt idx="200">
                  <c:v>5</c:v>
                </c:pt>
                <c:pt idx="201">
                  <c:v>4.9000000000000004</c:v>
                </c:pt>
                <c:pt idx="202">
                  <c:v>4.7</c:v>
                </c:pt>
                <c:pt idx="203">
                  <c:v>4.7</c:v>
                </c:pt>
                <c:pt idx="204">
                  <c:v>4.7</c:v>
                </c:pt>
                <c:pt idx="205">
                  <c:v>4.5999999999999996</c:v>
                </c:pt>
                <c:pt idx="206">
                  <c:v>4.4000000000000004</c:v>
                </c:pt>
                <c:pt idx="207">
                  <c:v>4.4000000000000004</c:v>
                </c:pt>
                <c:pt idx="208">
                  <c:v>4.4000000000000004</c:v>
                </c:pt>
                <c:pt idx="209">
                  <c:v>4.3</c:v>
                </c:pt>
                <c:pt idx="210">
                  <c:v>4.3</c:v>
                </c:pt>
                <c:pt idx="211">
                  <c:v>4.4000000000000004</c:v>
                </c:pt>
                <c:pt idx="212">
                  <c:v>4.2</c:v>
                </c:pt>
                <c:pt idx="213">
                  <c:v>4.0999999999999996</c:v>
                </c:pt>
                <c:pt idx="214">
                  <c:v>4.2</c:v>
                </c:pt>
                <c:pt idx="215">
                  <c:v>4.0999999999999996</c:v>
                </c:pt>
                <c:pt idx="216">
                  <c:v>4.0999999999999996</c:v>
                </c:pt>
                <c:pt idx="217">
                  <c:v>4.0999999999999996</c:v>
                </c:pt>
                <c:pt idx="218">
                  <c:v>4</c:v>
                </c:pt>
                <c:pt idx="219">
                  <c:v>4</c:v>
                </c:pt>
                <c:pt idx="220">
                  <c:v>3.8</c:v>
                </c:pt>
                <c:pt idx="221">
                  <c:v>4</c:v>
                </c:pt>
                <c:pt idx="222">
                  <c:v>3.8</c:v>
                </c:pt>
                <c:pt idx="223">
                  <c:v>3.8</c:v>
                </c:pt>
                <c:pt idx="224">
                  <c:v>3.7</c:v>
                </c:pt>
                <c:pt idx="225">
                  <c:v>3.8</c:v>
                </c:pt>
                <c:pt idx="226">
                  <c:v>3.7</c:v>
                </c:pt>
                <c:pt idx="227">
                  <c:v>3.9</c:v>
                </c:pt>
                <c:pt idx="228">
                  <c:v>4</c:v>
                </c:pt>
                <c:pt idx="229">
                  <c:v>3.8</c:v>
                </c:pt>
                <c:pt idx="230">
                  <c:v>3.8</c:v>
                </c:pt>
                <c:pt idx="231">
                  <c:v>3.6</c:v>
                </c:pt>
                <c:pt idx="232">
                  <c:v>3.6</c:v>
                </c:pt>
                <c:pt idx="233">
                  <c:v>3.7</c:v>
                </c:pt>
                <c:pt idx="234">
                  <c:v>3.7</c:v>
                </c:pt>
                <c:pt idx="235">
                  <c:v>3.7</c:v>
                </c:pt>
                <c:pt idx="236">
                  <c:v>3.5</c:v>
                </c:pt>
                <c:pt idx="237">
                  <c:v>3.6</c:v>
                </c:pt>
                <c:pt idx="238">
                  <c:v>3.5</c:v>
                </c:pt>
                <c:pt idx="239">
                  <c:v>3.5</c:v>
                </c:pt>
                <c:pt idx="240">
                  <c:v>3.6</c:v>
                </c:pt>
                <c:pt idx="241">
                  <c:v>3.5</c:v>
                </c:pt>
                <c:pt idx="242">
                  <c:v>4.4000000000000004</c:v>
                </c:pt>
                <c:pt idx="243">
                  <c:v>14.7</c:v>
                </c:pt>
                <c:pt idx="244">
                  <c:v>13.3</c:v>
                </c:pt>
                <c:pt idx="245">
                  <c:v>11.1</c:v>
                </c:pt>
                <c:pt idx="246">
                  <c:v>10.199999999999999</c:v>
                </c:pt>
                <c:pt idx="247">
                  <c:v>8.4</c:v>
                </c:pt>
                <c:pt idx="248">
                  <c:v>7.9</c:v>
                </c:pt>
                <c:pt idx="249" formatCode="General">
                  <c:v>6.9</c:v>
                </c:pt>
              </c:numCache>
            </c:numRef>
          </c:val>
          <c:smooth val="0"/>
          <c:extLst>
            <c:ext xmlns:c16="http://schemas.microsoft.com/office/drawing/2014/chart" uri="{C3380CC4-5D6E-409C-BE32-E72D297353CC}">
              <c16:uniqueId val="{00000000-9032-4F04-92D2-8CABC79BA8AF}"/>
            </c:ext>
          </c:extLst>
        </c:ser>
        <c:dLbls>
          <c:showLegendKey val="0"/>
          <c:showVal val="0"/>
          <c:showCatName val="0"/>
          <c:showSerName val="0"/>
          <c:showPercent val="0"/>
          <c:showBubbleSize val="0"/>
        </c:dLbls>
        <c:marker val="1"/>
        <c:smooth val="0"/>
        <c:axId val="107926656"/>
        <c:axId val="107928192"/>
      </c:lineChart>
      <c:lineChart>
        <c:grouping val="standard"/>
        <c:varyColors val="0"/>
        <c:ser>
          <c:idx val="0"/>
          <c:order val="0"/>
          <c:tx>
            <c:strRef>
              <c:f>'3'!$B$1</c:f>
              <c:strCache>
                <c:ptCount val="1"/>
                <c:pt idx="0">
                  <c:v>EA</c:v>
                </c:pt>
              </c:strCache>
            </c:strRef>
          </c:tx>
          <c:spPr>
            <a:ln w="28575">
              <a:solidFill>
                <a:srgbClr val="8064A2"/>
              </a:solidFill>
              <a:prstDash val="solid"/>
            </a:ln>
            <a:effectLst/>
          </c:spPr>
          <c:marker>
            <c:symbol val="none"/>
          </c:marker>
          <c:cat>
            <c:numRef>
              <c:f>'3'!$A$2:$A$251</c:f>
              <c:numCache>
                <c:formatCode>yyyy\-mm\-dd</c:formatCode>
                <c:ptCount val="250"/>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pt idx="207">
                  <c:v>42826</c:v>
                </c:pt>
                <c:pt idx="208">
                  <c:v>42856</c:v>
                </c:pt>
                <c:pt idx="209">
                  <c:v>42887</c:v>
                </c:pt>
                <c:pt idx="210">
                  <c:v>42917</c:v>
                </c:pt>
                <c:pt idx="211">
                  <c:v>42948</c:v>
                </c:pt>
                <c:pt idx="212">
                  <c:v>42979</c:v>
                </c:pt>
                <c:pt idx="213">
                  <c:v>43009</c:v>
                </c:pt>
                <c:pt idx="214">
                  <c:v>43040</c:v>
                </c:pt>
                <c:pt idx="215">
                  <c:v>43070</c:v>
                </c:pt>
                <c:pt idx="216">
                  <c:v>43101</c:v>
                </c:pt>
                <c:pt idx="217">
                  <c:v>43132</c:v>
                </c:pt>
                <c:pt idx="218">
                  <c:v>43160</c:v>
                </c:pt>
                <c:pt idx="219">
                  <c:v>43191</c:v>
                </c:pt>
                <c:pt idx="220">
                  <c:v>43221</c:v>
                </c:pt>
                <c:pt idx="221">
                  <c:v>43252</c:v>
                </c:pt>
                <c:pt idx="222">
                  <c:v>43282</c:v>
                </c:pt>
                <c:pt idx="223">
                  <c:v>43313</c:v>
                </c:pt>
                <c:pt idx="224">
                  <c:v>43344</c:v>
                </c:pt>
                <c:pt idx="225">
                  <c:v>43374</c:v>
                </c:pt>
                <c:pt idx="226">
                  <c:v>43405</c:v>
                </c:pt>
                <c:pt idx="227">
                  <c:v>43435</c:v>
                </c:pt>
                <c:pt idx="228">
                  <c:v>43466</c:v>
                </c:pt>
                <c:pt idx="229">
                  <c:v>43497</c:v>
                </c:pt>
                <c:pt idx="230">
                  <c:v>43525</c:v>
                </c:pt>
                <c:pt idx="231">
                  <c:v>43556</c:v>
                </c:pt>
                <c:pt idx="232">
                  <c:v>43586</c:v>
                </c:pt>
                <c:pt idx="233">
                  <c:v>43617</c:v>
                </c:pt>
                <c:pt idx="234">
                  <c:v>43647</c:v>
                </c:pt>
                <c:pt idx="235">
                  <c:v>43678</c:v>
                </c:pt>
                <c:pt idx="236">
                  <c:v>43709</c:v>
                </c:pt>
                <c:pt idx="237">
                  <c:v>43739</c:v>
                </c:pt>
                <c:pt idx="238">
                  <c:v>43770</c:v>
                </c:pt>
                <c:pt idx="239">
                  <c:v>43800</c:v>
                </c:pt>
                <c:pt idx="240">
                  <c:v>43831</c:v>
                </c:pt>
                <c:pt idx="241">
                  <c:v>43862</c:v>
                </c:pt>
                <c:pt idx="242">
                  <c:v>43891</c:v>
                </c:pt>
                <c:pt idx="243">
                  <c:v>43922</c:v>
                </c:pt>
                <c:pt idx="244">
                  <c:v>43952</c:v>
                </c:pt>
                <c:pt idx="245">
                  <c:v>43983</c:v>
                </c:pt>
                <c:pt idx="246">
                  <c:v>44013</c:v>
                </c:pt>
                <c:pt idx="247">
                  <c:v>44044</c:v>
                </c:pt>
                <c:pt idx="248">
                  <c:v>44075</c:v>
                </c:pt>
                <c:pt idx="249">
                  <c:v>44105</c:v>
                </c:pt>
              </c:numCache>
            </c:numRef>
          </c:cat>
          <c:val>
            <c:numRef>
              <c:f>'3'!$B$2:$B$251</c:f>
              <c:numCache>
                <c:formatCode>General</c:formatCode>
                <c:ptCount val="250"/>
                <c:pt idx="0">
                  <c:v>9.4</c:v>
                </c:pt>
                <c:pt idx="1">
                  <c:v>9.3000000000000007</c:v>
                </c:pt>
                <c:pt idx="2">
                  <c:v>9.1999999999999993</c:v>
                </c:pt>
                <c:pt idx="3">
                  <c:v>9.1</c:v>
                </c:pt>
                <c:pt idx="4">
                  <c:v>9</c:v>
                </c:pt>
                <c:pt idx="5">
                  <c:v>9</c:v>
                </c:pt>
                <c:pt idx="6">
                  <c:v>8.9</c:v>
                </c:pt>
                <c:pt idx="7">
                  <c:v>8.9</c:v>
                </c:pt>
                <c:pt idx="8">
                  <c:v>8.8000000000000007</c:v>
                </c:pt>
                <c:pt idx="9">
                  <c:v>8.6999999999999993</c:v>
                </c:pt>
                <c:pt idx="10">
                  <c:v>8.6</c:v>
                </c:pt>
                <c:pt idx="11">
                  <c:v>8.6</c:v>
                </c:pt>
                <c:pt idx="12">
                  <c:v>8.5</c:v>
                </c:pt>
                <c:pt idx="13">
                  <c:v>8.4</c:v>
                </c:pt>
                <c:pt idx="14">
                  <c:v>8.4</c:v>
                </c:pt>
                <c:pt idx="15">
                  <c:v>8.4</c:v>
                </c:pt>
                <c:pt idx="16">
                  <c:v>8.4</c:v>
                </c:pt>
                <c:pt idx="17">
                  <c:v>8.4</c:v>
                </c:pt>
                <c:pt idx="18">
                  <c:v>8.4</c:v>
                </c:pt>
                <c:pt idx="19">
                  <c:v>8.4</c:v>
                </c:pt>
                <c:pt idx="20">
                  <c:v>8.4</c:v>
                </c:pt>
                <c:pt idx="21">
                  <c:v>8.4</c:v>
                </c:pt>
                <c:pt idx="22">
                  <c:v>8.5</c:v>
                </c:pt>
                <c:pt idx="23">
                  <c:v>8.5</c:v>
                </c:pt>
                <c:pt idx="24">
                  <c:v>8.5</c:v>
                </c:pt>
                <c:pt idx="25">
                  <c:v>8.5</c:v>
                </c:pt>
                <c:pt idx="26">
                  <c:v>8.5</c:v>
                </c:pt>
                <c:pt idx="27">
                  <c:v>8.5</c:v>
                </c:pt>
                <c:pt idx="28">
                  <c:v>8.6</c:v>
                </c:pt>
                <c:pt idx="29">
                  <c:v>8.6</c:v>
                </c:pt>
                <c:pt idx="30">
                  <c:v>8.6999999999999993</c:v>
                </c:pt>
                <c:pt idx="31">
                  <c:v>8.6999999999999993</c:v>
                </c:pt>
                <c:pt idx="32">
                  <c:v>8.8000000000000007</c:v>
                </c:pt>
                <c:pt idx="33">
                  <c:v>8.8000000000000007</c:v>
                </c:pt>
                <c:pt idx="34">
                  <c:v>8.9</c:v>
                </c:pt>
                <c:pt idx="35">
                  <c:v>8.9</c:v>
                </c:pt>
                <c:pt idx="36">
                  <c:v>9</c:v>
                </c:pt>
                <c:pt idx="37">
                  <c:v>9</c:v>
                </c:pt>
                <c:pt idx="38">
                  <c:v>9</c:v>
                </c:pt>
                <c:pt idx="39">
                  <c:v>9</c:v>
                </c:pt>
                <c:pt idx="40">
                  <c:v>9</c:v>
                </c:pt>
                <c:pt idx="41">
                  <c:v>9.1</c:v>
                </c:pt>
                <c:pt idx="42">
                  <c:v>9.1</c:v>
                </c:pt>
                <c:pt idx="43">
                  <c:v>9.1</c:v>
                </c:pt>
                <c:pt idx="44">
                  <c:v>9.1</c:v>
                </c:pt>
                <c:pt idx="45">
                  <c:v>9.1</c:v>
                </c:pt>
                <c:pt idx="46">
                  <c:v>9.1</c:v>
                </c:pt>
                <c:pt idx="47">
                  <c:v>9.1</c:v>
                </c:pt>
                <c:pt idx="48">
                  <c:v>9.1999999999999993</c:v>
                </c:pt>
                <c:pt idx="49">
                  <c:v>9.1999999999999993</c:v>
                </c:pt>
                <c:pt idx="50">
                  <c:v>9.3000000000000007</c:v>
                </c:pt>
                <c:pt idx="51">
                  <c:v>9.3000000000000007</c:v>
                </c:pt>
                <c:pt idx="52">
                  <c:v>9.3000000000000007</c:v>
                </c:pt>
                <c:pt idx="53">
                  <c:v>9.1999999999999993</c:v>
                </c:pt>
                <c:pt idx="54">
                  <c:v>9.1999999999999993</c:v>
                </c:pt>
                <c:pt idx="55">
                  <c:v>9.1999999999999993</c:v>
                </c:pt>
                <c:pt idx="56">
                  <c:v>9.3000000000000007</c:v>
                </c:pt>
                <c:pt idx="57">
                  <c:v>9.3000000000000007</c:v>
                </c:pt>
                <c:pt idx="58">
                  <c:v>9.3000000000000007</c:v>
                </c:pt>
                <c:pt idx="59">
                  <c:v>9.1999999999999993</c:v>
                </c:pt>
                <c:pt idx="60">
                  <c:v>9.1</c:v>
                </c:pt>
                <c:pt idx="61">
                  <c:v>9.1999999999999993</c:v>
                </c:pt>
                <c:pt idx="62">
                  <c:v>9.1999999999999993</c:v>
                </c:pt>
                <c:pt idx="63">
                  <c:v>9.1999999999999993</c:v>
                </c:pt>
                <c:pt idx="64">
                  <c:v>9.1999999999999993</c:v>
                </c:pt>
                <c:pt idx="65">
                  <c:v>9.1999999999999993</c:v>
                </c:pt>
                <c:pt idx="66">
                  <c:v>9.1</c:v>
                </c:pt>
                <c:pt idx="67">
                  <c:v>9</c:v>
                </c:pt>
                <c:pt idx="68">
                  <c:v>9</c:v>
                </c:pt>
                <c:pt idx="69">
                  <c:v>9</c:v>
                </c:pt>
                <c:pt idx="70">
                  <c:v>8.9</c:v>
                </c:pt>
                <c:pt idx="71">
                  <c:v>8.9</c:v>
                </c:pt>
                <c:pt idx="72">
                  <c:v>8.8000000000000007</c:v>
                </c:pt>
                <c:pt idx="73">
                  <c:v>8.8000000000000007</c:v>
                </c:pt>
                <c:pt idx="74">
                  <c:v>8.6999999999999993</c:v>
                </c:pt>
                <c:pt idx="75">
                  <c:v>8.6</c:v>
                </c:pt>
                <c:pt idx="76">
                  <c:v>8.5</c:v>
                </c:pt>
                <c:pt idx="77">
                  <c:v>8.4</c:v>
                </c:pt>
                <c:pt idx="78">
                  <c:v>8.3000000000000007</c:v>
                </c:pt>
                <c:pt idx="79">
                  <c:v>8.1999999999999993</c:v>
                </c:pt>
                <c:pt idx="80">
                  <c:v>8.1999999999999993</c:v>
                </c:pt>
                <c:pt idx="81">
                  <c:v>8.1</c:v>
                </c:pt>
                <c:pt idx="82">
                  <c:v>8</c:v>
                </c:pt>
                <c:pt idx="83">
                  <c:v>7.9</c:v>
                </c:pt>
                <c:pt idx="84">
                  <c:v>7.9</c:v>
                </c:pt>
                <c:pt idx="85">
                  <c:v>7.8</c:v>
                </c:pt>
                <c:pt idx="86">
                  <c:v>7.7</c:v>
                </c:pt>
                <c:pt idx="87">
                  <c:v>7.6</c:v>
                </c:pt>
                <c:pt idx="88">
                  <c:v>7.5</c:v>
                </c:pt>
                <c:pt idx="89">
                  <c:v>7.5</c:v>
                </c:pt>
                <c:pt idx="90">
                  <c:v>7.5</c:v>
                </c:pt>
                <c:pt idx="91">
                  <c:v>7.5</c:v>
                </c:pt>
                <c:pt idx="92">
                  <c:v>7.4</c:v>
                </c:pt>
                <c:pt idx="93">
                  <c:v>7.3</c:v>
                </c:pt>
                <c:pt idx="94">
                  <c:v>7.3</c:v>
                </c:pt>
                <c:pt idx="95">
                  <c:v>7.3</c:v>
                </c:pt>
                <c:pt idx="96">
                  <c:v>7.3</c:v>
                </c:pt>
                <c:pt idx="97">
                  <c:v>7.3</c:v>
                </c:pt>
                <c:pt idx="98">
                  <c:v>7.3</c:v>
                </c:pt>
                <c:pt idx="99">
                  <c:v>7.4</c:v>
                </c:pt>
                <c:pt idx="100">
                  <c:v>7.4</c:v>
                </c:pt>
                <c:pt idx="101">
                  <c:v>7.5</c:v>
                </c:pt>
                <c:pt idx="102">
                  <c:v>7.5</c:v>
                </c:pt>
                <c:pt idx="103">
                  <c:v>7.6</c:v>
                </c:pt>
                <c:pt idx="104">
                  <c:v>7.7</c:v>
                </c:pt>
                <c:pt idx="105">
                  <c:v>7.8</c:v>
                </c:pt>
                <c:pt idx="106">
                  <c:v>8</c:v>
                </c:pt>
                <c:pt idx="107">
                  <c:v>8.3000000000000007</c:v>
                </c:pt>
                <c:pt idx="108">
                  <c:v>8.6999999999999993</c:v>
                </c:pt>
                <c:pt idx="109">
                  <c:v>9</c:v>
                </c:pt>
                <c:pt idx="110">
                  <c:v>9.3000000000000007</c:v>
                </c:pt>
                <c:pt idx="111">
                  <c:v>9.5</c:v>
                </c:pt>
                <c:pt idx="112">
                  <c:v>9.6</c:v>
                </c:pt>
                <c:pt idx="113">
                  <c:v>9.6999999999999993</c:v>
                </c:pt>
                <c:pt idx="114">
                  <c:v>9.8000000000000007</c:v>
                </c:pt>
                <c:pt idx="115">
                  <c:v>9.9</c:v>
                </c:pt>
                <c:pt idx="116">
                  <c:v>10</c:v>
                </c:pt>
                <c:pt idx="117">
                  <c:v>10.1</c:v>
                </c:pt>
                <c:pt idx="118">
                  <c:v>10.1</c:v>
                </c:pt>
                <c:pt idx="119">
                  <c:v>10.1</c:v>
                </c:pt>
                <c:pt idx="120">
                  <c:v>10.199999999999999</c:v>
                </c:pt>
                <c:pt idx="121">
                  <c:v>10.199999999999999</c:v>
                </c:pt>
                <c:pt idx="122">
                  <c:v>10.199999999999999</c:v>
                </c:pt>
                <c:pt idx="123">
                  <c:v>10.3</c:v>
                </c:pt>
                <c:pt idx="124">
                  <c:v>10.3</c:v>
                </c:pt>
                <c:pt idx="125">
                  <c:v>10.3</c:v>
                </c:pt>
                <c:pt idx="126">
                  <c:v>10.199999999999999</c:v>
                </c:pt>
                <c:pt idx="127">
                  <c:v>10.199999999999999</c:v>
                </c:pt>
                <c:pt idx="128">
                  <c:v>10.199999999999999</c:v>
                </c:pt>
                <c:pt idx="129">
                  <c:v>10.199999999999999</c:v>
                </c:pt>
                <c:pt idx="130">
                  <c:v>10.1</c:v>
                </c:pt>
                <c:pt idx="131">
                  <c:v>10.1</c:v>
                </c:pt>
                <c:pt idx="132">
                  <c:v>10.1</c:v>
                </c:pt>
                <c:pt idx="133">
                  <c:v>10</c:v>
                </c:pt>
                <c:pt idx="134">
                  <c:v>10</c:v>
                </c:pt>
                <c:pt idx="135">
                  <c:v>10</c:v>
                </c:pt>
                <c:pt idx="136">
                  <c:v>10</c:v>
                </c:pt>
                <c:pt idx="137">
                  <c:v>10</c:v>
                </c:pt>
                <c:pt idx="138">
                  <c:v>10.199999999999999</c:v>
                </c:pt>
                <c:pt idx="139">
                  <c:v>10.199999999999999</c:v>
                </c:pt>
                <c:pt idx="140">
                  <c:v>10.4</c:v>
                </c:pt>
                <c:pt idx="141">
                  <c:v>10.5</c:v>
                </c:pt>
                <c:pt idx="142">
                  <c:v>10.6</c:v>
                </c:pt>
                <c:pt idx="143">
                  <c:v>10.7</c:v>
                </c:pt>
                <c:pt idx="144">
                  <c:v>10.8</c:v>
                </c:pt>
                <c:pt idx="145">
                  <c:v>10.9</c:v>
                </c:pt>
                <c:pt idx="146">
                  <c:v>11.1</c:v>
                </c:pt>
                <c:pt idx="147">
                  <c:v>11.2</c:v>
                </c:pt>
                <c:pt idx="148">
                  <c:v>11.3</c:v>
                </c:pt>
                <c:pt idx="149">
                  <c:v>11.4</c:v>
                </c:pt>
                <c:pt idx="150">
                  <c:v>11.5</c:v>
                </c:pt>
                <c:pt idx="151">
                  <c:v>11.5</c:v>
                </c:pt>
                <c:pt idx="152">
                  <c:v>11.6</c:v>
                </c:pt>
                <c:pt idx="153">
                  <c:v>11.7</c:v>
                </c:pt>
                <c:pt idx="154">
                  <c:v>11.8</c:v>
                </c:pt>
                <c:pt idx="155">
                  <c:v>11.9</c:v>
                </c:pt>
                <c:pt idx="156">
                  <c:v>12</c:v>
                </c:pt>
                <c:pt idx="157">
                  <c:v>12</c:v>
                </c:pt>
                <c:pt idx="158">
                  <c:v>12</c:v>
                </c:pt>
                <c:pt idx="159">
                  <c:v>12.1</c:v>
                </c:pt>
                <c:pt idx="160">
                  <c:v>12.1</c:v>
                </c:pt>
                <c:pt idx="161">
                  <c:v>12.1</c:v>
                </c:pt>
                <c:pt idx="162">
                  <c:v>12.1</c:v>
                </c:pt>
                <c:pt idx="163">
                  <c:v>12</c:v>
                </c:pt>
                <c:pt idx="164">
                  <c:v>12</c:v>
                </c:pt>
                <c:pt idx="165">
                  <c:v>12</c:v>
                </c:pt>
                <c:pt idx="166">
                  <c:v>11.9</c:v>
                </c:pt>
                <c:pt idx="167">
                  <c:v>11.9</c:v>
                </c:pt>
                <c:pt idx="168">
                  <c:v>11.9</c:v>
                </c:pt>
                <c:pt idx="169">
                  <c:v>11.9</c:v>
                </c:pt>
                <c:pt idx="170">
                  <c:v>11.8</c:v>
                </c:pt>
                <c:pt idx="171">
                  <c:v>11.7</c:v>
                </c:pt>
                <c:pt idx="172">
                  <c:v>11.7</c:v>
                </c:pt>
                <c:pt idx="173">
                  <c:v>11.5</c:v>
                </c:pt>
                <c:pt idx="174">
                  <c:v>11.6</c:v>
                </c:pt>
                <c:pt idx="175">
                  <c:v>11.5</c:v>
                </c:pt>
                <c:pt idx="176">
                  <c:v>11.5</c:v>
                </c:pt>
                <c:pt idx="177">
                  <c:v>11.5</c:v>
                </c:pt>
                <c:pt idx="178">
                  <c:v>11.5</c:v>
                </c:pt>
                <c:pt idx="179">
                  <c:v>11.3</c:v>
                </c:pt>
                <c:pt idx="180">
                  <c:v>11.3</c:v>
                </c:pt>
                <c:pt idx="181">
                  <c:v>11.2</c:v>
                </c:pt>
                <c:pt idx="182">
                  <c:v>11.2</c:v>
                </c:pt>
                <c:pt idx="183">
                  <c:v>11.1</c:v>
                </c:pt>
                <c:pt idx="184">
                  <c:v>11</c:v>
                </c:pt>
                <c:pt idx="185">
                  <c:v>11</c:v>
                </c:pt>
                <c:pt idx="186">
                  <c:v>10.8</c:v>
                </c:pt>
                <c:pt idx="187">
                  <c:v>10.7</c:v>
                </c:pt>
                <c:pt idx="188">
                  <c:v>10.6</c:v>
                </c:pt>
                <c:pt idx="189">
                  <c:v>10.6</c:v>
                </c:pt>
                <c:pt idx="190">
                  <c:v>10.5</c:v>
                </c:pt>
                <c:pt idx="191">
                  <c:v>10.5</c:v>
                </c:pt>
                <c:pt idx="192">
                  <c:v>10.4</c:v>
                </c:pt>
                <c:pt idx="193">
                  <c:v>10.4</c:v>
                </c:pt>
                <c:pt idx="194">
                  <c:v>10.199999999999999</c:v>
                </c:pt>
                <c:pt idx="195">
                  <c:v>10.199999999999999</c:v>
                </c:pt>
                <c:pt idx="196">
                  <c:v>10.199999999999999</c:v>
                </c:pt>
                <c:pt idx="197">
                  <c:v>10.1</c:v>
                </c:pt>
                <c:pt idx="198">
                  <c:v>10</c:v>
                </c:pt>
                <c:pt idx="199">
                  <c:v>9.9</c:v>
                </c:pt>
                <c:pt idx="200">
                  <c:v>9.9</c:v>
                </c:pt>
                <c:pt idx="201">
                  <c:v>9.8000000000000007</c:v>
                </c:pt>
                <c:pt idx="202">
                  <c:v>9.8000000000000007</c:v>
                </c:pt>
                <c:pt idx="203">
                  <c:v>9.6</c:v>
                </c:pt>
                <c:pt idx="204">
                  <c:v>9.6</c:v>
                </c:pt>
                <c:pt idx="205">
                  <c:v>9.4</c:v>
                </c:pt>
                <c:pt idx="206">
                  <c:v>9.4</c:v>
                </c:pt>
                <c:pt idx="207">
                  <c:v>9.1999999999999993</c:v>
                </c:pt>
                <c:pt idx="208">
                  <c:v>9.1999999999999993</c:v>
                </c:pt>
                <c:pt idx="209">
                  <c:v>9.1</c:v>
                </c:pt>
                <c:pt idx="210">
                  <c:v>9</c:v>
                </c:pt>
                <c:pt idx="211">
                  <c:v>9</c:v>
                </c:pt>
                <c:pt idx="212">
                  <c:v>8.9</c:v>
                </c:pt>
                <c:pt idx="213">
                  <c:v>8.8000000000000007</c:v>
                </c:pt>
                <c:pt idx="214">
                  <c:v>8.6999999999999993</c:v>
                </c:pt>
                <c:pt idx="215">
                  <c:v>8.6999999999999993</c:v>
                </c:pt>
                <c:pt idx="216">
                  <c:v>8.6</c:v>
                </c:pt>
                <c:pt idx="217">
                  <c:v>8.5</c:v>
                </c:pt>
                <c:pt idx="218">
                  <c:v>8.5</c:v>
                </c:pt>
                <c:pt idx="219">
                  <c:v>8.4</c:v>
                </c:pt>
                <c:pt idx="220">
                  <c:v>8.1999999999999993</c:v>
                </c:pt>
                <c:pt idx="221">
                  <c:v>8.1999999999999993</c:v>
                </c:pt>
                <c:pt idx="222">
                  <c:v>8.1</c:v>
                </c:pt>
                <c:pt idx="223">
                  <c:v>8</c:v>
                </c:pt>
                <c:pt idx="224">
                  <c:v>8</c:v>
                </c:pt>
                <c:pt idx="225">
                  <c:v>8</c:v>
                </c:pt>
                <c:pt idx="226">
                  <c:v>7.9</c:v>
                </c:pt>
                <c:pt idx="227">
                  <c:v>7.8</c:v>
                </c:pt>
                <c:pt idx="228">
                  <c:v>7.8</c:v>
                </c:pt>
                <c:pt idx="229">
                  <c:v>7.8</c:v>
                </c:pt>
                <c:pt idx="230">
                  <c:v>7.7</c:v>
                </c:pt>
                <c:pt idx="231">
                  <c:v>7.6</c:v>
                </c:pt>
                <c:pt idx="232">
                  <c:v>7.6</c:v>
                </c:pt>
                <c:pt idx="233">
                  <c:v>7.5</c:v>
                </c:pt>
                <c:pt idx="234">
                  <c:v>7.5</c:v>
                </c:pt>
                <c:pt idx="235">
                  <c:v>7.5</c:v>
                </c:pt>
                <c:pt idx="236">
                  <c:v>7.5</c:v>
                </c:pt>
                <c:pt idx="237">
                  <c:v>7.4</c:v>
                </c:pt>
                <c:pt idx="238">
                  <c:v>7.4</c:v>
                </c:pt>
                <c:pt idx="239">
                  <c:v>7.4</c:v>
                </c:pt>
                <c:pt idx="240">
                  <c:v>7.4</c:v>
                </c:pt>
                <c:pt idx="241">
                  <c:v>7.3</c:v>
                </c:pt>
                <c:pt idx="242">
                  <c:v>7.2</c:v>
                </c:pt>
                <c:pt idx="243">
                  <c:v>7.4</c:v>
                </c:pt>
                <c:pt idx="244">
                  <c:v>7.5</c:v>
                </c:pt>
                <c:pt idx="245">
                  <c:v>7.7</c:v>
                </c:pt>
                <c:pt idx="246">
                  <c:v>7.9</c:v>
                </c:pt>
                <c:pt idx="247">
                  <c:v>8.1</c:v>
                </c:pt>
                <c:pt idx="248">
                  <c:v>8.3000000000000007</c:v>
                </c:pt>
              </c:numCache>
            </c:numRef>
          </c:val>
          <c:smooth val="0"/>
          <c:extLst>
            <c:ext xmlns:c16="http://schemas.microsoft.com/office/drawing/2014/chart" uri="{C3380CC4-5D6E-409C-BE32-E72D297353CC}">
              <c16:uniqueId val="{00000001-9032-4F04-92D2-8CABC79BA8AF}"/>
            </c:ext>
          </c:extLst>
        </c:ser>
        <c:dLbls>
          <c:showLegendKey val="0"/>
          <c:showVal val="0"/>
          <c:showCatName val="0"/>
          <c:showSerName val="0"/>
          <c:showPercent val="0"/>
          <c:showBubbleSize val="0"/>
        </c:dLbls>
        <c:marker val="1"/>
        <c:smooth val="0"/>
        <c:axId val="107934080"/>
        <c:axId val="107935616"/>
      </c:lineChart>
      <c:dateAx>
        <c:axId val="107926656"/>
        <c:scaling>
          <c:orientation val="minMax"/>
          <c:min val="38718"/>
        </c:scaling>
        <c:delete val="0"/>
        <c:axPos val="b"/>
        <c:numFmt formatCode="yyyy" sourceLinked="0"/>
        <c:majorTickMark val="none"/>
        <c:minorTickMark val="none"/>
        <c:tickLblPos val="nextTo"/>
        <c:spPr>
          <a:noFill/>
          <a:ln w="6350" cap="flat" cmpd="sng" algn="ctr">
            <a:solidFill>
              <a:schemeClr val="tx1"/>
            </a:solidFill>
            <a:round/>
          </a:ln>
          <a:effectLst/>
        </c:spPr>
        <c:txPr>
          <a:bodyPr rot="-60000000" vert="horz"/>
          <a:lstStyle/>
          <a:p>
            <a:pPr>
              <a:defRPr/>
            </a:pPr>
            <a:endParaRPr lang="en-US"/>
          </a:p>
        </c:txPr>
        <c:crossAx val="107928192"/>
        <c:crosses val="autoZero"/>
        <c:auto val="1"/>
        <c:lblOffset val="100"/>
        <c:baseTimeUnit val="months"/>
        <c:majorUnit val="2"/>
        <c:majorTimeUnit val="years"/>
      </c:dateAx>
      <c:valAx>
        <c:axId val="107928192"/>
        <c:scaling>
          <c:orientation val="minMax"/>
        </c:scaling>
        <c:delete val="0"/>
        <c:axPos val="l"/>
        <c:numFmt formatCode="0" sourceLinked="0"/>
        <c:majorTickMark val="none"/>
        <c:minorTickMark val="none"/>
        <c:tickLblPos val="nextTo"/>
        <c:spPr>
          <a:noFill/>
          <a:ln>
            <a:solidFill>
              <a:schemeClr val="tx1">
                <a:alpha val="93000"/>
              </a:schemeClr>
            </a:solidFill>
          </a:ln>
        </c:spPr>
        <c:txPr>
          <a:bodyPr rot="-60000000" vert="horz"/>
          <a:lstStyle/>
          <a:p>
            <a:pPr>
              <a:defRPr/>
            </a:pPr>
            <a:endParaRPr lang="en-US"/>
          </a:p>
        </c:txPr>
        <c:crossAx val="107926656"/>
        <c:crosses val="autoZero"/>
        <c:crossBetween val="between"/>
      </c:valAx>
      <c:dateAx>
        <c:axId val="107934080"/>
        <c:scaling>
          <c:orientation val="minMax"/>
        </c:scaling>
        <c:delete val="1"/>
        <c:axPos val="b"/>
        <c:numFmt formatCode="yyyy\-mm\-dd" sourceLinked="1"/>
        <c:majorTickMark val="out"/>
        <c:minorTickMark val="none"/>
        <c:tickLblPos val="nextTo"/>
        <c:crossAx val="107935616"/>
        <c:crosses val="autoZero"/>
        <c:auto val="1"/>
        <c:lblOffset val="100"/>
        <c:baseTimeUnit val="months"/>
      </c:dateAx>
      <c:valAx>
        <c:axId val="107935616"/>
        <c:scaling>
          <c:orientation val="minMax"/>
          <c:max val="16"/>
        </c:scaling>
        <c:delete val="1"/>
        <c:axPos val="r"/>
        <c:numFmt formatCode="General" sourceLinked="1"/>
        <c:majorTickMark val="none"/>
        <c:minorTickMark val="none"/>
        <c:tickLblPos val="nextTo"/>
        <c:crossAx val="107934080"/>
        <c:crosses val="max"/>
        <c:crossBetween val="between"/>
      </c:valAx>
      <c:spPr>
        <a:noFill/>
        <a:ln w="25400">
          <a:noFill/>
        </a:ln>
      </c:spPr>
    </c:plotArea>
    <c:legend>
      <c:legendPos val="r"/>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7.5825121379204885E-2"/>
          <c:y val="0.10614546580179594"/>
          <c:w val="0.44213346722217661"/>
          <c:h val="4.3296257022313461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356635812549123E-2"/>
          <c:y val="0.18699347964228413"/>
          <c:w val="0.87055198177830129"/>
          <c:h val="0.68899114282359997"/>
        </c:manualLayout>
      </c:layout>
      <c:barChart>
        <c:barDir val="col"/>
        <c:grouping val="clustered"/>
        <c:varyColors val="0"/>
        <c:ser>
          <c:idx val="2"/>
          <c:order val="2"/>
          <c:tx>
            <c:strRef>
              <c:f>Chart!$J$11</c:f>
              <c:strCache>
                <c:ptCount val="1"/>
                <c:pt idx="0">
                  <c:v>CEPR recession periods</c:v>
                </c:pt>
              </c:strCache>
            </c:strRef>
          </c:tx>
          <c:spPr>
            <a:solidFill>
              <a:srgbClr val="A9A9A9"/>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sysClr val="window" lastClr="FFFFFF">
                      <a:lumMod val="85000"/>
                    </a:sysClr>
                  </a:solidFill>
                  <a:prstDash val="solid"/>
                  <a:round/>
                  <a:headEnd type="none" w="med" len="med"/>
                  <a:tailEnd type="none" w="med" len="med"/>
                </a14:hiddenLine>
              </a:ext>
            </a:extLst>
          </c:spPr>
          <c:invertIfNegative val="0"/>
          <c:cat>
            <c:numRef>
              <c:f>Data!$A$4:$A$263</c:f>
              <c:numCache>
                <c:formatCode>mmm\ yy</c:formatCode>
                <c:ptCount val="260"/>
                <c:pt idx="0">
                  <c:v>36191</c:v>
                </c:pt>
                <c:pt idx="1">
                  <c:v>36219</c:v>
                </c:pt>
                <c:pt idx="2">
                  <c:v>36250</c:v>
                </c:pt>
                <c:pt idx="3">
                  <c:v>36280</c:v>
                </c:pt>
                <c:pt idx="4">
                  <c:v>36311</c:v>
                </c:pt>
                <c:pt idx="5">
                  <c:v>36341</c:v>
                </c:pt>
                <c:pt idx="6">
                  <c:v>36372</c:v>
                </c:pt>
                <c:pt idx="7">
                  <c:v>36403</c:v>
                </c:pt>
                <c:pt idx="8">
                  <c:v>36433</c:v>
                </c:pt>
                <c:pt idx="9">
                  <c:v>36464</c:v>
                </c:pt>
                <c:pt idx="10">
                  <c:v>36494</c:v>
                </c:pt>
                <c:pt idx="11">
                  <c:v>36525</c:v>
                </c:pt>
                <c:pt idx="12">
                  <c:v>36556</c:v>
                </c:pt>
                <c:pt idx="13">
                  <c:v>36585</c:v>
                </c:pt>
                <c:pt idx="14">
                  <c:v>36616</c:v>
                </c:pt>
                <c:pt idx="15">
                  <c:v>36646</c:v>
                </c:pt>
                <c:pt idx="16">
                  <c:v>36677</c:v>
                </c:pt>
                <c:pt idx="17">
                  <c:v>36707</c:v>
                </c:pt>
                <c:pt idx="18">
                  <c:v>36738</c:v>
                </c:pt>
                <c:pt idx="19">
                  <c:v>36769</c:v>
                </c:pt>
                <c:pt idx="20">
                  <c:v>36799</c:v>
                </c:pt>
                <c:pt idx="21">
                  <c:v>36830</c:v>
                </c:pt>
                <c:pt idx="22">
                  <c:v>36860</c:v>
                </c:pt>
                <c:pt idx="23">
                  <c:v>36891</c:v>
                </c:pt>
                <c:pt idx="24">
                  <c:v>36922</c:v>
                </c:pt>
                <c:pt idx="25">
                  <c:v>36950</c:v>
                </c:pt>
                <c:pt idx="26">
                  <c:v>36981</c:v>
                </c:pt>
                <c:pt idx="27">
                  <c:v>37011</c:v>
                </c:pt>
                <c:pt idx="28">
                  <c:v>37042</c:v>
                </c:pt>
                <c:pt idx="29">
                  <c:v>37072</c:v>
                </c:pt>
                <c:pt idx="30">
                  <c:v>37103</c:v>
                </c:pt>
                <c:pt idx="31">
                  <c:v>37134</c:v>
                </c:pt>
                <c:pt idx="32">
                  <c:v>37164</c:v>
                </c:pt>
                <c:pt idx="33">
                  <c:v>37195</c:v>
                </c:pt>
                <c:pt idx="34">
                  <c:v>37225</c:v>
                </c:pt>
                <c:pt idx="35">
                  <c:v>37256</c:v>
                </c:pt>
                <c:pt idx="36">
                  <c:v>37287</c:v>
                </c:pt>
                <c:pt idx="37">
                  <c:v>37315</c:v>
                </c:pt>
                <c:pt idx="38">
                  <c:v>37346</c:v>
                </c:pt>
                <c:pt idx="39">
                  <c:v>37376</c:v>
                </c:pt>
                <c:pt idx="40">
                  <c:v>37407</c:v>
                </c:pt>
                <c:pt idx="41">
                  <c:v>37437</c:v>
                </c:pt>
                <c:pt idx="42">
                  <c:v>37468</c:v>
                </c:pt>
                <c:pt idx="43">
                  <c:v>37499</c:v>
                </c:pt>
                <c:pt idx="44">
                  <c:v>37529</c:v>
                </c:pt>
                <c:pt idx="45">
                  <c:v>37560</c:v>
                </c:pt>
                <c:pt idx="46">
                  <c:v>37590</c:v>
                </c:pt>
                <c:pt idx="47">
                  <c:v>37621</c:v>
                </c:pt>
                <c:pt idx="48">
                  <c:v>37652</c:v>
                </c:pt>
                <c:pt idx="49">
                  <c:v>37680</c:v>
                </c:pt>
                <c:pt idx="50">
                  <c:v>37711</c:v>
                </c:pt>
                <c:pt idx="51">
                  <c:v>37741</c:v>
                </c:pt>
                <c:pt idx="52">
                  <c:v>37772</c:v>
                </c:pt>
                <c:pt idx="53">
                  <c:v>37802</c:v>
                </c:pt>
                <c:pt idx="54">
                  <c:v>37833</c:v>
                </c:pt>
                <c:pt idx="55">
                  <c:v>37864</c:v>
                </c:pt>
                <c:pt idx="56">
                  <c:v>37894</c:v>
                </c:pt>
                <c:pt idx="57">
                  <c:v>37925</c:v>
                </c:pt>
                <c:pt idx="58">
                  <c:v>37955</c:v>
                </c:pt>
                <c:pt idx="59">
                  <c:v>37986</c:v>
                </c:pt>
                <c:pt idx="60">
                  <c:v>38017</c:v>
                </c:pt>
                <c:pt idx="61">
                  <c:v>38046</c:v>
                </c:pt>
                <c:pt idx="62">
                  <c:v>38077</c:v>
                </c:pt>
                <c:pt idx="63">
                  <c:v>38107</c:v>
                </c:pt>
                <c:pt idx="64">
                  <c:v>38138</c:v>
                </c:pt>
                <c:pt idx="65">
                  <c:v>38168</c:v>
                </c:pt>
                <c:pt idx="66">
                  <c:v>38199</c:v>
                </c:pt>
                <c:pt idx="67">
                  <c:v>38230</c:v>
                </c:pt>
                <c:pt idx="68">
                  <c:v>38260</c:v>
                </c:pt>
                <c:pt idx="69">
                  <c:v>38291</c:v>
                </c:pt>
                <c:pt idx="70">
                  <c:v>38321</c:v>
                </c:pt>
                <c:pt idx="71">
                  <c:v>38352</c:v>
                </c:pt>
                <c:pt idx="72">
                  <c:v>38383</c:v>
                </c:pt>
                <c:pt idx="73">
                  <c:v>38411</c:v>
                </c:pt>
                <c:pt idx="74">
                  <c:v>38442</c:v>
                </c:pt>
                <c:pt idx="75">
                  <c:v>38472</c:v>
                </c:pt>
                <c:pt idx="76">
                  <c:v>38503</c:v>
                </c:pt>
                <c:pt idx="77">
                  <c:v>38533</c:v>
                </c:pt>
                <c:pt idx="78">
                  <c:v>38564</c:v>
                </c:pt>
                <c:pt idx="79">
                  <c:v>38595</c:v>
                </c:pt>
                <c:pt idx="80">
                  <c:v>38625</c:v>
                </c:pt>
                <c:pt idx="81">
                  <c:v>38656</c:v>
                </c:pt>
                <c:pt idx="82">
                  <c:v>38686</c:v>
                </c:pt>
                <c:pt idx="83">
                  <c:v>38717</c:v>
                </c:pt>
                <c:pt idx="84">
                  <c:v>38748</c:v>
                </c:pt>
                <c:pt idx="85">
                  <c:v>38776</c:v>
                </c:pt>
                <c:pt idx="86">
                  <c:v>38807</c:v>
                </c:pt>
                <c:pt idx="87">
                  <c:v>38837</c:v>
                </c:pt>
                <c:pt idx="88">
                  <c:v>38868</c:v>
                </c:pt>
                <c:pt idx="89">
                  <c:v>38898</c:v>
                </c:pt>
                <c:pt idx="90">
                  <c:v>38929</c:v>
                </c:pt>
                <c:pt idx="91">
                  <c:v>38960</c:v>
                </c:pt>
                <c:pt idx="92">
                  <c:v>38990</c:v>
                </c:pt>
                <c:pt idx="93">
                  <c:v>39021</c:v>
                </c:pt>
                <c:pt idx="94">
                  <c:v>39051</c:v>
                </c:pt>
                <c:pt idx="95">
                  <c:v>39082</c:v>
                </c:pt>
                <c:pt idx="96">
                  <c:v>39113</c:v>
                </c:pt>
                <c:pt idx="97">
                  <c:v>39141</c:v>
                </c:pt>
                <c:pt idx="98">
                  <c:v>39172</c:v>
                </c:pt>
                <c:pt idx="99">
                  <c:v>39202</c:v>
                </c:pt>
                <c:pt idx="100">
                  <c:v>39233</c:v>
                </c:pt>
                <c:pt idx="101">
                  <c:v>39263</c:v>
                </c:pt>
                <c:pt idx="102">
                  <c:v>39294</c:v>
                </c:pt>
                <c:pt idx="103">
                  <c:v>39325</c:v>
                </c:pt>
                <c:pt idx="104">
                  <c:v>39355</c:v>
                </c:pt>
                <c:pt idx="105">
                  <c:v>39386</c:v>
                </c:pt>
                <c:pt idx="106">
                  <c:v>39416</c:v>
                </c:pt>
                <c:pt idx="107">
                  <c:v>39447</c:v>
                </c:pt>
                <c:pt idx="108">
                  <c:v>39478</c:v>
                </c:pt>
                <c:pt idx="109">
                  <c:v>39507</c:v>
                </c:pt>
                <c:pt idx="110">
                  <c:v>39538</c:v>
                </c:pt>
                <c:pt idx="111">
                  <c:v>39568</c:v>
                </c:pt>
                <c:pt idx="112">
                  <c:v>39599</c:v>
                </c:pt>
                <c:pt idx="113">
                  <c:v>39629</c:v>
                </c:pt>
                <c:pt idx="114">
                  <c:v>39660</c:v>
                </c:pt>
                <c:pt idx="115">
                  <c:v>39691</c:v>
                </c:pt>
                <c:pt idx="116">
                  <c:v>39721</c:v>
                </c:pt>
                <c:pt idx="117">
                  <c:v>39752</c:v>
                </c:pt>
                <c:pt idx="118">
                  <c:v>39782</c:v>
                </c:pt>
                <c:pt idx="119">
                  <c:v>39813</c:v>
                </c:pt>
                <c:pt idx="120">
                  <c:v>39844</c:v>
                </c:pt>
                <c:pt idx="121">
                  <c:v>39872</c:v>
                </c:pt>
                <c:pt idx="122">
                  <c:v>39903</c:v>
                </c:pt>
                <c:pt idx="123">
                  <c:v>39933</c:v>
                </c:pt>
                <c:pt idx="124">
                  <c:v>39964</c:v>
                </c:pt>
                <c:pt idx="125">
                  <c:v>39994</c:v>
                </c:pt>
                <c:pt idx="126">
                  <c:v>40025</c:v>
                </c:pt>
                <c:pt idx="127">
                  <c:v>40056</c:v>
                </c:pt>
                <c:pt idx="128">
                  <c:v>40086</c:v>
                </c:pt>
                <c:pt idx="129">
                  <c:v>40117</c:v>
                </c:pt>
                <c:pt idx="130">
                  <c:v>40147</c:v>
                </c:pt>
                <c:pt idx="131">
                  <c:v>40178</c:v>
                </c:pt>
                <c:pt idx="132">
                  <c:v>40209</c:v>
                </c:pt>
                <c:pt idx="133">
                  <c:v>40237</c:v>
                </c:pt>
                <c:pt idx="134">
                  <c:v>40268</c:v>
                </c:pt>
                <c:pt idx="135">
                  <c:v>40298</c:v>
                </c:pt>
                <c:pt idx="136">
                  <c:v>40329</c:v>
                </c:pt>
                <c:pt idx="137">
                  <c:v>40359</c:v>
                </c:pt>
                <c:pt idx="138">
                  <c:v>40390</c:v>
                </c:pt>
                <c:pt idx="139">
                  <c:v>40421</c:v>
                </c:pt>
                <c:pt idx="140">
                  <c:v>40451</c:v>
                </c:pt>
                <c:pt idx="141">
                  <c:v>40482</c:v>
                </c:pt>
                <c:pt idx="142">
                  <c:v>40512</c:v>
                </c:pt>
                <c:pt idx="143">
                  <c:v>40543</c:v>
                </c:pt>
                <c:pt idx="144">
                  <c:v>40574</c:v>
                </c:pt>
                <c:pt idx="145">
                  <c:v>40602</c:v>
                </c:pt>
                <c:pt idx="146">
                  <c:v>40633</c:v>
                </c:pt>
                <c:pt idx="147">
                  <c:v>40663</c:v>
                </c:pt>
                <c:pt idx="148">
                  <c:v>40694</c:v>
                </c:pt>
                <c:pt idx="149">
                  <c:v>40724</c:v>
                </c:pt>
                <c:pt idx="150">
                  <c:v>40755</c:v>
                </c:pt>
                <c:pt idx="151">
                  <c:v>40786</c:v>
                </c:pt>
                <c:pt idx="152">
                  <c:v>40816</c:v>
                </c:pt>
                <c:pt idx="153">
                  <c:v>40847</c:v>
                </c:pt>
                <c:pt idx="154">
                  <c:v>40877</c:v>
                </c:pt>
                <c:pt idx="155">
                  <c:v>40908</c:v>
                </c:pt>
                <c:pt idx="156">
                  <c:v>40939</c:v>
                </c:pt>
                <c:pt idx="157">
                  <c:v>40968</c:v>
                </c:pt>
                <c:pt idx="158">
                  <c:v>40999</c:v>
                </c:pt>
                <c:pt idx="159">
                  <c:v>41029</c:v>
                </c:pt>
                <c:pt idx="160">
                  <c:v>41060</c:v>
                </c:pt>
                <c:pt idx="161">
                  <c:v>41090</c:v>
                </c:pt>
                <c:pt idx="162">
                  <c:v>41121</c:v>
                </c:pt>
                <c:pt idx="163">
                  <c:v>41152</c:v>
                </c:pt>
                <c:pt idx="164">
                  <c:v>41182</c:v>
                </c:pt>
                <c:pt idx="165">
                  <c:v>41213</c:v>
                </c:pt>
                <c:pt idx="166">
                  <c:v>41243</c:v>
                </c:pt>
                <c:pt idx="167">
                  <c:v>41274</c:v>
                </c:pt>
                <c:pt idx="168">
                  <c:v>41305</c:v>
                </c:pt>
                <c:pt idx="169">
                  <c:v>41333</c:v>
                </c:pt>
                <c:pt idx="170">
                  <c:v>41364</c:v>
                </c:pt>
                <c:pt idx="171">
                  <c:v>41394</c:v>
                </c:pt>
                <c:pt idx="172">
                  <c:v>41425</c:v>
                </c:pt>
                <c:pt idx="173">
                  <c:v>41455</c:v>
                </c:pt>
                <c:pt idx="174">
                  <c:v>41486</c:v>
                </c:pt>
                <c:pt idx="175">
                  <c:v>41517</c:v>
                </c:pt>
                <c:pt idx="176">
                  <c:v>41547</c:v>
                </c:pt>
                <c:pt idx="177">
                  <c:v>41578</c:v>
                </c:pt>
                <c:pt idx="178">
                  <c:v>41608</c:v>
                </c:pt>
                <c:pt idx="179">
                  <c:v>41639</c:v>
                </c:pt>
                <c:pt idx="180">
                  <c:v>41670</c:v>
                </c:pt>
                <c:pt idx="181">
                  <c:v>41698</c:v>
                </c:pt>
                <c:pt idx="182">
                  <c:v>41729</c:v>
                </c:pt>
                <c:pt idx="183">
                  <c:v>41759</c:v>
                </c:pt>
                <c:pt idx="184">
                  <c:v>41790</c:v>
                </c:pt>
                <c:pt idx="185">
                  <c:v>41820</c:v>
                </c:pt>
                <c:pt idx="186">
                  <c:v>41851</c:v>
                </c:pt>
                <c:pt idx="187">
                  <c:v>41882</c:v>
                </c:pt>
                <c:pt idx="188">
                  <c:v>41912</c:v>
                </c:pt>
                <c:pt idx="189">
                  <c:v>41943</c:v>
                </c:pt>
                <c:pt idx="190">
                  <c:v>41973</c:v>
                </c:pt>
                <c:pt idx="191">
                  <c:v>42004</c:v>
                </c:pt>
                <c:pt idx="192">
                  <c:v>42035</c:v>
                </c:pt>
                <c:pt idx="193">
                  <c:v>42063</c:v>
                </c:pt>
                <c:pt idx="194">
                  <c:v>42094</c:v>
                </c:pt>
                <c:pt idx="195">
                  <c:v>42124</c:v>
                </c:pt>
                <c:pt idx="196">
                  <c:v>42155</c:v>
                </c:pt>
                <c:pt idx="197">
                  <c:v>42185</c:v>
                </c:pt>
                <c:pt idx="198">
                  <c:v>42216</c:v>
                </c:pt>
                <c:pt idx="199">
                  <c:v>42247</c:v>
                </c:pt>
                <c:pt idx="200">
                  <c:v>42277</c:v>
                </c:pt>
                <c:pt idx="201">
                  <c:v>42308</c:v>
                </c:pt>
                <c:pt idx="202">
                  <c:v>42338</c:v>
                </c:pt>
                <c:pt idx="203">
                  <c:v>42369</c:v>
                </c:pt>
                <c:pt idx="204">
                  <c:v>42400</c:v>
                </c:pt>
                <c:pt idx="205">
                  <c:v>42429</c:v>
                </c:pt>
                <c:pt idx="206">
                  <c:v>42460</c:v>
                </c:pt>
                <c:pt idx="207">
                  <c:v>42490</c:v>
                </c:pt>
                <c:pt idx="208">
                  <c:v>42521</c:v>
                </c:pt>
                <c:pt idx="209">
                  <c:v>42551</c:v>
                </c:pt>
                <c:pt idx="210">
                  <c:v>42582</c:v>
                </c:pt>
                <c:pt idx="211">
                  <c:v>42613</c:v>
                </c:pt>
                <c:pt idx="212">
                  <c:v>42643</c:v>
                </c:pt>
                <c:pt idx="213">
                  <c:v>42674</c:v>
                </c:pt>
                <c:pt idx="214">
                  <c:v>42704</c:v>
                </c:pt>
                <c:pt idx="215">
                  <c:v>42735</c:v>
                </c:pt>
                <c:pt idx="216">
                  <c:v>42766</c:v>
                </c:pt>
                <c:pt idx="217">
                  <c:v>42794</c:v>
                </c:pt>
                <c:pt idx="218">
                  <c:v>42825</c:v>
                </c:pt>
                <c:pt idx="219">
                  <c:v>42855</c:v>
                </c:pt>
                <c:pt idx="220">
                  <c:v>42886</c:v>
                </c:pt>
                <c:pt idx="221">
                  <c:v>42916</c:v>
                </c:pt>
                <c:pt idx="222">
                  <c:v>42947</c:v>
                </c:pt>
                <c:pt idx="223">
                  <c:v>42978</c:v>
                </c:pt>
                <c:pt idx="224">
                  <c:v>43008</c:v>
                </c:pt>
                <c:pt idx="225">
                  <c:v>43039</c:v>
                </c:pt>
                <c:pt idx="226">
                  <c:v>43069</c:v>
                </c:pt>
                <c:pt idx="227">
                  <c:v>43100</c:v>
                </c:pt>
                <c:pt idx="228">
                  <c:v>43131</c:v>
                </c:pt>
                <c:pt idx="229">
                  <c:v>43159</c:v>
                </c:pt>
                <c:pt idx="230">
                  <c:v>43190</c:v>
                </c:pt>
                <c:pt idx="231">
                  <c:v>43220</c:v>
                </c:pt>
                <c:pt idx="232">
                  <c:v>43251</c:v>
                </c:pt>
                <c:pt idx="233">
                  <c:v>43281</c:v>
                </c:pt>
                <c:pt idx="234">
                  <c:v>43312</c:v>
                </c:pt>
                <c:pt idx="235">
                  <c:v>43343</c:v>
                </c:pt>
                <c:pt idx="236">
                  <c:v>43373</c:v>
                </c:pt>
                <c:pt idx="237">
                  <c:v>43404</c:v>
                </c:pt>
                <c:pt idx="238">
                  <c:v>43434</c:v>
                </c:pt>
                <c:pt idx="239">
                  <c:v>43465</c:v>
                </c:pt>
                <c:pt idx="240">
                  <c:v>43496</c:v>
                </c:pt>
                <c:pt idx="241">
                  <c:v>43524</c:v>
                </c:pt>
                <c:pt idx="242">
                  <c:v>43555</c:v>
                </c:pt>
                <c:pt idx="243">
                  <c:v>43585</c:v>
                </c:pt>
                <c:pt idx="244">
                  <c:v>43616</c:v>
                </c:pt>
                <c:pt idx="245">
                  <c:v>43646</c:v>
                </c:pt>
                <c:pt idx="246">
                  <c:v>43677</c:v>
                </c:pt>
                <c:pt idx="247">
                  <c:v>43708</c:v>
                </c:pt>
                <c:pt idx="248">
                  <c:v>43738</c:v>
                </c:pt>
                <c:pt idx="249">
                  <c:v>43769</c:v>
                </c:pt>
                <c:pt idx="250">
                  <c:v>43799</c:v>
                </c:pt>
                <c:pt idx="251">
                  <c:v>43830</c:v>
                </c:pt>
                <c:pt idx="252">
                  <c:v>43861</c:v>
                </c:pt>
                <c:pt idx="253">
                  <c:v>43890</c:v>
                </c:pt>
                <c:pt idx="254">
                  <c:v>43921</c:v>
                </c:pt>
                <c:pt idx="255">
                  <c:v>43951</c:v>
                </c:pt>
                <c:pt idx="256">
                  <c:v>43982</c:v>
                </c:pt>
                <c:pt idx="257">
                  <c:v>44012</c:v>
                </c:pt>
                <c:pt idx="258">
                  <c:v>44043</c:v>
                </c:pt>
                <c:pt idx="259">
                  <c:v>44074</c:v>
                </c:pt>
              </c:numCache>
            </c:numRef>
          </c:cat>
          <c:val>
            <c:numRef>
              <c:f>Data!$F$4:$F$263</c:f>
              <c:numCache>
                <c:formatCode>General</c:formatCode>
                <c:ptCount val="260"/>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numCache>
            </c:numRef>
          </c:val>
          <c:extLst>
            <c:ext xmlns:c16="http://schemas.microsoft.com/office/drawing/2014/chart" uri="{C3380CC4-5D6E-409C-BE32-E72D297353CC}">
              <c16:uniqueId val="{00000000-2B42-40FB-B5B3-8F5744305595}"/>
            </c:ext>
          </c:extLst>
        </c:ser>
        <c:ser>
          <c:idx val="3"/>
          <c:order val="3"/>
          <c:spPr>
            <a:solidFill>
              <a:srgbClr val="A9A9A9"/>
            </a:solidFill>
            <a:ln w="3810">
              <a:noFill/>
              <a:round/>
            </a:ln>
            <a:effectLst/>
            <a:extLst>
              <a:ext uri="{91240B29-F687-4F45-9708-019B960494DF}">
                <a14:hiddenLine xmlns:a14="http://schemas.microsoft.com/office/drawing/2010/main" w="3810">
                  <a:solidFill>
                    <a:sysClr val="window" lastClr="FFFFFF">
                      <a:lumMod val="85000"/>
                    </a:sysClr>
                  </a:solidFill>
                  <a:round/>
                </a14:hiddenLine>
              </a:ext>
            </a:extLst>
          </c:spPr>
          <c:invertIfNegative val="0"/>
          <c:cat>
            <c:numRef>
              <c:f>Data!$A$4:$A$263</c:f>
              <c:numCache>
                <c:formatCode>mmm\ yy</c:formatCode>
                <c:ptCount val="260"/>
                <c:pt idx="0">
                  <c:v>36191</c:v>
                </c:pt>
                <c:pt idx="1">
                  <c:v>36219</c:v>
                </c:pt>
                <c:pt idx="2">
                  <c:v>36250</c:v>
                </c:pt>
                <c:pt idx="3">
                  <c:v>36280</c:v>
                </c:pt>
                <c:pt idx="4">
                  <c:v>36311</c:v>
                </c:pt>
                <c:pt idx="5">
                  <c:v>36341</c:v>
                </c:pt>
                <c:pt idx="6">
                  <c:v>36372</c:v>
                </c:pt>
                <c:pt idx="7">
                  <c:v>36403</c:v>
                </c:pt>
                <c:pt idx="8">
                  <c:v>36433</c:v>
                </c:pt>
                <c:pt idx="9">
                  <c:v>36464</c:v>
                </c:pt>
                <c:pt idx="10">
                  <c:v>36494</c:v>
                </c:pt>
                <c:pt idx="11">
                  <c:v>36525</c:v>
                </c:pt>
                <c:pt idx="12">
                  <c:v>36556</c:v>
                </c:pt>
                <c:pt idx="13">
                  <c:v>36585</c:v>
                </c:pt>
                <c:pt idx="14">
                  <c:v>36616</c:v>
                </c:pt>
                <c:pt idx="15">
                  <c:v>36646</c:v>
                </c:pt>
                <c:pt idx="16">
                  <c:v>36677</c:v>
                </c:pt>
                <c:pt idx="17">
                  <c:v>36707</c:v>
                </c:pt>
                <c:pt idx="18">
                  <c:v>36738</c:v>
                </c:pt>
                <c:pt idx="19">
                  <c:v>36769</c:v>
                </c:pt>
                <c:pt idx="20">
                  <c:v>36799</c:v>
                </c:pt>
                <c:pt idx="21">
                  <c:v>36830</c:v>
                </c:pt>
                <c:pt idx="22">
                  <c:v>36860</c:v>
                </c:pt>
                <c:pt idx="23">
                  <c:v>36891</c:v>
                </c:pt>
                <c:pt idx="24">
                  <c:v>36922</c:v>
                </c:pt>
                <c:pt idx="25">
                  <c:v>36950</c:v>
                </c:pt>
                <c:pt idx="26">
                  <c:v>36981</c:v>
                </c:pt>
                <c:pt idx="27">
                  <c:v>37011</c:v>
                </c:pt>
                <c:pt idx="28">
                  <c:v>37042</c:v>
                </c:pt>
                <c:pt idx="29">
                  <c:v>37072</c:v>
                </c:pt>
                <c:pt idx="30">
                  <c:v>37103</c:v>
                </c:pt>
                <c:pt idx="31">
                  <c:v>37134</c:v>
                </c:pt>
                <c:pt idx="32">
                  <c:v>37164</c:v>
                </c:pt>
                <c:pt idx="33">
                  <c:v>37195</c:v>
                </c:pt>
                <c:pt idx="34">
                  <c:v>37225</c:v>
                </c:pt>
                <c:pt idx="35">
                  <c:v>37256</c:v>
                </c:pt>
                <c:pt idx="36">
                  <c:v>37287</c:v>
                </c:pt>
                <c:pt idx="37">
                  <c:v>37315</c:v>
                </c:pt>
                <c:pt idx="38">
                  <c:v>37346</c:v>
                </c:pt>
                <c:pt idx="39">
                  <c:v>37376</c:v>
                </c:pt>
                <c:pt idx="40">
                  <c:v>37407</c:v>
                </c:pt>
                <c:pt idx="41">
                  <c:v>37437</c:v>
                </c:pt>
                <c:pt idx="42">
                  <c:v>37468</c:v>
                </c:pt>
                <c:pt idx="43">
                  <c:v>37499</c:v>
                </c:pt>
                <c:pt idx="44">
                  <c:v>37529</c:v>
                </c:pt>
                <c:pt idx="45">
                  <c:v>37560</c:v>
                </c:pt>
                <c:pt idx="46">
                  <c:v>37590</c:v>
                </c:pt>
                <c:pt idx="47">
                  <c:v>37621</c:v>
                </c:pt>
                <c:pt idx="48">
                  <c:v>37652</c:v>
                </c:pt>
                <c:pt idx="49">
                  <c:v>37680</c:v>
                </c:pt>
                <c:pt idx="50">
                  <c:v>37711</c:v>
                </c:pt>
                <c:pt idx="51">
                  <c:v>37741</c:v>
                </c:pt>
                <c:pt idx="52">
                  <c:v>37772</c:v>
                </c:pt>
                <c:pt idx="53">
                  <c:v>37802</c:v>
                </c:pt>
                <c:pt idx="54">
                  <c:v>37833</c:v>
                </c:pt>
                <c:pt idx="55">
                  <c:v>37864</c:v>
                </c:pt>
                <c:pt idx="56">
                  <c:v>37894</c:v>
                </c:pt>
                <c:pt idx="57">
                  <c:v>37925</c:v>
                </c:pt>
                <c:pt idx="58">
                  <c:v>37955</c:v>
                </c:pt>
                <c:pt idx="59">
                  <c:v>37986</c:v>
                </c:pt>
                <c:pt idx="60">
                  <c:v>38017</c:v>
                </c:pt>
                <c:pt idx="61">
                  <c:v>38046</c:v>
                </c:pt>
                <c:pt idx="62">
                  <c:v>38077</c:v>
                </c:pt>
                <c:pt idx="63">
                  <c:v>38107</c:v>
                </c:pt>
                <c:pt idx="64">
                  <c:v>38138</c:v>
                </c:pt>
                <c:pt idx="65">
                  <c:v>38168</c:v>
                </c:pt>
                <c:pt idx="66">
                  <c:v>38199</c:v>
                </c:pt>
                <c:pt idx="67">
                  <c:v>38230</c:v>
                </c:pt>
                <c:pt idx="68">
                  <c:v>38260</c:v>
                </c:pt>
                <c:pt idx="69">
                  <c:v>38291</c:v>
                </c:pt>
                <c:pt idx="70">
                  <c:v>38321</c:v>
                </c:pt>
                <c:pt idx="71">
                  <c:v>38352</c:v>
                </c:pt>
                <c:pt idx="72">
                  <c:v>38383</c:v>
                </c:pt>
                <c:pt idx="73">
                  <c:v>38411</c:v>
                </c:pt>
                <c:pt idx="74">
                  <c:v>38442</c:v>
                </c:pt>
                <c:pt idx="75">
                  <c:v>38472</c:v>
                </c:pt>
                <c:pt idx="76">
                  <c:v>38503</c:v>
                </c:pt>
                <c:pt idx="77">
                  <c:v>38533</c:v>
                </c:pt>
                <c:pt idx="78">
                  <c:v>38564</c:v>
                </c:pt>
                <c:pt idx="79">
                  <c:v>38595</c:v>
                </c:pt>
                <c:pt idx="80">
                  <c:v>38625</c:v>
                </c:pt>
                <c:pt idx="81">
                  <c:v>38656</c:v>
                </c:pt>
                <c:pt idx="82">
                  <c:v>38686</c:v>
                </c:pt>
                <c:pt idx="83">
                  <c:v>38717</c:v>
                </c:pt>
                <c:pt idx="84">
                  <c:v>38748</c:v>
                </c:pt>
                <c:pt idx="85">
                  <c:v>38776</c:v>
                </c:pt>
                <c:pt idx="86">
                  <c:v>38807</c:v>
                </c:pt>
                <c:pt idx="87">
                  <c:v>38837</c:v>
                </c:pt>
                <c:pt idx="88">
                  <c:v>38868</c:v>
                </c:pt>
                <c:pt idx="89">
                  <c:v>38898</c:v>
                </c:pt>
                <c:pt idx="90">
                  <c:v>38929</c:v>
                </c:pt>
                <c:pt idx="91">
                  <c:v>38960</c:v>
                </c:pt>
                <c:pt idx="92">
                  <c:v>38990</c:v>
                </c:pt>
                <c:pt idx="93">
                  <c:v>39021</c:v>
                </c:pt>
                <c:pt idx="94">
                  <c:v>39051</c:v>
                </c:pt>
                <c:pt idx="95">
                  <c:v>39082</c:v>
                </c:pt>
                <c:pt idx="96">
                  <c:v>39113</c:v>
                </c:pt>
                <c:pt idx="97">
                  <c:v>39141</c:v>
                </c:pt>
                <c:pt idx="98">
                  <c:v>39172</c:v>
                </c:pt>
                <c:pt idx="99">
                  <c:v>39202</c:v>
                </c:pt>
                <c:pt idx="100">
                  <c:v>39233</c:v>
                </c:pt>
                <c:pt idx="101">
                  <c:v>39263</c:v>
                </c:pt>
                <c:pt idx="102">
                  <c:v>39294</c:v>
                </c:pt>
                <c:pt idx="103">
                  <c:v>39325</c:v>
                </c:pt>
                <c:pt idx="104">
                  <c:v>39355</c:v>
                </c:pt>
                <c:pt idx="105">
                  <c:v>39386</c:v>
                </c:pt>
                <c:pt idx="106">
                  <c:v>39416</c:v>
                </c:pt>
                <c:pt idx="107">
                  <c:v>39447</c:v>
                </c:pt>
                <c:pt idx="108">
                  <c:v>39478</c:v>
                </c:pt>
                <c:pt idx="109">
                  <c:v>39507</c:v>
                </c:pt>
                <c:pt idx="110">
                  <c:v>39538</c:v>
                </c:pt>
                <c:pt idx="111">
                  <c:v>39568</c:v>
                </c:pt>
                <c:pt idx="112">
                  <c:v>39599</c:v>
                </c:pt>
                <c:pt idx="113">
                  <c:v>39629</c:v>
                </c:pt>
                <c:pt idx="114">
                  <c:v>39660</c:v>
                </c:pt>
                <c:pt idx="115">
                  <c:v>39691</c:v>
                </c:pt>
                <c:pt idx="116">
                  <c:v>39721</c:v>
                </c:pt>
                <c:pt idx="117">
                  <c:v>39752</c:v>
                </c:pt>
                <c:pt idx="118">
                  <c:v>39782</c:v>
                </c:pt>
                <c:pt idx="119">
                  <c:v>39813</c:v>
                </c:pt>
                <c:pt idx="120">
                  <c:v>39844</c:v>
                </c:pt>
                <c:pt idx="121">
                  <c:v>39872</c:v>
                </c:pt>
                <c:pt idx="122">
                  <c:v>39903</c:v>
                </c:pt>
                <c:pt idx="123">
                  <c:v>39933</c:v>
                </c:pt>
                <c:pt idx="124">
                  <c:v>39964</c:v>
                </c:pt>
                <c:pt idx="125">
                  <c:v>39994</c:v>
                </c:pt>
                <c:pt idx="126">
                  <c:v>40025</c:v>
                </c:pt>
                <c:pt idx="127">
                  <c:v>40056</c:v>
                </c:pt>
                <c:pt idx="128">
                  <c:v>40086</c:v>
                </c:pt>
                <c:pt idx="129">
                  <c:v>40117</c:v>
                </c:pt>
                <c:pt idx="130">
                  <c:v>40147</c:v>
                </c:pt>
                <c:pt idx="131">
                  <c:v>40178</c:v>
                </c:pt>
                <c:pt idx="132">
                  <c:v>40209</c:v>
                </c:pt>
                <c:pt idx="133">
                  <c:v>40237</c:v>
                </c:pt>
                <c:pt idx="134">
                  <c:v>40268</c:v>
                </c:pt>
                <c:pt idx="135">
                  <c:v>40298</c:v>
                </c:pt>
                <c:pt idx="136">
                  <c:v>40329</c:v>
                </c:pt>
                <c:pt idx="137">
                  <c:v>40359</c:v>
                </c:pt>
                <c:pt idx="138">
                  <c:v>40390</c:v>
                </c:pt>
                <c:pt idx="139">
                  <c:v>40421</c:v>
                </c:pt>
                <c:pt idx="140">
                  <c:v>40451</c:v>
                </c:pt>
                <c:pt idx="141">
                  <c:v>40482</c:v>
                </c:pt>
                <c:pt idx="142">
                  <c:v>40512</c:v>
                </c:pt>
                <c:pt idx="143">
                  <c:v>40543</c:v>
                </c:pt>
                <c:pt idx="144">
                  <c:v>40574</c:v>
                </c:pt>
                <c:pt idx="145">
                  <c:v>40602</c:v>
                </c:pt>
                <c:pt idx="146">
                  <c:v>40633</c:v>
                </c:pt>
                <c:pt idx="147">
                  <c:v>40663</c:v>
                </c:pt>
                <c:pt idx="148">
                  <c:v>40694</c:v>
                </c:pt>
                <c:pt idx="149">
                  <c:v>40724</c:v>
                </c:pt>
                <c:pt idx="150">
                  <c:v>40755</c:v>
                </c:pt>
                <c:pt idx="151">
                  <c:v>40786</c:v>
                </c:pt>
                <c:pt idx="152">
                  <c:v>40816</c:v>
                </c:pt>
                <c:pt idx="153">
                  <c:v>40847</c:v>
                </c:pt>
                <c:pt idx="154">
                  <c:v>40877</c:v>
                </c:pt>
                <c:pt idx="155">
                  <c:v>40908</c:v>
                </c:pt>
                <c:pt idx="156">
                  <c:v>40939</c:v>
                </c:pt>
                <c:pt idx="157">
                  <c:v>40968</c:v>
                </c:pt>
                <c:pt idx="158">
                  <c:v>40999</c:v>
                </c:pt>
                <c:pt idx="159">
                  <c:v>41029</c:v>
                </c:pt>
                <c:pt idx="160">
                  <c:v>41060</c:v>
                </c:pt>
                <c:pt idx="161">
                  <c:v>41090</c:v>
                </c:pt>
                <c:pt idx="162">
                  <c:v>41121</c:v>
                </c:pt>
                <c:pt idx="163">
                  <c:v>41152</c:v>
                </c:pt>
                <c:pt idx="164">
                  <c:v>41182</c:v>
                </c:pt>
                <c:pt idx="165">
                  <c:v>41213</c:v>
                </c:pt>
                <c:pt idx="166">
                  <c:v>41243</c:v>
                </c:pt>
                <c:pt idx="167">
                  <c:v>41274</c:v>
                </c:pt>
                <c:pt idx="168">
                  <c:v>41305</c:v>
                </c:pt>
                <c:pt idx="169">
                  <c:v>41333</c:v>
                </c:pt>
                <c:pt idx="170">
                  <c:v>41364</c:v>
                </c:pt>
                <c:pt idx="171">
                  <c:v>41394</c:v>
                </c:pt>
                <c:pt idx="172">
                  <c:v>41425</c:v>
                </c:pt>
                <c:pt idx="173">
                  <c:v>41455</c:v>
                </c:pt>
                <c:pt idx="174">
                  <c:v>41486</c:v>
                </c:pt>
                <c:pt idx="175">
                  <c:v>41517</c:v>
                </c:pt>
                <c:pt idx="176">
                  <c:v>41547</c:v>
                </c:pt>
                <c:pt idx="177">
                  <c:v>41578</c:v>
                </c:pt>
                <c:pt idx="178">
                  <c:v>41608</c:v>
                </c:pt>
                <c:pt idx="179">
                  <c:v>41639</c:v>
                </c:pt>
                <c:pt idx="180">
                  <c:v>41670</c:v>
                </c:pt>
                <c:pt idx="181">
                  <c:v>41698</c:v>
                </c:pt>
                <c:pt idx="182">
                  <c:v>41729</c:v>
                </c:pt>
                <c:pt idx="183">
                  <c:v>41759</c:v>
                </c:pt>
                <c:pt idx="184">
                  <c:v>41790</c:v>
                </c:pt>
                <c:pt idx="185">
                  <c:v>41820</c:v>
                </c:pt>
                <c:pt idx="186">
                  <c:v>41851</c:v>
                </c:pt>
                <c:pt idx="187">
                  <c:v>41882</c:v>
                </c:pt>
                <c:pt idx="188">
                  <c:v>41912</c:v>
                </c:pt>
                <c:pt idx="189">
                  <c:v>41943</c:v>
                </c:pt>
                <c:pt idx="190">
                  <c:v>41973</c:v>
                </c:pt>
                <c:pt idx="191">
                  <c:v>42004</c:v>
                </c:pt>
                <c:pt idx="192">
                  <c:v>42035</c:v>
                </c:pt>
                <c:pt idx="193">
                  <c:v>42063</c:v>
                </c:pt>
                <c:pt idx="194">
                  <c:v>42094</c:v>
                </c:pt>
                <c:pt idx="195">
                  <c:v>42124</c:v>
                </c:pt>
                <c:pt idx="196">
                  <c:v>42155</c:v>
                </c:pt>
                <c:pt idx="197">
                  <c:v>42185</c:v>
                </c:pt>
                <c:pt idx="198">
                  <c:v>42216</c:v>
                </c:pt>
                <c:pt idx="199">
                  <c:v>42247</c:v>
                </c:pt>
                <c:pt idx="200">
                  <c:v>42277</c:v>
                </c:pt>
                <c:pt idx="201">
                  <c:v>42308</c:v>
                </c:pt>
                <c:pt idx="202">
                  <c:v>42338</c:v>
                </c:pt>
                <c:pt idx="203">
                  <c:v>42369</c:v>
                </c:pt>
                <c:pt idx="204">
                  <c:v>42400</c:v>
                </c:pt>
                <c:pt idx="205">
                  <c:v>42429</c:v>
                </c:pt>
                <c:pt idx="206">
                  <c:v>42460</c:v>
                </c:pt>
                <c:pt idx="207">
                  <c:v>42490</c:v>
                </c:pt>
                <c:pt idx="208">
                  <c:v>42521</c:v>
                </c:pt>
                <c:pt idx="209">
                  <c:v>42551</c:v>
                </c:pt>
                <c:pt idx="210">
                  <c:v>42582</c:v>
                </c:pt>
                <c:pt idx="211">
                  <c:v>42613</c:v>
                </c:pt>
                <c:pt idx="212">
                  <c:v>42643</c:v>
                </c:pt>
                <c:pt idx="213">
                  <c:v>42674</c:v>
                </c:pt>
                <c:pt idx="214">
                  <c:v>42704</c:v>
                </c:pt>
                <c:pt idx="215">
                  <c:v>42735</c:v>
                </c:pt>
                <c:pt idx="216">
                  <c:v>42766</c:v>
                </c:pt>
                <c:pt idx="217">
                  <c:v>42794</c:v>
                </c:pt>
                <c:pt idx="218">
                  <c:v>42825</c:v>
                </c:pt>
                <c:pt idx="219">
                  <c:v>42855</c:v>
                </c:pt>
                <c:pt idx="220">
                  <c:v>42886</c:v>
                </c:pt>
                <c:pt idx="221">
                  <c:v>42916</c:v>
                </c:pt>
                <c:pt idx="222">
                  <c:v>42947</c:v>
                </c:pt>
                <c:pt idx="223">
                  <c:v>42978</c:v>
                </c:pt>
                <c:pt idx="224">
                  <c:v>43008</c:v>
                </c:pt>
                <c:pt idx="225">
                  <c:v>43039</c:v>
                </c:pt>
                <c:pt idx="226">
                  <c:v>43069</c:v>
                </c:pt>
                <c:pt idx="227">
                  <c:v>43100</c:v>
                </c:pt>
                <c:pt idx="228">
                  <c:v>43131</c:v>
                </c:pt>
                <c:pt idx="229">
                  <c:v>43159</c:v>
                </c:pt>
                <c:pt idx="230">
                  <c:v>43190</c:v>
                </c:pt>
                <c:pt idx="231">
                  <c:v>43220</c:v>
                </c:pt>
                <c:pt idx="232">
                  <c:v>43251</c:v>
                </c:pt>
                <c:pt idx="233">
                  <c:v>43281</c:v>
                </c:pt>
                <c:pt idx="234">
                  <c:v>43312</c:v>
                </c:pt>
                <c:pt idx="235">
                  <c:v>43343</c:v>
                </c:pt>
                <c:pt idx="236">
                  <c:v>43373</c:v>
                </c:pt>
                <c:pt idx="237">
                  <c:v>43404</c:v>
                </c:pt>
                <c:pt idx="238">
                  <c:v>43434</c:v>
                </c:pt>
                <c:pt idx="239">
                  <c:v>43465</c:v>
                </c:pt>
                <c:pt idx="240">
                  <c:v>43496</c:v>
                </c:pt>
                <c:pt idx="241">
                  <c:v>43524</c:v>
                </c:pt>
                <c:pt idx="242">
                  <c:v>43555</c:v>
                </c:pt>
                <c:pt idx="243">
                  <c:v>43585</c:v>
                </c:pt>
                <c:pt idx="244">
                  <c:v>43616</c:v>
                </c:pt>
                <c:pt idx="245">
                  <c:v>43646</c:v>
                </c:pt>
                <c:pt idx="246">
                  <c:v>43677</c:v>
                </c:pt>
                <c:pt idx="247">
                  <c:v>43708</c:v>
                </c:pt>
                <c:pt idx="248">
                  <c:v>43738</c:v>
                </c:pt>
                <c:pt idx="249">
                  <c:v>43769</c:v>
                </c:pt>
                <c:pt idx="250">
                  <c:v>43799</c:v>
                </c:pt>
                <c:pt idx="251">
                  <c:v>43830</c:v>
                </c:pt>
                <c:pt idx="252">
                  <c:v>43861</c:v>
                </c:pt>
                <c:pt idx="253">
                  <c:v>43890</c:v>
                </c:pt>
                <c:pt idx="254">
                  <c:v>43921</c:v>
                </c:pt>
                <c:pt idx="255">
                  <c:v>43951</c:v>
                </c:pt>
                <c:pt idx="256">
                  <c:v>43982</c:v>
                </c:pt>
                <c:pt idx="257">
                  <c:v>44012</c:v>
                </c:pt>
                <c:pt idx="258">
                  <c:v>44043</c:v>
                </c:pt>
                <c:pt idx="259">
                  <c:v>44074</c:v>
                </c:pt>
              </c:numCache>
            </c:numRef>
          </c:cat>
          <c:val>
            <c:numRef>
              <c:f>Data!$G$4:$G$263</c:f>
              <c:numCache>
                <c:formatCode>General</c:formatCode>
                <c:ptCount val="260"/>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numCache>
            </c:numRef>
          </c:val>
          <c:extLst>
            <c:ext xmlns:c16="http://schemas.microsoft.com/office/drawing/2014/chart" uri="{C3380CC4-5D6E-409C-BE32-E72D297353CC}">
              <c16:uniqueId val="{00000001-2B42-40FB-B5B3-8F5744305595}"/>
            </c:ext>
          </c:extLst>
        </c:ser>
        <c:dLbls>
          <c:showLegendKey val="0"/>
          <c:showVal val="0"/>
          <c:showCatName val="0"/>
          <c:showSerName val="0"/>
          <c:showPercent val="0"/>
          <c:showBubbleSize val="0"/>
        </c:dLbls>
        <c:gapWidth val="0"/>
        <c:overlap val="100"/>
        <c:axId val="108053248"/>
        <c:axId val="108054784"/>
      </c:barChart>
      <c:lineChart>
        <c:grouping val="standard"/>
        <c:varyColors val="0"/>
        <c:ser>
          <c:idx val="0"/>
          <c:order val="0"/>
          <c:tx>
            <c:strRef>
              <c:f>Chart!$J$9</c:f>
              <c:strCache>
                <c:ptCount val="1"/>
                <c:pt idx="0">
                  <c:v>Consumer survey (left-hand scale)</c:v>
                </c:pt>
              </c:strCache>
            </c:strRef>
          </c:tx>
          <c:spPr>
            <a:ln w="25400" cap="rnd" cmpd="sng" algn="ctr">
              <a:solidFill>
                <a:srgbClr val="003299"/>
              </a:solidFill>
              <a:prstDash val="solid"/>
              <a:round/>
              <a:headEnd type="none" w="med" len="med"/>
              <a:tailEnd type="none" w="med" len="med"/>
            </a:ln>
          </c:spPr>
          <c:marker>
            <c:symbol val="none"/>
          </c:marker>
          <c:cat>
            <c:numRef>
              <c:f>Data!$A$4:$A$263</c:f>
              <c:numCache>
                <c:formatCode>mmm\ yy</c:formatCode>
                <c:ptCount val="260"/>
                <c:pt idx="0">
                  <c:v>36191</c:v>
                </c:pt>
                <c:pt idx="1">
                  <c:v>36219</c:v>
                </c:pt>
                <c:pt idx="2">
                  <c:v>36250</c:v>
                </c:pt>
                <c:pt idx="3">
                  <c:v>36280</c:v>
                </c:pt>
                <c:pt idx="4">
                  <c:v>36311</c:v>
                </c:pt>
                <c:pt idx="5">
                  <c:v>36341</c:v>
                </c:pt>
                <c:pt idx="6">
                  <c:v>36372</c:v>
                </c:pt>
                <c:pt idx="7">
                  <c:v>36403</c:v>
                </c:pt>
                <c:pt idx="8">
                  <c:v>36433</c:v>
                </c:pt>
                <c:pt idx="9">
                  <c:v>36464</c:v>
                </c:pt>
                <c:pt idx="10">
                  <c:v>36494</c:v>
                </c:pt>
                <c:pt idx="11">
                  <c:v>36525</c:v>
                </c:pt>
                <c:pt idx="12">
                  <c:v>36556</c:v>
                </c:pt>
                <c:pt idx="13">
                  <c:v>36585</c:v>
                </c:pt>
                <c:pt idx="14">
                  <c:v>36616</c:v>
                </c:pt>
                <c:pt idx="15">
                  <c:v>36646</c:v>
                </c:pt>
                <c:pt idx="16">
                  <c:v>36677</c:v>
                </c:pt>
                <c:pt idx="17">
                  <c:v>36707</c:v>
                </c:pt>
                <c:pt idx="18">
                  <c:v>36738</c:v>
                </c:pt>
                <c:pt idx="19">
                  <c:v>36769</c:v>
                </c:pt>
                <c:pt idx="20">
                  <c:v>36799</c:v>
                </c:pt>
                <c:pt idx="21">
                  <c:v>36830</c:v>
                </c:pt>
                <c:pt idx="22">
                  <c:v>36860</c:v>
                </c:pt>
                <c:pt idx="23">
                  <c:v>36891</c:v>
                </c:pt>
                <c:pt idx="24">
                  <c:v>36922</c:v>
                </c:pt>
                <c:pt idx="25">
                  <c:v>36950</c:v>
                </c:pt>
                <c:pt idx="26">
                  <c:v>36981</c:v>
                </c:pt>
                <c:pt idx="27">
                  <c:v>37011</c:v>
                </c:pt>
                <c:pt idx="28">
                  <c:v>37042</c:v>
                </c:pt>
                <c:pt idx="29">
                  <c:v>37072</c:v>
                </c:pt>
                <c:pt idx="30">
                  <c:v>37103</c:v>
                </c:pt>
                <c:pt idx="31">
                  <c:v>37134</c:v>
                </c:pt>
                <c:pt idx="32">
                  <c:v>37164</c:v>
                </c:pt>
                <c:pt idx="33">
                  <c:v>37195</c:v>
                </c:pt>
                <c:pt idx="34">
                  <c:v>37225</c:v>
                </c:pt>
                <c:pt idx="35">
                  <c:v>37256</c:v>
                </c:pt>
                <c:pt idx="36">
                  <c:v>37287</c:v>
                </c:pt>
                <c:pt idx="37">
                  <c:v>37315</c:v>
                </c:pt>
                <c:pt idx="38">
                  <c:v>37346</c:v>
                </c:pt>
                <c:pt idx="39">
                  <c:v>37376</c:v>
                </c:pt>
                <c:pt idx="40">
                  <c:v>37407</c:v>
                </c:pt>
                <c:pt idx="41">
                  <c:v>37437</c:v>
                </c:pt>
                <c:pt idx="42">
                  <c:v>37468</c:v>
                </c:pt>
                <c:pt idx="43">
                  <c:v>37499</c:v>
                </c:pt>
                <c:pt idx="44">
                  <c:v>37529</c:v>
                </c:pt>
                <c:pt idx="45">
                  <c:v>37560</c:v>
                </c:pt>
                <c:pt idx="46">
                  <c:v>37590</c:v>
                </c:pt>
                <c:pt idx="47">
                  <c:v>37621</c:v>
                </c:pt>
                <c:pt idx="48">
                  <c:v>37652</c:v>
                </c:pt>
                <c:pt idx="49">
                  <c:v>37680</c:v>
                </c:pt>
                <c:pt idx="50">
                  <c:v>37711</c:v>
                </c:pt>
                <c:pt idx="51">
                  <c:v>37741</c:v>
                </c:pt>
                <c:pt idx="52">
                  <c:v>37772</c:v>
                </c:pt>
                <c:pt idx="53">
                  <c:v>37802</c:v>
                </c:pt>
                <c:pt idx="54">
                  <c:v>37833</c:v>
                </c:pt>
                <c:pt idx="55">
                  <c:v>37864</c:v>
                </c:pt>
                <c:pt idx="56">
                  <c:v>37894</c:v>
                </c:pt>
                <c:pt idx="57">
                  <c:v>37925</c:v>
                </c:pt>
                <c:pt idx="58">
                  <c:v>37955</c:v>
                </c:pt>
                <c:pt idx="59">
                  <c:v>37986</c:v>
                </c:pt>
                <c:pt idx="60">
                  <c:v>38017</c:v>
                </c:pt>
                <c:pt idx="61">
                  <c:v>38046</c:v>
                </c:pt>
                <c:pt idx="62">
                  <c:v>38077</c:v>
                </c:pt>
                <c:pt idx="63">
                  <c:v>38107</c:v>
                </c:pt>
                <c:pt idx="64">
                  <c:v>38138</c:v>
                </c:pt>
                <c:pt idx="65">
                  <c:v>38168</c:v>
                </c:pt>
                <c:pt idx="66">
                  <c:v>38199</c:v>
                </c:pt>
                <c:pt idx="67">
                  <c:v>38230</c:v>
                </c:pt>
                <c:pt idx="68">
                  <c:v>38260</c:v>
                </c:pt>
                <c:pt idx="69">
                  <c:v>38291</c:v>
                </c:pt>
                <c:pt idx="70">
                  <c:v>38321</c:v>
                </c:pt>
                <c:pt idx="71">
                  <c:v>38352</c:v>
                </c:pt>
                <c:pt idx="72">
                  <c:v>38383</c:v>
                </c:pt>
                <c:pt idx="73">
                  <c:v>38411</c:v>
                </c:pt>
                <c:pt idx="74">
                  <c:v>38442</c:v>
                </c:pt>
                <c:pt idx="75">
                  <c:v>38472</c:v>
                </c:pt>
                <c:pt idx="76">
                  <c:v>38503</c:v>
                </c:pt>
                <c:pt idx="77">
                  <c:v>38533</c:v>
                </c:pt>
                <c:pt idx="78">
                  <c:v>38564</c:v>
                </c:pt>
                <c:pt idx="79">
                  <c:v>38595</c:v>
                </c:pt>
                <c:pt idx="80">
                  <c:v>38625</c:v>
                </c:pt>
                <c:pt idx="81">
                  <c:v>38656</c:v>
                </c:pt>
                <c:pt idx="82">
                  <c:v>38686</c:v>
                </c:pt>
                <c:pt idx="83">
                  <c:v>38717</c:v>
                </c:pt>
                <c:pt idx="84">
                  <c:v>38748</c:v>
                </c:pt>
                <c:pt idx="85">
                  <c:v>38776</c:v>
                </c:pt>
                <c:pt idx="86">
                  <c:v>38807</c:v>
                </c:pt>
                <c:pt idx="87">
                  <c:v>38837</c:v>
                </c:pt>
                <c:pt idx="88">
                  <c:v>38868</c:v>
                </c:pt>
                <c:pt idx="89">
                  <c:v>38898</c:v>
                </c:pt>
                <c:pt idx="90">
                  <c:v>38929</c:v>
                </c:pt>
                <c:pt idx="91">
                  <c:v>38960</c:v>
                </c:pt>
                <c:pt idx="92">
                  <c:v>38990</c:v>
                </c:pt>
                <c:pt idx="93">
                  <c:v>39021</c:v>
                </c:pt>
                <c:pt idx="94">
                  <c:v>39051</c:v>
                </c:pt>
                <c:pt idx="95">
                  <c:v>39082</c:v>
                </c:pt>
                <c:pt idx="96">
                  <c:v>39113</c:v>
                </c:pt>
                <c:pt idx="97">
                  <c:v>39141</c:v>
                </c:pt>
                <c:pt idx="98">
                  <c:v>39172</c:v>
                </c:pt>
                <c:pt idx="99">
                  <c:v>39202</c:v>
                </c:pt>
                <c:pt idx="100">
                  <c:v>39233</c:v>
                </c:pt>
                <c:pt idx="101">
                  <c:v>39263</c:v>
                </c:pt>
                <c:pt idx="102">
                  <c:v>39294</c:v>
                </c:pt>
                <c:pt idx="103">
                  <c:v>39325</c:v>
                </c:pt>
                <c:pt idx="104">
                  <c:v>39355</c:v>
                </c:pt>
                <c:pt idx="105">
                  <c:v>39386</c:v>
                </c:pt>
                <c:pt idx="106">
                  <c:v>39416</c:v>
                </c:pt>
                <c:pt idx="107">
                  <c:v>39447</c:v>
                </c:pt>
                <c:pt idx="108">
                  <c:v>39478</c:v>
                </c:pt>
                <c:pt idx="109">
                  <c:v>39507</c:v>
                </c:pt>
                <c:pt idx="110">
                  <c:v>39538</c:v>
                </c:pt>
                <c:pt idx="111">
                  <c:v>39568</c:v>
                </c:pt>
                <c:pt idx="112">
                  <c:v>39599</c:v>
                </c:pt>
                <c:pt idx="113">
                  <c:v>39629</c:v>
                </c:pt>
                <c:pt idx="114">
                  <c:v>39660</c:v>
                </c:pt>
                <c:pt idx="115">
                  <c:v>39691</c:v>
                </c:pt>
                <c:pt idx="116">
                  <c:v>39721</c:v>
                </c:pt>
                <c:pt idx="117">
                  <c:v>39752</c:v>
                </c:pt>
                <c:pt idx="118">
                  <c:v>39782</c:v>
                </c:pt>
                <c:pt idx="119">
                  <c:v>39813</c:v>
                </c:pt>
                <c:pt idx="120">
                  <c:v>39844</c:v>
                </c:pt>
                <c:pt idx="121">
                  <c:v>39872</c:v>
                </c:pt>
                <c:pt idx="122">
                  <c:v>39903</c:v>
                </c:pt>
                <c:pt idx="123">
                  <c:v>39933</c:v>
                </c:pt>
                <c:pt idx="124">
                  <c:v>39964</c:v>
                </c:pt>
                <c:pt idx="125">
                  <c:v>39994</c:v>
                </c:pt>
                <c:pt idx="126">
                  <c:v>40025</c:v>
                </c:pt>
                <c:pt idx="127">
                  <c:v>40056</c:v>
                </c:pt>
                <c:pt idx="128">
                  <c:v>40086</c:v>
                </c:pt>
                <c:pt idx="129">
                  <c:v>40117</c:v>
                </c:pt>
                <c:pt idx="130">
                  <c:v>40147</c:v>
                </c:pt>
                <c:pt idx="131">
                  <c:v>40178</c:v>
                </c:pt>
                <c:pt idx="132">
                  <c:v>40209</c:v>
                </c:pt>
                <c:pt idx="133">
                  <c:v>40237</c:v>
                </c:pt>
                <c:pt idx="134">
                  <c:v>40268</c:v>
                </c:pt>
                <c:pt idx="135">
                  <c:v>40298</c:v>
                </c:pt>
                <c:pt idx="136">
                  <c:v>40329</c:v>
                </c:pt>
                <c:pt idx="137">
                  <c:v>40359</c:v>
                </c:pt>
                <c:pt idx="138">
                  <c:v>40390</c:v>
                </c:pt>
                <c:pt idx="139">
                  <c:v>40421</c:v>
                </c:pt>
                <c:pt idx="140">
                  <c:v>40451</c:v>
                </c:pt>
                <c:pt idx="141">
                  <c:v>40482</c:v>
                </c:pt>
                <c:pt idx="142">
                  <c:v>40512</c:v>
                </c:pt>
                <c:pt idx="143">
                  <c:v>40543</c:v>
                </c:pt>
                <c:pt idx="144">
                  <c:v>40574</c:v>
                </c:pt>
                <c:pt idx="145">
                  <c:v>40602</c:v>
                </c:pt>
                <c:pt idx="146">
                  <c:v>40633</c:v>
                </c:pt>
                <c:pt idx="147">
                  <c:v>40663</c:v>
                </c:pt>
                <c:pt idx="148">
                  <c:v>40694</c:v>
                </c:pt>
                <c:pt idx="149">
                  <c:v>40724</c:v>
                </c:pt>
                <c:pt idx="150">
                  <c:v>40755</c:v>
                </c:pt>
                <c:pt idx="151">
                  <c:v>40786</c:v>
                </c:pt>
                <c:pt idx="152">
                  <c:v>40816</c:v>
                </c:pt>
                <c:pt idx="153">
                  <c:v>40847</c:v>
                </c:pt>
                <c:pt idx="154">
                  <c:v>40877</c:v>
                </c:pt>
                <c:pt idx="155">
                  <c:v>40908</c:v>
                </c:pt>
                <c:pt idx="156">
                  <c:v>40939</c:v>
                </c:pt>
                <c:pt idx="157">
                  <c:v>40968</c:v>
                </c:pt>
                <c:pt idx="158">
                  <c:v>40999</c:v>
                </c:pt>
                <c:pt idx="159">
                  <c:v>41029</c:v>
                </c:pt>
                <c:pt idx="160">
                  <c:v>41060</c:v>
                </c:pt>
                <c:pt idx="161">
                  <c:v>41090</c:v>
                </c:pt>
                <c:pt idx="162">
                  <c:v>41121</c:v>
                </c:pt>
                <c:pt idx="163">
                  <c:v>41152</c:v>
                </c:pt>
                <c:pt idx="164">
                  <c:v>41182</c:v>
                </c:pt>
                <c:pt idx="165">
                  <c:v>41213</c:v>
                </c:pt>
                <c:pt idx="166">
                  <c:v>41243</c:v>
                </c:pt>
                <c:pt idx="167">
                  <c:v>41274</c:v>
                </c:pt>
                <c:pt idx="168">
                  <c:v>41305</c:v>
                </c:pt>
                <c:pt idx="169">
                  <c:v>41333</c:v>
                </c:pt>
                <c:pt idx="170">
                  <c:v>41364</c:v>
                </c:pt>
                <c:pt idx="171">
                  <c:v>41394</c:v>
                </c:pt>
                <c:pt idx="172">
                  <c:v>41425</c:v>
                </c:pt>
                <c:pt idx="173">
                  <c:v>41455</c:v>
                </c:pt>
                <c:pt idx="174">
                  <c:v>41486</c:v>
                </c:pt>
                <c:pt idx="175">
                  <c:v>41517</c:v>
                </c:pt>
                <c:pt idx="176">
                  <c:v>41547</c:v>
                </c:pt>
                <c:pt idx="177">
                  <c:v>41578</c:v>
                </c:pt>
                <c:pt idx="178">
                  <c:v>41608</c:v>
                </c:pt>
                <c:pt idx="179">
                  <c:v>41639</c:v>
                </c:pt>
                <c:pt idx="180">
                  <c:v>41670</c:v>
                </c:pt>
                <c:pt idx="181">
                  <c:v>41698</c:v>
                </c:pt>
                <c:pt idx="182">
                  <c:v>41729</c:v>
                </c:pt>
                <c:pt idx="183">
                  <c:v>41759</c:v>
                </c:pt>
                <c:pt idx="184">
                  <c:v>41790</c:v>
                </c:pt>
                <c:pt idx="185">
                  <c:v>41820</c:v>
                </c:pt>
                <c:pt idx="186">
                  <c:v>41851</c:v>
                </c:pt>
                <c:pt idx="187">
                  <c:v>41882</c:v>
                </c:pt>
                <c:pt idx="188">
                  <c:v>41912</c:v>
                </c:pt>
                <c:pt idx="189">
                  <c:v>41943</c:v>
                </c:pt>
                <c:pt idx="190">
                  <c:v>41973</c:v>
                </c:pt>
                <c:pt idx="191">
                  <c:v>42004</c:v>
                </c:pt>
                <c:pt idx="192">
                  <c:v>42035</c:v>
                </c:pt>
                <c:pt idx="193">
                  <c:v>42063</c:v>
                </c:pt>
                <c:pt idx="194">
                  <c:v>42094</c:v>
                </c:pt>
                <c:pt idx="195">
                  <c:v>42124</c:v>
                </c:pt>
                <c:pt idx="196">
                  <c:v>42155</c:v>
                </c:pt>
                <c:pt idx="197">
                  <c:v>42185</c:v>
                </c:pt>
                <c:pt idx="198">
                  <c:v>42216</c:v>
                </c:pt>
                <c:pt idx="199">
                  <c:v>42247</c:v>
                </c:pt>
                <c:pt idx="200">
                  <c:v>42277</c:v>
                </c:pt>
                <c:pt idx="201">
                  <c:v>42308</c:v>
                </c:pt>
                <c:pt idx="202">
                  <c:v>42338</c:v>
                </c:pt>
                <c:pt idx="203">
                  <c:v>42369</c:v>
                </c:pt>
                <c:pt idx="204">
                  <c:v>42400</c:v>
                </c:pt>
                <c:pt idx="205">
                  <c:v>42429</c:v>
                </c:pt>
                <c:pt idx="206">
                  <c:v>42460</c:v>
                </c:pt>
                <c:pt idx="207">
                  <c:v>42490</c:v>
                </c:pt>
                <c:pt idx="208">
                  <c:v>42521</c:v>
                </c:pt>
                <c:pt idx="209">
                  <c:v>42551</c:v>
                </c:pt>
                <c:pt idx="210">
                  <c:v>42582</c:v>
                </c:pt>
                <c:pt idx="211">
                  <c:v>42613</c:v>
                </c:pt>
                <c:pt idx="212">
                  <c:v>42643</c:v>
                </c:pt>
                <c:pt idx="213">
                  <c:v>42674</c:v>
                </c:pt>
                <c:pt idx="214">
                  <c:v>42704</c:v>
                </c:pt>
                <c:pt idx="215">
                  <c:v>42735</c:v>
                </c:pt>
                <c:pt idx="216">
                  <c:v>42766</c:v>
                </c:pt>
                <c:pt idx="217">
                  <c:v>42794</c:v>
                </c:pt>
                <c:pt idx="218">
                  <c:v>42825</c:v>
                </c:pt>
                <c:pt idx="219">
                  <c:v>42855</c:v>
                </c:pt>
                <c:pt idx="220">
                  <c:v>42886</c:v>
                </c:pt>
                <c:pt idx="221">
                  <c:v>42916</c:v>
                </c:pt>
                <c:pt idx="222">
                  <c:v>42947</c:v>
                </c:pt>
                <c:pt idx="223">
                  <c:v>42978</c:v>
                </c:pt>
                <c:pt idx="224">
                  <c:v>43008</c:v>
                </c:pt>
                <c:pt idx="225">
                  <c:v>43039</c:v>
                </c:pt>
                <c:pt idx="226">
                  <c:v>43069</c:v>
                </c:pt>
                <c:pt idx="227">
                  <c:v>43100</c:v>
                </c:pt>
                <c:pt idx="228">
                  <c:v>43131</c:v>
                </c:pt>
                <c:pt idx="229">
                  <c:v>43159</c:v>
                </c:pt>
                <c:pt idx="230">
                  <c:v>43190</c:v>
                </c:pt>
                <c:pt idx="231">
                  <c:v>43220</c:v>
                </c:pt>
                <c:pt idx="232">
                  <c:v>43251</c:v>
                </c:pt>
                <c:pt idx="233">
                  <c:v>43281</c:v>
                </c:pt>
                <c:pt idx="234">
                  <c:v>43312</c:v>
                </c:pt>
                <c:pt idx="235">
                  <c:v>43343</c:v>
                </c:pt>
                <c:pt idx="236">
                  <c:v>43373</c:v>
                </c:pt>
                <c:pt idx="237">
                  <c:v>43404</c:v>
                </c:pt>
                <c:pt idx="238">
                  <c:v>43434</c:v>
                </c:pt>
                <c:pt idx="239">
                  <c:v>43465</c:v>
                </c:pt>
                <c:pt idx="240">
                  <c:v>43496</c:v>
                </c:pt>
                <c:pt idx="241">
                  <c:v>43524</c:v>
                </c:pt>
                <c:pt idx="242">
                  <c:v>43555</c:v>
                </c:pt>
                <c:pt idx="243">
                  <c:v>43585</c:v>
                </c:pt>
                <c:pt idx="244">
                  <c:v>43616</c:v>
                </c:pt>
                <c:pt idx="245">
                  <c:v>43646</c:v>
                </c:pt>
                <c:pt idx="246">
                  <c:v>43677</c:v>
                </c:pt>
                <c:pt idx="247">
                  <c:v>43708</c:v>
                </c:pt>
                <c:pt idx="248">
                  <c:v>43738</c:v>
                </c:pt>
                <c:pt idx="249">
                  <c:v>43769</c:v>
                </c:pt>
                <c:pt idx="250">
                  <c:v>43799</c:v>
                </c:pt>
                <c:pt idx="251">
                  <c:v>43830</c:v>
                </c:pt>
                <c:pt idx="252">
                  <c:v>43861</c:v>
                </c:pt>
                <c:pt idx="253">
                  <c:v>43890</c:v>
                </c:pt>
                <c:pt idx="254">
                  <c:v>43921</c:v>
                </c:pt>
                <c:pt idx="255">
                  <c:v>43951</c:v>
                </c:pt>
                <c:pt idx="256">
                  <c:v>43982</c:v>
                </c:pt>
                <c:pt idx="257">
                  <c:v>44012</c:v>
                </c:pt>
                <c:pt idx="258">
                  <c:v>44043</c:v>
                </c:pt>
                <c:pt idx="259">
                  <c:v>44074</c:v>
                </c:pt>
              </c:numCache>
            </c:numRef>
          </c:cat>
          <c:val>
            <c:numRef>
              <c:f>Data!$E$4:$E$263</c:f>
              <c:numCache>
                <c:formatCode>0.0</c:formatCode>
                <c:ptCount val="260"/>
                <c:pt idx="0">
                  <c:v>-5.4222698509693146</c:v>
                </c:pt>
                <c:pt idx="1">
                  <c:v>-6.3133603930473328</c:v>
                </c:pt>
                <c:pt idx="2">
                  <c:v>-6.2539089918136597</c:v>
                </c:pt>
                <c:pt idx="3">
                  <c:v>-4.6910873055458069</c:v>
                </c:pt>
                <c:pt idx="4">
                  <c:v>-4.4051132202148438</c:v>
                </c:pt>
                <c:pt idx="5">
                  <c:v>-5.3563287258148193</c:v>
                </c:pt>
                <c:pt idx="6">
                  <c:v>-5.4080227613449097</c:v>
                </c:pt>
                <c:pt idx="7">
                  <c:v>-5.5413548946380615</c:v>
                </c:pt>
                <c:pt idx="8">
                  <c:v>-5.440976619720459</c:v>
                </c:pt>
                <c:pt idx="9">
                  <c:v>-6.5384812355041504</c:v>
                </c:pt>
                <c:pt idx="10">
                  <c:v>-6.8013350963592529</c:v>
                </c:pt>
                <c:pt idx="11">
                  <c:v>-5.4301160722970963</c:v>
                </c:pt>
                <c:pt idx="12">
                  <c:v>-5.5905346572399139</c:v>
                </c:pt>
                <c:pt idx="13">
                  <c:v>-5.2871311753988266</c:v>
                </c:pt>
                <c:pt idx="14">
                  <c:v>-5.9228777438402176</c:v>
                </c:pt>
                <c:pt idx="15">
                  <c:v>-5.8213035464286804</c:v>
                </c:pt>
                <c:pt idx="16">
                  <c:v>-6.2288089990615845</c:v>
                </c:pt>
                <c:pt idx="17">
                  <c:v>-5.6595962047576904</c:v>
                </c:pt>
                <c:pt idx="18">
                  <c:v>-4.9270448088645935</c:v>
                </c:pt>
                <c:pt idx="19">
                  <c:v>-5.0330970585346222</c:v>
                </c:pt>
                <c:pt idx="20">
                  <c:v>-6.6272532939910889</c:v>
                </c:pt>
                <c:pt idx="21">
                  <c:v>-5.3171553611755371</c:v>
                </c:pt>
                <c:pt idx="22">
                  <c:v>-6.6482138633728027</c:v>
                </c:pt>
                <c:pt idx="23">
                  <c:v>-4.9031129777431488</c:v>
                </c:pt>
                <c:pt idx="24">
                  <c:v>-5.9111258983612061</c:v>
                </c:pt>
                <c:pt idx="25">
                  <c:v>-3.7912182807922363</c:v>
                </c:pt>
                <c:pt idx="26">
                  <c:v>-3.6591517925262451</c:v>
                </c:pt>
                <c:pt idx="27">
                  <c:v>-3.6096624135971069</c:v>
                </c:pt>
                <c:pt idx="28">
                  <c:v>-3.434332013130188</c:v>
                </c:pt>
                <c:pt idx="29">
                  <c:v>-3.3325892090797424</c:v>
                </c:pt>
                <c:pt idx="30">
                  <c:v>-4.9740496873855591</c:v>
                </c:pt>
                <c:pt idx="31">
                  <c:v>-6.2278130054473877</c:v>
                </c:pt>
                <c:pt idx="32">
                  <c:v>-4.4652788639068604</c:v>
                </c:pt>
                <c:pt idx="33">
                  <c:v>-2.6893759574741125</c:v>
                </c:pt>
                <c:pt idx="34">
                  <c:v>-3.4880416393280029</c:v>
                </c:pt>
                <c:pt idx="35">
                  <c:v>-2.8704065084457397</c:v>
                </c:pt>
                <c:pt idx="36">
                  <c:v>-2.9525938034057617</c:v>
                </c:pt>
                <c:pt idx="37">
                  <c:v>-4.0707988739013672</c:v>
                </c:pt>
                <c:pt idx="38">
                  <c:v>-3.3504104614257813</c:v>
                </c:pt>
                <c:pt idx="39">
                  <c:v>-6.0073833465576172</c:v>
                </c:pt>
                <c:pt idx="40">
                  <c:v>-5.4939374923706055</c:v>
                </c:pt>
                <c:pt idx="41">
                  <c:v>-6.8629627823829651</c:v>
                </c:pt>
                <c:pt idx="42">
                  <c:v>-7.0124538540840149</c:v>
                </c:pt>
                <c:pt idx="43">
                  <c:v>-6.9840741157531738</c:v>
                </c:pt>
                <c:pt idx="44">
                  <c:v>-5.178177535533905</c:v>
                </c:pt>
                <c:pt idx="45">
                  <c:v>-7.7729911804199219</c:v>
                </c:pt>
                <c:pt idx="46">
                  <c:v>-7.2909760475158691</c:v>
                </c:pt>
                <c:pt idx="47">
                  <c:v>-8.1972951889038086</c:v>
                </c:pt>
                <c:pt idx="48">
                  <c:v>-7.6560420989990234</c:v>
                </c:pt>
                <c:pt idx="49">
                  <c:v>-7.0601537227630615</c:v>
                </c:pt>
                <c:pt idx="50">
                  <c:v>-6.9431476593017578</c:v>
                </c:pt>
                <c:pt idx="51">
                  <c:v>-7.6452577114105225</c:v>
                </c:pt>
                <c:pt idx="52">
                  <c:v>-7.8420376777648926</c:v>
                </c:pt>
                <c:pt idx="53">
                  <c:v>-7.6577773094177246</c:v>
                </c:pt>
                <c:pt idx="54">
                  <c:v>-8.1939435005187988</c:v>
                </c:pt>
                <c:pt idx="55">
                  <c:v>-6.3773157596588135</c:v>
                </c:pt>
                <c:pt idx="56">
                  <c:v>-7.3052732944488525</c:v>
                </c:pt>
                <c:pt idx="57">
                  <c:v>-8.1939198970794678</c:v>
                </c:pt>
                <c:pt idx="58">
                  <c:v>-7.8149006366729736</c:v>
                </c:pt>
                <c:pt idx="59">
                  <c:v>-9.3668274879455566</c:v>
                </c:pt>
                <c:pt idx="60">
                  <c:v>-8.5070183277130127</c:v>
                </c:pt>
                <c:pt idx="61">
                  <c:v>-9.2822763919830322</c:v>
                </c:pt>
                <c:pt idx="62">
                  <c:v>-9.4165496826171875</c:v>
                </c:pt>
                <c:pt idx="63">
                  <c:v>-9.033871054649353</c:v>
                </c:pt>
                <c:pt idx="64">
                  <c:v>-9.0268802642822266</c:v>
                </c:pt>
                <c:pt idx="65">
                  <c:v>-9.6386243104934692</c:v>
                </c:pt>
                <c:pt idx="66">
                  <c:v>-9.5035121440887451</c:v>
                </c:pt>
                <c:pt idx="67">
                  <c:v>-7.8859736919403076</c:v>
                </c:pt>
                <c:pt idx="68">
                  <c:v>-8.700811505317688</c:v>
                </c:pt>
                <c:pt idx="69">
                  <c:v>-8.5793452262878418</c:v>
                </c:pt>
                <c:pt idx="70">
                  <c:v>-5.9771158695220947</c:v>
                </c:pt>
                <c:pt idx="71">
                  <c:v>-7.4019929170608521</c:v>
                </c:pt>
                <c:pt idx="72">
                  <c:v>-8.3899292945861816</c:v>
                </c:pt>
                <c:pt idx="73">
                  <c:v>-9.3135426044464111</c:v>
                </c:pt>
                <c:pt idx="74">
                  <c:v>-9.3652734756469727</c:v>
                </c:pt>
                <c:pt idx="75">
                  <c:v>-9.0986844301223755</c:v>
                </c:pt>
                <c:pt idx="76">
                  <c:v>-7.0313796997070313</c:v>
                </c:pt>
                <c:pt idx="77">
                  <c:v>-6.267284631729126</c:v>
                </c:pt>
                <c:pt idx="78">
                  <c:v>-8.4171257019042969</c:v>
                </c:pt>
                <c:pt idx="79">
                  <c:v>-7.524585485458374</c:v>
                </c:pt>
                <c:pt idx="80">
                  <c:v>-7.4288008213043213</c:v>
                </c:pt>
                <c:pt idx="81">
                  <c:v>-7.4080631732940674</c:v>
                </c:pt>
                <c:pt idx="82">
                  <c:v>-6.8736603260040283</c:v>
                </c:pt>
                <c:pt idx="83">
                  <c:v>-9.0915985107421875</c:v>
                </c:pt>
                <c:pt idx="84">
                  <c:v>-9.5435129404067993</c:v>
                </c:pt>
                <c:pt idx="85">
                  <c:v>-8.3570225238800049</c:v>
                </c:pt>
                <c:pt idx="86">
                  <c:v>-7.8086460828781128</c:v>
                </c:pt>
                <c:pt idx="87">
                  <c:v>-8.9880156517028809</c:v>
                </c:pt>
                <c:pt idx="88">
                  <c:v>-7.7391676902770996</c:v>
                </c:pt>
                <c:pt idx="89">
                  <c:v>-8.9461584091186523</c:v>
                </c:pt>
                <c:pt idx="90">
                  <c:v>-7.1401810646057129</c:v>
                </c:pt>
                <c:pt idx="91">
                  <c:v>-9.1825275421142578</c:v>
                </c:pt>
                <c:pt idx="92">
                  <c:v>-7.4901509284973145</c:v>
                </c:pt>
                <c:pt idx="93">
                  <c:v>-8.8096119165420532</c:v>
                </c:pt>
                <c:pt idx="94">
                  <c:v>-8.8898122310638428</c:v>
                </c:pt>
                <c:pt idx="95">
                  <c:v>-8.9499709606170654</c:v>
                </c:pt>
                <c:pt idx="96">
                  <c:v>-9.564497709274292</c:v>
                </c:pt>
                <c:pt idx="97">
                  <c:v>-7.9427126049995422</c:v>
                </c:pt>
                <c:pt idx="98">
                  <c:v>-9.4270584881305695</c:v>
                </c:pt>
                <c:pt idx="99">
                  <c:v>-9.5125296115875244</c:v>
                </c:pt>
                <c:pt idx="100">
                  <c:v>-7.9358461499214172</c:v>
                </c:pt>
                <c:pt idx="101">
                  <c:v>-9.5531787276268005</c:v>
                </c:pt>
                <c:pt idx="102">
                  <c:v>-8.9569432735443115</c:v>
                </c:pt>
                <c:pt idx="103">
                  <c:v>-8.873932421207428</c:v>
                </c:pt>
                <c:pt idx="104">
                  <c:v>-6.6021655797958374</c:v>
                </c:pt>
                <c:pt idx="105">
                  <c:v>-9.1857037544250488</c:v>
                </c:pt>
                <c:pt idx="106">
                  <c:v>-9.410480260848999</c:v>
                </c:pt>
                <c:pt idx="107">
                  <c:v>-7.6221640110015869</c:v>
                </c:pt>
                <c:pt idx="108">
                  <c:v>-6.9572024345397949</c:v>
                </c:pt>
                <c:pt idx="109">
                  <c:v>-7.7014222145080566</c:v>
                </c:pt>
                <c:pt idx="110">
                  <c:v>-8.5408473014831543</c:v>
                </c:pt>
                <c:pt idx="111">
                  <c:v>-6.4653224945068359</c:v>
                </c:pt>
                <c:pt idx="112">
                  <c:v>-7.588965892791748</c:v>
                </c:pt>
                <c:pt idx="113">
                  <c:v>-5.6078948974609375</c:v>
                </c:pt>
                <c:pt idx="114">
                  <c:v>-4.0190086364746094</c:v>
                </c:pt>
                <c:pt idx="115">
                  <c:v>-4.6907014846801758</c:v>
                </c:pt>
                <c:pt idx="116">
                  <c:v>-5.6743278503417969</c:v>
                </c:pt>
                <c:pt idx="117">
                  <c:v>-5.4434223175048828</c:v>
                </c:pt>
                <c:pt idx="118">
                  <c:v>-5.6731491088867188</c:v>
                </c:pt>
                <c:pt idx="119">
                  <c:v>-4.4582433700561523</c:v>
                </c:pt>
                <c:pt idx="120">
                  <c:v>-5.6192684173583984</c:v>
                </c:pt>
                <c:pt idx="121">
                  <c:v>-3.7942771911621094</c:v>
                </c:pt>
                <c:pt idx="122">
                  <c:v>-3.4061088562011719</c:v>
                </c:pt>
                <c:pt idx="123">
                  <c:v>-2.7225065231323242</c:v>
                </c:pt>
                <c:pt idx="124">
                  <c:v>-6.2011165618896484</c:v>
                </c:pt>
                <c:pt idx="125">
                  <c:v>-5.2342929840087891</c:v>
                </c:pt>
                <c:pt idx="126">
                  <c:v>-6.8343539237976074</c:v>
                </c:pt>
                <c:pt idx="127">
                  <c:v>-6.0434403419494629</c:v>
                </c:pt>
                <c:pt idx="128">
                  <c:v>-7.9030616283416748</c:v>
                </c:pt>
                <c:pt idx="129">
                  <c:v>-6.9688539505004883</c:v>
                </c:pt>
                <c:pt idx="130">
                  <c:v>-7.5203409194946289</c:v>
                </c:pt>
                <c:pt idx="131">
                  <c:v>-5.8226773738861084</c:v>
                </c:pt>
                <c:pt idx="132">
                  <c:v>-6.0156446695327759</c:v>
                </c:pt>
                <c:pt idx="133">
                  <c:v>-6.3831415176391602</c:v>
                </c:pt>
                <c:pt idx="134">
                  <c:v>-5.7436621189117432</c:v>
                </c:pt>
                <c:pt idx="135">
                  <c:v>-6.2215328216552734</c:v>
                </c:pt>
                <c:pt idx="136">
                  <c:v>-5.8129477500915527</c:v>
                </c:pt>
                <c:pt idx="137">
                  <c:v>-5.3165650367736816</c:v>
                </c:pt>
                <c:pt idx="138">
                  <c:v>-4.8958683013916016</c:v>
                </c:pt>
                <c:pt idx="139">
                  <c:v>-5.4441409111022949</c:v>
                </c:pt>
                <c:pt idx="140">
                  <c:v>-6.4537167549133301</c:v>
                </c:pt>
                <c:pt idx="141">
                  <c:v>-3.3420567512512207</c:v>
                </c:pt>
                <c:pt idx="142">
                  <c:v>-3.9601485729217529</c:v>
                </c:pt>
                <c:pt idx="143">
                  <c:v>-4.8344993591308594</c:v>
                </c:pt>
                <c:pt idx="144">
                  <c:v>-4.5380377769470215</c:v>
                </c:pt>
                <c:pt idx="145">
                  <c:v>-3.3700356483459473</c:v>
                </c:pt>
                <c:pt idx="146">
                  <c:v>-3.7517037391662598</c:v>
                </c:pt>
                <c:pt idx="147">
                  <c:v>-3.6928181648254395</c:v>
                </c:pt>
                <c:pt idx="148">
                  <c:v>-3.2595596313476563</c:v>
                </c:pt>
                <c:pt idx="149">
                  <c:v>-5.1032285690307617</c:v>
                </c:pt>
                <c:pt idx="150">
                  <c:v>-5.0364847183227539</c:v>
                </c:pt>
                <c:pt idx="151">
                  <c:v>-5.6397414207458496</c:v>
                </c:pt>
                <c:pt idx="152">
                  <c:v>-4.3400468826293945</c:v>
                </c:pt>
                <c:pt idx="153">
                  <c:v>-3.4543700218200684</c:v>
                </c:pt>
                <c:pt idx="154">
                  <c:v>-3.5275411605834961</c:v>
                </c:pt>
                <c:pt idx="155">
                  <c:v>-3.9311151504516602</c:v>
                </c:pt>
                <c:pt idx="156">
                  <c:v>-3.0791215896606445</c:v>
                </c:pt>
                <c:pt idx="157">
                  <c:v>-3.0047388076782227</c:v>
                </c:pt>
                <c:pt idx="158">
                  <c:v>-4.1486177444458008</c:v>
                </c:pt>
                <c:pt idx="159">
                  <c:v>-3.3604421615600586</c:v>
                </c:pt>
                <c:pt idx="160">
                  <c:v>-3.3182458877563477</c:v>
                </c:pt>
                <c:pt idx="161">
                  <c:v>-2.3440923690795898</c:v>
                </c:pt>
                <c:pt idx="162">
                  <c:v>-2.9470338821411133</c:v>
                </c:pt>
                <c:pt idx="163">
                  <c:v>-3.1770849227905273</c:v>
                </c:pt>
                <c:pt idx="164">
                  <c:v>-3.1887435913085938</c:v>
                </c:pt>
                <c:pt idx="165">
                  <c:v>-2.8336324691772461</c:v>
                </c:pt>
                <c:pt idx="166">
                  <c:v>-2.7927045822143555</c:v>
                </c:pt>
                <c:pt idx="167">
                  <c:v>-3.5401763916015625</c:v>
                </c:pt>
                <c:pt idx="168">
                  <c:v>-3.3980512619018555</c:v>
                </c:pt>
                <c:pt idx="169">
                  <c:v>-4.7092962265014648</c:v>
                </c:pt>
                <c:pt idx="170">
                  <c:v>-4.846796989440918</c:v>
                </c:pt>
                <c:pt idx="171">
                  <c:v>-5.2263326644897461</c:v>
                </c:pt>
                <c:pt idx="172">
                  <c:v>-5.9565238952636719</c:v>
                </c:pt>
                <c:pt idx="173">
                  <c:v>-3.6458730697631836</c:v>
                </c:pt>
                <c:pt idx="174">
                  <c:v>-3.0520110130310059</c:v>
                </c:pt>
                <c:pt idx="175">
                  <c:v>-2.3913083076477051</c:v>
                </c:pt>
                <c:pt idx="176">
                  <c:v>-5.2541022300720215</c:v>
                </c:pt>
                <c:pt idx="177">
                  <c:v>-4.6244993209838867</c:v>
                </c:pt>
                <c:pt idx="178">
                  <c:v>-6.6489138603210449</c:v>
                </c:pt>
                <c:pt idx="179">
                  <c:v>-6.2679710388183594</c:v>
                </c:pt>
                <c:pt idx="180">
                  <c:v>-6.8915829658508301</c:v>
                </c:pt>
                <c:pt idx="181">
                  <c:v>-8.6192827224731445</c:v>
                </c:pt>
                <c:pt idx="182">
                  <c:v>-6.5869522094726563</c:v>
                </c:pt>
                <c:pt idx="183">
                  <c:v>-6.6874327659606934</c:v>
                </c:pt>
                <c:pt idx="184">
                  <c:v>-6.4723720550537109</c:v>
                </c:pt>
                <c:pt idx="185">
                  <c:v>-7.4771037101745605</c:v>
                </c:pt>
                <c:pt idx="186">
                  <c:v>-6.4450830221176147</c:v>
                </c:pt>
                <c:pt idx="187">
                  <c:v>-5.7696433067321777</c:v>
                </c:pt>
                <c:pt idx="188">
                  <c:v>-6.0228340625762939</c:v>
                </c:pt>
                <c:pt idx="189">
                  <c:v>-6.2720222473144531</c:v>
                </c:pt>
                <c:pt idx="190">
                  <c:v>-7.3662765026092529</c:v>
                </c:pt>
                <c:pt idx="191">
                  <c:v>-7.9403249025344849</c:v>
                </c:pt>
                <c:pt idx="192">
                  <c:v>-7.186342716217041</c:v>
                </c:pt>
                <c:pt idx="193">
                  <c:v>-8.0569679737091064</c:v>
                </c:pt>
                <c:pt idx="194">
                  <c:v>-6.9246730878949165</c:v>
                </c:pt>
                <c:pt idx="195">
                  <c:v>-6.8218072168529034</c:v>
                </c:pt>
                <c:pt idx="196">
                  <c:v>-8.2142766118049622</c:v>
                </c:pt>
                <c:pt idx="197">
                  <c:v>-9.3964480981230736</c:v>
                </c:pt>
                <c:pt idx="198">
                  <c:v>-7.9231094717979431</c:v>
                </c:pt>
                <c:pt idx="199">
                  <c:v>-7.8123571276664734</c:v>
                </c:pt>
                <c:pt idx="200">
                  <c:v>-7.2315315008163452</c:v>
                </c:pt>
                <c:pt idx="201">
                  <c:v>-7.1942137479782104</c:v>
                </c:pt>
                <c:pt idx="202">
                  <c:v>-6.6268582940101624</c:v>
                </c:pt>
                <c:pt idx="203">
                  <c:v>-6.2760937213897705</c:v>
                </c:pt>
                <c:pt idx="204">
                  <c:v>-6.7073079347610474</c:v>
                </c:pt>
                <c:pt idx="205">
                  <c:v>-6.1466373652219772</c:v>
                </c:pt>
                <c:pt idx="206">
                  <c:v>-5.772740364074707</c:v>
                </c:pt>
                <c:pt idx="207">
                  <c:v>-7.0181565284729004</c:v>
                </c:pt>
                <c:pt idx="208">
                  <c:v>-5.7958500385284424</c:v>
                </c:pt>
                <c:pt idx="209">
                  <c:v>-7.136156439781189</c:v>
                </c:pt>
                <c:pt idx="210">
                  <c:v>-7.2033225893974304</c:v>
                </c:pt>
                <c:pt idx="211">
                  <c:v>-6.4563349187374115</c:v>
                </c:pt>
                <c:pt idx="212">
                  <c:v>-5.648507297039032</c:v>
                </c:pt>
                <c:pt idx="213">
                  <c:v>-6.2862023115158081</c:v>
                </c:pt>
                <c:pt idx="214">
                  <c:v>-5.6892049312591553</c:v>
                </c:pt>
                <c:pt idx="215">
                  <c:v>-6.5715054273605347</c:v>
                </c:pt>
                <c:pt idx="216">
                  <c:v>-5.3936388492584229</c:v>
                </c:pt>
                <c:pt idx="217">
                  <c:v>-4.6509783864021301</c:v>
                </c:pt>
                <c:pt idx="218">
                  <c:v>-3.7956406474113464</c:v>
                </c:pt>
                <c:pt idx="219">
                  <c:v>-4.4687969386577606</c:v>
                </c:pt>
                <c:pt idx="220">
                  <c:v>-4.6903985440731049</c:v>
                </c:pt>
                <c:pt idx="221">
                  <c:v>-3.1834701597690582</c:v>
                </c:pt>
                <c:pt idx="222">
                  <c:v>-4.897253155708313</c:v>
                </c:pt>
                <c:pt idx="223">
                  <c:v>-3.7497856616973877</c:v>
                </c:pt>
                <c:pt idx="224">
                  <c:v>-1.9728838205337524</c:v>
                </c:pt>
                <c:pt idx="225">
                  <c:v>-3.3130329847335815</c:v>
                </c:pt>
                <c:pt idx="226">
                  <c:v>-2.2689138650894165</c:v>
                </c:pt>
                <c:pt idx="227">
                  <c:v>-1.6244640052318573</c:v>
                </c:pt>
                <c:pt idx="228">
                  <c:v>-1.170496016740799</c:v>
                </c:pt>
                <c:pt idx="229">
                  <c:v>-1.9691971242427826</c:v>
                </c:pt>
                <c:pt idx="230">
                  <c:v>-2.8278050422668457</c:v>
                </c:pt>
                <c:pt idx="231">
                  <c:v>-2.2354745864868164</c:v>
                </c:pt>
                <c:pt idx="232">
                  <c:v>-1.2068392783403397</c:v>
                </c:pt>
                <c:pt idx="233">
                  <c:v>-2.8691643476486206</c:v>
                </c:pt>
                <c:pt idx="234">
                  <c:v>-1.9133687019348145</c:v>
                </c:pt>
                <c:pt idx="235">
                  <c:v>-1.9414582252502441</c:v>
                </c:pt>
                <c:pt idx="236">
                  <c:v>-1.9832600653171539</c:v>
                </c:pt>
                <c:pt idx="237">
                  <c:v>-1.4976590275764465</c:v>
                </c:pt>
                <c:pt idx="238">
                  <c:v>-1.5966351330280304</c:v>
                </c:pt>
                <c:pt idx="239">
                  <c:v>-2.7435096502304077</c:v>
                </c:pt>
                <c:pt idx="240">
                  <c:v>-2.1999489665031433</c:v>
                </c:pt>
                <c:pt idx="241">
                  <c:v>-2.2194258570671082</c:v>
                </c:pt>
                <c:pt idx="242">
                  <c:v>-2.241469144821167</c:v>
                </c:pt>
                <c:pt idx="243">
                  <c:v>-1.6674832105636597</c:v>
                </c:pt>
                <c:pt idx="244">
                  <c:v>-1.3908957242965698</c:v>
                </c:pt>
                <c:pt idx="245">
                  <c:v>-0.94276285171508789</c:v>
                </c:pt>
                <c:pt idx="246">
                  <c:v>-0.2199699878692627</c:v>
                </c:pt>
                <c:pt idx="247">
                  <c:v>-2.0474310368299484</c:v>
                </c:pt>
                <c:pt idx="248">
                  <c:v>-2.3118774890899658</c:v>
                </c:pt>
                <c:pt idx="249">
                  <c:v>-1.7352876663208008</c:v>
                </c:pt>
                <c:pt idx="250">
                  <c:v>-2.6052768230438232</c:v>
                </c:pt>
                <c:pt idx="251">
                  <c:v>-1.8484712839126587</c:v>
                </c:pt>
                <c:pt idx="252">
                  <c:v>-1.4515620172023773</c:v>
                </c:pt>
                <c:pt idx="253">
                  <c:v>-1.2973796874284744</c:v>
                </c:pt>
                <c:pt idx="254">
                  <c:v>0.22878068685531616</c:v>
                </c:pt>
                <c:pt idx="255">
                  <c:v>10.34879457950592</c:v>
                </c:pt>
                <c:pt idx="256">
                  <c:v>7.8776275385171175</c:v>
                </c:pt>
                <c:pt idx="257">
                  <c:v>5.9104714393615723</c:v>
                </c:pt>
                <c:pt idx="258">
                  <c:v>7.0240209102630615</c:v>
                </c:pt>
                <c:pt idx="259">
                  <c:v>6.160048246383667</c:v>
                </c:pt>
              </c:numCache>
            </c:numRef>
          </c:val>
          <c:smooth val="0"/>
          <c:extLst>
            <c:ext xmlns:c16="http://schemas.microsoft.com/office/drawing/2014/chart" uri="{C3380CC4-5D6E-409C-BE32-E72D297353CC}">
              <c16:uniqueId val="{00000002-2B42-40FB-B5B3-8F5744305595}"/>
            </c:ext>
          </c:extLst>
        </c:ser>
        <c:dLbls>
          <c:showLegendKey val="0"/>
          <c:showVal val="0"/>
          <c:showCatName val="0"/>
          <c:showSerName val="0"/>
          <c:showPercent val="0"/>
          <c:showBubbleSize val="0"/>
        </c:dLbls>
        <c:marker val="1"/>
        <c:smooth val="0"/>
        <c:axId val="108053248"/>
        <c:axId val="108054784"/>
      </c:lineChart>
      <c:lineChart>
        <c:grouping val="standard"/>
        <c:varyColors val="0"/>
        <c:ser>
          <c:idx val="1"/>
          <c:order val="1"/>
          <c:tx>
            <c:strRef>
              <c:f>Chart!$J$10</c:f>
              <c:strCache>
                <c:ptCount val="1"/>
                <c:pt idx="0">
                  <c:v>Saving rate (right-hand scale)</c:v>
                </c:pt>
              </c:strCache>
            </c:strRef>
          </c:tx>
          <c:spPr>
            <a:ln w="25400" cap="rnd" cmpd="sng" algn="ctr">
              <a:solidFill>
                <a:srgbClr val="FFC000"/>
              </a:solidFill>
              <a:prstDash val="solid"/>
              <a:round/>
              <a:headEnd type="none" w="med" len="med"/>
              <a:tailEnd type="none" w="med" len="med"/>
            </a:ln>
          </c:spPr>
          <c:marker>
            <c:symbol val="none"/>
          </c:marker>
          <c:cat>
            <c:numRef>
              <c:f>Data!$A$4:$A$263</c:f>
              <c:numCache>
                <c:formatCode>mmm\ yy</c:formatCode>
                <c:ptCount val="260"/>
                <c:pt idx="0">
                  <c:v>36191</c:v>
                </c:pt>
                <c:pt idx="1">
                  <c:v>36219</c:v>
                </c:pt>
                <c:pt idx="2">
                  <c:v>36250</c:v>
                </c:pt>
                <c:pt idx="3">
                  <c:v>36280</c:v>
                </c:pt>
                <c:pt idx="4">
                  <c:v>36311</c:v>
                </c:pt>
                <c:pt idx="5">
                  <c:v>36341</c:v>
                </c:pt>
                <c:pt idx="6">
                  <c:v>36372</c:v>
                </c:pt>
                <c:pt idx="7">
                  <c:v>36403</c:v>
                </c:pt>
                <c:pt idx="8">
                  <c:v>36433</c:v>
                </c:pt>
                <c:pt idx="9">
                  <c:v>36464</c:v>
                </c:pt>
                <c:pt idx="10">
                  <c:v>36494</c:v>
                </c:pt>
                <c:pt idx="11">
                  <c:v>36525</c:v>
                </c:pt>
                <c:pt idx="12">
                  <c:v>36556</c:v>
                </c:pt>
                <c:pt idx="13">
                  <c:v>36585</c:v>
                </c:pt>
                <c:pt idx="14">
                  <c:v>36616</c:v>
                </c:pt>
                <c:pt idx="15">
                  <c:v>36646</c:v>
                </c:pt>
                <c:pt idx="16">
                  <c:v>36677</c:v>
                </c:pt>
                <c:pt idx="17">
                  <c:v>36707</c:v>
                </c:pt>
                <c:pt idx="18">
                  <c:v>36738</c:v>
                </c:pt>
                <c:pt idx="19">
                  <c:v>36769</c:v>
                </c:pt>
                <c:pt idx="20">
                  <c:v>36799</c:v>
                </c:pt>
                <c:pt idx="21">
                  <c:v>36830</c:v>
                </c:pt>
                <c:pt idx="22">
                  <c:v>36860</c:v>
                </c:pt>
                <c:pt idx="23">
                  <c:v>36891</c:v>
                </c:pt>
                <c:pt idx="24">
                  <c:v>36922</c:v>
                </c:pt>
                <c:pt idx="25">
                  <c:v>36950</c:v>
                </c:pt>
                <c:pt idx="26">
                  <c:v>36981</c:v>
                </c:pt>
                <c:pt idx="27">
                  <c:v>37011</c:v>
                </c:pt>
                <c:pt idx="28">
                  <c:v>37042</c:v>
                </c:pt>
                <c:pt idx="29">
                  <c:v>37072</c:v>
                </c:pt>
                <c:pt idx="30">
                  <c:v>37103</c:v>
                </c:pt>
                <c:pt idx="31">
                  <c:v>37134</c:v>
                </c:pt>
                <c:pt idx="32">
                  <c:v>37164</c:v>
                </c:pt>
                <c:pt idx="33">
                  <c:v>37195</c:v>
                </c:pt>
                <c:pt idx="34">
                  <c:v>37225</c:v>
                </c:pt>
                <c:pt idx="35">
                  <c:v>37256</c:v>
                </c:pt>
                <c:pt idx="36">
                  <c:v>37287</c:v>
                </c:pt>
                <c:pt idx="37">
                  <c:v>37315</c:v>
                </c:pt>
                <c:pt idx="38">
                  <c:v>37346</c:v>
                </c:pt>
                <c:pt idx="39">
                  <c:v>37376</c:v>
                </c:pt>
                <c:pt idx="40">
                  <c:v>37407</c:v>
                </c:pt>
                <c:pt idx="41">
                  <c:v>37437</c:v>
                </c:pt>
                <c:pt idx="42">
                  <c:v>37468</c:v>
                </c:pt>
                <c:pt idx="43">
                  <c:v>37499</c:v>
                </c:pt>
                <c:pt idx="44">
                  <c:v>37529</c:v>
                </c:pt>
                <c:pt idx="45">
                  <c:v>37560</c:v>
                </c:pt>
                <c:pt idx="46">
                  <c:v>37590</c:v>
                </c:pt>
                <c:pt idx="47">
                  <c:v>37621</c:v>
                </c:pt>
                <c:pt idx="48">
                  <c:v>37652</c:v>
                </c:pt>
                <c:pt idx="49">
                  <c:v>37680</c:v>
                </c:pt>
                <c:pt idx="50">
                  <c:v>37711</c:v>
                </c:pt>
                <c:pt idx="51">
                  <c:v>37741</c:v>
                </c:pt>
                <c:pt idx="52">
                  <c:v>37772</c:v>
                </c:pt>
                <c:pt idx="53">
                  <c:v>37802</c:v>
                </c:pt>
                <c:pt idx="54">
                  <c:v>37833</c:v>
                </c:pt>
                <c:pt idx="55">
                  <c:v>37864</c:v>
                </c:pt>
                <c:pt idx="56">
                  <c:v>37894</c:v>
                </c:pt>
                <c:pt idx="57">
                  <c:v>37925</c:v>
                </c:pt>
                <c:pt idx="58">
                  <c:v>37955</c:v>
                </c:pt>
                <c:pt idx="59">
                  <c:v>37986</c:v>
                </c:pt>
                <c:pt idx="60">
                  <c:v>38017</c:v>
                </c:pt>
                <c:pt idx="61">
                  <c:v>38046</c:v>
                </c:pt>
                <c:pt idx="62">
                  <c:v>38077</c:v>
                </c:pt>
                <c:pt idx="63">
                  <c:v>38107</c:v>
                </c:pt>
                <c:pt idx="64">
                  <c:v>38138</c:v>
                </c:pt>
                <c:pt idx="65">
                  <c:v>38168</c:v>
                </c:pt>
                <c:pt idx="66">
                  <c:v>38199</c:v>
                </c:pt>
                <c:pt idx="67">
                  <c:v>38230</c:v>
                </c:pt>
                <c:pt idx="68">
                  <c:v>38260</c:v>
                </c:pt>
                <c:pt idx="69">
                  <c:v>38291</c:v>
                </c:pt>
                <c:pt idx="70">
                  <c:v>38321</c:v>
                </c:pt>
                <c:pt idx="71">
                  <c:v>38352</c:v>
                </c:pt>
                <c:pt idx="72">
                  <c:v>38383</c:v>
                </c:pt>
                <c:pt idx="73">
                  <c:v>38411</c:v>
                </c:pt>
                <c:pt idx="74">
                  <c:v>38442</c:v>
                </c:pt>
                <c:pt idx="75">
                  <c:v>38472</c:v>
                </c:pt>
                <c:pt idx="76">
                  <c:v>38503</c:v>
                </c:pt>
                <c:pt idx="77">
                  <c:v>38533</c:v>
                </c:pt>
                <c:pt idx="78">
                  <c:v>38564</c:v>
                </c:pt>
                <c:pt idx="79">
                  <c:v>38595</c:v>
                </c:pt>
                <c:pt idx="80">
                  <c:v>38625</c:v>
                </c:pt>
                <c:pt idx="81">
                  <c:v>38656</c:v>
                </c:pt>
                <c:pt idx="82">
                  <c:v>38686</c:v>
                </c:pt>
                <c:pt idx="83">
                  <c:v>38717</c:v>
                </c:pt>
                <c:pt idx="84">
                  <c:v>38748</c:v>
                </c:pt>
                <c:pt idx="85">
                  <c:v>38776</c:v>
                </c:pt>
                <c:pt idx="86">
                  <c:v>38807</c:v>
                </c:pt>
                <c:pt idx="87">
                  <c:v>38837</c:v>
                </c:pt>
                <c:pt idx="88">
                  <c:v>38868</c:v>
                </c:pt>
                <c:pt idx="89">
                  <c:v>38898</c:v>
                </c:pt>
                <c:pt idx="90">
                  <c:v>38929</c:v>
                </c:pt>
                <c:pt idx="91">
                  <c:v>38960</c:v>
                </c:pt>
                <c:pt idx="92">
                  <c:v>38990</c:v>
                </c:pt>
                <c:pt idx="93">
                  <c:v>39021</c:v>
                </c:pt>
                <c:pt idx="94">
                  <c:v>39051</c:v>
                </c:pt>
                <c:pt idx="95">
                  <c:v>39082</c:v>
                </c:pt>
                <c:pt idx="96">
                  <c:v>39113</c:v>
                </c:pt>
                <c:pt idx="97">
                  <c:v>39141</c:v>
                </c:pt>
                <c:pt idx="98">
                  <c:v>39172</c:v>
                </c:pt>
                <c:pt idx="99">
                  <c:v>39202</c:v>
                </c:pt>
                <c:pt idx="100">
                  <c:v>39233</c:v>
                </c:pt>
                <c:pt idx="101">
                  <c:v>39263</c:v>
                </c:pt>
                <c:pt idx="102">
                  <c:v>39294</c:v>
                </c:pt>
                <c:pt idx="103">
                  <c:v>39325</c:v>
                </c:pt>
                <c:pt idx="104">
                  <c:v>39355</c:v>
                </c:pt>
                <c:pt idx="105">
                  <c:v>39386</c:v>
                </c:pt>
                <c:pt idx="106">
                  <c:v>39416</c:v>
                </c:pt>
                <c:pt idx="107">
                  <c:v>39447</c:v>
                </c:pt>
                <c:pt idx="108">
                  <c:v>39478</c:v>
                </c:pt>
                <c:pt idx="109">
                  <c:v>39507</c:v>
                </c:pt>
                <c:pt idx="110">
                  <c:v>39538</c:v>
                </c:pt>
                <c:pt idx="111">
                  <c:v>39568</c:v>
                </c:pt>
                <c:pt idx="112">
                  <c:v>39599</c:v>
                </c:pt>
                <c:pt idx="113">
                  <c:v>39629</c:v>
                </c:pt>
                <c:pt idx="114">
                  <c:v>39660</c:v>
                </c:pt>
                <c:pt idx="115">
                  <c:v>39691</c:v>
                </c:pt>
                <c:pt idx="116">
                  <c:v>39721</c:v>
                </c:pt>
                <c:pt idx="117">
                  <c:v>39752</c:v>
                </c:pt>
                <c:pt idx="118">
                  <c:v>39782</c:v>
                </c:pt>
                <c:pt idx="119">
                  <c:v>39813</c:v>
                </c:pt>
                <c:pt idx="120">
                  <c:v>39844</c:v>
                </c:pt>
                <c:pt idx="121">
                  <c:v>39872</c:v>
                </c:pt>
                <c:pt idx="122">
                  <c:v>39903</c:v>
                </c:pt>
                <c:pt idx="123">
                  <c:v>39933</c:v>
                </c:pt>
                <c:pt idx="124">
                  <c:v>39964</c:v>
                </c:pt>
                <c:pt idx="125">
                  <c:v>39994</c:v>
                </c:pt>
                <c:pt idx="126">
                  <c:v>40025</c:v>
                </c:pt>
                <c:pt idx="127">
                  <c:v>40056</c:v>
                </c:pt>
                <c:pt idx="128">
                  <c:v>40086</c:v>
                </c:pt>
                <c:pt idx="129">
                  <c:v>40117</c:v>
                </c:pt>
                <c:pt idx="130">
                  <c:v>40147</c:v>
                </c:pt>
                <c:pt idx="131">
                  <c:v>40178</c:v>
                </c:pt>
                <c:pt idx="132">
                  <c:v>40209</c:v>
                </c:pt>
                <c:pt idx="133">
                  <c:v>40237</c:v>
                </c:pt>
                <c:pt idx="134">
                  <c:v>40268</c:v>
                </c:pt>
                <c:pt idx="135">
                  <c:v>40298</c:v>
                </c:pt>
                <c:pt idx="136">
                  <c:v>40329</c:v>
                </c:pt>
                <c:pt idx="137">
                  <c:v>40359</c:v>
                </c:pt>
                <c:pt idx="138">
                  <c:v>40390</c:v>
                </c:pt>
                <c:pt idx="139">
                  <c:v>40421</c:v>
                </c:pt>
                <c:pt idx="140">
                  <c:v>40451</c:v>
                </c:pt>
                <c:pt idx="141">
                  <c:v>40482</c:v>
                </c:pt>
                <c:pt idx="142">
                  <c:v>40512</c:v>
                </c:pt>
                <c:pt idx="143">
                  <c:v>40543</c:v>
                </c:pt>
                <c:pt idx="144">
                  <c:v>40574</c:v>
                </c:pt>
                <c:pt idx="145">
                  <c:v>40602</c:v>
                </c:pt>
                <c:pt idx="146">
                  <c:v>40633</c:v>
                </c:pt>
                <c:pt idx="147">
                  <c:v>40663</c:v>
                </c:pt>
                <c:pt idx="148">
                  <c:v>40694</c:v>
                </c:pt>
                <c:pt idx="149">
                  <c:v>40724</c:v>
                </c:pt>
                <c:pt idx="150">
                  <c:v>40755</c:v>
                </c:pt>
                <c:pt idx="151">
                  <c:v>40786</c:v>
                </c:pt>
                <c:pt idx="152">
                  <c:v>40816</c:v>
                </c:pt>
                <c:pt idx="153">
                  <c:v>40847</c:v>
                </c:pt>
                <c:pt idx="154">
                  <c:v>40877</c:v>
                </c:pt>
                <c:pt idx="155">
                  <c:v>40908</c:v>
                </c:pt>
                <c:pt idx="156">
                  <c:v>40939</c:v>
                </c:pt>
                <c:pt idx="157">
                  <c:v>40968</c:v>
                </c:pt>
                <c:pt idx="158">
                  <c:v>40999</c:v>
                </c:pt>
                <c:pt idx="159">
                  <c:v>41029</c:v>
                </c:pt>
                <c:pt idx="160">
                  <c:v>41060</c:v>
                </c:pt>
                <c:pt idx="161">
                  <c:v>41090</c:v>
                </c:pt>
                <c:pt idx="162">
                  <c:v>41121</c:v>
                </c:pt>
                <c:pt idx="163">
                  <c:v>41152</c:v>
                </c:pt>
                <c:pt idx="164">
                  <c:v>41182</c:v>
                </c:pt>
                <c:pt idx="165">
                  <c:v>41213</c:v>
                </c:pt>
                <c:pt idx="166">
                  <c:v>41243</c:v>
                </c:pt>
                <c:pt idx="167">
                  <c:v>41274</c:v>
                </c:pt>
                <c:pt idx="168">
                  <c:v>41305</c:v>
                </c:pt>
                <c:pt idx="169">
                  <c:v>41333</c:v>
                </c:pt>
                <c:pt idx="170">
                  <c:v>41364</c:v>
                </c:pt>
                <c:pt idx="171">
                  <c:v>41394</c:v>
                </c:pt>
                <c:pt idx="172">
                  <c:v>41425</c:v>
                </c:pt>
                <c:pt idx="173">
                  <c:v>41455</c:v>
                </c:pt>
                <c:pt idx="174">
                  <c:v>41486</c:v>
                </c:pt>
                <c:pt idx="175">
                  <c:v>41517</c:v>
                </c:pt>
                <c:pt idx="176">
                  <c:v>41547</c:v>
                </c:pt>
                <c:pt idx="177">
                  <c:v>41578</c:v>
                </c:pt>
                <c:pt idx="178">
                  <c:v>41608</c:v>
                </c:pt>
                <c:pt idx="179">
                  <c:v>41639</c:v>
                </c:pt>
                <c:pt idx="180">
                  <c:v>41670</c:v>
                </c:pt>
                <c:pt idx="181">
                  <c:v>41698</c:v>
                </c:pt>
                <c:pt idx="182">
                  <c:v>41729</c:v>
                </c:pt>
                <c:pt idx="183">
                  <c:v>41759</c:v>
                </c:pt>
                <c:pt idx="184">
                  <c:v>41790</c:v>
                </c:pt>
                <c:pt idx="185">
                  <c:v>41820</c:v>
                </c:pt>
                <c:pt idx="186">
                  <c:v>41851</c:v>
                </c:pt>
                <c:pt idx="187">
                  <c:v>41882</c:v>
                </c:pt>
                <c:pt idx="188">
                  <c:v>41912</c:v>
                </c:pt>
                <c:pt idx="189">
                  <c:v>41943</c:v>
                </c:pt>
                <c:pt idx="190">
                  <c:v>41973</c:v>
                </c:pt>
                <c:pt idx="191">
                  <c:v>42004</c:v>
                </c:pt>
                <c:pt idx="192">
                  <c:v>42035</c:v>
                </c:pt>
                <c:pt idx="193">
                  <c:v>42063</c:v>
                </c:pt>
                <c:pt idx="194">
                  <c:v>42094</c:v>
                </c:pt>
                <c:pt idx="195">
                  <c:v>42124</c:v>
                </c:pt>
                <c:pt idx="196">
                  <c:v>42155</c:v>
                </c:pt>
                <c:pt idx="197">
                  <c:v>42185</c:v>
                </c:pt>
                <c:pt idx="198">
                  <c:v>42216</c:v>
                </c:pt>
                <c:pt idx="199">
                  <c:v>42247</c:v>
                </c:pt>
                <c:pt idx="200">
                  <c:v>42277</c:v>
                </c:pt>
                <c:pt idx="201">
                  <c:v>42308</c:v>
                </c:pt>
                <c:pt idx="202">
                  <c:v>42338</c:v>
                </c:pt>
                <c:pt idx="203">
                  <c:v>42369</c:v>
                </c:pt>
                <c:pt idx="204">
                  <c:v>42400</c:v>
                </c:pt>
                <c:pt idx="205">
                  <c:v>42429</c:v>
                </c:pt>
                <c:pt idx="206">
                  <c:v>42460</c:v>
                </c:pt>
                <c:pt idx="207">
                  <c:v>42490</c:v>
                </c:pt>
                <c:pt idx="208">
                  <c:v>42521</c:v>
                </c:pt>
                <c:pt idx="209">
                  <c:v>42551</c:v>
                </c:pt>
                <c:pt idx="210">
                  <c:v>42582</c:v>
                </c:pt>
                <c:pt idx="211">
                  <c:v>42613</c:v>
                </c:pt>
                <c:pt idx="212">
                  <c:v>42643</c:v>
                </c:pt>
                <c:pt idx="213">
                  <c:v>42674</c:v>
                </c:pt>
                <c:pt idx="214">
                  <c:v>42704</c:v>
                </c:pt>
                <c:pt idx="215">
                  <c:v>42735</c:v>
                </c:pt>
                <c:pt idx="216">
                  <c:v>42766</c:v>
                </c:pt>
                <c:pt idx="217">
                  <c:v>42794</c:v>
                </c:pt>
                <c:pt idx="218">
                  <c:v>42825</c:v>
                </c:pt>
                <c:pt idx="219">
                  <c:v>42855</c:v>
                </c:pt>
                <c:pt idx="220">
                  <c:v>42886</c:v>
                </c:pt>
                <c:pt idx="221">
                  <c:v>42916</c:v>
                </c:pt>
                <c:pt idx="222">
                  <c:v>42947</c:v>
                </c:pt>
                <c:pt idx="223">
                  <c:v>42978</c:v>
                </c:pt>
                <c:pt idx="224">
                  <c:v>43008</c:v>
                </c:pt>
                <c:pt idx="225">
                  <c:v>43039</c:v>
                </c:pt>
                <c:pt idx="226">
                  <c:v>43069</c:v>
                </c:pt>
                <c:pt idx="227">
                  <c:v>43100</c:v>
                </c:pt>
                <c:pt idx="228">
                  <c:v>43131</c:v>
                </c:pt>
                <c:pt idx="229">
                  <c:v>43159</c:v>
                </c:pt>
                <c:pt idx="230">
                  <c:v>43190</c:v>
                </c:pt>
                <c:pt idx="231">
                  <c:v>43220</c:v>
                </c:pt>
                <c:pt idx="232">
                  <c:v>43251</c:v>
                </c:pt>
                <c:pt idx="233">
                  <c:v>43281</c:v>
                </c:pt>
                <c:pt idx="234">
                  <c:v>43312</c:v>
                </c:pt>
                <c:pt idx="235">
                  <c:v>43343</c:v>
                </c:pt>
                <c:pt idx="236">
                  <c:v>43373</c:v>
                </c:pt>
                <c:pt idx="237">
                  <c:v>43404</c:v>
                </c:pt>
                <c:pt idx="238">
                  <c:v>43434</c:v>
                </c:pt>
                <c:pt idx="239">
                  <c:v>43465</c:v>
                </c:pt>
                <c:pt idx="240">
                  <c:v>43496</c:v>
                </c:pt>
                <c:pt idx="241">
                  <c:v>43524</c:v>
                </c:pt>
                <c:pt idx="242">
                  <c:v>43555</c:v>
                </c:pt>
                <c:pt idx="243">
                  <c:v>43585</c:v>
                </c:pt>
                <c:pt idx="244">
                  <c:v>43616</c:v>
                </c:pt>
                <c:pt idx="245">
                  <c:v>43646</c:v>
                </c:pt>
                <c:pt idx="246">
                  <c:v>43677</c:v>
                </c:pt>
                <c:pt idx="247">
                  <c:v>43708</c:v>
                </c:pt>
                <c:pt idx="248">
                  <c:v>43738</c:v>
                </c:pt>
                <c:pt idx="249">
                  <c:v>43769</c:v>
                </c:pt>
                <c:pt idx="250">
                  <c:v>43799</c:v>
                </c:pt>
                <c:pt idx="251">
                  <c:v>43830</c:v>
                </c:pt>
                <c:pt idx="252">
                  <c:v>43861</c:v>
                </c:pt>
                <c:pt idx="253">
                  <c:v>43890</c:v>
                </c:pt>
                <c:pt idx="254">
                  <c:v>43921</c:v>
                </c:pt>
                <c:pt idx="255">
                  <c:v>43951</c:v>
                </c:pt>
                <c:pt idx="256">
                  <c:v>43982</c:v>
                </c:pt>
                <c:pt idx="257">
                  <c:v>44012</c:v>
                </c:pt>
                <c:pt idx="258">
                  <c:v>44043</c:v>
                </c:pt>
                <c:pt idx="259">
                  <c:v>44074</c:v>
                </c:pt>
              </c:numCache>
            </c:numRef>
          </c:cat>
          <c:val>
            <c:numRef>
              <c:f>Data!$K$4:$K$263</c:f>
              <c:numCache>
                <c:formatCode>0.0</c:formatCode>
                <c:ptCount val="260"/>
                <c:pt idx="0">
                  <c:v>#N/A</c:v>
                </c:pt>
                <c:pt idx="1">
                  <c:v>#N/A</c:v>
                </c:pt>
                <c:pt idx="2">
                  <c:v>13.841120773116945</c:v>
                </c:pt>
                <c:pt idx="3">
                  <c:v>#N/A</c:v>
                </c:pt>
                <c:pt idx="4">
                  <c:v>#N/A</c:v>
                </c:pt>
                <c:pt idx="5">
                  <c:v>13.777511787133607</c:v>
                </c:pt>
                <c:pt idx="6">
                  <c:v>#N/A</c:v>
                </c:pt>
                <c:pt idx="7">
                  <c:v>#N/A</c:v>
                </c:pt>
                <c:pt idx="8">
                  <c:v>13.7635350158278</c:v>
                </c:pt>
                <c:pt idx="9">
                  <c:v>#N/A</c:v>
                </c:pt>
                <c:pt idx="10">
                  <c:v>#N/A</c:v>
                </c:pt>
                <c:pt idx="11">
                  <c:v>13.616748267073392</c:v>
                </c:pt>
                <c:pt idx="12">
                  <c:v>#N/A</c:v>
                </c:pt>
                <c:pt idx="13">
                  <c:v>#N/A</c:v>
                </c:pt>
                <c:pt idx="14">
                  <c:v>12.533372845063036</c:v>
                </c:pt>
                <c:pt idx="15">
                  <c:v>#N/A</c:v>
                </c:pt>
                <c:pt idx="16">
                  <c:v>#N/A</c:v>
                </c:pt>
                <c:pt idx="17">
                  <c:v>12.631544834158019</c:v>
                </c:pt>
                <c:pt idx="18">
                  <c:v>#N/A</c:v>
                </c:pt>
                <c:pt idx="19">
                  <c:v>#N/A</c:v>
                </c:pt>
                <c:pt idx="20">
                  <c:v>13.103541098672386</c:v>
                </c:pt>
                <c:pt idx="21">
                  <c:v>#N/A</c:v>
                </c:pt>
                <c:pt idx="22">
                  <c:v>#N/A</c:v>
                </c:pt>
                <c:pt idx="23">
                  <c:v>13.611101118901711</c:v>
                </c:pt>
                <c:pt idx="24">
                  <c:v>#N/A</c:v>
                </c:pt>
                <c:pt idx="25">
                  <c:v>#N/A</c:v>
                </c:pt>
                <c:pt idx="26">
                  <c:v>13.186207126399319</c:v>
                </c:pt>
                <c:pt idx="27">
                  <c:v>#N/A</c:v>
                </c:pt>
                <c:pt idx="28">
                  <c:v>#N/A</c:v>
                </c:pt>
                <c:pt idx="29">
                  <c:v>13.124452868697709</c:v>
                </c:pt>
                <c:pt idx="30">
                  <c:v>#N/A</c:v>
                </c:pt>
                <c:pt idx="31">
                  <c:v>#N/A</c:v>
                </c:pt>
                <c:pt idx="32">
                  <c:v>13.937044184267643</c:v>
                </c:pt>
                <c:pt idx="33">
                  <c:v>#N/A</c:v>
                </c:pt>
                <c:pt idx="34">
                  <c:v>#N/A</c:v>
                </c:pt>
                <c:pt idx="35">
                  <c:v>14.04029501821069</c:v>
                </c:pt>
                <c:pt idx="36">
                  <c:v>#N/A</c:v>
                </c:pt>
                <c:pt idx="37">
                  <c:v>#N/A</c:v>
                </c:pt>
                <c:pt idx="38">
                  <c:v>13.803143751981999</c:v>
                </c:pt>
                <c:pt idx="39">
                  <c:v>#N/A</c:v>
                </c:pt>
                <c:pt idx="40">
                  <c:v>#N/A</c:v>
                </c:pt>
                <c:pt idx="41">
                  <c:v>14.144890092928774</c:v>
                </c:pt>
                <c:pt idx="42">
                  <c:v>#N/A</c:v>
                </c:pt>
                <c:pt idx="43">
                  <c:v>#N/A</c:v>
                </c:pt>
                <c:pt idx="44">
                  <c:v>13.690126419876622</c:v>
                </c:pt>
                <c:pt idx="45">
                  <c:v>#N/A</c:v>
                </c:pt>
                <c:pt idx="46">
                  <c:v>#N/A</c:v>
                </c:pt>
                <c:pt idx="47">
                  <c:v>13.827393749567388</c:v>
                </c:pt>
                <c:pt idx="48">
                  <c:v>#N/A</c:v>
                </c:pt>
                <c:pt idx="49">
                  <c:v>#N/A</c:v>
                </c:pt>
                <c:pt idx="50">
                  <c:v>14.012435517691975</c:v>
                </c:pt>
                <c:pt idx="51">
                  <c:v>#N/A</c:v>
                </c:pt>
                <c:pt idx="52">
                  <c:v>#N/A</c:v>
                </c:pt>
                <c:pt idx="53">
                  <c:v>13.847282823300526</c:v>
                </c:pt>
                <c:pt idx="54">
                  <c:v>#N/A</c:v>
                </c:pt>
                <c:pt idx="55">
                  <c:v>#N/A</c:v>
                </c:pt>
                <c:pt idx="56">
                  <c:v>14.133242037707724</c:v>
                </c:pt>
                <c:pt idx="57">
                  <c:v>#N/A</c:v>
                </c:pt>
                <c:pt idx="58">
                  <c:v>#N/A</c:v>
                </c:pt>
                <c:pt idx="59">
                  <c:v>13.484417115321222</c:v>
                </c:pt>
                <c:pt idx="60">
                  <c:v>#N/A</c:v>
                </c:pt>
                <c:pt idx="61">
                  <c:v>#N/A</c:v>
                </c:pt>
                <c:pt idx="62">
                  <c:v>13.779803744575643</c:v>
                </c:pt>
                <c:pt idx="63">
                  <c:v>#N/A</c:v>
                </c:pt>
                <c:pt idx="64">
                  <c:v>#N/A</c:v>
                </c:pt>
                <c:pt idx="65">
                  <c:v>13.939689491163398</c:v>
                </c:pt>
                <c:pt idx="66">
                  <c:v>#N/A</c:v>
                </c:pt>
                <c:pt idx="67">
                  <c:v>#N/A</c:v>
                </c:pt>
                <c:pt idx="68">
                  <c:v>14.163961232859226</c:v>
                </c:pt>
                <c:pt idx="69">
                  <c:v>#N/A</c:v>
                </c:pt>
                <c:pt idx="70">
                  <c:v>#N/A</c:v>
                </c:pt>
                <c:pt idx="71">
                  <c:v>13.369530386960014</c:v>
                </c:pt>
                <c:pt idx="72">
                  <c:v>#N/A</c:v>
                </c:pt>
                <c:pt idx="73">
                  <c:v>#N/A</c:v>
                </c:pt>
                <c:pt idx="74">
                  <c:v>13.16214374543507</c:v>
                </c:pt>
                <c:pt idx="75">
                  <c:v>#N/A</c:v>
                </c:pt>
                <c:pt idx="76">
                  <c:v>#N/A</c:v>
                </c:pt>
                <c:pt idx="77">
                  <c:v>13.096382820557073</c:v>
                </c:pt>
                <c:pt idx="78">
                  <c:v>#N/A</c:v>
                </c:pt>
                <c:pt idx="79">
                  <c:v>#N/A</c:v>
                </c:pt>
                <c:pt idx="80">
                  <c:v>12.471983377515979</c:v>
                </c:pt>
                <c:pt idx="81">
                  <c:v>#N/A</c:v>
                </c:pt>
                <c:pt idx="82">
                  <c:v>#N/A</c:v>
                </c:pt>
                <c:pt idx="83">
                  <c:v>12.658478400346274</c:v>
                </c:pt>
                <c:pt idx="84">
                  <c:v>#N/A</c:v>
                </c:pt>
                <c:pt idx="85">
                  <c:v>#N/A</c:v>
                </c:pt>
                <c:pt idx="86">
                  <c:v>12.683598561663635</c:v>
                </c:pt>
                <c:pt idx="87">
                  <c:v>#N/A</c:v>
                </c:pt>
                <c:pt idx="88">
                  <c:v>#N/A</c:v>
                </c:pt>
                <c:pt idx="89">
                  <c:v>12.577246417094463</c:v>
                </c:pt>
                <c:pt idx="90">
                  <c:v>#N/A</c:v>
                </c:pt>
                <c:pt idx="91">
                  <c:v>#N/A</c:v>
                </c:pt>
                <c:pt idx="92">
                  <c:v>12.965235499386987</c:v>
                </c:pt>
                <c:pt idx="93">
                  <c:v>#N/A</c:v>
                </c:pt>
                <c:pt idx="94">
                  <c:v>#N/A</c:v>
                </c:pt>
                <c:pt idx="95">
                  <c:v>12.748331401742403</c:v>
                </c:pt>
                <c:pt idx="96">
                  <c:v>#N/A</c:v>
                </c:pt>
                <c:pt idx="97">
                  <c:v>#N/A</c:v>
                </c:pt>
                <c:pt idx="98">
                  <c:v>13.043452197256302</c:v>
                </c:pt>
                <c:pt idx="99">
                  <c:v>#N/A</c:v>
                </c:pt>
                <c:pt idx="100">
                  <c:v>#N/A</c:v>
                </c:pt>
                <c:pt idx="101">
                  <c:v>12.678202927178585</c:v>
                </c:pt>
                <c:pt idx="102">
                  <c:v>#N/A</c:v>
                </c:pt>
                <c:pt idx="103">
                  <c:v>#N/A</c:v>
                </c:pt>
                <c:pt idx="104">
                  <c:v>12.286859447679635</c:v>
                </c:pt>
                <c:pt idx="105">
                  <c:v>#N/A</c:v>
                </c:pt>
                <c:pt idx="106">
                  <c:v>#N/A</c:v>
                </c:pt>
                <c:pt idx="107">
                  <c:v>12.223630236297319</c:v>
                </c:pt>
                <c:pt idx="108">
                  <c:v>#N/A</c:v>
                </c:pt>
                <c:pt idx="109">
                  <c:v>#N/A</c:v>
                </c:pt>
                <c:pt idx="110">
                  <c:v>12.556244716325068</c:v>
                </c:pt>
                <c:pt idx="111">
                  <c:v>#N/A</c:v>
                </c:pt>
                <c:pt idx="112">
                  <c:v>#N/A</c:v>
                </c:pt>
                <c:pt idx="113">
                  <c:v>12.863349460455632</c:v>
                </c:pt>
                <c:pt idx="114">
                  <c:v>#N/A</c:v>
                </c:pt>
                <c:pt idx="115">
                  <c:v>#N/A</c:v>
                </c:pt>
                <c:pt idx="116">
                  <c:v>12.831456613272753</c:v>
                </c:pt>
                <c:pt idx="117">
                  <c:v>#N/A</c:v>
                </c:pt>
                <c:pt idx="118">
                  <c:v>#N/A</c:v>
                </c:pt>
                <c:pt idx="119">
                  <c:v>13.448047189529753</c:v>
                </c:pt>
                <c:pt idx="120">
                  <c:v>#N/A</c:v>
                </c:pt>
                <c:pt idx="121">
                  <c:v>#N/A</c:v>
                </c:pt>
                <c:pt idx="122">
                  <c:v>14.162019190644749</c:v>
                </c:pt>
                <c:pt idx="123">
                  <c:v>#N/A</c:v>
                </c:pt>
                <c:pt idx="124">
                  <c:v>#N/A</c:v>
                </c:pt>
                <c:pt idx="125">
                  <c:v>14.156396655918291</c:v>
                </c:pt>
                <c:pt idx="126">
                  <c:v>#N/A</c:v>
                </c:pt>
                <c:pt idx="127">
                  <c:v>#N/A</c:v>
                </c:pt>
                <c:pt idx="128">
                  <c:v>14.391179110327178</c:v>
                </c:pt>
                <c:pt idx="129">
                  <c:v>#N/A</c:v>
                </c:pt>
                <c:pt idx="130">
                  <c:v>#N/A</c:v>
                </c:pt>
                <c:pt idx="131">
                  <c:v>13.973480713987854</c:v>
                </c:pt>
                <c:pt idx="132">
                  <c:v>#N/A</c:v>
                </c:pt>
                <c:pt idx="133">
                  <c:v>#N/A</c:v>
                </c:pt>
                <c:pt idx="134">
                  <c:v>13.365375715201786</c:v>
                </c:pt>
                <c:pt idx="135">
                  <c:v>#N/A</c:v>
                </c:pt>
                <c:pt idx="136">
                  <c:v>#N/A</c:v>
                </c:pt>
                <c:pt idx="137">
                  <c:v>13.231974471907648</c:v>
                </c:pt>
                <c:pt idx="138">
                  <c:v>#N/A</c:v>
                </c:pt>
                <c:pt idx="139">
                  <c:v>#N/A</c:v>
                </c:pt>
                <c:pt idx="140">
                  <c:v>13.289281323376716</c:v>
                </c:pt>
                <c:pt idx="141">
                  <c:v>#N/A</c:v>
                </c:pt>
                <c:pt idx="142">
                  <c:v>#N/A</c:v>
                </c:pt>
                <c:pt idx="143">
                  <c:v>12.759891744028007</c:v>
                </c:pt>
                <c:pt idx="144">
                  <c:v>#N/A</c:v>
                </c:pt>
                <c:pt idx="145">
                  <c:v>#N/A</c:v>
                </c:pt>
                <c:pt idx="146">
                  <c:v>12.620668262134307</c:v>
                </c:pt>
                <c:pt idx="147">
                  <c:v>#N/A</c:v>
                </c:pt>
                <c:pt idx="148">
                  <c:v>#N/A</c:v>
                </c:pt>
                <c:pt idx="149">
                  <c:v>12.757809623116149</c:v>
                </c:pt>
                <c:pt idx="150">
                  <c:v>#N/A</c:v>
                </c:pt>
                <c:pt idx="151">
                  <c:v>#N/A</c:v>
                </c:pt>
                <c:pt idx="152">
                  <c:v>12.446849845077255</c:v>
                </c:pt>
                <c:pt idx="153">
                  <c:v>#N/A</c:v>
                </c:pt>
                <c:pt idx="154">
                  <c:v>#N/A</c:v>
                </c:pt>
                <c:pt idx="155">
                  <c:v>13.042371130193313</c:v>
                </c:pt>
                <c:pt idx="156">
                  <c:v>#N/A</c:v>
                </c:pt>
                <c:pt idx="157">
                  <c:v>#N/A</c:v>
                </c:pt>
                <c:pt idx="158">
                  <c:v>12.427394335425179</c:v>
                </c:pt>
                <c:pt idx="159">
                  <c:v>#N/A</c:v>
                </c:pt>
                <c:pt idx="160">
                  <c:v>#N/A</c:v>
                </c:pt>
                <c:pt idx="161">
                  <c:v>12.482028830456553</c:v>
                </c:pt>
                <c:pt idx="162">
                  <c:v>#N/A</c:v>
                </c:pt>
                <c:pt idx="163">
                  <c:v>#N/A</c:v>
                </c:pt>
                <c:pt idx="164">
                  <c:v>12.301595409960104</c:v>
                </c:pt>
                <c:pt idx="165">
                  <c:v>#N/A</c:v>
                </c:pt>
                <c:pt idx="166">
                  <c:v>#N/A</c:v>
                </c:pt>
                <c:pt idx="167">
                  <c:v>12.023822687889275</c:v>
                </c:pt>
                <c:pt idx="168">
                  <c:v>#N/A</c:v>
                </c:pt>
                <c:pt idx="169">
                  <c:v>#N/A</c:v>
                </c:pt>
                <c:pt idx="170">
                  <c:v>12.522586860730549</c:v>
                </c:pt>
                <c:pt idx="171">
                  <c:v>#N/A</c:v>
                </c:pt>
                <c:pt idx="172">
                  <c:v>#N/A</c:v>
                </c:pt>
                <c:pt idx="173">
                  <c:v>12.223496447018434</c:v>
                </c:pt>
                <c:pt idx="174">
                  <c:v>#N/A</c:v>
                </c:pt>
                <c:pt idx="175">
                  <c:v>#N/A</c:v>
                </c:pt>
                <c:pt idx="176">
                  <c:v>12.181879207717282</c:v>
                </c:pt>
                <c:pt idx="177">
                  <c:v>#N/A</c:v>
                </c:pt>
                <c:pt idx="178">
                  <c:v>#N/A</c:v>
                </c:pt>
                <c:pt idx="179">
                  <c:v>12.394814279466122</c:v>
                </c:pt>
                <c:pt idx="180">
                  <c:v>#N/A</c:v>
                </c:pt>
                <c:pt idx="181">
                  <c:v>#N/A</c:v>
                </c:pt>
                <c:pt idx="182">
                  <c:v>12.694512285058551</c:v>
                </c:pt>
                <c:pt idx="183">
                  <c:v>#N/A</c:v>
                </c:pt>
                <c:pt idx="184">
                  <c:v>#N/A</c:v>
                </c:pt>
                <c:pt idx="185">
                  <c:v>12.305196659103537</c:v>
                </c:pt>
                <c:pt idx="186">
                  <c:v>#N/A</c:v>
                </c:pt>
                <c:pt idx="187">
                  <c:v>#N/A</c:v>
                </c:pt>
                <c:pt idx="188">
                  <c:v>12.726015189659124</c:v>
                </c:pt>
                <c:pt idx="189">
                  <c:v>#N/A</c:v>
                </c:pt>
                <c:pt idx="190">
                  <c:v>#N/A</c:v>
                </c:pt>
                <c:pt idx="191">
                  <c:v>12.403945489683444</c:v>
                </c:pt>
                <c:pt idx="192">
                  <c:v>#N/A</c:v>
                </c:pt>
                <c:pt idx="193">
                  <c:v>#N/A</c:v>
                </c:pt>
                <c:pt idx="194">
                  <c:v>12.503183805758651</c:v>
                </c:pt>
                <c:pt idx="195">
                  <c:v>#N/A</c:v>
                </c:pt>
                <c:pt idx="196">
                  <c:v>#N/A</c:v>
                </c:pt>
                <c:pt idx="197">
                  <c:v>12.257778704635239</c:v>
                </c:pt>
                <c:pt idx="198">
                  <c:v>#N/A</c:v>
                </c:pt>
                <c:pt idx="199">
                  <c:v>#N/A</c:v>
                </c:pt>
                <c:pt idx="200">
                  <c:v>12.549114008980734</c:v>
                </c:pt>
                <c:pt idx="201">
                  <c:v>#N/A</c:v>
                </c:pt>
                <c:pt idx="202">
                  <c:v>#N/A</c:v>
                </c:pt>
                <c:pt idx="203">
                  <c:v>12.671138076784265</c:v>
                </c:pt>
                <c:pt idx="204">
                  <c:v>#N/A</c:v>
                </c:pt>
                <c:pt idx="205">
                  <c:v>#N/A</c:v>
                </c:pt>
                <c:pt idx="206">
                  <c:v>12.446022707329744</c:v>
                </c:pt>
                <c:pt idx="207">
                  <c:v>#N/A</c:v>
                </c:pt>
                <c:pt idx="208">
                  <c:v>#N/A</c:v>
                </c:pt>
                <c:pt idx="209">
                  <c:v>12.590267352070404</c:v>
                </c:pt>
                <c:pt idx="210">
                  <c:v>#N/A</c:v>
                </c:pt>
                <c:pt idx="211">
                  <c:v>#N/A</c:v>
                </c:pt>
                <c:pt idx="212">
                  <c:v>12.580725099443425</c:v>
                </c:pt>
                <c:pt idx="213">
                  <c:v>#N/A</c:v>
                </c:pt>
                <c:pt idx="214">
                  <c:v>#N/A</c:v>
                </c:pt>
                <c:pt idx="215">
                  <c:v>12.067366521041601</c:v>
                </c:pt>
                <c:pt idx="216">
                  <c:v>#N/A</c:v>
                </c:pt>
                <c:pt idx="217">
                  <c:v>#N/A</c:v>
                </c:pt>
                <c:pt idx="218">
                  <c:v>12.156984456317067</c:v>
                </c:pt>
                <c:pt idx="219">
                  <c:v>#N/A</c:v>
                </c:pt>
                <c:pt idx="220">
                  <c:v>#N/A</c:v>
                </c:pt>
                <c:pt idx="221">
                  <c:v>12.420936328140247</c:v>
                </c:pt>
                <c:pt idx="222">
                  <c:v>#N/A</c:v>
                </c:pt>
                <c:pt idx="223">
                  <c:v>#N/A</c:v>
                </c:pt>
                <c:pt idx="224">
                  <c:v>12.448182466976169</c:v>
                </c:pt>
                <c:pt idx="225">
                  <c:v>#N/A</c:v>
                </c:pt>
                <c:pt idx="226">
                  <c:v>#N/A</c:v>
                </c:pt>
                <c:pt idx="227">
                  <c:v>12.51618464286909</c:v>
                </c:pt>
                <c:pt idx="228">
                  <c:v>#N/A</c:v>
                </c:pt>
                <c:pt idx="229">
                  <c:v>#N/A</c:v>
                </c:pt>
                <c:pt idx="230">
                  <c:v>12.044799448597779</c:v>
                </c:pt>
                <c:pt idx="231">
                  <c:v>#N/A</c:v>
                </c:pt>
                <c:pt idx="232">
                  <c:v>#N/A</c:v>
                </c:pt>
                <c:pt idx="233">
                  <c:v>12.641756785444203</c:v>
                </c:pt>
                <c:pt idx="234">
                  <c:v>#N/A</c:v>
                </c:pt>
                <c:pt idx="235">
                  <c:v>#N/A</c:v>
                </c:pt>
                <c:pt idx="236">
                  <c:v>12.668116820787382</c:v>
                </c:pt>
                <c:pt idx="237">
                  <c:v>#N/A</c:v>
                </c:pt>
                <c:pt idx="238">
                  <c:v>#N/A</c:v>
                </c:pt>
                <c:pt idx="239">
                  <c:v>12.711471843131056</c:v>
                </c:pt>
                <c:pt idx="240">
                  <c:v>#N/A</c:v>
                </c:pt>
                <c:pt idx="241">
                  <c:v>#N/A</c:v>
                </c:pt>
                <c:pt idx="242">
                  <c:v>12.908330917416325</c:v>
                </c:pt>
                <c:pt idx="243">
                  <c:v>#N/A</c:v>
                </c:pt>
                <c:pt idx="244">
                  <c:v>#N/A</c:v>
                </c:pt>
                <c:pt idx="245">
                  <c:v>13.293168632709481</c:v>
                </c:pt>
                <c:pt idx="246">
                  <c:v>#N/A</c:v>
                </c:pt>
                <c:pt idx="247">
                  <c:v>#N/A</c:v>
                </c:pt>
                <c:pt idx="248">
                  <c:v>13.210781511767051</c:v>
                </c:pt>
                <c:pt idx="249">
                  <c:v>#N/A</c:v>
                </c:pt>
                <c:pt idx="250">
                  <c:v>#N/A</c:v>
                </c:pt>
                <c:pt idx="251">
                  <c:v>12.617997133397584</c:v>
                </c:pt>
                <c:pt idx="252">
                  <c:v>#N/A</c:v>
                </c:pt>
                <c:pt idx="253">
                  <c:v>#N/A</c:v>
                </c:pt>
                <c:pt idx="254">
                  <c:v>16.744740558677801</c:v>
                </c:pt>
                <c:pt idx="255">
                  <c:v>#N/A</c:v>
                </c:pt>
                <c:pt idx="256">
                  <c:v>#N/A</c:v>
                </c:pt>
                <c:pt idx="257">
                  <c:v>24.89312940833819</c:v>
                </c:pt>
                <c:pt idx="258">
                  <c:v>#N/A</c:v>
                </c:pt>
              </c:numCache>
            </c:numRef>
          </c:val>
          <c:smooth val="0"/>
          <c:extLst>
            <c:ext xmlns:c16="http://schemas.microsoft.com/office/drawing/2014/chart" uri="{C3380CC4-5D6E-409C-BE32-E72D297353CC}">
              <c16:uniqueId val="{00000003-2B42-40FB-B5B3-8F5744305595}"/>
            </c:ext>
          </c:extLst>
        </c:ser>
        <c:dLbls>
          <c:showLegendKey val="0"/>
          <c:showVal val="0"/>
          <c:showCatName val="0"/>
          <c:showSerName val="0"/>
          <c:showPercent val="0"/>
          <c:showBubbleSize val="0"/>
        </c:dLbls>
        <c:marker val="1"/>
        <c:smooth val="0"/>
        <c:axId val="108067072"/>
        <c:axId val="108065152"/>
      </c:lineChart>
      <c:dateAx>
        <c:axId val="108053248"/>
        <c:scaling>
          <c:orientation val="minMax"/>
        </c:scaling>
        <c:delete val="0"/>
        <c:axPos val="b"/>
        <c:numFmt formatCode="yyyy" sourceLinked="0"/>
        <c:majorTickMark val="none"/>
        <c:minorTickMark val="none"/>
        <c:tickLblPos val="nextTo"/>
        <c:spPr>
          <a:noFill/>
          <a:ln w="317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noFill/>
              </a14:hiddenFill>
            </a:ext>
          </a:extLst>
        </c:spPr>
        <c:txPr>
          <a:bodyPr rot="5400000" vert="horz"/>
          <a:lstStyle/>
          <a:p>
            <a:pPr>
              <a:defRPr>
                <a:solidFill>
                  <a:sysClr val="windowText" lastClr="000000"/>
                </a:solidFill>
              </a:defRPr>
            </a:pPr>
            <a:endParaRPr lang="en-US"/>
          </a:p>
        </c:txPr>
        <c:crossAx val="108054784"/>
        <c:crossesAt val="-15"/>
        <c:auto val="1"/>
        <c:lblOffset val="100"/>
        <c:baseTimeUnit val="months"/>
        <c:majorUnit val="12"/>
        <c:majorTimeUnit val="months"/>
        <c:minorUnit val="1"/>
        <c:minorTimeUnit val="months"/>
      </c:dateAx>
      <c:valAx>
        <c:axId val="108054784"/>
        <c:scaling>
          <c:orientation val="minMax"/>
          <c:max val="15"/>
          <c:min val="-15"/>
        </c:scaling>
        <c:delete val="0"/>
        <c:axPos val="l"/>
        <c:title>
          <c:tx>
            <c:rich>
              <a:bodyPr rot="0" vert="horz"/>
              <a:lstStyle/>
              <a:p>
                <a:pPr>
                  <a:defRPr/>
                </a:pPr>
                <a:r>
                  <a:rPr lang="it-IT" i="1">
                    <a:solidFill>
                      <a:sysClr val="windowText" lastClr="000000"/>
                    </a:solidFill>
                  </a:rPr>
                  <a:t>ppt</a:t>
                </a:r>
              </a:p>
            </c:rich>
          </c:tx>
          <c:layout>
            <c:manualLayout>
              <c:xMode val="edge"/>
              <c:yMode val="edge"/>
              <c:x val="9.8488765330598471E-2"/>
              <c:y val="0.18385991606121699"/>
            </c:manualLayout>
          </c:layout>
          <c:overlay val="0"/>
        </c:title>
        <c:numFmt formatCode="#,##0" sourceLinked="0"/>
        <c:majorTickMark val="none"/>
        <c:minorTickMark val="none"/>
        <c:tickLblPos val="low"/>
        <c:spPr>
          <a:noFill/>
          <a:ln w="317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noFill/>
              </a14:hiddenFill>
            </a:ext>
          </a:extLst>
        </c:spPr>
        <c:txPr>
          <a:bodyPr/>
          <a:lstStyle/>
          <a:p>
            <a:pPr>
              <a:defRPr>
                <a:solidFill>
                  <a:sysClr val="windowText" lastClr="000000"/>
                </a:solidFill>
              </a:defRPr>
            </a:pPr>
            <a:endParaRPr lang="en-US"/>
          </a:p>
        </c:txPr>
        <c:crossAx val="108053248"/>
        <c:crosses val="autoZero"/>
        <c:crossBetween val="between"/>
        <c:majorUnit val="5"/>
      </c:valAx>
      <c:valAx>
        <c:axId val="108065152"/>
        <c:scaling>
          <c:orientation val="minMax"/>
          <c:max val="26"/>
          <c:min val="10"/>
        </c:scaling>
        <c:delete val="0"/>
        <c:axPos val="r"/>
        <c:title>
          <c:tx>
            <c:rich>
              <a:bodyPr rot="0" vert="horz"/>
              <a:lstStyle/>
              <a:p>
                <a:pPr>
                  <a:defRPr i="1">
                    <a:solidFill>
                      <a:sysClr val="windowText" lastClr="000000"/>
                    </a:solidFill>
                  </a:defRPr>
                </a:pPr>
                <a:r>
                  <a:rPr lang="it-IT" i="1">
                    <a:solidFill>
                      <a:sysClr val="windowText" lastClr="000000"/>
                    </a:solidFill>
                  </a:rPr>
                  <a:t>%</a:t>
                </a:r>
              </a:p>
            </c:rich>
          </c:tx>
          <c:layout>
            <c:manualLayout>
              <c:xMode val="edge"/>
              <c:yMode val="edge"/>
              <c:x val="0.83828212539094615"/>
              <c:y val="0.1467858546667174"/>
            </c:manualLayout>
          </c:layout>
          <c:overlay val="0"/>
        </c:title>
        <c:numFmt formatCode="#,##0" sourceLinked="0"/>
        <c:majorTickMark val="none"/>
        <c:minorTickMark val="none"/>
        <c:tickLblPos val="high"/>
        <c:spPr>
          <a:noFill/>
          <a:ln w="317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noFill/>
              </a14:hiddenFill>
            </a:ext>
          </a:extLst>
        </c:spPr>
        <c:crossAx val="108067072"/>
        <c:crosses val="max"/>
        <c:crossBetween val="between"/>
        <c:majorUnit val="2"/>
      </c:valAx>
      <c:dateAx>
        <c:axId val="108067072"/>
        <c:scaling>
          <c:orientation val="minMax"/>
        </c:scaling>
        <c:delete val="1"/>
        <c:axPos val="b"/>
        <c:numFmt formatCode="mmm\ yy" sourceLinked="1"/>
        <c:majorTickMark val="out"/>
        <c:minorTickMark val="none"/>
        <c:tickLblPos val="nextTo"/>
        <c:crossAx val="108065152"/>
        <c:crosses val="autoZero"/>
        <c:auto val="1"/>
        <c:lblOffset val="100"/>
        <c:baseTimeUnit val="months"/>
      </c:dateAx>
      <c:spPr>
        <a:noFill/>
        <a:ln w="25400">
          <a:noFill/>
        </a:ln>
        <a:effectLst/>
        <a:extLst>
          <a:ext uri="{909E8E84-426E-40DD-AFC4-6F175D3DCCD1}">
            <a14:hiddenFill xmlns:a14="http://schemas.microsoft.com/office/drawing/2010/main">
              <a:solidFill>
                <a:srgbClr val="C00000"/>
              </a:solidFill>
            </a14:hiddenFill>
          </a:ext>
          <a:ext uri="{91240B29-F687-4F45-9708-019B960494DF}">
            <a14:hiddenLine xmlns:a14="http://schemas.microsoft.com/office/drawing/2010/main">
              <a:noFill/>
              <a:round/>
            </a14:hiddenLine>
          </a:ext>
        </a:extLst>
      </c:spPr>
    </c:plotArea>
    <c:plotVisOnly val="1"/>
    <c:dispBlanksAs val="span"/>
    <c:showDLblsOverMax val="0"/>
  </c:chart>
  <c:spPr>
    <a:noFill/>
    <a:ln w="25400">
      <a:noFill/>
    </a:ln>
    <a:extLst>
      <a:ext uri="{909E8E84-426E-40DD-AFC4-6F175D3DCCD1}">
        <a14:hiddenFill xmlns:a14="http://schemas.microsoft.com/office/drawing/2010/main">
          <a:solidFill>
            <a:srgbClr val="C00000"/>
          </a:solidFill>
        </a14:hiddenFill>
      </a:ext>
    </a:extLst>
  </c:spPr>
  <c:txPr>
    <a:bodyPr/>
    <a:lstStyle/>
    <a:p>
      <a:pPr>
        <a:defRPr sz="700" b="0" i="0">
          <a:solidFill>
            <a:srgbClr val="535353"/>
          </a:solidFill>
          <a:latin typeface="Verdana" panose="020B0604030504040204" pitchFamily="34" charset="0"/>
          <a:ea typeface="Verdana" panose="020B0604030504040204" pitchFamily="34" charset="0"/>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87834128738992E-2"/>
          <c:y val="0.14124614857925369"/>
          <c:w val="0.90929807535176277"/>
          <c:h val="0.6805265331681255"/>
        </c:manualLayout>
      </c:layout>
      <c:barChart>
        <c:barDir val="col"/>
        <c:grouping val="stacked"/>
        <c:varyColors val="0"/>
        <c:ser>
          <c:idx val="0"/>
          <c:order val="0"/>
          <c:tx>
            <c:strRef>
              <c:f>'[All charts.xlsx]4'!$A$5</c:f>
              <c:strCache>
                <c:ptCount val="1"/>
                <c:pt idx="0">
                  <c:v>NFC public</c:v>
                </c:pt>
              </c:strCache>
            </c:strRef>
          </c:tx>
          <c:spPr>
            <a:solidFill>
              <a:srgbClr val="002060"/>
            </a:solidFill>
            <a:ln>
              <a:noFill/>
            </a:ln>
            <a:effectLst/>
          </c:spPr>
          <c:invertIfNegative val="0"/>
          <c:cat>
            <c:numRef>
              <c:f>'[All charts.xlsx]4'!$B$4:$Y$4</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'[All charts.xlsx]4'!$B$5:$Y$5</c:f>
              <c:numCache>
                <c:formatCode>0.0</c:formatCode>
                <c:ptCount val="24"/>
                <c:pt idx="0">
                  <c:v>0.69589970698096382</c:v>
                </c:pt>
                <c:pt idx="1">
                  <c:v>0.69286512859806371</c:v>
                </c:pt>
                <c:pt idx="2">
                  <c:v>0.74547702943983463</c:v>
                </c:pt>
                <c:pt idx="3">
                  <c:v>0.65777830241629309</c:v>
                </c:pt>
                <c:pt idx="4">
                  <c:v>0.77948051937427709</c:v>
                </c:pt>
                <c:pt idx="5">
                  <c:v>0.71870199402943624</c:v>
                </c:pt>
                <c:pt idx="6">
                  <c:v>0.70173776706710156</c:v>
                </c:pt>
                <c:pt idx="7">
                  <c:v>0.76596046981063681</c:v>
                </c:pt>
                <c:pt idx="8">
                  <c:v>0.79651248409658448</c:v>
                </c:pt>
                <c:pt idx="9">
                  <c:v>0.81958873668831878</c:v>
                </c:pt>
                <c:pt idx="10">
                  <c:v>0.96574494671122624</c:v>
                </c:pt>
                <c:pt idx="11">
                  <c:v>0.6943934201993377</c:v>
                </c:pt>
                <c:pt idx="12">
                  <c:v>0.37872006432581634</c:v>
                </c:pt>
                <c:pt idx="13">
                  <c:v>9.7554687073071689E-2</c:v>
                </c:pt>
                <c:pt idx="14">
                  <c:v>8.9991316215075959E-3</c:v>
                </c:pt>
                <c:pt idx="15">
                  <c:v>-7.9173315999396157E-2</c:v>
                </c:pt>
                <c:pt idx="16">
                  <c:v>4.4587966729347443E-4</c:v>
                </c:pt>
                <c:pt idx="17">
                  <c:v>-7.8348936096429109E-2</c:v>
                </c:pt>
                <c:pt idx="18">
                  <c:v>-3.0423737277886873E-2</c:v>
                </c:pt>
                <c:pt idx="19">
                  <c:v>3.5580920026266234E-2</c:v>
                </c:pt>
                <c:pt idx="20">
                  <c:v>0.12353493165318441</c:v>
                </c:pt>
                <c:pt idx="21">
                  <c:v>0.22149854849178668</c:v>
                </c:pt>
                <c:pt idx="22">
                  <c:v>0.33345566188939679</c:v>
                </c:pt>
                <c:pt idx="23">
                  <c:v>0.35335331350988525</c:v>
                </c:pt>
              </c:numCache>
            </c:numRef>
          </c:val>
          <c:extLst>
            <c:ext xmlns:c16="http://schemas.microsoft.com/office/drawing/2014/chart" uri="{C3380CC4-5D6E-409C-BE32-E72D297353CC}">
              <c16:uniqueId val="{00000000-28F1-4C19-AD57-D48D0B414B98}"/>
            </c:ext>
          </c:extLst>
        </c:ser>
        <c:ser>
          <c:idx val="1"/>
          <c:order val="1"/>
          <c:tx>
            <c:strRef>
              <c:f>'[All charts.xlsx]4'!$A$6</c:f>
              <c:strCache>
                <c:ptCount val="1"/>
                <c:pt idx="0">
                  <c:v>NFC Private</c:v>
                </c:pt>
              </c:strCache>
            </c:strRef>
          </c:tx>
          <c:spPr>
            <a:solidFill>
              <a:srgbClr val="8064A2"/>
            </a:solidFill>
            <a:ln>
              <a:noFill/>
            </a:ln>
            <a:effectLst/>
          </c:spPr>
          <c:invertIfNegative val="0"/>
          <c:cat>
            <c:numRef>
              <c:f>'[All charts.xlsx]4'!$B$4:$Y$4</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'[All charts.xlsx]4'!$B$6:$Y$6</c:f>
              <c:numCache>
                <c:formatCode>0.0</c:formatCode>
                <c:ptCount val="24"/>
                <c:pt idx="0">
                  <c:v>6.3066961106756576</c:v>
                </c:pt>
                <c:pt idx="1">
                  <c:v>6.562838439080525</c:v>
                </c:pt>
                <c:pt idx="2">
                  <c:v>5.9878266791587302</c:v>
                </c:pt>
                <c:pt idx="3">
                  <c:v>5.2084105968206025</c:v>
                </c:pt>
                <c:pt idx="4">
                  <c:v>4.8654873644506758</c:v>
                </c:pt>
                <c:pt idx="5">
                  <c:v>5.0037113432808971</c:v>
                </c:pt>
                <c:pt idx="6">
                  <c:v>5.2167621491308074</c:v>
                </c:pt>
                <c:pt idx="7">
                  <c:v>5.8262750872207922</c:v>
                </c:pt>
                <c:pt idx="8">
                  <c:v>6.2873634246226144</c:v>
                </c:pt>
                <c:pt idx="9">
                  <c:v>5.5106799638902464</c:v>
                </c:pt>
                <c:pt idx="10">
                  <c:v>2.6151940219543475</c:v>
                </c:pt>
                <c:pt idx="11">
                  <c:v>2.498819125944292</c:v>
                </c:pt>
                <c:pt idx="12">
                  <c:v>2.8693371635724536</c:v>
                </c:pt>
                <c:pt idx="13">
                  <c:v>2.2677714529806234</c:v>
                </c:pt>
                <c:pt idx="14">
                  <c:v>1.7082328522109846</c:v>
                </c:pt>
                <c:pt idx="15">
                  <c:v>1.8711043264489149</c:v>
                </c:pt>
                <c:pt idx="16">
                  <c:v>2.204841765199983</c:v>
                </c:pt>
                <c:pt idx="17">
                  <c:v>2.7313644665608061</c:v>
                </c:pt>
                <c:pt idx="18">
                  <c:v>3.027169343316471</c:v>
                </c:pt>
                <c:pt idx="19">
                  <c:v>3.1811690934896575</c:v>
                </c:pt>
                <c:pt idx="20">
                  <c:v>3.8819851786065875</c:v>
                </c:pt>
                <c:pt idx="21">
                  <c:v>1.1416040770618907</c:v>
                </c:pt>
                <c:pt idx="22">
                  <c:v>2.1243057170768012</c:v>
                </c:pt>
                <c:pt idx="23">
                  <c:v>2.7493749777067276</c:v>
                </c:pt>
              </c:numCache>
            </c:numRef>
          </c:val>
          <c:extLst>
            <c:ext xmlns:c16="http://schemas.microsoft.com/office/drawing/2014/chart" uri="{C3380CC4-5D6E-409C-BE32-E72D297353CC}">
              <c16:uniqueId val="{00000001-28F1-4C19-AD57-D48D0B414B98}"/>
            </c:ext>
          </c:extLst>
        </c:ser>
        <c:dLbls>
          <c:showLegendKey val="0"/>
          <c:showVal val="0"/>
          <c:showCatName val="0"/>
          <c:showSerName val="0"/>
          <c:showPercent val="0"/>
          <c:showBubbleSize val="0"/>
        </c:dLbls>
        <c:gapWidth val="94"/>
        <c:overlap val="100"/>
        <c:axId val="108184704"/>
        <c:axId val="108186624"/>
      </c:barChart>
      <c:lineChart>
        <c:grouping val="standard"/>
        <c:varyColors val="0"/>
        <c:ser>
          <c:idx val="2"/>
          <c:order val="2"/>
          <c:tx>
            <c:strRef>
              <c:f>'[All charts.xlsx]4'!$A$7</c:f>
              <c:strCache>
                <c:ptCount val="1"/>
                <c:pt idx="0">
                  <c:v>Total</c:v>
                </c:pt>
              </c:strCache>
            </c:strRef>
          </c:tx>
          <c:spPr>
            <a:ln w="19050" cap="rnd">
              <a:solidFill>
                <a:schemeClr val="accent1">
                  <a:lumMod val="75000"/>
                </a:schemeClr>
              </a:solidFill>
              <a:prstDash val="dash"/>
              <a:round/>
            </a:ln>
            <a:effectLst/>
          </c:spPr>
          <c:marker>
            <c:symbol val="circle"/>
            <c:size val="3"/>
            <c:spPr>
              <a:solidFill>
                <a:schemeClr val="accent1">
                  <a:lumMod val="75000"/>
                </a:schemeClr>
              </a:solidFill>
              <a:ln w="9525">
                <a:solidFill>
                  <a:schemeClr val="accent1">
                    <a:lumMod val="75000"/>
                  </a:schemeClr>
                </a:solidFill>
              </a:ln>
              <a:effectLst/>
            </c:spPr>
          </c:marker>
          <c:cat>
            <c:numRef>
              <c:f>'[All charts.xlsx]4'!$B$4:$Y$4</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'[All charts.xlsx]4'!$B$7:$Y$7</c:f>
              <c:numCache>
                <c:formatCode>0.0</c:formatCode>
                <c:ptCount val="24"/>
                <c:pt idx="0">
                  <c:v>7.002595817656621</c:v>
                </c:pt>
                <c:pt idx="1">
                  <c:v>7.255703567678589</c:v>
                </c:pt>
                <c:pt idx="2">
                  <c:v>6.733303708598565</c:v>
                </c:pt>
                <c:pt idx="3">
                  <c:v>5.8661888992368958</c:v>
                </c:pt>
                <c:pt idx="4">
                  <c:v>5.6449678838249531</c:v>
                </c:pt>
                <c:pt idx="5">
                  <c:v>5.722413337310333</c:v>
                </c:pt>
                <c:pt idx="6">
                  <c:v>5.9184999161979093</c:v>
                </c:pt>
                <c:pt idx="7">
                  <c:v>6.5922355570314295</c:v>
                </c:pt>
                <c:pt idx="8">
                  <c:v>7.0838759087191985</c:v>
                </c:pt>
                <c:pt idx="9">
                  <c:v>6.3302687005785652</c:v>
                </c:pt>
                <c:pt idx="10">
                  <c:v>3.5809389686655737</c:v>
                </c:pt>
                <c:pt idx="11">
                  <c:v>3.1932125461436298</c:v>
                </c:pt>
                <c:pt idx="12">
                  <c:v>3.2480572278982698</c:v>
                </c:pt>
                <c:pt idx="13">
                  <c:v>2.3653261400536953</c:v>
                </c:pt>
                <c:pt idx="14">
                  <c:v>1.7172319838324923</c:v>
                </c:pt>
                <c:pt idx="15">
                  <c:v>1.7919310104495187</c:v>
                </c:pt>
                <c:pt idx="16">
                  <c:v>2.2052876448672762</c:v>
                </c:pt>
                <c:pt idx="17">
                  <c:v>2.6530155304643772</c:v>
                </c:pt>
                <c:pt idx="18">
                  <c:v>2.996745606038584</c:v>
                </c:pt>
                <c:pt idx="19">
                  <c:v>3.2167500135159237</c:v>
                </c:pt>
                <c:pt idx="20">
                  <c:v>4.0055201102597717</c:v>
                </c:pt>
                <c:pt idx="21">
                  <c:v>1.3631026255536773</c:v>
                </c:pt>
                <c:pt idx="22">
                  <c:v>2.4577613789661981</c:v>
                </c:pt>
                <c:pt idx="23">
                  <c:v>3.102728291216613</c:v>
                </c:pt>
              </c:numCache>
            </c:numRef>
          </c:val>
          <c:smooth val="0"/>
          <c:extLst>
            <c:ext xmlns:c16="http://schemas.microsoft.com/office/drawing/2014/chart" uri="{C3380CC4-5D6E-409C-BE32-E72D297353CC}">
              <c16:uniqueId val="{00000002-28F1-4C19-AD57-D48D0B414B98}"/>
            </c:ext>
          </c:extLst>
        </c:ser>
        <c:dLbls>
          <c:showLegendKey val="0"/>
          <c:showVal val="0"/>
          <c:showCatName val="0"/>
          <c:showSerName val="0"/>
          <c:showPercent val="0"/>
          <c:showBubbleSize val="0"/>
        </c:dLbls>
        <c:marker val="1"/>
        <c:smooth val="0"/>
        <c:axId val="108184704"/>
        <c:axId val="108186624"/>
      </c:lineChart>
      <c:catAx>
        <c:axId val="10818470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8186624"/>
        <c:crosses val="autoZero"/>
        <c:auto val="1"/>
        <c:lblAlgn val="ctr"/>
        <c:lblOffset val="100"/>
        <c:noMultiLvlLbl val="0"/>
      </c:catAx>
      <c:valAx>
        <c:axId val="108186624"/>
        <c:scaling>
          <c:orientation val="minMax"/>
          <c:min val="0"/>
        </c:scaling>
        <c:delete val="0"/>
        <c:axPos val="l"/>
        <c:title>
          <c:tx>
            <c:rich>
              <a:bodyPr rot="0" spcFirstLastPara="1" vertOverflow="ellipsis" wrap="square" anchor="ctr" anchorCtr="1"/>
              <a:lstStyle/>
              <a:p>
                <a:pPr>
                  <a:defRPr sz="7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i="1">
                    <a:solidFill>
                      <a:sysClr val="windowText" lastClr="000000"/>
                    </a:solidFill>
                  </a:rPr>
                  <a:t>% GDP</a:t>
                </a:r>
              </a:p>
            </c:rich>
          </c:tx>
          <c:layout>
            <c:manualLayout>
              <c:xMode val="edge"/>
              <c:yMode val="edge"/>
              <c:x val="7.4811445806455185E-2"/>
              <c:y val="6.7063684784599092E-2"/>
            </c:manualLayout>
          </c:layout>
          <c:overlay val="0"/>
          <c:spPr>
            <a:noFill/>
            <a:ln>
              <a:noFill/>
            </a:ln>
            <a:effectLst/>
          </c:spPr>
          <c:txPr>
            <a:bodyPr rot="0" spcFirstLastPara="1" vertOverflow="ellipsis" wrap="square" anchor="ctr" anchorCtr="1"/>
            <a:lstStyle/>
            <a:p>
              <a:pPr>
                <a:defRPr sz="7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8184704"/>
        <c:crosses val="autoZero"/>
        <c:crossBetween val="between"/>
      </c:valAx>
      <c:spPr>
        <a:noFill/>
        <a:ln>
          <a:noFill/>
        </a:ln>
        <a:effectLst/>
      </c:spPr>
    </c:plotArea>
    <c:legend>
      <c:legendPos val="t"/>
      <c:layout>
        <c:manualLayout>
          <c:xMode val="edge"/>
          <c:yMode val="edge"/>
          <c:x val="0.56397891365274255"/>
          <c:y val="3.7735849056603772E-2"/>
          <c:w val="0.42590995488710715"/>
          <c:h val="0.223248913905984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74509998034824E-2"/>
          <c:y val="0.18044674103237096"/>
          <c:w val="0.86261888965887146"/>
          <c:h val="0.70506288276465445"/>
        </c:manualLayout>
      </c:layout>
      <c:lineChart>
        <c:grouping val="standard"/>
        <c:varyColors val="0"/>
        <c:ser>
          <c:idx val="0"/>
          <c:order val="0"/>
          <c:tx>
            <c:strRef>
              <c:f>'[All charts.xlsx]5'!$K$4</c:f>
              <c:strCache>
                <c:ptCount val="1"/>
                <c:pt idx="0">
                  <c:v>Total </c:v>
                </c:pt>
              </c:strCache>
            </c:strRef>
          </c:tx>
          <c:spPr>
            <a:ln w="22225" cap="rnd">
              <a:solidFill>
                <a:schemeClr val="accent1"/>
              </a:solidFill>
              <a:prstDash val="sysDash"/>
              <a:round/>
            </a:ln>
            <a:effectLst/>
          </c:spPr>
          <c:marker>
            <c:symbol val="none"/>
          </c:marker>
          <c:cat>
            <c:numRef>
              <c:f>'[All charts.xlsx]5'!$J$5:$J$11</c:f>
              <c:numCache>
                <c:formatCode>mmm\-yy</c:formatCode>
                <c:ptCount val="7"/>
                <c:pt idx="0">
                  <c:v>43831</c:v>
                </c:pt>
                <c:pt idx="1">
                  <c:v>43862</c:v>
                </c:pt>
                <c:pt idx="2">
                  <c:v>43891</c:v>
                </c:pt>
                <c:pt idx="3">
                  <c:v>43922</c:v>
                </c:pt>
                <c:pt idx="4">
                  <c:v>43952</c:v>
                </c:pt>
                <c:pt idx="5">
                  <c:v>43983</c:v>
                </c:pt>
                <c:pt idx="6">
                  <c:v>44013</c:v>
                </c:pt>
              </c:numCache>
            </c:numRef>
          </c:cat>
          <c:val>
            <c:numRef>
              <c:f>'[All charts.xlsx]5'!$K$5:$K$11</c:f>
              <c:numCache>
                <c:formatCode>General</c:formatCode>
                <c:ptCount val="7"/>
                <c:pt idx="0">
                  <c:v>100</c:v>
                </c:pt>
                <c:pt idx="1">
                  <c:v>99.495798319327733</c:v>
                </c:pt>
                <c:pt idx="2">
                  <c:v>84.17508417508418</c:v>
                </c:pt>
                <c:pt idx="3">
                  <c:v>70.53872053872054</c:v>
                </c:pt>
                <c:pt idx="4">
                  <c:v>75.589225589225578</c:v>
                </c:pt>
                <c:pt idx="5">
                  <c:v>84.537815126050418</c:v>
                </c:pt>
                <c:pt idx="6">
                  <c:v>88.319327731092429</c:v>
                </c:pt>
              </c:numCache>
            </c:numRef>
          </c:val>
          <c:smooth val="0"/>
          <c:extLst>
            <c:ext xmlns:c16="http://schemas.microsoft.com/office/drawing/2014/chart" uri="{C3380CC4-5D6E-409C-BE32-E72D297353CC}">
              <c16:uniqueId val="{00000000-4115-4E26-AD46-3CC0371A7252}"/>
            </c:ext>
          </c:extLst>
        </c:ser>
        <c:ser>
          <c:idx val="1"/>
          <c:order val="1"/>
          <c:tx>
            <c:strRef>
              <c:f>'[All charts.xlsx]5'!$L$4</c:f>
              <c:strCache>
                <c:ptCount val="1"/>
                <c:pt idx="0">
                  <c:v>Retail and wholesale</c:v>
                </c:pt>
              </c:strCache>
            </c:strRef>
          </c:tx>
          <c:spPr>
            <a:ln w="22225" cap="rnd">
              <a:solidFill>
                <a:srgbClr val="002060"/>
              </a:solidFill>
              <a:round/>
            </a:ln>
            <a:effectLst/>
          </c:spPr>
          <c:marker>
            <c:symbol val="none"/>
          </c:marker>
          <c:cat>
            <c:numRef>
              <c:f>'[All charts.xlsx]5'!$J$5:$J$11</c:f>
              <c:numCache>
                <c:formatCode>mmm\-yy</c:formatCode>
                <c:ptCount val="7"/>
                <c:pt idx="0">
                  <c:v>43831</c:v>
                </c:pt>
                <c:pt idx="1">
                  <c:v>43862</c:v>
                </c:pt>
                <c:pt idx="2">
                  <c:v>43891</c:v>
                </c:pt>
                <c:pt idx="3">
                  <c:v>43922</c:v>
                </c:pt>
                <c:pt idx="4">
                  <c:v>43952</c:v>
                </c:pt>
                <c:pt idx="5">
                  <c:v>43983</c:v>
                </c:pt>
                <c:pt idx="6">
                  <c:v>44013</c:v>
                </c:pt>
              </c:numCache>
            </c:numRef>
          </c:cat>
          <c:val>
            <c:numRef>
              <c:f>'[All charts.xlsx]5'!$L$5:$L$11</c:f>
              <c:numCache>
                <c:formatCode>General</c:formatCode>
                <c:ptCount val="7"/>
                <c:pt idx="0">
                  <c:v>100</c:v>
                </c:pt>
                <c:pt idx="1">
                  <c:v>100</c:v>
                </c:pt>
                <c:pt idx="2">
                  <c:v>91.385435168738908</c:v>
                </c:pt>
                <c:pt idx="3">
                  <c:v>79.928952042628779</c:v>
                </c:pt>
                <c:pt idx="4">
                  <c:v>93.960923623445822</c:v>
                </c:pt>
                <c:pt idx="5">
                  <c:v>99.023957409050567</c:v>
                </c:pt>
                <c:pt idx="6">
                  <c:v>99.822537710736469</c:v>
                </c:pt>
              </c:numCache>
            </c:numRef>
          </c:val>
          <c:smooth val="0"/>
          <c:extLst>
            <c:ext xmlns:c16="http://schemas.microsoft.com/office/drawing/2014/chart" uri="{C3380CC4-5D6E-409C-BE32-E72D297353CC}">
              <c16:uniqueId val="{00000001-4115-4E26-AD46-3CC0371A7252}"/>
            </c:ext>
          </c:extLst>
        </c:ser>
        <c:ser>
          <c:idx val="2"/>
          <c:order val="2"/>
          <c:tx>
            <c:strRef>
              <c:f>'[All charts.xlsx]5'!$M$4</c:f>
              <c:strCache>
                <c:ptCount val="1"/>
                <c:pt idx="0">
                  <c:v>Air Transport</c:v>
                </c:pt>
              </c:strCache>
            </c:strRef>
          </c:tx>
          <c:spPr>
            <a:ln w="22225" cap="rnd">
              <a:solidFill>
                <a:schemeClr val="accent3"/>
              </a:solidFill>
              <a:round/>
            </a:ln>
            <a:effectLst/>
          </c:spPr>
          <c:marker>
            <c:symbol val="none"/>
          </c:marker>
          <c:cat>
            <c:numRef>
              <c:f>'[All charts.xlsx]5'!$J$5:$J$11</c:f>
              <c:numCache>
                <c:formatCode>mmm\-yy</c:formatCode>
                <c:ptCount val="7"/>
                <c:pt idx="0">
                  <c:v>43831</c:v>
                </c:pt>
                <c:pt idx="1">
                  <c:v>43862</c:v>
                </c:pt>
                <c:pt idx="2">
                  <c:v>43891</c:v>
                </c:pt>
                <c:pt idx="3">
                  <c:v>43922</c:v>
                </c:pt>
                <c:pt idx="4">
                  <c:v>43952</c:v>
                </c:pt>
                <c:pt idx="5">
                  <c:v>43983</c:v>
                </c:pt>
                <c:pt idx="6">
                  <c:v>44013</c:v>
                </c:pt>
              </c:numCache>
            </c:numRef>
          </c:cat>
          <c:val>
            <c:numRef>
              <c:f>'[All charts.xlsx]5'!$M$5:$M$11</c:f>
              <c:numCache>
                <c:formatCode>General</c:formatCode>
                <c:ptCount val="7"/>
                <c:pt idx="0">
                  <c:v>100</c:v>
                </c:pt>
                <c:pt idx="1">
                  <c:v>95.640569395017792</c:v>
                </c:pt>
                <c:pt idx="2">
                  <c:v>67.97153024911033</c:v>
                </c:pt>
                <c:pt idx="3">
                  <c:v>37.188612099644125</c:v>
                </c:pt>
                <c:pt idx="4">
                  <c:v>42.52669039145907</c:v>
                </c:pt>
                <c:pt idx="5">
                  <c:v>38.879003558718864</c:v>
                </c:pt>
                <c:pt idx="6">
                  <c:v>37.553101104502971</c:v>
                </c:pt>
              </c:numCache>
            </c:numRef>
          </c:val>
          <c:smooth val="0"/>
          <c:extLst>
            <c:ext xmlns:c16="http://schemas.microsoft.com/office/drawing/2014/chart" uri="{C3380CC4-5D6E-409C-BE32-E72D297353CC}">
              <c16:uniqueId val="{00000002-4115-4E26-AD46-3CC0371A7252}"/>
            </c:ext>
          </c:extLst>
        </c:ser>
        <c:ser>
          <c:idx val="3"/>
          <c:order val="3"/>
          <c:tx>
            <c:strRef>
              <c:f>'[All charts.xlsx]5'!$N$4</c:f>
              <c:strCache>
                <c:ptCount val="1"/>
                <c:pt idx="0">
                  <c:v>Accomodations</c:v>
                </c:pt>
              </c:strCache>
            </c:strRef>
          </c:tx>
          <c:spPr>
            <a:ln w="22225" cap="rnd">
              <a:solidFill>
                <a:srgbClr val="9BBB59"/>
              </a:solidFill>
              <a:round/>
            </a:ln>
            <a:effectLst/>
          </c:spPr>
          <c:marker>
            <c:symbol val="none"/>
          </c:marker>
          <c:cat>
            <c:numRef>
              <c:f>'[All charts.xlsx]5'!$J$5:$J$11</c:f>
              <c:numCache>
                <c:formatCode>mmm\-yy</c:formatCode>
                <c:ptCount val="7"/>
                <c:pt idx="0">
                  <c:v>43831</c:v>
                </c:pt>
                <c:pt idx="1">
                  <c:v>43862</c:v>
                </c:pt>
                <c:pt idx="2">
                  <c:v>43891</c:v>
                </c:pt>
                <c:pt idx="3">
                  <c:v>43922</c:v>
                </c:pt>
                <c:pt idx="4">
                  <c:v>43952</c:v>
                </c:pt>
                <c:pt idx="5">
                  <c:v>43983</c:v>
                </c:pt>
                <c:pt idx="6">
                  <c:v>44013</c:v>
                </c:pt>
              </c:numCache>
            </c:numRef>
          </c:cat>
          <c:val>
            <c:numRef>
              <c:f>'[All charts.xlsx]5'!$N$5:$N$11</c:f>
              <c:numCache>
                <c:formatCode>General</c:formatCode>
                <c:ptCount val="7"/>
                <c:pt idx="0">
                  <c:v>100</c:v>
                </c:pt>
                <c:pt idx="1">
                  <c:v>98.971000935453688</c:v>
                </c:pt>
                <c:pt idx="2">
                  <c:v>46.585594013096348</c:v>
                </c:pt>
                <c:pt idx="3">
                  <c:v>11.693171188026193</c:v>
                </c:pt>
                <c:pt idx="4">
                  <c:v>14.967259120673527</c:v>
                </c:pt>
                <c:pt idx="5">
                  <c:v>33.956969130028057</c:v>
                </c:pt>
                <c:pt idx="6">
                  <c:v>55.887850467289709</c:v>
                </c:pt>
              </c:numCache>
            </c:numRef>
          </c:val>
          <c:smooth val="0"/>
          <c:extLst>
            <c:ext xmlns:c16="http://schemas.microsoft.com/office/drawing/2014/chart" uri="{C3380CC4-5D6E-409C-BE32-E72D297353CC}">
              <c16:uniqueId val="{00000003-4115-4E26-AD46-3CC0371A7252}"/>
            </c:ext>
          </c:extLst>
        </c:ser>
        <c:ser>
          <c:idx val="4"/>
          <c:order val="4"/>
          <c:tx>
            <c:strRef>
              <c:f>'[All charts.xlsx]5'!$O$4</c:f>
              <c:strCache>
                <c:ptCount val="1"/>
                <c:pt idx="0">
                  <c:v>Restaurants</c:v>
                </c:pt>
              </c:strCache>
            </c:strRef>
          </c:tx>
          <c:spPr>
            <a:ln w="22225" cap="rnd">
              <a:solidFill>
                <a:srgbClr val="8064A2"/>
              </a:solidFill>
              <a:round/>
            </a:ln>
            <a:effectLst/>
          </c:spPr>
          <c:marker>
            <c:symbol val="none"/>
          </c:marker>
          <c:cat>
            <c:numRef>
              <c:f>'[All charts.xlsx]5'!$J$5:$J$11</c:f>
              <c:numCache>
                <c:formatCode>mmm\-yy</c:formatCode>
                <c:ptCount val="7"/>
                <c:pt idx="0">
                  <c:v>43831</c:v>
                </c:pt>
                <c:pt idx="1">
                  <c:v>43862</c:v>
                </c:pt>
                <c:pt idx="2">
                  <c:v>43891</c:v>
                </c:pt>
                <c:pt idx="3">
                  <c:v>43922</c:v>
                </c:pt>
                <c:pt idx="4">
                  <c:v>43952</c:v>
                </c:pt>
                <c:pt idx="5">
                  <c:v>43983</c:v>
                </c:pt>
                <c:pt idx="6">
                  <c:v>44013</c:v>
                </c:pt>
              </c:numCache>
            </c:numRef>
          </c:cat>
          <c:val>
            <c:numRef>
              <c:f>'[All charts.xlsx]5'!$O$5:$O$11</c:f>
              <c:numCache>
                <c:formatCode>General</c:formatCode>
                <c:ptCount val="7"/>
                <c:pt idx="0">
                  <c:v>100</c:v>
                </c:pt>
                <c:pt idx="1">
                  <c:v>99.145299145299148</c:v>
                </c:pt>
                <c:pt idx="2">
                  <c:v>50.683760683760681</c:v>
                </c:pt>
                <c:pt idx="3">
                  <c:v>20.683760683760681</c:v>
                </c:pt>
                <c:pt idx="4">
                  <c:v>32.564102564102562</c:v>
                </c:pt>
                <c:pt idx="5">
                  <c:v>61.53846153846154</c:v>
                </c:pt>
                <c:pt idx="6">
                  <c:v>74.356775300171535</c:v>
                </c:pt>
              </c:numCache>
            </c:numRef>
          </c:val>
          <c:smooth val="0"/>
          <c:extLst>
            <c:ext xmlns:c16="http://schemas.microsoft.com/office/drawing/2014/chart" uri="{C3380CC4-5D6E-409C-BE32-E72D297353CC}">
              <c16:uniqueId val="{00000004-4115-4E26-AD46-3CC0371A7252}"/>
            </c:ext>
          </c:extLst>
        </c:ser>
        <c:dLbls>
          <c:showLegendKey val="0"/>
          <c:showVal val="0"/>
          <c:showCatName val="0"/>
          <c:showSerName val="0"/>
          <c:showPercent val="0"/>
          <c:showBubbleSize val="0"/>
        </c:dLbls>
        <c:smooth val="0"/>
        <c:axId val="108238720"/>
        <c:axId val="108240256"/>
      </c:lineChart>
      <c:dateAx>
        <c:axId val="108238720"/>
        <c:scaling>
          <c:orientation val="minMax"/>
        </c:scaling>
        <c:delete val="0"/>
        <c:axPos val="b"/>
        <c:numFmt formatCode="[$-409]mmm/yy;@" sourceLinked="0"/>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8240256"/>
        <c:crosses val="autoZero"/>
        <c:auto val="1"/>
        <c:lblOffset val="100"/>
        <c:baseTimeUnit val="months"/>
      </c:dateAx>
      <c:valAx>
        <c:axId val="108240256"/>
        <c:scaling>
          <c:orientation val="minMax"/>
          <c:max val="110"/>
          <c:min val="0"/>
        </c:scaling>
        <c:delete val="0"/>
        <c:axPos val="l"/>
        <c:title>
          <c:tx>
            <c:rich>
              <a:bodyPr rot="0" spcFirstLastPara="1" vertOverflow="ellipsis" wrap="square" anchor="ctr" anchorCtr="1"/>
              <a:lstStyle/>
              <a:p>
                <a:pPr>
                  <a:defRPr sz="5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500" i="1"/>
                  <a:t>Jan-20 =</a:t>
                </a:r>
                <a:r>
                  <a:rPr lang="it-IT" sz="500" i="1" baseline="0"/>
                  <a:t> 100</a:t>
                </a:r>
                <a:endParaRPr lang="it-IT" sz="500" i="1"/>
              </a:p>
            </c:rich>
          </c:tx>
          <c:layout>
            <c:manualLayout>
              <c:xMode val="edge"/>
              <c:yMode val="edge"/>
              <c:x val="9.9818511796733206E-2"/>
              <c:y val="0.74983541119860009"/>
            </c:manualLayout>
          </c:layout>
          <c:overlay val="0"/>
          <c:spPr>
            <a:noFill/>
            <a:ln>
              <a:noFill/>
            </a:ln>
            <a:effectLst/>
          </c:spPr>
          <c:txPr>
            <a:bodyPr rot="0" spcFirstLastPara="1" vertOverflow="ellipsis" wrap="square" anchor="ctr" anchorCtr="1"/>
            <a:lstStyle/>
            <a:p>
              <a:pPr>
                <a:defRPr sz="5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8238720"/>
        <c:crosses val="autoZero"/>
        <c:crossBetween val="between"/>
        <c:majorUnit val="20"/>
      </c:valAx>
      <c:spPr>
        <a:noFill/>
        <a:ln>
          <a:noFill/>
        </a:ln>
        <a:effectLst/>
      </c:spPr>
    </c:plotArea>
    <c:legend>
      <c:legendPos val="b"/>
      <c:layout>
        <c:manualLayout>
          <c:xMode val="edge"/>
          <c:yMode val="edge"/>
          <c:x val="9.0774826014261831E-2"/>
          <c:y val="1.7672790901137356E-3"/>
          <c:w val="0.90922517398573821"/>
          <c:h val="0.13602799650043745"/>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811914188218"/>
          <c:y val="4.5917016849577739E-2"/>
          <c:w val="0.84552239200782997"/>
          <c:h val="0.7587316714944311"/>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D981-451F-A86D-363920C1252C}"/>
              </c:ext>
            </c:extLst>
          </c:dPt>
          <c:dPt>
            <c:idx val="1"/>
            <c:invertIfNegative val="0"/>
            <c:bubble3D val="0"/>
            <c:spPr>
              <a:solidFill>
                <a:srgbClr val="002060"/>
              </a:solidFill>
              <a:ln>
                <a:noFill/>
              </a:ln>
              <a:effectLst/>
            </c:spPr>
            <c:extLst>
              <c:ext xmlns:c16="http://schemas.microsoft.com/office/drawing/2014/chart" uri="{C3380CC4-5D6E-409C-BE32-E72D297353CC}">
                <c16:uniqueId val="{00000003-D981-451F-A86D-363920C1252C}"/>
              </c:ext>
            </c:extLst>
          </c:dPt>
          <c:dPt>
            <c:idx val="2"/>
            <c:invertIfNegative val="0"/>
            <c:bubble3D val="0"/>
            <c:spPr>
              <a:solidFill>
                <a:srgbClr val="002060"/>
              </a:solidFill>
              <a:ln>
                <a:noFill/>
              </a:ln>
              <a:effectLst/>
            </c:spPr>
            <c:extLst>
              <c:ext xmlns:c16="http://schemas.microsoft.com/office/drawing/2014/chart" uri="{C3380CC4-5D6E-409C-BE32-E72D297353CC}">
                <c16:uniqueId val="{00000005-D981-451F-A86D-363920C1252C}"/>
              </c:ext>
            </c:extLst>
          </c:dPt>
          <c:dPt>
            <c:idx val="3"/>
            <c:invertIfNegative val="0"/>
            <c:bubble3D val="0"/>
            <c:spPr>
              <a:solidFill>
                <a:srgbClr val="002060"/>
              </a:solidFill>
              <a:ln>
                <a:noFill/>
              </a:ln>
              <a:effectLst/>
            </c:spPr>
            <c:extLst>
              <c:ext xmlns:c16="http://schemas.microsoft.com/office/drawing/2014/chart" uri="{C3380CC4-5D6E-409C-BE32-E72D297353CC}">
                <c16:uniqueId val="{00000007-D981-451F-A86D-363920C1252C}"/>
              </c:ext>
            </c:extLst>
          </c:dPt>
          <c:dPt>
            <c:idx val="4"/>
            <c:invertIfNegative val="0"/>
            <c:bubble3D val="0"/>
            <c:spPr>
              <a:solidFill>
                <a:srgbClr val="002060"/>
              </a:solidFill>
              <a:ln>
                <a:noFill/>
              </a:ln>
              <a:effectLst/>
            </c:spPr>
            <c:extLst>
              <c:ext xmlns:c16="http://schemas.microsoft.com/office/drawing/2014/chart" uri="{C3380CC4-5D6E-409C-BE32-E72D297353CC}">
                <c16:uniqueId val="{00000009-D981-451F-A86D-363920C1252C}"/>
              </c:ext>
            </c:extLst>
          </c:dPt>
          <c:dPt>
            <c:idx val="5"/>
            <c:invertIfNegative val="0"/>
            <c:bubble3D val="0"/>
            <c:spPr>
              <a:solidFill>
                <a:srgbClr val="8064A2"/>
              </a:solidFill>
              <a:ln>
                <a:noFill/>
              </a:ln>
              <a:effectLst/>
            </c:spPr>
            <c:extLst>
              <c:ext xmlns:c16="http://schemas.microsoft.com/office/drawing/2014/chart" uri="{C3380CC4-5D6E-409C-BE32-E72D297353CC}">
                <c16:uniqueId val="{0000000B-D981-451F-A86D-363920C1252C}"/>
              </c:ext>
            </c:extLst>
          </c:dPt>
          <c:dPt>
            <c:idx val="6"/>
            <c:invertIfNegative val="0"/>
            <c:bubble3D val="0"/>
            <c:spPr>
              <a:solidFill>
                <a:srgbClr val="8064A2"/>
              </a:solidFill>
              <a:ln>
                <a:noFill/>
              </a:ln>
              <a:effectLst/>
            </c:spPr>
            <c:extLst>
              <c:ext xmlns:c16="http://schemas.microsoft.com/office/drawing/2014/chart" uri="{C3380CC4-5D6E-409C-BE32-E72D297353CC}">
                <c16:uniqueId val="{0000000D-D981-451F-A86D-363920C1252C}"/>
              </c:ext>
            </c:extLst>
          </c:dPt>
          <c:dPt>
            <c:idx val="7"/>
            <c:invertIfNegative val="0"/>
            <c:bubble3D val="0"/>
            <c:spPr>
              <a:solidFill>
                <a:srgbClr val="8064A2"/>
              </a:solidFill>
              <a:ln>
                <a:noFill/>
              </a:ln>
              <a:effectLst/>
            </c:spPr>
            <c:extLst>
              <c:ext xmlns:c16="http://schemas.microsoft.com/office/drawing/2014/chart" uri="{C3380CC4-5D6E-409C-BE32-E72D297353CC}">
                <c16:uniqueId val="{0000000F-D981-451F-A86D-363920C1252C}"/>
              </c:ext>
            </c:extLst>
          </c:dPt>
          <c:dPt>
            <c:idx val="8"/>
            <c:invertIfNegative val="0"/>
            <c:bubble3D val="0"/>
            <c:spPr>
              <a:solidFill>
                <a:srgbClr val="8064A2"/>
              </a:solidFill>
              <a:ln>
                <a:noFill/>
              </a:ln>
              <a:effectLst/>
            </c:spPr>
            <c:extLst>
              <c:ext xmlns:c16="http://schemas.microsoft.com/office/drawing/2014/chart" uri="{C3380CC4-5D6E-409C-BE32-E72D297353CC}">
                <c16:uniqueId val="{00000011-D981-451F-A86D-363920C1252C}"/>
              </c:ext>
            </c:extLst>
          </c:dPt>
          <c:dPt>
            <c:idx val="9"/>
            <c:invertIfNegative val="0"/>
            <c:bubble3D val="0"/>
            <c:spPr>
              <a:solidFill>
                <a:srgbClr val="8064A2"/>
              </a:solidFill>
              <a:ln>
                <a:noFill/>
              </a:ln>
              <a:effectLst/>
            </c:spPr>
            <c:extLst>
              <c:ext xmlns:c16="http://schemas.microsoft.com/office/drawing/2014/chart" uri="{C3380CC4-5D6E-409C-BE32-E72D297353CC}">
                <c16:uniqueId val="{00000013-D981-451F-A86D-363920C1252C}"/>
              </c:ext>
            </c:extLst>
          </c:dPt>
          <c:dPt>
            <c:idx val="10"/>
            <c:invertIfNegative val="0"/>
            <c:bubble3D val="0"/>
            <c:spPr>
              <a:solidFill>
                <a:srgbClr val="8064A2"/>
              </a:solidFill>
              <a:ln>
                <a:noFill/>
              </a:ln>
              <a:effectLst/>
            </c:spPr>
            <c:extLst>
              <c:ext xmlns:c16="http://schemas.microsoft.com/office/drawing/2014/chart" uri="{C3380CC4-5D6E-409C-BE32-E72D297353CC}">
                <c16:uniqueId val="{00000015-D981-451F-A86D-363920C1252C}"/>
              </c:ext>
            </c:extLst>
          </c:dPt>
          <c:dPt>
            <c:idx val="11"/>
            <c:invertIfNegative val="0"/>
            <c:bubble3D val="0"/>
            <c:spPr>
              <a:solidFill>
                <a:srgbClr val="8064A2"/>
              </a:solidFill>
              <a:ln>
                <a:noFill/>
              </a:ln>
              <a:effectLst/>
            </c:spPr>
            <c:extLst>
              <c:ext xmlns:c16="http://schemas.microsoft.com/office/drawing/2014/chart" uri="{C3380CC4-5D6E-409C-BE32-E72D297353CC}">
                <c16:uniqueId val="{00000017-D981-451F-A86D-363920C1252C}"/>
              </c:ext>
            </c:extLst>
          </c:dPt>
          <c:dPt>
            <c:idx val="12"/>
            <c:invertIfNegative val="0"/>
            <c:bubble3D val="0"/>
            <c:spPr>
              <a:solidFill>
                <a:srgbClr val="8064A2"/>
              </a:solidFill>
              <a:ln>
                <a:noFill/>
              </a:ln>
              <a:effectLst/>
            </c:spPr>
            <c:extLst>
              <c:ext xmlns:c16="http://schemas.microsoft.com/office/drawing/2014/chart" uri="{C3380CC4-5D6E-409C-BE32-E72D297353CC}">
                <c16:uniqueId val="{00000019-D981-451F-A86D-363920C1252C}"/>
              </c:ext>
            </c:extLst>
          </c:dPt>
          <c:dPt>
            <c:idx val="13"/>
            <c:invertIfNegative val="0"/>
            <c:bubble3D val="0"/>
            <c:spPr>
              <a:solidFill>
                <a:srgbClr val="9BBB59"/>
              </a:solidFill>
              <a:ln>
                <a:noFill/>
              </a:ln>
              <a:effectLst/>
            </c:spPr>
            <c:extLst>
              <c:ext xmlns:c16="http://schemas.microsoft.com/office/drawing/2014/chart" uri="{C3380CC4-5D6E-409C-BE32-E72D297353CC}">
                <c16:uniqueId val="{0000001B-D981-451F-A86D-363920C1252C}"/>
              </c:ext>
            </c:extLst>
          </c:dPt>
          <c:dPt>
            <c:idx val="14"/>
            <c:invertIfNegative val="0"/>
            <c:bubble3D val="0"/>
            <c:spPr>
              <a:solidFill>
                <a:srgbClr val="9BBB59"/>
              </a:solidFill>
              <a:ln>
                <a:noFill/>
              </a:ln>
              <a:effectLst/>
            </c:spPr>
            <c:extLst>
              <c:ext xmlns:c16="http://schemas.microsoft.com/office/drawing/2014/chart" uri="{C3380CC4-5D6E-409C-BE32-E72D297353CC}">
                <c16:uniqueId val="{0000001D-D981-451F-A86D-363920C1252C}"/>
              </c:ext>
            </c:extLst>
          </c:dPt>
          <c:dPt>
            <c:idx val="15"/>
            <c:invertIfNegative val="0"/>
            <c:bubble3D val="0"/>
            <c:spPr>
              <a:solidFill>
                <a:srgbClr val="9BBB59"/>
              </a:solidFill>
              <a:ln>
                <a:noFill/>
              </a:ln>
              <a:effectLst/>
            </c:spPr>
            <c:extLst>
              <c:ext xmlns:c16="http://schemas.microsoft.com/office/drawing/2014/chart" uri="{C3380CC4-5D6E-409C-BE32-E72D297353CC}">
                <c16:uniqueId val="{0000001F-D981-451F-A86D-363920C1252C}"/>
              </c:ext>
            </c:extLst>
          </c:dPt>
          <c:dPt>
            <c:idx val="16"/>
            <c:invertIfNegative val="0"/>
            <c:bubble3D val="0"/>
            <c:spPr>
              <a:solidFill>
                <a:srgbClr val="9BBB59"/>
              </a:solidFill>
              <a:ln>
                <a:noFill/>
              </a:ln>
              <a:effectLst/>
            </c:spPr>
            <c:extLst>
              <c:ext xmlns:c16="http://schemas.microsoft.com/office/drawing/2014/chart" uri="{C3380CC4-5D6E-409C-BE32-E72D297353CC}">
                <c16:uniqueId val="{00000021-D981-451F-A86D-363920C1252C}"/>
              </c:ext>
            </c:extLst>
          </c:dPt>
          <c:dPt>
            <c:idx val="17"/>
            <c:invertIfNegative val="0"/>
            <c:bubble3D val="0"/>
            <c:spPr>
              <a:solidFill>
                <a:srgbClr val="9BBB59"/>
              </a:solidFill>
              <a:ln>
                <a:noFill/>
              </a:ln>
              <a:effectLst/>
            </c:spPr>
            <c:extLst>
              <c:ext xmlns:c16="http://schemas.microsoft.com/office/drawing/2014/chart" uri="{C3380CC4-5D6E-409C-BE32-E72D297353CC}">
                <c16:uniqueId val="{00000023-D981-451F-A86D-363920C1252C}"/>
              </c:ext>
            </c:extLst>
          </c:dPt>
          <c:dPt>
            <c:idx val="18"/>
            <c:invertIfNegative val="0"/>
            <c:bubble3D val="0"/>
            <c:spPr>
              <a:solidFill>
                <a:srgbClr val="9BBB59"/>
              </a:solidFill>
              <a:ln>
                <a:noFill/>
              </a:ln>
              <a:effectLst/>
            </c:spPr>
            <c:extLst>
              <c:ext xmlns:c16="http://schemas.microsoft.com/office/drawing/2014/chart" uri="{C3380CC4-5D6E-409C-BE32-E72D297353CC}">
                <c16:uniqueId val="{00000025-D981-451F-A86D-363920C1252C}"/>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D981-451F-A86D-363920C1252C}"/>
              </c:ext>
            </c:extLst>
          </c:dPt>
          <c:cat>
            <c:strRef>
              <c:f>'7'!$A$4:$A$23</c:f>
              <c:strCache>
                <c:ptCount val="20"/>
                <c:pt idx="0">
                  <c:v>  EL  </c:v>
                </c:pt>
                <c:pt idx="1">
                  <c:v>  PT  </c:v>
                </c:pt>
                <c:pt idx="2">
                  <c:v>  IT  </c:v>
                </c:pt>
                <c:pt idx="3">
                  <c:v>  CY  </c:v>
                </c:pt>
                <c:pt idx="4">
                  <c:v>  ES  </c:v>
                </c:pt>
                <c:pt idx="5">
                  <c:v>  DE  </c:v>
                </c:pt>
                <c:pt idx="6">
                  <c:v>  BE  </c:v>
                </c:pt>
                <c:pt idx="7">
                  <c:v>  FR  </c:v>
                </c:pt>
                <c:pt idx="8">
                  <c:v>  NL  </c:v>
                </c:pt>
                <c:pt idx="9">
                  <c:v>  AT  </c:v>
                </c:pt>
                <c:pt idx="10">
                  <c:v>  SK  </c:v>
                </c:pt>
                <c:pt idx="11">
                  <c:v>  LT  </c:v>
                </c:pt>
                <c:pt idx="12">
                  <c:v>  FI  </c:v>
                </c:pt>
                <c:pt idx="13">
                  <c:v>  IE  </c:v>
                </c:pt>
                <c:pt idx="14">
                  <c:v>  LV  </c:v>
                </c:pt>
                <c:pt idx="15">
                  <c:v>  SI  </c:v>
                </c:pt>
                <c:pt idx="16">
                  <c:v>  EE  </c:v>
                </c:pt>
                <c:pt idx="17">
                  <c:v>  MT  </c:v>
                </c:pt>
                <c:pt idx="18">
                  <c:v>  LU  </c:v>
                </c:pt>
                <c:pt idx="19">
                  <c:v>EA-19 </c:v>
                </c:pt>
              </c:strCache>
            </c:strRef>
          </c:cat>
          <c:val>
            <c:numRef>
              <c:f>'7'!$B$4:$B$23</c:f>
              <c:numCache>
                <c:formatCode>0.0</c:formatCode>
                <c:ptCount val="20"/>
                <c:pt idx="0">
                  <c:v>-1.2653602977416252</c:v>
                </c:pt>
                <c:pt idx="1">
                  <c:v>-0.77208233472566135</c:v>
                </c:pt>
                <c:pt idx="2">
                  <c:v>-0.48549389116221559</c:v>
                </c:pt>
                <c:pt idx="3">
                  <c:v>-0.4748537158898265</c:v>
                </c:pt>
                <c:pt idx="4">
                  <c:v>-0.26543013499660972</c:v>
                </c:pt>
                <c:pt idx="5">
                  <c:v>0.17622243806265503</c:v>
                </c:pt>
                <c:pt idx="6">
                  <c:v>0.345540368952647</c:v>
                </c:pt>
                <c:pt idx="7">
                  <c:v>0.34905273017197447</c:v>
                </c:pt>
                <c:pt idx="8">
                  <c:v>0.35927315991296455</c:v>
                </c:pt>
                <c:pt idx="9">
                  <c:v>0.43007671570921757</c:v>
                </c:pt>
                <c:pt idx="10">
                  <c:v>0.52023314124354736</c:v>
                </c:pt>
                <c:pt idx="11">
                  <c:v>0.5406250264541631</c:v>
                </c:pt>
                <c:pt idx="12">
                  <c:v>0.75948735642695908</c:v>
                </c:pt>
                <c:pt idx="13">
                  <c:v>1.1040801300599647</c:v>
                </c:pt>
                <c:pt idx="14">
                  <c:v>1.2321462497321671</c:v>
                </c:pt>
                <c:pt idx="15">
                  <c:v>1.2758245741210583</c:v>
                </c:pt>
                <c:pt idx="16">
                  <c:v>1.9432712764727578</c:v>
                </c:pt>
                <c:pt idx="17">
                  <c:v>1.970119603735609</c:v>
                </c:pt>
                <c:pt idx="18">
                  <c:v>2.051519341322249</c:v>
                </c:pt>
                <c:pt idx="19">
                  <c:v>0.11997870263080132</c:v>
                </c:pt>
              </c:numCache>
            </c:numRef>
          </c:val>
          <c:extLst>
            <c:ext xmlns:c16="http://schemas.microsoft.com/office/drawing/2014/chart" uri="{C3380CC4-5D6E-409C-BE32-E72D297353CC}">
              <c16:uniqueId val="{00000028-D981-451F-A86D-363920C1252C}"/>
            </c:ext>
          </c:extLst>
        </c:ser>
        <c:dLbls>
          <c:showLegendKey val="0"/>
          <c:showVal val="0"/>
          <c:showCatName val="0"/>
          <c:showSerName val="0"/>
          <c:showPercent val="0"/>
          <c:showBubbleSize val="0"/>
        </c:dLbls>
        <c:gapWidth val="90"/>
        <c:overlap val="-27"/>
        <c:axId val="107640320"/>
        <c:axId val="107641856"/>
      </c:barChart>
      <c:catAx>
        <c:axId val="107640320"/>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7641856"/>
        <c:crosses val="autoZero"/>
        <c:auto val="1"/>
        <c:lblAlgn val="ctr"/>
        <c:lblOffset val="100"/>
        <c:tickLblSkip val="1"/>
        <c:noMultiLvlLbl val="0"/>
      </c:catAx>
      <c:valAx>
        <c:axId val="107641856"/>
        <c:scaling>
          <c:orientation val="minMax"/>
        </c:scaling>
        <c:delete val="0"/>
        <c:axPos val="l"/>
        <c:title>
          <c:tx>
            <c:rich>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a:solidFill>
                      <a:sysClr val="windowText" lastClr="000000"/>
                    </a:solidFill>
                    <a:latin typeface="Verdana" panose="020B0604030504040204" pitchFamily="34" charset="0"/>
                    <a:ea typeface="Verdana" panose="020B0604030504040204" pitchFamily="34" charset="0"/>
                  </a:rPr>
                  <a:t>% GDP</a:t>
                </a:r>
              </a:p>
            </c:rich>
          </c:tx>
          <c:layout>
            <c:manualLayout>
              <c:xMode val="edge"/>
              <c:yMode val="edge"/>
              <c:x val="0.14333706606942889"/>
              <c:y val="3.7396760638080839E-2"/>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7640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949256342957"/>
          <c:y val="0.23673469387755103"/>
          <c:w val="0.88890507436570432"/>
          <c:h val="0.59642808934597458"/>
        </c:manualLayout>
      </c:layout>
      <c:lineChart>
        <c:grouping val="standard"/>
        <c:varyColors val="0"/>
        <c:ser>
          <c:idx val="0"/>
          <c:order val="0"/>
          <c:tx>
            <c:strRef>
              <c:f>'[All charts.xlsx]9'!$A$13</c:f>
              <c:strCache>
                <c:ptCount val="1"/>
                <c:pt idx="0">
                  <c:v>GDP per Capita</c:v>
                </c:pt>
              </c:strCache>
            </c:strRef>
          </c:tx>
          <c:spPr>
            <a:ln w="15875" cap="rnd">
              <a:solidFill>
                <a:srgbClr val="002060"/>
              </a:solidFill>
              <a:round/>
            </a:ln>
            <a:effectLst/>
          </c:spPr>
          <c:marker>
            <c:symbol val="none"/>
          </c:marker>
          <c:cat>
            <c:numRef>
              <c:f>'[All charts.xlsx]9'!$B$12:$Y$12</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'[All charts.xlsx]9'!$B$13:$Y$13</c:f>
              <c:numCache>
                <c:formatCode>0.0</c:formatCode>
                <c:ptCount val="24"/>
                <c:pt idx="0">
                  <c:v>1.3823067249409737</c:v>
                </c:pt>
                <c:pt idx="1">
                  <c:v>2.4112129712380526</c:v>
                </c:pt>
                <c:pt idx="2">
                  <c:v>2.7920459939231312</c:v>
                </c:pt>
                <c:pt idx="3">
                  <c:v>2.7017762974988146</c:v>
                </c:pt>
                <c:pt idx="4">
                  <c:v>3.5004292171922469</c:v>
                </c:pt>
                <c:pt idx="5">
                  <c:v>1.8285669437351437</c:v>
                </c:pt>
                <c:pt idx="6">
                  <c:v>0.40818620900482383</c:v>
                </c:pt>
                <c:pt idx="7">
                  <c:v>0.10085769740133532</c:v>
                </c:pt>
                <c:pt idx="8">
                  <c:v>1.7426426361285108</c:v>
                </c:pt>
                <c:pt idx="9">
                  <c:v>1.1191184496453843</c:v>
                </c:pt>
                <c:pt idx="10">
                  <c:v>2.7529906920897185</c:v>
                </c:pt>
                <c:pt idx="11">
                  <c:v>2.4386275605697394</c:v>
                </c:pt>
                <c:pt idx="12">
                  <c:v>-8.8435445014822811E-2</c:v>
                </c:pt>
                <c:pt idx="13">
                  <c:v>-4.8014200787720789</c:v>
                </c:pt>
                <c:pt idx="14">
                  <c:v>1.8964759575835544</c:v>
                </c:pt>
                <c:pt idx="15">
                  <c:v>1.4273628061811872</c:v>
                </c:pt>
                <c:pt idx="16">
                  <c:v>-1.1433269605896745</c:v>
                </c:pt>
                <c:pt idx="17">
                  <c:v>-0.46180662037798026</c:v>
                </c:pt>
                <c:pt idx="18">
                  <c:v>1.1793443267811732</c:v>
                </c:pt>
                <c:pt idx="19">
                  <c:v>1.7309278075836154</c:v>
                </c:pt>
                <c:pt idx="20">
                  <c:v>1.5519106465413435</c:v>
                </c:pt>
                <c:pt idx="21">
                  <c:v>2.4014063404633745</c:v>
                </c:pt>
                <c:pt idx="22">
                  <c:v>1.6065761761493214</c:v>
                </c:pt>
                <c:pt idx="23">
                  <c:v>0.97997649432381984</c:v>
                </c:pt>
              </c:numCache>
            </c:numRef>
          </c:val>
          <c:smooth val="0"/>
          <c:extLst>
            <c:ext xmlns:c16="http://schemas.microsoft.com/office/drawing/2014/chart" uri="{C3380CC4-5D6E-409C-BE32-E72D297353CC}">
              <c16:uniqueId val="{00000000-54EA-4B19-85EF-DC5FD01E8C64}"/>
            </c:ext>
          </c:extLst>
        </c:ser>
        <c:ser>
          <c:idx val="1"/>
          <c:order val="1"/>
          <c:tx>
            <c:strRef>
              <c:f>'[All charts.xlsx]9'!$A$14</c:f>
              <c:strCache>
                <c:ptCount val="1"/>
                <c:pt idx="0">
                  <c:v>Labour productivity </c:v>
                </c:pt>
              </c:strCache>
            </c:strRef>
          </c:tx>
          <c:spPr>
            <a:ln w="15875" cap="rnd">
              <a:solidFill>
                <a:srgbClr val="9BBB59"/>
              </a:solidFill>
              <a:round/>
            </a:ln>
            <a:effectLst/>
          </c:spPr>
          <c:marker>
            <c:symbol val="none"/>
          </c:marker>
          <c:cat>
            <c:numRef>
              <c:f>'[All charts.xlsx]9'!$B$12:$Y$12</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'[All charts.xlsx]9'!$B$14:$Y$14</c:f>
              <c:numCache>
                <c:formatCode>0.0</c:formatCode>
                <c:ptCount val="24"/>
                <c:pt idx="0">
                  <c:v>1.1077310595992262</c:v>
                </c:pt>
                <c:pt idx="1">
                  <c:v>1.7402437466947696</c:v>
                </c:pt>
                <c:pt idx="2">
                  <c:v>1.2499773796202929</c:v>
                </c:pt>
                <c:pt idx="3">
                  <c:v>1.1677798569471376</c:v>
                </c:pt>
                <c:pt idx="4">
                  <c:v>1.5754146696775662</c:v>
                </c:pt>
                <c:pt idx="5">
                  <c:v>0.96357426823387993</c:v>
                </c:pt>
                <c:pt idx="6">
                  <c:v>0.27376552389175579</c:v>
                </c:pt>
                <c:pt idx="7">
                  <c:v>0.47004465727153999</c:v>
                </c:pt>
                <c:pt idx="8">
                  <c:v>1.6297368452790728</c:v>
                </c:pt>
                <c:pt idx="9">
                  <c:v>0.8832092502718103</c:v>
                </c:pt>
                <c:pt idx="10">
                  <c:v>1.528309226747826</c:v>
                </c:pt>
                <c:pt idx="11">
                  <c:v>1.1699265502639111</c:v>
                </c:pt>
                <c:pt idx="12">
                  <c:v>-0.31418986032301088</c:v>
                </c:pt>
                <c:pt idx="13">
                  <c:v>-2.5161515374107601</c:v>
                </c:pt>
                <c:pt idx="14">
                  <c:v>2.8710093476588483</c:v>
                </c:pt>
                <c:pt idx="15">
                  <c:v>1.6978704818522594</c:v>
                </c:pt>
                <c:pt idx="16">
                  <c:v>-0.14436941100327561</c:v>
                </c:pt>
                <c:pt idx="17">
                  <c:v>0.48357663433309384</c:v>
                </c:pt>
                <c:pt idx="18">
                  <c:v>0.75592169191138758</c:v>
                </c:pt>
                <c:pt idx="19">
                  <c:v>0.91672981601578218</c:v>
                </c:pt>
                <c:pt idx="20">
                  <c:v>0.48371509385447542</c:v>
                </c:pt>
                <c:pt idx="21">
                  <c:v>1.0782409855832897</c:v>
                </c:pt>
                <c:pt idx="22">
                  <c:v>0.30525834343109182</c:v>
                </c:pt>
                <c:pt idx="23">
                  <c:v>7.638686833575381E-2</c:v>
                </c:pt>
              </c:numCache>
            </c:numRef>
          </c:val>
          <c:smooth val="0"/>
          <c:extLst>
            <c:ext xmlns:c16="http://schemas.microsoft.com/office/drawing/2014/chart" uri="{C3380CC4-5D6E-409C-BE32-E72D297353CC}">
              <c16:uniqueId val="{00000001-54EA-4B19-85EF-DC5FD01E8C64}"/>
            </c:ext>
          </c:extLst>
        </c:ser>
        <c:ser>
          <c:idx val="2"/>
          <c:order val="2"/>
          <c:tx>
            <c:strRef>
              <c:f>'[All charts.xlsx]9'!$A$15</c:f>
              <c:strCache>
                <c:ptCount val="1"/>
                <c:pt idx="0">
                  <c:v>Total factor productivity</c:v>
                </c:pt>
              </c:strCache>
            </c:strRef>
          </c:tx>
          <c:spPr>
            <a:ln w="15875" cap="rnd">
              <a:solidFill>
                <a:schemeClr val="accent1"/>
              </a:solidFill>
              <a:round/>
            </a:ln>
            <a:effectLst/>
          </c:spPr>
          <c:marker>
            <c:symbol val="none"/>
          </c:marker>
          <c:cat>
            <c:numRef>
              <c:f>'[All charts.xlsx]9'!$B$12:$Y$12</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'[All charts.xlsx]9'!$B$15:$Y$15</c:f>
              <c:numCache>
                <c:formatCode>0.0</c:formatCode>
                <c:ptCount val="24"/>
                <c:pt idx="0">
                  <c:v>0.56233854731964072</c:v>
                </c:pt>
                <c:pt idx="1">
                  <c:v>1.3462293092270761</c:v>
                </c:pt>
                <c:pt idx="2">
                  <c:v>1.0905465011148419</c:v>
                </c:pt>
                <c:pt idx="3">
                  <c:v>0.92577894360179602</c:v>
                </c:pt>
                <c:pt idx="4">
                  <c:v>1.5001706420106675</c:v>
                </c:pt>
                <c:pt idx="5">
                  <c:v>0.5121093724708814</c:v>
                </c:pt>
                <c:pt idx="6">
                  <c:v>-0.27319475647266112</c:v>
                </c:pt>
                <c:pt idx="7">
                  <c:v>-0.2312357778199825</c:v>
                </c:pt>
                <c:pt idx="8">
                  <c:v>1.0951901835709599</c:v>
                </c:pt>
                <c:pt idx="9">
                  <c:v>0.40163260220953401</c:v>
                </c:pt>
                <c:pt idx="10">
                  <c:v>1.3217335932385277</c:v>
                </c:pt>
                <c:pt idx="11">
                  <c:v>0.94568258303295849</c:v>
                </c:pt>
                <c:pt idx="12">
                  <c:v>-0.87694695669746636</c:v>
                </c:pt>
                <c:pt idx="13">
                  <c:v>-3.856476809642706</c:v>
                </c:pt>
                <c:pt idx="14">
                  <c:v>2.1581183958502059</c:v>
                </c:pt>
                <c:pt idx="15">
                  <c:v>1.2971025711622453</c:v>
                </c:pt>
                <c:pt idx="16">
                  <c:v>-0.75396430154131</c:v>
                </c:pt>
                <c:pt idx="17">
                  <c:v>-5.1468119738040663E-2</c:v>
                </c:pt>
                <c:pt idx="18">
                  <c:v>0.79469638543074872</c:v>
                </c:pt>
                <c:pt idx="19">
                  <c:v>1.1090811708272197</c:v>
                </c:pt>
                <c:pt idx="20">
                  <c:v>0.69984118239803106</c:v>
                </c:pt>
                <c:pt idx="21">
                  <c:v>1.3025902238902543</c:v>
                </c:pt>
                <c:pt idx="22">
                  <c:v>0.49791118385744682</c:v>
                </c:pt>
                <c:pt idx="23">
                  <c:v>-6.3867339695211633E-3</c:v>
                </c:pt>
              </c:numCache>
            </c:numRef>
          </c:val>
          <c:smooth val="0"/>
          <c:extLst>
            <c:ext xmlns:c16="http://schemas.microsoft.com/office/drawing/2014/chart" uri="{C3380CC4-5D6E-409C-BE32-E72D297353CC}">
              <c16:uniqueId val="{00000002-54EA-4B19-85EF-DC5FD01E8C64}"/>
            </c:ext>
          </c:extLst>
        </c:ser>
        <c:ser>
          <c:idx val="3"/>
          <c:order val="3"/>
          <c:tx>
            <c:strRef>
              <c:f>'[All charts.xlsx]9'!$A$16</c:f>
              <c:strCache>
                <c:ptCount val="1"/>
                <c:pt idx="0">
                  <c:v>Average value of Labour Productivity (1996-2019)</c:v>
                </c:pt>
              </c:strCache>
            </c:strRef>
          </c:tx>
          <c:spPr>
            <a:ln w="22225" cap="rnd">
              <a:solidFill>
                <a:srgbClr val="FF0000"/>
              </a:solidFill>
              <a:prstDash val="sysDash"/>
              <a:round/>
            </a:ln>
            <a:effectLst/>
          </c:spPr>
          <c:marker>
            <c:symbol val="none"/>
          </c:marker>
          <c:val>
            <c:numRef>
              <c:f>'[All charts.xlsx]9'!$B$16:$Y$16</c:f>
              <c:numCache>
                <c:formatCode>General</c:formatCode>
                <c:ptCount val="24"/>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numCache>
            </c:numRef>
          </c:val>
          <c:smooth val="0"/>
          <c:extLst>
            <c:ext xmlns:c16="http://schemas.microsoft.com/office/drawing/2014/chart" uri="{C3380CC4-5D6E-409C-BE32-E72D297353CC}">
              <c16:uniqueId val="{00000003-54EA-4B19-85EF-DC5FD01E8C64}"/>
            </c:ext>
          </c:extLst>
        </c:ser>
        <c:ser>
          <c:idx val="4"/>
          <c:order val="4"/>
          <c:tx>
            <c:strRef>
              <c:f>'[All charts.xlsx]9'!$A$17</c:f>
              <c:strCache>
                <c:ptCount val="1"/>
                <c:pt idx="0">
                  <c:v>Average value of Labour Productivity (2008-2019)</c:v>
                </c:pt>
              </c:strCache>
            </c:strRef>
          </c:tx>
          <c:spPr>
            <a:ln w="25400" cap="rnd" cmpd="thickThin">
              <a:solidFill>
                <a:srgbClr val="9B01AB"/>
              </a:solidFill>
              <a:prstDash val="sysDot"/>
              <a:round/>
            </a:ln>
            <a:effectLst/>
          </c:spPr>
          <c:marker>
            <c:symbol val="none"/>
          </c:marker>
          <c:val>
            <c:numRef>
              <c:f>'[All charts.xlsx]9'!$B$17:$Y$17</c:f>
              <c:numCache>
                <c:formatCode>General</c:formatCode>
                <c:ptCount val="24"/>
                <c:pt idx="12">
                  <c:v>0.5</c:v>
                </c:pt>
                <c:pt idx="13">
                  <c:v>0.5</c:v>
                </c:pt>
                <c:pt idx="14">
                  <c:v>0.5</c:v>
                </c:pt>
                <c:pt idx="15">
                  <c:v>0.5</c:v>
                </c:pt>
                <c:pt idx="16">
                  <c:v>0.5</c:v>
                </c:pt>
                <c:pt idx="17">
                  <c:v>0.5</c:v>
                </c:pt>
                <c:pt idx="18">
                  <c:v>0.5</c:v>
                </c:pt>
                <c:pt idx="19">
                  <c:v>0.5</c:v>
                </c:pt>
                <c:pt idx="20">
                  <c:v>0.5</c:v>
                </c:pt>
                <c:pt idx="21">
                  <c:v>0.5</c:v>
                </c:pt>
                <c:pt idx="22">
                  <c:v>0.5</c:v>
                </c:pt>
                <c:pt idx="23">
                  <c:v>0.5</c:v>
                </c:pt>
              </c:numCache>
            </c:numRef>
          </c:val>
          <c:smooth val="0"/>
          <c:extLst>
            <c:ext xmlns:c16="http://schemas.microsoft.com/office/drawing/2014/chart" uri="{C3380CC4-5D6E-409C-BE32-E72D297353CC}">
              <c16:uniqueId val="{00000004-54EA-4B19-85EF-DC5FD01E8C64}"/>
            </c:ext>
          </c:extLst>
        </c:ser>
        <c:dLbls>
          <c:showLegendKey val="0"/>
          <c:showVal val="0"/>
          <c:showCatName val="0"/>
          <c:showSerName val="0"/>
          <c:showPercent val="0"/>
          <c:showBubbleSize val="0"/>
        </c:dLbls>
        <c:smooth val="0"/>
        <c:axId val="107696128"/>
        <c:axId val="107697664"/>
      </c:lineChart>
      <c:dateAx>
        <c:axId val="107696128"/>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7697664"/>
        <c:crossesAt val="0"/>
        <c:auto val="0"/>
        <c:lblOffset val="100"/>
        <c:baseTimeUnit val="days"/>
        <c:majorUnit val="3"/>
        <c:majorTimeUnit val="days"/>
        <c:minorUnit val="3"/>
        <c:minorTimeUnit val="days"/>
      </c:dateAx>
      <c:valAx>
        <c:axId val="107697664"/>
        <c:scaling>
          <c:orientation val="minMax"/>
          <c:min val="-5"/>
        </c:scaling>
        <c:delete val="0"/>
        <c:axPos val="l"/>
        <c:title>
          <c:tx>
            <c:rich>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it-IT" sz="600" i="1"/>
                  <a:t>%</a:t>
                </a:r>
              </a:p>
            </c:rich>
          </c:tx>
          <c:layout>
            <c:manualLayout>
              <c:xMode val="edge"/>
              <c:yMode val="edge"/>
              <c:x val="0.10876696811777559"/>
              <c:y val="0.22001726870884183"/>
            </c:manualLayout>
          </c:layout>
          <c:overlay val="0"/>
          <c:spPr>
            <a:noFill/>
            <a:ln>
              <a:noFill/>
            </a:ln>
            <a:effectLst/>
          </c:spPr>
          <c:txPr>
            <a:bodyPr rot="0" spcFirstLastPara="1" vertOverflow="ellipsis" wrap="square" anchor="ctr" anchorCtr="1"/>
            <a:lstStyle/>
            <a:p>
              <a:pPr>
                <a:defRPr sz="600" b="0" i="1"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07696128"/>
        <c:crosses val="autoZero"/>
        <c:crossBetween val="between"/>
        <c:majorUnit val="1"/>
      </c:valAx>
      <c:spPr>
        <a:noFill/>
        <a:ln>
          <a:noFill/>
        </a:ln>
        <a:effectLst/>
      </c:spPr>
    </c:plotArea>
    <c:legend>
      <c:legendPos val="b"/>
      <c:layout>
        <c:manualLayout>
          <c:xMode val="edge"/>
          <c:yMode val="edge"/>
          <c:x val="0.1262317630660483"/>
          <c:y val="4.3403739835302909E-3"/>
          <c:w val="0.86944437927381468"/>
          <c:h val="0.2261211129296235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0.08943</cdr:x>
      <cdr:y>0.26312</cdr:y>
    </cdr:from>
    <cdr:to>
      <cdr:x>0.24025</cdr:x>
      <cdr:y>0.33068</cdr:y>
    </cdr:to>
    <cdr:sp macro="" textlink="">
      <cdr:nvSpPr>
        <cdr:cNvPr id="2" name="TextBox 1"/>
        <cdr:cNvSpPr txBox="1"/>
      </cdr:nvSpPr>
      <cdr:spPr>
        <a:xfrm xmlns:a="http://schemas.openxmlformats.org/drawingml/2006/main">
          <a:off x="260539" y="533977"/>
          <a:ext cx="439403" cy="13710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l"/>
          <a:r>
            <a:rPr lang="fr-BE" sz="600" i="1">
              <a:latin typeface="Times New Roman" panose="02020603050405020304" pitchFamily="18" charset="0"/>
              <a:cs typeface="Times New Roman" panose="02020603050405020304" pitchFamily="18" charset="0"/>
            </a:rPr>
            <a:t>%.</a:t>
          </a:r>
          <a:endParaRPr lang="en-GB" sz="600" i="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0.76382</cdr:x>
      <cdr:y>0.29112</cdr:y>
    </cdr:from>
    <cdr:to>
      <cdr:x>0.77232</cdr:x>
      <cdr:y>0.87978</cdr:y>
    </cdr:to>
    <cdr:cxnSp macro="">
      <cdr:nvCxnSpPr>
        <cdr:cNvPr id="4" name="Straight Connector 3">
          <a:extLst xmlns:a="http://schemas.openxmlformats.org/drawingml/2006/main">
            <a:ext uri="{FF2B5EF4-FFF2-40B4-BE49-F238E27FC236}">
              <a16:creationId xmlns:a16="http://schemas.microsoft.com/office/drawing/2014/main" id="{67A39C4B-1A32-4F5C-9391-A909D1F89092}"/>
            </a:ext>
          </a:extLst>
        </cdr:cNvPr>
        <cdr:cNvCxnSpPr/>
      </cdr:nvCxnSpPr>
      <cdr:spPr>
        <a:xfrm xmlns:a="http://schemas.openxmlformats.org/drawingml/2006/main" flipH="1">
          <a:off x="1979875" y="576203"/>
          <a:ext cx="22030" cy="1165133"/>
        </a:xfrm>
        <a:prstGeom xmlns:a="http://schemas.openxmlformats.org/drawingml/2006/main" prst="line">
          <a:avLst/>
        </a:prstGeom>
        <a:ln xmlns:a="http://schemas.openxmlformats.org/drawingml/2006/main">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0.75605</cdr:x>
      <cdr:y>0.26368</cdr:y>
    </cdr:from>
    <cdr:to>
      <cdr:x>0.95092</cdr:x>
      <cdr:y>0.30778</cdr:y>
    </cdr:to>
    <cdr:sp macro="" textlink="">
      <cdr:nvSpPr>
        <cdr:cNvPr id="8" name="TextBox 1"/>
        <cdr:cNvSpPr txBox="1"/>
      </cdr:nvSpPr>
      <cdr:spPr>
        <a:xfrm xmlns:a="http://schemas.openxmlformats.org/drawingml/2006/main">
          <a:off x="1959732" y="521902"/>
          <a:ext cx="505117" cy="8728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BE" sz="600" i="1">
              <a:latin typeface="Verdana" panose="020B0604030504040204" pitchFamily="34" charset="0"/>
              <a:ea typeface="Verdana" panose="020B0604030504040204" pitchFamily="34" charset="0"/>
              <a:cs typeface="Verdana" panose="020B0604030504040204" pitchFamily="34" charset="0"/>
            </a:rPr>
            <a:t>forecast</a:t>
          </a:r>
          <a:endParaRPr lang="en-GB" sz="60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0.82079</cdr:x>
      <cdr:y>0.18153</cdr:y>
    </cdr:from>
    <cdr:to>
      <cdr:x>0.82079</cdr:x>
      <cdr:y>0.88793</cdr:y>
    </cdr:to>
    <cdr:cxnSp macro="">
      <cdr:nvCxnSpPr>
        <cdr:cNvPr id="10" name="Straight Connector 9"/>
        <cdr:cNvCxnSpPr/>
      </cdr:nvCxnSpPr>
      <cdr:spPr>
        <a:xfrm xmlns:a="http://schemas.openxmlformats.org/drawingml/2006/main">
          <a:off x="2369161" y="391625"/>
          <a:ext cx="0" cy="152400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0.05758</cdr:x>
      <cdr:y>0.02681</cdr:y>
    </cdr:from>
    <cdr:to>
      <cdr:x>0.13051</cdr:x>
      <cdr:y>0.11202</cdr:y>
    </cdr:to>
    <cdr:sp macro="" textlink="">
      <cdr:nvSpPr>
        <cdr:cNvPr id="2" name="TextBox 1"/>
        <cdr:cNvSpPr txBox="1"/>
      </cdr:nvSpPr>
      <cdr:spPr>
        <a:xfrm xmlns:a="http://schemas.openxmlformats.org/drawingml/2006/main">
          <a:off x="178904" y="53285"/>
          <a:ext cx="226612" cy="169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i="1">
              <a:latin typeface="Verdana" panose="020B0604030504040204" pitchFamily="34" charset="0"/>
              <a:ea typeface="Verdana" panose="020B0604030504040204" pitchFamily="34" charset="0"/>
            </a:rPr>
            <a:t>%</a:t>
          </a:r>
          <a:endParaRPr lang="en-US" sz="700" i="1">
            <a:latin typeface="Verdana" panose="020B0604030504040204" pitchFamily="34" charset="0"/>
            <a:ea typeface="Verdana" panose="020B060403050404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0.04304</cdr:x>
      <cdr:y>0</cdr:y>
    </cdr:from>
    <cdr:to>
      <cdr:x>1</cdr:x>
      <cdr:y>0.14649</cdr:y>
    </cdr:to>
    <cdr:grpSp>
      <cdr:nvGrpSpPr>
        <cdr:cNvPr id="50" name="Legend"/>
        <cdr:cNvGrpSpPr/>
      </cdr:nvGrpSpPr>
      <cdr:grpSpPr>
        <a:xfrm xmlns:a="http://schemas.openxmlformats.org/drawingml/2006/main">
          <a:off x="114590" y="0"/>
          <a:ext cx="2547827" cy="288839"/>
          <a:chOff x="0" y="0"/>
          <a:chExt cx="4329048" cy="320955"/>
        </a:xfrm>
      </cdr:grpSpPr>
      <cdr:grpSp>
        <cdr:nvGrpSpPr>
          <cdr:cNvPr id="51" name="Ltxb1"/>
          <cdr:cNvGrpSpPr/>
        </cdr:nvGrpSpPr>
        <cdr:grpSpPr>
          <a:xfrm xmlns:a="http://schemas.openxmlformats.org/drawingml/2006/main">
            <a:off x="0" y="0"/>
            <a:ext cx="4329048" cy="118463"/>
            <a:chOff x="0" y="0"/>
            <a:chExt cx="4329048" cy="118463"/>
          </a:xfrm>
        </cdr:grpSpPr>
        <cdr:sp macro="" textlink="">
          <cdr:nvSpPr>
            <cdr:cNvPr id="59" name="Ltxb1a"/>
            <cdr:cNvSpPr txBox="1"/>
          </cdr:nvSpPr>
          <cdr:spPr>
            <a:xfrm xmlns:a="http://schemas.openxmlformats.org/drawingml/2006/main">
              <a:off x="127000" y="0"/>
              <a:ext cx="4202048" cy="118463"/>
            </a:xfrm>
            <a:prstGeom xmlns:a="http://schemas.openxmlformats.org/drawingml/2006/main" prst="rect">
              <a:avLst/>
            </a:prstGeom>
          </cdr:spPr>
          <cdr:txBody>
            <a:bodyPr xmlns:a="http://schemas.openxmlformats.org/drawingml/2006/main" vert="horz" wrap="square" lIns="0" tIns="6350" rIns="0" bIns="635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00" b="0" i="0">
                  <a:solidFill>
                    <a:srgbClr val="000000"/>
                  </a:solidFill>
                  <a:latin typeface="Arial"/>
                </a:rPr>
                <a:t>Consumer survey (left-hand scale)</a:t>
              </a:r>
            </a:p>
          </cdr:txBody>
        </cdr:sp>
        <cdr:sp macro="" textlink="">
          <cdr:nvSpPr>
            <cdr:cNvPr id="60" name="Ltxb1b"/>
            <cdr:cNvSpPr/>
          </cdr:nvSpPr>
          <cdr:spPr>
            <a:xfrm xmlns:a="http://schemas.openxmlformats.org/drawingml/2006/main">
              <a:off x="0" y="37923"/>
              <a:ext cx="76200" cy="25400"/>
            </a:xfrm>
            <a:prstGeom xmlns:a="http://schemas.openxmlformats.org/drawingml/2006/main" prst="rect">
              <a:avLst/>
            </a:prstGeom>
            <a:solidFill xmlns:a="http://schemas.openxmlformats.org/drawingml/2006/main">
              <a:srgbClr val="003299"/>
            </a:solidFill>
            <a:ln xmlns:a="http://schemas.openxmlformats.org/drawingml/2006/main" w="2540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2540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sz="700"/>
            </a:p>
          </cdr:txBody>
        </cdr:sp>
      </cdr:grpSp>
      <cdr:grpSp>
        <cdr:nvGrpSpPr>
          <cdr:cNvPr id="52" name="Ltxb2"/>
          <cdr:cNvGrpSpPr/>
        </cdr:nvGrpSpPr>
        <cdr:grpSpPr>
          <a:xfrm xmlns:a="http://schemas.openxmlformats.org/drawingml/2006/main">
            <a:off x="0" y="101246"/>
            <a:ext cx="4329048" cy="118463"/>
            <a:chOff x="0" y="101246"/>
            <a:chExt cx="4329048" cy="118463"/>
          </a:xfrm>
        </cdr:grpSpPr>
        <cdr:sp macro="" textlink="">
          <cdr:nvSpPr>
            <cdr:cNvPr id="57" name="Ltxb2a"/>
            <cdr:cNvSpPr txBox="1"/>
          </cdr:nvSpPr>
          <cdr:spPr>
            <a:xfrm xmlns:a="http://schemas.openxmlformats.org/drawingml/2006/main">
              <a:off x="127000" y="101246"/>
              <a:ext cx="4202048" cy="118463"/>
            </a:xfrm>
            <a:prstGeom xmlns:a="http://schemas.openxmlformats.org/drawingml/2006/main" prst="rect">
              <a:avLst/>
            </a:prstGeom>
          </cdr:spPr>
          <cdr:txBody>
            <a:bodyPr xmlns:a="http://schemas.openxmlformats.org/drawingml/2006/main" vert="horz" wrap="square" lIns="0" tIns="6350" rIns="0" bIns="635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00" b="0" i="0">
                  <a:solidFill>
                    <a:srgbClr val="000000"/>
                  </a:solidFill>
                  <a:latin typeface="Arial"/>
                </a:rPr>
                <a:t>Saving rate (right-hand scale)</a:t>
              </a:r>
            </a:p>
          </cdr:txBody>
        </cdr:sp>
        <cdr:sp macro="" textlink="">
          <cdr:nvSpPr>
            <cdr:cNvPr id="58" name="Ltxb2b"/>
            <cdr:cNvSpPr/>
          </cdr:nvSpPr>
          <cdr:spPr>
            <a:xfrm xmlns:a="http://schemas.openxmlformats.org/drawingml/2006/main">
              <a:off x="0" y="139169"/>
              <a:ext cx="76200" cy="25400"/>
            </a:xfrm>
            <a:prstGeom xmlns:a="http://schemas.openxmlformats.org/drawingml/2006/main" prst="rect">
              <a:avLst/>
            </a:prstGeom>
            <a:solidFill xmlns:a="http://schemas.openxmlformats.org/drawingml/2006/main">
              <a:srgbClr val="FFB400"/>
            </a:solidFill>
            <a:ln xmlns:a="http://schemas.openxmlformats.org/drawingml/2006/main" w="2540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2540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sz="700"/>
            </a:p>
          </cdr:txBody>
        </cdr:sp>
      </cdr:grpSp>
      <cdr:grpSp>
        <cdr:nvGrpSpPr>
          <cdr:cNvPr id="53" name="Ltxb3"/>
          <cdr:cNvGrpSpPr/>
        </cdr:nvGrpSpPr>
        <cdr:grpSpPr>
          <a:xfrm xmlns:a="http://schemas.openxmlformats.org/drawingml/2006/main">
            <a:off x="0" y="202492"/>
            <a:ext cx="4329048" cy="118463"/>
            <a:chOff x="0" y="202492"/>
            <a:chExt cx="4329048" cy="118463"/>
          </a:xfrm>
        </cdr:grpSpPr>
        <cdr:sp macro="" textlink="">
          <cdr:nvSpPr>
            <cdr:cNvPr id="55" name="Ltxb3a"/>
            <cdr:cNvSpPr txBox="1"/>
          </cdr:nvSpPr>
          <cdr:spPr>
            <a:xfrm xmlns:a="http://schemas.openxmlformats.org/drawingml/2006/main">
              <a:off x="127000" y="202492"/>
              <a:ext cx="4202048" cy="118463"/>
            </a:xfrm>
            <a:prstGeom xmlns:a="http://schemas.openxmlformats.org/drawingml/2006/main" prst="rect">
              <a:avLst/>
            </a:prstGeom>
          </cdr:spPr>
          <cdr:txBody>
            <a:bodyPr xmlns:a="http://schemas.openxmlformats.org/drawingml/2006/main" vert="horz" wrap="square" lIns="0" tIns="6350" rIns="0" bIns="635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00" b="0" i="0">
                  <a:solidFill>
                    <a:srgbClr val="000000"/>
                  </a:solidFill>
                  <a:latin typeface="Arial"/>
                </a:rPr>
                <a:t>CEPR recession periods</a:t>
              </a:r>
            </a:p>
          </cdr:txBody>
        </cdr:sp>
        <cdr:sp macro="" textlink="">
          <cdr:nvSpPr>
            <cdr:cNvPr id="56" name="Ltxb3b"/>
            <cdr:cNvSpPr/>
          </cdr:nvSpPr>
          <cdr:spPr>
            <a:xfrm xmlns:a="http://schemas.openxmlformats.org/drawingml/2006/main">
              <a:off x="0" y="221365"/>
              <a:ext cx="63500" cy="63500"/>
            </a:xfrm>
            <a:prstGeom xmlns:a="http://schemas.openxmlformats.org/drawingml/2006/main" prst="rect">
              <a:avLst/>
            </a:prstGeom>
            <a:solidFill xmlns:a="http://schemas.openxmlformats.org/drawingml/2006/main">
              <a:srgbClr val="A9A9A9"/>
            </a:solidFill>
            <a:ln xmlns:a="http://schemas.openxmlformats.org/drawingml/2006/main" w="2540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2540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sz="700"/>
            </a:p>
          </cdr:txBody>
        </cdr:sp>
      </cdr:grpSp>
      <cdr:grpSp>
        <cdr:nvGrpSpPr>
          <cdr:cNvPr id="54" name="Ltxb4"/>
          <cdr:cNvGrpSpPr/>
        </cdr:nvGrpSpPr>
        <cdr:grpSpPr>
          <a:xfrm xmlns:a="http://schemas.openxmlformats.org/drawingml/2006/main">
            <a:off x="0" y="0"/>
            <a:ext cx="0" cy="0"/>
            <a:chOff x="0" y="0"/>
            <a:chExt cx="0" cy="0"/>
          </a:xfrm>
        </cdr:grpSpPr>
      </cdr:grpSp>
    </cdr:grpSp>
  </cdr:relSizeAnchor>
</c:userShapes>
</file>

<file path=word/drawings/drawing4.xml><?xml version="1.0" encoding="utf-8"?>
<c:userShapes xmlns:c="http://schemas.openxmlformats.org/drawingml/2006/chart">
  <cdr:relSizeAnchor xmlns:cdr="http://schemas.openxmlformats.org/drawingml/2006/chartDrawing">
    <cdr:from>
      <cdr:x>0.09701</cdr:x>
      <cdr:y>0</cdr:y>
    </cdr:from>
    <cdr:to>
      <cdr:x>0.16189</cdr:x>
      <cdr:y>0.07646</cdr:y>
    </cdr:to>
    <cdr:sp macro="" textlink="">
      <cdr:nvSpPr>
        <cdr:cNvPr id="3" name="TextBox 1"/>
        <cdr:cNvSpPr txBox="1"/>
      </cdr:nvSpPr>
      <cdr:spPr>
        <a:xfrm xmlns:a="http://schemas.openxmlformats.org/drawingml/2006/main">
          <a:off x="279400" y="0"/>
          <a:ext cx="186831" cy="1651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latin typeface="Verdana" panose="020B0604030504040204" pitchFamily="34" charset="0"/>
              <a:ea typeface="Verdana" panose="020B0604030504040204" pitchFamily="34" charset="0"/>
              <a:cs typeface="Verdana" panose="020B06040305040402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0.09953</cdr:x>
      <cdr:y>0.80845</cdr:y>
    </cdr:from>
    <cdr:to>
      <cdr:x>0.32238</cdr:x>
      <cdr:y>0.87973</cdr:y>
    </cdr:to>
    <cdr:sp macro="" textlink="">
      <cdr:nvSpPr>
        <cdr:cNvPr id="2" name="TextBox 1"/>
        <cdr:cNvSpPr txBox="1"/>
      </cdr:nvSpPr>
      <cdr:spPr>
        <a:xfrm xmlns:a="http://schemas.openxmlformats.org/drawingml/2006/main">
          <a:off x="250825" y="1746250"/>
          <a:ext cx="561571" cy="153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 GDP</a:t>
          </a:r>
        </a:p>
      </cdr:txBody>
    </cdr:sp>
  </cdr:relSizeAnchor>
  <cdr:relSizeAnchor xmlns:cdr="http://schemas.openxmlformats.org/drawingml/2006/chartDrawing">
    <cdr:from>
      <cdr:x>0.87572</cdr:x>
      <cdr:y>0.04998</cdr:y>
    </cdr:from>
    <cdr:to>
      <cdr:x>0.87587</cdr:x>
      <cdr:y>0.9062</cdr:y>
    </cdr:to>
    <cdr:cxnSp macro="">
      <cdr:nvCxnSpPr>
        <cdr:cNvPr id="3" name="Straight Connector 2">
          <a:extLst xmlns:a="http://schemas.openxmlformats.org/drawingml/2006/main">
            <a:ext uri="{FF2B5EF4-FFF2-40B4-BE49-F238E27FC236}">
              <a16:creationId xmlns:a16="http://schemas.microsoft.com/office/drawing/2014/main" id="{2D2FBD4D-F3E2-4A9F-9DCD-2889C9A41B89}"/>
            </a:ext>
          </a:extLst>
        </cdr:cNvPr>
        <cdr:cNvCxnSpPr/>
      </cdr:nvCxnSpPr>
      <cdr:spPr>
        <a:xfrm xmlns:a="http://schemas.openxmlformats.org/drawingml/2006/main" flipV="1">
          <a:off x="2140079" y="107957"/>
          <a:ext cx="366" cy="1849436"/>
        </a:xfrm>
        <a:prstGeom xmlns:a="http://schemas.openxmlformats.org/drawingml/2006/main" prst="line">
          <a:avLst/>
        </a:prstGeom>
        <a:ln xmlns:a="http://schemas.openxmlformats.org/drawingml/2006/main">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0.87734</cdr:x>
      <cdr:y>0.85857</cdr:y>
    </cdr:from>
    <cdr:to>
      <cdr:x>0.99483</cdr:x>
      <cdr:y>0.89297</cdr:y>
    </cdr:to>
    <cdr:sp macro="" textlink="">
      <cdr:nvSpPr>
        <cdr:cNvPr id="4" name="Text Box 1028"/>
        <cdr:cNvSpPr txBox="1">
          <a:spLocks xmlns:a="http://schemas.openxmlformats.org/drawingml/2006/main" noChangeArrowheads="1"/>
        </cdr:cNvSpPr>
      </cdr:nvSpPr>
      <cdr:spPr bwMode="auto">
        <a:xfrm xmlns:a="http://schemas.openxmlformats.org/drawingml/2006/main">
          <a:off x="3948015" y="3090863"/>
          <a:ext cx="528735" cy="1238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500" b="0" i="1"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rPr>
            <a:t>forecast</a:t>
          </a:r>
          <a:endParaRPr lang="en-GB" sz="700" b="0" i="1"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0.0487</cdr:x>
      <cdr:y>0.13431</cdr:y>
    </cdr:from>
    <cdr:to>
      <cdr:x>0.24052</cdr:x>
      <cdr:y>0.2225</cdr:y>
    </cdr:to>
    <cdr:sp macro="" textlink="">
      <cdr:nvSpPr>
        <cdr:cNvPr id="2" name="TextBox 1"/>
        <cdr:cNvSpPr txBox="1"/>
      </cdr:nvSpPr>
      <cdr:spPr>
        <a:xfrm xmlns:a="http://schemas.openxmlformats.org/drawingml/2006/main">
          <a:off x="153136" y="324018"/>
          <a:ext cx="603135" cy="2127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i="1">
              <a:latin typeface="Verdana" panose="020B0604030504040204" pitchFamily="34" charset="0"/>
              <a:ea typeface="Verdana" panose="020B0604030504040204" pitchFamily="34" charset="0"/>
              <a:cs typeface="Verdana" panose="020B0604030504040204" pitchFamily="34" charset="0"/>
            </a:rPr>
            <a:t>% GDP</a:t>
          </a:r>
        </a:p>
      </cdr:txBody>
    </cdr:sp>
  </cdr:relSizeAnchor>
  <cdr:relSizeAnchor xmlns:cdr="http://schemas.openxmlformats.org/drawingml/2006/chartDrawing">
    <cdr:from>
      <cdr:x>0.77721</cdr:x>
      <cdr:y>0.15544</cdr:y>
    </cdr:from>
    <cdr:to>
      <cdr:x>0.88966</cdr:x>
      <cdr:y>0.24474</cdr:y>
    </cdr:to>
    <cdr:sp macro="" textlink="">
      <cdr:nvSpPr>
        <cdr:cNvPr id="3" name="TextBox 2"/>
        <cdr:cNvSpPr txBox="1"/>
      </cdr:nvSpPr>
      <cdr:spPr>
        <a:xfrm xmlns:a="http://schemas.openxmlformats.org/drawingml/2006/main">
          <a:off x="2238374" y="447674"/>
          <a:ext cx="3238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0.84639</cdr:x>
      <cdr:y>0.11906</cdr:y>
    </cdr:from>
    <cdr:to>
      <cdr:x>0.84718</cdr:x>
      <cdr:y>0.9231</cdr:y>
    </cdr:to>
    <cdr:cxnSp macro="">
      <cdr:nvCxnSpPr>
        <cdr:cNvPr id="6" name="Straight Connector 5">
          <a:extLst xmlns:a="http://schemas.openxmlformats.org/drawingml/2006/main">
            <a:ext uri="{FF2B5EF4-FFF2-40B4-BE49-F238E27FC236}">
              <a16:creationId xmlns:a16="http://schemas.microsoft.com/office/drawing/2014/main" id="{CA4F8E6C-73A3-48D0-BD53-355DCF0F6626}"/>
            </a:ext>
          </a:extLst>
        </cdr:cNvPr>
        <cdr:cNvCxnSpPr/>
      </cdr:nvCxnSpPr>
      <cdr:spPr>
        <a:xfrm xmlns:a="http://schemas.openxmlformats.org/drawingml/2006/main" flipH="1" flipV="1">
          <a:off x="2472311" y="233236"/>
          <a:ext cx="2307" cy="1575094"/>
        </a:xfrm>
        <a:prstGeom xmlns:a="http://schemas.openxmlformats.org/drawingml/2006/main" prst="line">
          <a:avLst/>
        </a:prstGeom>
        <a:ln xmlns:a="http://schemas.openxmlformats.org/drawingml/2006/main">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0.74117</cdr:x>
      <cdr:y>0.05821</cdr:y>
    </cdr:from>
    <cdr:to>
      <cdr:x>0.91735</cdr:x>
      <cdr:y>0.12989</cdr:y>
    </cdr:to>
    <cdr:sp macro="" textlink="">
      <cdr:nvSpPr>
        <cdr:cNvPr id="7" name="TextBox 1"/>
        <cdr:cNvSpPr txBox="1"/>
      </cdr:nvSpPr>
      <cdr:spPr>
        <a:xfrm xmlns:a="http://schemas.openxmlformats.org/drawingml/2006/main">
          <a:off x="2164957" y="114032"/>
          <a:ext cx="514631" cy="1404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500" i="1">
              <a:latin typeface="Verdana" panose="020B0604030504040204" pitchFamily="34" charset="0"/>
              <a:ea typeface="Verdana" panose="020B0604030504040204" pitchFamily="34" charset="0"/>
              <a:cs typeface="Verdana" panose="020B0604030504040204" pitchFamily="34" charset="0"/>
            </a:rPr>
            <a:t>forecast</a:t>
          </a:r>
          <a:endParaRPr lang="en-US" sz="70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0.0952</cdr:x>
      <cdr:y>0.00739</cdr:y>
    </cdr:from>
    <cdr:to>
      <cdr:x>0.21778</cdr:x>
      <cdr:y>0.05164</cdr:y>
    </cdr:to>
    <cdr:sp macro="" textlink="">
      <cdr:nvSpPr>
        <cdr:cNvPr id="3" name="TextBox 1"/>
        <cdr:cNvSpPr txBox="1"/>
      </cdr:nvSpPr>
      <cdr:spPr>
        <a:xfrm xmlns:a="http://schemas.openxmlformats.org/drawingml/2006/main" rot="5400000">
          <a:off x="404167" y="-114239"/>
          <a:ext cx="93487" cy="353194"/>
        </a:xfrm>
        <a:prstGeom xmlns:a="http://schemas.openxmlformats.org/drawingml/2006/main" prst="rect">
          <a:avLst/>
        </a:prstGeom>
      </cdr:spPr>
      <cdr:txBody>
        <a:bodyPr xmlns:a="http://schemas.openxmlformats.org/drawingml/2006/main" vert="vert270" wrap="square" lIns="0" tIns="0" rIns="0" bIns="0" rtlCol="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600" i="1">
              <a:latin typeface="Verdana" panose="020B0604030504040204" pitchFamily="34" charset="0"/>
              <a:ea typeface="Verdana" panose="020B0604030504040204" pitchFamily="34" charset="0"/>
              <a:cs typeface="Verdana" panose="020B0604030504040204" pitchFamily="34" charset="0"/>
            </a:rPr>
            <a:t>%</a:t>
          </a:r>
        </a:p>
      </cdr:txBody>
    </cdr:sp>
  </cdr:relSizeAnchor>
  <cdr:relSizeAnchor xmlns:cdr="http://schemas.openxmlformats.org/drawingml/2006/chartDrawing">
    <cdr:from>
      <cdr:x>0.85888</cdr:x>
      <cdr:y>0.00465</cdr:y>
    </cdr:from>
    <cdr:to>
      <cdr:x>0.92113</cdr:x>
      <cdr:y>0.0826</cdr:y>
    </cdr:to>
    <cdr:sp macro="" textlink="">
      <cdr:nvSpPr>
        <cdr:cNvPr id="4" name="TextBox 1"/>
        <cdr:cNvSpPr txBox="1"/>
      </cdr:nvSpPr>
      <cdr:spPr>
        <a:xfrm xmlns:a="http://schemas.openxmlformats.org/drawingml/2006/main" rot="5400000">
          <a:off x="2479039" y="4590"/>
          <a:ext cx="168372" cy="179280"/>
        </a:xfrm>
        <a:prstGeom xmlns:a="http://schemas.openxmlformats.org/drawingml/2006/main" prst="rect">
          <a:avLst/>
        </a:prstGeom>
      </cdr:spPr>
      <cdr:txBody>
        <a:bodyPr xmlns:a="http://schemas.openxmlformats.org/drawingml/2006/main" vert="vert270" wrap="squar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600" i="1">
              <a:latin typeface="Verdana" panose="020B0604030504040204" pitchFamily="34" charset="0"/>
              <a:ea typeface="Verdana" panose="020B0604030504040204" pitchFamily="34" charset="0"/>
              <a:cs typeface="Verdana" panose="020B06040305040402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0.00315</cdr:x>
      <cdr:y>0.14706</cdr:y>
    </cdr:from>
    <cdr:to>
      <cdr:x>0.99748</cdr:x>
      <cdr:y>0.35431</cdr:y>
    </cdr:to>
    <cdr:sp macro="" textlink="">
      <cdr:nvSpPr>
        <cdr:cNvPr id="3" name="Rectangle 2"/>
        <cdr:cNvSpPr/>
      </cdr:nvSpPr>
      <cdr:spPr>
        <a:xfrm xmlns:a="http://schemas.openxmlformats.org/drawingml/2006/main">
          <a:off x="7938" y="306454"/>
          <a:ext cx="2505712" cy="431867"/>
        </a:xfrm>
        <a:prstGeom xmlns:a="http://schemas.openxmlformats.org/drawingml/2006/main" prst="rect">
          <a:avLst/>
        </a:prstGeom>
        <a:solidFill xmlns:a="http://schemas.openxmlformats.org/drawingml/2006/main">
          <a:schemeClr val="bg1">
            <a:lumMod val="6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0.08757</cdr:x>
      <cdr:y>0.13713</cdr:y>
    </cdr:from>
    <cdr:to>
      <cdr:x>0.18962</cdr:x>
      <cdr:y>0.22532</cdr:y>
    </cdr:to>
    <cdr:sp macro="" textlink="">
      <cdr:nvSpPr>
        <cdr:cNvPr id="2" name="TextBox 1"/>
        <cdr:cNvSpPr txBox="1"/>
      </cdr:nvSpPr>
      <cdr:spPr>
        <a:xfrm xmlns:a="http://schemas.openxmlformats.org/drawingml/2006/main">
          <a:off x="220672" y="285750"/>
          <a:ext cx="257166" cy="183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a:t>
          </a:r>
        </a:p>
      </cdr:txBody>
    </cdr:sp>
  </cdr:relSizeAnchor>
  <cdr:relSizeAnchor xmlns:cdr="http://schemas.openxmlformats.org/drawingml/2006/chartDrawing">
    <cdr:from>
      <cdr:x>0.24883</cdr:x>
      <cdr:y>0.15871</cdr:y>
    </cdr:from>
    <cdr:to>
      <cdr:x>0.98236</cdr:x>
      <cdr:y>0.24985</cdr:y>
    </cdr:to>
    <cdr:sp macro="" textlink="">
      <cdr:nvSpPr>
        <cdr:cNvPr id="4" name="TextBox 1"/>
        <cdr:cNvSpPr txBox="1"/>
      </cdr:nvSpPr>
      <cdr:spPr>
        <a:xfrm xmlns:a="http://schemas.openxmlformats.org/drawingml/2006/main">
          <a:off x="627054" y="330715"/>
          <a:ext cx="1848496" cy="1899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1">
              <a:latin typeface="Verdana" panose="020B0604030504040204" pitchFamily="34" charset="0"/>
              <a:ea typeface="Verdana" panose="020B0604030504040204" pitchFamily="34" charset="0"/>
              <a:cs typeface="Verdana" panose="020B0604030504040204" pitchFamily="34" charset="0"/>
            </a:rPr>
            <a:t>Estimated</a:t>
          </a:r>
          <a:r>
            <a:rPr lang="en-US" sz="700" i="1" baseline="0">
              <a:latin typeface="Verdana" panose="020B0604030504040204" pitchFamily="34" charset="0"/>
              <a:ea typeface="Verdana" panose="020B0604030504040204" pitchFamily="34" charset="0"/>
              <a:cs typeface="Verdana" panose="020B0604030504040204" pitchFamily="34" charset="0"/>
            </a:rPr>
            <a:t> long-run cost of equity***</a:t>
          </a:r>
          <a:endParaRPr lang="en-US" sz="70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0.12281</cdr:x>
      <cdr:y>0.04769</cdr:y>
    </cdr:from>
    <cdr:to>
      <cdr:x>0.24513</cdr:x>
      <cdr:y>0.09223</cdr:y>
    </cdr:to>
    <cdr:sp macro="" textlink="">
      <cdr:nvSpPr>
        <cdr:cNvPr id="2" name="TextBox 1"/>
        <cdr:cNvSpPr txBox="1"/>
      </cdr:nvSpPr>
      <cdr:spPr>
        <a:xfrm xmlns:a="http://schemas.openxmlformats.org/drawingml/2006/main" rot="5400000">
          <a:off x="495295" y="-33377"/>
          <a:ext cx="93487" cy="360404"/>
        </a:xfrm>
        <a:prstGeom xmlns:a="http://schemas.openxmlformats.org/drawingml/2006/main" prst="rect">
          <a:avLst/>
        </a:prstGeom>
      </cdr:spPr>
      <cdr:txBody>
        <a:bodyPr xmlns:a="http://schemas.openxmlformats.org/drawingml/2006/main" vert="vert270" wrap="square" lIns="0" tIns="0" rIns="0" bIns="0" rtlCol="0" anchor="t">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600" i="1">
              <a:latin typeface="Verdana" panose="020B0604030504040204" pitchFamily="34" charset="0"/>
              <a:ea typeface="Verdana" panose="020B0604030504040204" pitchFamily="34" charset="0"/>
              <a:cs typeface="Verdana" panose="020B0604030504040204" pitchFamily="34"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BD54C1909D81914B9C41027352BE0104" ma:contentTypeVersion="5" ma:contentTypeDescription="Create a new document in this library." ma:contentTypeScope="" ma:versionID="36ef6fcaac85a323d85d45113cecf569">
  <xsd:schema xmlns:xsd="http://www.w3.org/2001/XMLSchema" xmlns:xs="http://www.w3.org/2001/XMLSchema" xmlns:p="http://schemas.microsoft.com/office/2006/metadata/properties" xmlns:ns3="f5a38ab0-5677-45ad-9a5b-e7bb653b7b53" targetNamespace="http://schemas.microsoft.com/office/2006/metadata/properties" ma:root="true" ma:fieldsID="3b4d4fddcd61dd14c0e0d42a842bba08" ns3:_="">
    <xsd:import namespace="f5a38ab0-5677-45ad-9a5b-e7bb653b7b53"/>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38ab0-5677-45ad-9a5b-e7bb653b7b5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internalName="EC_ARES_DATE_TRANSFERRED">
      <xsd:simpleType>
        <xsd:restriction base="dms:DateTime"/>
      </xsd:simpleType>
    </xsd:element>
    <xsd:element name="EC_ARES_TRANSFERRED_BY" ma:index="17" nillable="true" ma:displayName="Transferred By"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f5a38ab0-5677-45ad-9a5b-e7bb653b7b53">EN</EC_Collab_DocumentLanguage>
    <EC_ARES_TRANSFERRED_BY xmlns="f5a38ab0-5677-45ad-9a5b-e7bb653b7b53" xsi:nil="true"/>
    <EC_Collab_Reference xmlns="f5a38ab0-5677-45ad-9a5b-e7bb653b7b53" xsi:nil="true"/>
    <EC_ARES_NUMBER xmlns="f5a38ab0-5677-45ad-9a5b-e7bb653b7b53">
      <Url xsi:nil="true"/>
      <Description xsi:nil="true"/>
    </EC_ARES_NUMBER>
    <EC_Collab_Status xmlns="f5a38ab0-5677-45ad-9a5b-e7bb653b7b53">Not Started</EC_Collab_Status>
    <EC_ARES_DATE_TRANSFERRED xmlns="f5a38ab0-5677-45ad-9a5b-e7bb653b7b5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045DE-DCCB-4A18-A626-9517D4D71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38ab0-5677-45ad-9a5b-e7bb653b7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96FA5-D13E-498F-9D60-DF0EDFFD5B0E}">
  <ds:schemaRefs>
    <ds:schemaRef ds:uri="http://schemas.microsoft.com/sharepoint/v3/contenttype/forms"/>
  </ds:schemaRefs>
</ds:datastoreItem>
</file>

<file path=customXml/itemProps3.xml><?xml version="1.0" encoding="utf-8"?>
<ds:datastoreItem xmlns:ds="http://schemas.openxmlformats.org/officeDocument/2006/customXml" ds:itemID="{F803AAA0-76F8-461D-8874-0D10116E26C5}">
  <ds:schemaRefs>
    <ds:schemaRef ds:uri="http://purl.org/dc/elements/1.1/"/>
    <ds:schemaRef ds:uri="http://purl.org/dc/dcmitype/"/>
    <ds:schemaRef ds:uri="http://schemas.microsoft.com/office/infopath/2007/PartnerControls"/>
    <ds:schemaRef ds:uri="f5a38ab0-5677-45ad-9a5b-e7bb653b7b53"/>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64A282A-7B17-4EE8-AF09-5831F555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16610</Words>
  <Characters>93018</Characters>
  <Application>Microsoft Office Word</Application>
  <DocSecurity>4</DocSecurity>
  <Lines>1476</Lines>
  <Paragraphs>323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MATTOZZI Giovanni (ECFIN)</dc:creator>
  <cp:keywords/>
  <dc:description/>
  <cp:lastModifiedBy>PAREDES ECHAURI Cristina (SG)</cp:lastModifiedBy>
  <cp:revision>2</cp:revision>
  <cp:lastPrinted>2020-11-18T15:26:00Z</cp:lastPrinted>
  <dcterms:created xsi:type="dcterms:W3CDTF">2020-11-18T15:29:00Z</dcterms:created>
  <dcterms:modified xsi:type="dcterms:W3CDTF">2020-11-18T15:29:00Z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ContentTypeId">
    <vt:lpwstr>0x010100258AA79CEB83498886A3A0868112325000BD54C1909D81914B9C41027352BE0104</vt:lpwstr>
  </property>
  <property fmtid="{D5CDD505-2E9C-101B-9397-08002B2CF9AE}" pid="10" name="_LW_INVALIDATED__LW_INVALIDATED__LW_INVALIDATED_ContentTypeId">
    <vt:lpwstr>0x010100258AA79CEB83498886A3A0868112325000BD54C1909D81914B9C41027352BE0104</vt:lpwstr>
  </property>
</Properties>
</file>