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E7C9BCF-B18F-4BE2-9AF7-84D8B0C377D5" style="width:450.95pt;height:41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2016/0365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по приемането на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p>
      <w:pPr>
        <w:pStyle w:val="ManualHeading1"/>
        <w:rPr>
          <w:noProof/>
          <w:sz w:val="22"/>
        </w:rPr>
      </w:pPr>
      <w:r>
        <w:rPr>
          <w:noProof/>
        </w:rPr>
        <w:t>1.</w:t>
      </w:r>
      <w:r>
        <w:rPr>
          <w:noProof/>
        </w:rPr>
        <w:tab/>
        <w:t>Контекст</w:t>
      </w:r>
    </w:p>
    <w:tbl>
      <w:tblPr>
        <w:tblW w:w="9322" w:type="dxa"/>
        <w:tblLayout w:type="fixed"/>
        <w:tblLook w:val="0000" w:firstRow="0" w:lastRow="0" w:firstColumn="0" w:lastColumn="0" w:noHBand="0" w:noVBand="0"/>
      </w:tblPr>
      <w:tblGrid>
        <w:gridCol w:w="7196"/>
        <w:gridCol w:w="2126"/>
      </w:tblGrid>
      <w:tr>
        <w:tc>
          <w:tcPr>
            <w:tcW w:w="7196" w:type="dxa"/>
            <w:vAlign w:val="center"/>
          </w:tcPr>
          <w:p>
            <w:pPr>
              <w:jc w:val="left"/>
              <w:rPr>
                <w:noProof/>
              </w:rPr>
            </w:pPr>
            <w:r>
              <w:rPr>
                <w:noProof/>
              </w:rPr>
              <w:t>Дата на предаване на предложението на Европейския парламент и на Съвета (документ COM/2016/0856 final — 2016/0365 COD):</w:t>
            </w:r>
          </w:p>
        </w:tc>
        <w:tc>
          <w:tcPr>
            <w:tcW w:w="2126" w:type="dxa"/>
            <w:vAlign w:val="center"/>
          </w:tcPr>
          <w:p>
            <w:pPr>
              <w:jc w:val="left"/>
              <w:rPr>
                <w:noProof/>
              </w:rPr>
            </w:pPr>
            <w:r>
              <w:rPr>
                <w:noProof/>
              </w:rPr>
              <w:t>28 ноември 2016 г.</w:t>
            </w:r>
          </w:p>
        </w:tc>
      </w:tr>
      <w:tr>
        <w:tc>
          <w:tcPr>
            <w:tcW w:w="7196" w:type="dxa"/>
            <w:vAlign w:val="center"/>
          </w:tcPr>
          <w:p>
            <w:pPr>
              <w:jc w:val="left"/>
              <w:rPr>
                <w:noProof/>
              </w:rPr>
            </w:pPr>
            <w:r>
              <w:rPr>
                <w:noProof/>
              </w:rPr>
              <w:t>Дата на становището на Европейския икономически и социален комитет:</w:t>
            </w:r>
          </w:p>
        </w:tc>
        <w:tc>
          <w:tcPr>
            <w:tcW w:w="2126" w:type="dxa"/>
            <w:vAlign w:val="center"/>
          </w:tcPr>
          <w:p>
            <w:pPr>
              <w:jc w:val="left"/>
              <w:rPr>
                <w:noProof/>
              </w:rPr>
            </w:pPr>
            <w:r>
              <w:rPr>
                <w:noProof/>
              </w:rPr>
              <w:t>29 март 2017 г.</w:t>
            </w:r>
          </w:p>
        </w:tc>
      </w:tr>
      <w:tr>
        <w:tc>
          <w:tcPr>
            <w:tcW w:w="7196" w:type="dxa"/>
            <w:vAlign w:val="center"/>
          </w:tcPr>
          <w:p>
            <w:pPr>
              <w:jc w:val="left"/>
              <w:rPr>
                <w:noProof/>
              </w:rPr>
            </w:pPr>
            <w:r>
              <w:rPr>
                <w:noProof/>
              </w:rPr>
              <w:t>Дата на становището на Европейската централна банка:</w:t>
            </w:r>
          </w:p>
        </w:tc>
        <w:tc>
          <w:tcPr>
            <w:tcW w:w="2126" w:type="dxa"/>
            <w:vAlign w:val="center"/>
          </w:tcPr>
          <w:p>
            <w:pPr>
              <w:jc w:val="left"/>
              <w:rPr>
                <w:noProof/>
              </w:rPr>
            </w:pPr>
            <w:r>
              <w:rPr>
                <w:noProof/>
              </w:rPr>
              <w:t>20 септември 2017 г.</w:t>
            </w:r>
          </w:p>
        </w:tc>
      </w:tr>
      <w:tr>
        <w:tc>
          <w:tcPr>
            <w:tcW w:w="7196" w:type="dxa"/>
            <w:vAlign w:val="center"/>
          </w:tcPr>
          <w:p>
            <w:pPr>
              <w:jc w:val="left"/>
              <w:rPr>
                <w:noProof/>
              </w:rPr>
            </w:pPr>
            <w:r>
              <w:rPr>
                <w:noProof/>
              </w:rPr>
              <w:t>Дата на позицията на Европейския парламент на първо четене:</w:t>
            </w:r>
          </w:p>
        </w:tc>
        <w:tc>
          <w:tcPr>
            <w:tcW w:w="2126" w:type="dxa"/>
            <w:vAlign w:val="center"/>
          </w:tcPr>
          <w:p>
            <w:pPr>
              <w:jc w:val="left"/>
              <w:rPr>
                <w:noProof/>
              </w:rPr>
            </w:pPr>
            <w:r>
              <w:rPr>
                <w:noProof/>
              </w:rPr>
              <w:t>27 март 2019 г.</w:t>
            </w:r>
          </w:p>
        </w:tc>
      </w:tr>
      <w:tr>
        <w:tc>
          <w:tcPr>
            <w:tcW w:w="7196" w:type="dxa"/>
            <w:vAlign w:val="center"/>
          </w:tcPr>
          <w:p>
            <w:pPr>
              <w:jc w:val="left"/>
              <w:rPr>
                <w:noProof/>
              </w:rPr>
            </w:pPr>
            <w:r>
              <w:rPr>
                <w:noProof/>
              </w:rPr>
              <w:t>Дата на предаване на измененото предложение:</w:t>
            </w:r>
          </w:p>
        </w:tc>
        <w:tc>
          <w:tcPr>
            <w:tcW w:w="2126" w:type="dxa"/>
            <w:vAlign w:val="center"/>
          </w:tcPr>
          <w:p>
            <w:pPr>
              <w:jc w:val="left"/>
              <w:rPr>
                <w:noProof/>
              </w:rPr>
            </w:pPr>
            <w:r>
              <w:rPr>
                <w:noProof/>
              </w:rPr>
              <w:t xml:space="preserve">N/A </w:t>
            </w:r>
          </w:p>
        </w:tc>
      </w:tr>
      <w:tr>
        <w:tc>
          <w:tcPr>
            <w:tcW w:w="7196" w:type="dxa"/>
            <w:vAlign w:val="center"/>
          </w:tcPr>
          <w:p>
            <w:pPr>
              <w:jc w:val="left"/>
              <w:rPr>
                <w:noProof/>
              </w:rPr>
            </w:pPr>
            <w:r>
              <w:rPr>
                <w:noProof/>
              </w:rPr>
              <w:t>Дата на приемане на позицията на Съвета:</w:t>
            </w:r>
          </w:p>
        </w:tc>
        <w:tc>
          <w:tcPr>
            <w:tcW w:w="2126" w:type="dxa"/>
            <w:vAlign w:val="center"/>
          </w:tcPr>
          <w:p>
            <w:pPr>
              <w:jc w:val="left"/>
              <w:rPr>
                <w:noProof/>
              </w:rPr>
            </w:pPr>
            <w:r>
              <w:rPr>
                <w:noProof/>
              </w:rPr>
              <w:t>17 ноември 2020 г.</w:t>
            </w:r>
          </w:p>
        </w:tc>
      </w:tr>
    </w:tbl>
    <w:p>
      <w:pPr>
        <w:pStyle w:val="ManualHeading1"/>
        <w:rPr>
          <w:noProof/>
        </w:rPr>
      </w:pPr>
      <w:r>
        <w:rPr>
          <w:noProof/>
        </w:rPr>
        <w:t>2.</w:t>
      </w:r>
      <w:r>
        <w:rPr>
          <w:noProof/>
        </w:rPr>
        <w:tab/>
        <w:t>Цел на предложението на Комисията</w:t>
      </w:r>
    </w:p>
    <w:p>
      <w:pPr>
        <w:pBdr>
          <w:top w:val="nil"/>
          <w:left w:val="nil"/>
          <w:bottom w:val="nil"/>
          <w:right w:val="nil"/>
          <w:between w:val="nil"/>
          <w:bar w:val="nil"/>
        </w:pBdr>
        <w:rPr>
          <w:rFonts w:eastAsia="Calibri"/>
          <w:noProof/>
          <w:color w:val="000000"/>
          <w:u w:color="000000"/>
          <w:bdr w:val="nil"/>
        </w:rPr>
      </w:pPr>
      <w:r>
        <w:rPr>
          <w:noProof/>
          <w:color w:val="000000"/>
          <w:u w:color="000000"/>
          <w:bdr w:val="nil"/>
        </w:rPr>
        <w:t>Централният клирингов контрагент (ЦКК</w:t>
      </w:r>
      <w:r>
        <w:rPr>
          <w:noProof/>
          <w:color w:val="000000"/>
          <w:u w:color="000000"/>
          <w:bdr w:val="nil"/>
          <w:lang w:val="ru-RU"/>
        </w:rPr>
        <w:t>,</w:t>
      </w:r>
      <w:r>
        <w:rPr>
          <w:noProof/>
          <w:color w:val="000000"/>
          <w:u w:color="000000"/>
          <w:bdr w:val="nil"/>
        </w:rPr>
        <w:t xml:space="preserve"> или ЦК) е инфраструктурно предприятие на финансовите пазари, което изпълнява ролята на контрагент на двете страни по дадена сделка с финансов инструмент. ЦК извършват клиринг на редица финансови инструменти. Те са от съществено значение за финансовата система, тъй като управляват значителен риск от контрагента. Така те създават връзки между множество банки, други финансови контрагенти и предприятия (участниците в клиринга</w:t>
      </w:r>
      <w:r>
        <w:rPr>
          <w:rStyle w:val="FootnoteReference"/>
          <w:noProof/>
        </w:rPr>
        <w:footnoteReference w:id="1"/>
      </w:r>
      <w:r>
        <w:rPr>
          <w:noProof/>
          <w:color w:val="000000"/>
          <w:u w:color="000000"/>
          <w:bdr w:val="nil"/>
        </w:rPr>
        <w:t>).</w:t>
      </w:r>
    </w:p>
    <w:p>
      <w:pPr>
        <w:pBdr>
          <w:top w:val="nil"/>
          <w:left w:val="nil"/>
          <w:bottom w:val="nil"/>
          <w:right w:val="nil"/>
          <w:between w:val="nil"/>
          <w:bar w:val="nil"/>
        </w:pBdr>
        <w:rPr>
          <w:rFonts w:eastAsia="Calibri"/>
          <w:noProof/>
          <w:color w:val="000000"/>
          <w:u w:color="000000"/>
          <w:bdr w:val="nil"/>
        </w:rPr>
      </w:pPr>
      <w:r>
        <w:rPr>
          <w:noProof/>
          <w:color w:val="000000"/>
          <w:u w:color="000000"/>
          <w:bdr w:val="nil"/>
        </w:rPr>
        <w:t>Броят на трансакциите, обработени от ЦК, се е увеличил след ангажимента на Г-20, поет през 2009 г., съгласно който на всички стандартизирани извънборсови деривати следва да се извършва клиринг чрез ЦК.</w:t>
      </w:r>
    </w:p>
    <w:p>
      <w:pPr>
        <w:pBdr>
          <w:top w:val="nil"/>
          <w:left w:val="nil"/>
          <w:bottom w:val="nil"/>
          <w:right w:val="nil"/>
          <w:between w:val="nil"/>
          <w:bar w:val="nil"/>
        </w:pBdr>
        <w:rPr>
          <w:noProof/>
          <w:color w:val="000000"/>
          <w:u w:color="000000"/>
          <w:bdr w:val="nil"/>
        </w:rPr>
      </w:pPr>
      <w:r>
        <w:rPr>
          <w:noProof/>
          <w:color w:val="000000"/>
          <w:u w:color="000000"/>
          <w:bdr w:val="nil"/>
        </w:rPr>
        <w:lastRenderedPageBreak/>
        <w:t>Неизпълнението на задълженията от даден ЦК е много малко вероятно, но би оказало значително въздействие върху финансовата стабилност. С цел преодоляване на потенциалните рискове при евентуално неизпълнение на задълженията от даден ЦК на 28 ноември 2016 г. Комисията прие законодателно предложение за възстановяване и преструктуриране на ЦК.</w:t>
      </w:r>
      <w:r>
        <w:rPr>
          <w:rStyle w:val="FootnoteReference"/>
          <w:noProof/>
          <w:color w:val="000000"/>
          <w:u w:color="000000"/>
          <w:bdr w:val="nil"/>
        </w:rPr>
        <w:footnoteReference w:id="2"/>
      </w:r>
      <w:r>
        <w:rPr>
          <w:noProof/>
          <w:color w:val="000000"/>
          <w:u w:color="000000"/>
          <w:bdr w:val="nil"/>
        </w:rPr>
        <w:t>. С него се надгражда Регламентът за европейската пазарна инфраструктура</w:t>
      </w:r>
      <w:r>
        <w:rPr>
          <w:rStyle w:val="FootnoteReference"/>
          <w:noProof/>
          <w:color w:val="000000"/>
          <w:u w:color="000000"/>
          <w:bdr w:val="nil"/>
        </w:rPr>
        <w:footnoteReference w:id="3"/>
      </w:r>
      <w:r>
        <w:rPr>
          <w:noProof/>
          <w:color w:val="000000"/>
          <w:u w:color="000000"/>
          <w:bdr w:val="nil"/>
        </w:rPr>
        <w:t> (РЕПИ); то се основава на концептуалната рамка на ДВПБ</w:t>
      </w:r>
      <w:r>
        <w:rPr>
          <w:rStyle w:val="FootnoteReference"/>
          <w:noProof/>
          <w:color w:val="000000"/>
          <w:u w:color="000000"/>
          <w:bdr w:val="nil"/>
        </w:rPr>
        <w:footnoteReference w:id="4"/>
      </w:r>
      <w:r>
        <w:rPr>
          <w:noProof/>
          <w:color w:val="000000"/>
          <w:u w:color="000000"/>
          <w:bdr w:val="nil"/>
        </w:rPr>
        <w:t> (Директивата за възстановяване и преструктуриране на банките). С него в правото на ЕС ще се транспонират международните стандарти, определени с ключовите характеристики</w:t>
      </w:r>
      <w:r>
        <w:rPr>
          <w:rStyle w:val="FootnoteReference"/>
          <w:noProof/>
          <w:color w:val="000000"/>
          <w:u w:color="000000"/>
          <w:bdr w:val="nil"/>
        </w:rPr>
        <w:footnoteReference w:id="5"/>
      </w:r>
      <w:r>
        <w:rPr>
          <w:noProof/>
          <w:color w:val="000000"/>
          <w:u w:color="000000"/>
          <w:bdr w:val="nil"/>
        </w:rPr>
        <w:t xml:space="preserve"> и насоките</w:t>
      </w:r>
      <w:r>
        <w:rPr>
          <w:rStyle w:val="FootnoteReference"/>
          <w:noProof/>
          <w:color w:val="000000"/>
          <w:u w:color="000000"/>
          <w:bdr w:val="nil"/>
        </w:rPr>
        <w:footnoteReference w:id="6"/>
      </w:r>
      <w:r>
        <w:rPr>
          <w:noProof/>
          <w:color w:val="000000"/>
          <w:u w:color="000000"/>
          <w:bdr w:val="nil"/>
        </w:rPr>
        <w:t xml:space="preserve"> на Съвета за финансова стабилност, към които ЕС е поел ангажимент в рамките на Г-20.</w:t>
      </w:r>
    </w:p>
    <w:p>
      <w:pPr>
        <w:pBdr>
          <w:top w:val="nil"/>
          <w:left w:val="nil"/>
          <w:bottom w:val="nil"/>
          <w:right w:val="nil"/>
          <w:between w:val="nil"/>
          <w:bar w:val="nil"/>
        </w:pBdr>
        <w:rPr>
          <w:noProof/>
          <w:color w:val="000000"/>
          <w:u w:color="000000"/>
          <w:bdr w:val="nil"/>
        </w:rPr>
      </w:pPr>
      <w:r>
        <w:rPr>
          <w:noProof/>
          <w:color w:val="000000"/>
          <w:u w:color="000000"/>
          <w:bdr w:val="nil"/>
        </w:rPr>
        <w:t>Целта на предложението е да се гарантира, че както ЦК, така и националните органи в ЕС са подготвени и разполагат с необходимите инструменти за решително действие при кризисен сценарий. Предложеният регламент е изграден върху три стълба: готовност (планове за възстановяване и преструктуриране, правомощия за подобряване на възможността за преструктуриране), правомощия за ранна намеса и хармонизиран набор от инструменти за преструктуриране за националните органи за преструктуриране. С новите правила ще се гарантира запазването на критичните функции на ЦК, като същевременно се поддържа финансовата стабилност и се спомага да се избегне ситуация, в която данъкоплатците поемат разходите по преструктурирането на неизпълняващите задълженията си ЦК.</w:t>
      </w:r>
    </w:p>
    <w:p>
      <w:pPr>
        <w:pStyle w:val="ManualHeading1"/>
        <w:rPr>
          <w:noProof/>
        </w:rPr>
      </w:pPr>
      <w:r>
        <w:rPr>
          <w:noProof/>
        </w:rPr>
        <w:t>3.</w:t>
      </w:r>
      <w:r>
        <w:rPr>
          <w:noProof/>
        </w:rPr>
        <w:tab/>
        <w:t>Коментари относно позицията на Съвета</w:t>
      </w:r>
    </w:p>
    <w:p>
      <w:pPr>
        <w:widowControl w:val="0"/>
        <w:rPr>
          <w:noProof/>
        </w:rPr>
      </w:pPr>
      <w:r>
        <w:rPr>
          <w:noProof/>
        </w:rPr>
        <w:t>Позицията на Съвета отразява политическото споразумение, постигнато между Европейския парламент и Съвета на 23 юни 2020 г. Комисията подкрепя това споразумение.</w:t>
      </w:r>
    </w:p>
    <w:p>
      <w:pPr>
        <w:spacing w:after="100" w:afterAutospacing="1"/>
        <w:rPr>
          <w:noProof/>
        </w:rPr>
      </w:pPr>
      <w:r>
        <w:rPr>
          <w:noProof/>
        </w:rPr>
        <w:t>С политическото споразумение бяха въведени няколко промени, които се отклоняват от първоначалното предложение на Комисията, включително по долупосочените точки.</w:t>
      </w:r>
    </w:p>
    <w:p>
      <w:pPr>
        <w:spacing w:after="100" w:afterAutospacing="1"/>
        <w:rPr>
          <w:noProof/>
          <w:u w:val="single"/>
        </w:rPr>
      </w:pPr>
      <w:r>
        <w:rPr>
          <w:noProof/>
          <w:u w:val="single"/>
        </w:rPr>
        <w:t>А.</w:t>
      </w:r>
      <w:r>
        <w:rPr>
          <w:noProof/>
        </w:rPr>
        <w:tab/>
      </w:r>
      <w:r>
        <w:rPr>
          <w:noProof/>
          <w:u w:val="single"/>
        </w:rPr>
        <w:t>Управление</w:t>
      </w:r>
    </w:p>
    <w:p>
      <w:pPr>
        <w:spacing w:after="100" w:afterAutospacing="1"/>
        <w:rPr>
          <w:i/>
          <w:noProof/>
        </w:rPr>
      </w:pPr>
      <w:r>
        <w:rPr>
          <w:i/>
          <w:noProof/>
        </w:rPr>
        <w:t>i.</w:t>
      </w:r>
      <w:r>
        <w:rPr>
          <w:noProof/>
        </w:rPr>
        <w:tab/>
      </w:r>
      <w:r>
        <w:rPr>
          <w:i/>
          <w:noProof/>
        </w:rPr>
        <w:t>Членство в колегии за преструктуриране</w:t>
      </w:r>
    </w:p>
    <w:p>
      <w:pPr>
        <w:spacing w:after="100" w:afterAutospacing="1"/>
        <w:rPr>
          <w:noProof/>
        </w:rPr>
      </w:pPr>
      <w:r>
        <w:rPr>
          <w:noProof/>
        </w:rPr>
        <w:t xml:space="preserve">С политическото споразумение се потвърждава съставът на колегията за преструктуриране въз основа на разширяване на състава на съществуващата колегия от </w:t>
      </w:r>
      <w:r>
        <w:rPr>
          <w:noProof/>
        </w:rPr>
        <w:lastRenderedPageBreak/>
        <w:t>надзорни органи, като в същото време се вземат предвид промените, включени с изменението на РЕПИ през октомври 2019 г.</w:t>
      </w:r>
      <w:r>
        <w:rPr>
          <w:rStyle w:val="FootnoteReference"/>
          <w:noProof/>
        </w:rPr>
        <w:footnoteReference w:id="7"/>
      </w:r>
      <w:r>
        <w:rPr>
          <w:noProof/>
        </w:rPr>
        <w:t>.</w:t>
      </w:r>
    </w:p>
    <w:p>
      <w:pPr>
        <w:spacing w:after="100" w:afterAutospacing="1"/>
        <w:rPr>
          <w:noProof/>
        </w:rPr>
      </w:pPr>
      <w:r>
        <w:rPr>
          <w:noProof/>
        </w:rPr>
        <w:t>Следователно колегията за преструктуриране включва като членове с право на глас не само членовете на колегията от надзорни органи съгласно изменения РЕПИ, органите за преструктуриране на ЦК и на всички оперативно съвместими ЦК, както и органите за преструктуриране на клиринговите членове на ЦК от трите държави членки с най-големи вноски в неговия гаранционен фонд, но също така включва като наблюдатели:</w:t>
      </w:r>
    </w:p>
    <w:p>
      <w:pPr>
        <w:pStyle w:val="Tiret0"/>
        <w:numPr>
          <w:ilvl w:val="0"/>
          <w:numId w:val="10"/>
        </w:numPr>
        <w:rPr>
          <w:noProof/>
        </w:rPr>
      </w:pPr>
      <w:r>
        <w:rPr>
          <w:noProof/>
        </w:rPr>
        <w:t>компетентните органи и органите за преструктуриране на другите клирингови членове;</w:t>
      </w:r>
    </w:p>
    <w:p>
      <w:pPr>
        <w:pStyle w:val="Tiret0"/>
        <w:rPr>
          <w:noProof/>
        </w:rPr>
      </w:pPr>
      <w:r>
        <w:rPr>
          <w:noProof/>
        </w:rPr>
        <w:t>компетентните органи или органите за преструктуриране на клиентите от която и да е държава членка, която не е представлявана от член на колегия;</w:t>
      </w:r>
    </w:p>
    <w:p>
      <w:pPr>
        <w:pStyle w:val="Tiret0"/>
        <w:rPr>
          <w:noProof/>
        </w:rPr>
      </w:pPr>
      <w:r>
        <w:rPr>
          <w:noProof/>
        </w:rPr>
        <w:t>другите емитиращи централни банки; както и</w:t>
      </w:r>
    </w:p>
    <w:p>
      <w:pPr>
        <w:pStyle w:val="Tiret0"/>
        <w:rPr>
          <w:noProof/>
        </w:rPr>
      </w:pPr>
      <w:r>
        <w:rPr>
          <w:noProof/>
        </w:rPr>
        <w:t>компетентния орган на предприятието майка, в съответните случаи.</w:t>
      </w:r>
    </w:p>
    <w:p>
      <w:pPr>
        <w:spacing w:after="100" w:afterAutospacing="1"/>
        <w:rPr>
          <w:noProof/>
        </w:rPr>
      </w:pPr>
      <w:r>
        <w:rPr>
          <w:noProof/>
        </w:rPr>
        <w:t>В трите първи случая искането за участие в колегията за преструктуриране следва да бъде обосновано със системните ефекти на неизпълнението на задълженията от ЦК в съответните им държави членки и върху валутите им на емитиране.</w:t>
      </w:r>
    </w:p>
    <w:p>
      <w:pPr>
        <w:spacing w:after="100" w:afterAutospacing="1"/>
        <w:rPr>
          <w:noProof/>
        </w:rPr>
      </w:pPr>
      <w:r>
        <w:rPr>
          <w:noProof/>
        </w:rPr>
        <w:t>С този разширен състав се цели да се насърчат сътрудничеството и обменът на информация между органите и да се гарантира, че при планирането на преструктурирането се вземат предвид интересите на по-голям брой потенциално засегнати заинтересовани страни.</w:t>
      </w:r>
    </w:p>
    <w:p>
      <w:pPr>
        <w:spacing w:after="100" w:afterAutospacing="1"/>
        <w:rPr>
          <w:i/>
          <w:noProof/>
        </w:rPr>
      </w:pPr>
      <w:r>
        <w:rPr>
          <w:i/>
          <w:noProof/>
        </w:rPr>
        <w:t>ii.</w:t>
      </w:r>
      <w:r>
        <w:rPr>
          <w:noProof/>
        </w:rPr>
        <w:tab/>
      </w:r>
      <w:r>
        <w:rPr>
          <w:i/>
          <w:noProof/>
        </w:rPr>
        <w:t>Предварителна информация</w:t>
      </w:r>
    </w:p>
    <w:p>
      <w:pPr>
        <w:spacing w:after="100" w:afterAutospacing="1"/>
        <w:rPr>
          <w:noProof/>
        </w:rPr>
      </w:pPr>
      <w:r>
        <w:rPr>
          <w:noProof/>
        </w:rPr>
        <w:t>Политическото споразумение предвижда органите за преструктуриране предварително да уведомяват колегията за преструктуриране за действията по преструктуриране, които възнамеряват да предприемат, като посочват дали те се отклоняват от плана за преструктуриране. Рамката се допълва с последващо уведомление, в което пред колегията за преструктуриране се излагат причините за всяко отклонение възможно най-скоро след предприемането на действието по преструктуриране.</w:t>
      </w:r>
    </w:p>
    <w:p>
      <w:pPr>
        <w:spacing w:after="100" w:afterAutospacing="1"/>
        <w:rPr>
          <w:noProof/>
        </w:rPr>
      </w:pPr>
      <w:r>
        <w:rPr>
          <w:noProof/>
        </w:rPr>
        <w:t>Целта на този процес на уведомяване е да бъде основен елемент на прозрачността на рамката за вземане на решения, като дава възможност на органите на съответните държави членки да оценят и предвидят ефектите от преструктурирането на ЦК.</w:t>
      </w:r>
    </w:p>
    <w:p>
      <w:pPr>
        <w:spacing w:after="100" w:afterAutospacing="1"/>
        <w:rPr>
          <w:i/>
          <w:noProof/>
        </w:rPr>
      </w:pPr>
      <w:r>
        <w:rPr>
          <w:i/>
          <w:noProof/>
        </w:rPr>
        <w:t>iii.</w:t>
      </w:r>
      <w:r>
        <w:rPr>
          <w:noProof/>
        </w:rPr>
        <w:tab/>
      </w:r>
      <w:r>
        <w:rPr>
          <w:i/>
          <w:noProof/>
        </w:rPr>
        <w:t>Обвързваща медиация на Европейския орган за ценни книжа и пазари (ЕОЦКП) за плановете за възстановяване, плановете за преструктуриране и мерките за подобряване на възможността за преструктуриране</w:t>
      </w:r>
    </w:p>
    <w:p>
      <w:pPr>
        <w:spacing w:after="100" w:afterAutospacing="1"/>
        <w:rPr>
          <w:noProof/>
        </w:rPr>
      </w:pPr>
      <w:r>
        <w:rPr>
          <w:noProof/>
        </w:rPr>
        <w:t xml:space="preserve">Съгласно предложението повечето решения на националните компетентни органи и на органите за преструктуриране във връзка с подготвителните фази са предмет на съвместно решение от страна на членовете с право на глас в колегията от надзорни органи и в колегията за преструктуриране. Такова съвместно решение следва да бъде </w:t>
      </w:r>
      <w:r>
        <w:rPr>
          <w:noProof/>
        </w:rPr>
        <w:lastRenderedPageBreak/>
        <w:t>взето в рамките на четиримесечен срок. При липса на такова общо решение съответните власти в държавата на ЦК биха могли да вземат решение сами, освен ако бъде поискана обвързваща медиация от ЕОЦКП.</w:t>
      </w:r>
    </w:p>
    <w:p>
      <w:pPr>
        <w:spacing w:after="100" w:afterAutospacing="1"/>
        <w:rPr>
          <w:noProof/>
        </w:rPr>
      </w:pPr>
      <w:r>
        <w:rPr>
          <w:noProof/>
        </w:rPr>
        <w:t>Според политическото споразумение, за да се поиска обвързваща медиация от ЕОЦКП по въпроси, свързани с планирането на възстановяването и преструктурирането, е необходимо обикновено мнозинство на колегията от надзорни органи или колегията за преструктуриране.</w:t>
      </w:r>
    </w:p>
    <w:p>
      <w:pPr>
        <w:spacing w:after="100" w:afterAutospacing="1"/>
        <w:rPr>
          <w:noProof/>
        </w:rPr>
      </w:pPr>
      <w:r>
        <w:rPr>
          <w:noProof/>
        </w:rPr>
        <w:t>Счита се, че така се постига баланс между възможността който и да е член на колегията да подаде такова искане до ЕОЦКП, следвайки например механизма на ДВПБ, и изискването за мнозинство от две трети от членовете с право на глас в колегията, както е предвидено в РЕПИ. Така би се дало възможност на съответните колегии да работят ефективно с цел вземане на решения, които отразяват интереса на техните членове, по време на подготвителната фаза, като същевременно се възползват от механизма за медиация в най-трудните случаи.</w:t>
      </w:r>
    </w:p>
    <w:p>
      <w:pPr>
        <w:spacing w:after="100" w:afterAutospacing="1"/>
        <w:rPr>
          <w:i/>
          <w:noProof/>
        </w:rPr>
      </w:pPr>
      <w:r>
        <w:rPr>
          <w:i/>
          <w:noProof/>
        </w:rPr>
        <w:t>iv.</w:t>
      </w:r>
      <w:r>
        <w:rPr>
          <w:noProof/>
        </w:rPr>
        <w:tab/>
      </w:r>
      <w:r>
        <w:rPr>
          <w:i/>
          <w:noProof/>
        </w:rPr>
        <w:t>Мандати на ЕОЦКП</w:t>
      </w:r>
    </w:p>
    <w:p>
      <w:pPr>
        <w:spacing w:after="100" w:afterAutospacing="1"/>
        <w:rPr>
          <w:noProof/>
        </w:rPr>
      </w:pPr>
      <w:r>
        <w:rPr>
          <w:noProof/>
        </w:rPr>
        <w:t>С политическото споразумение от ЕОЦКП се изисква да разработи регулаторни технически стандарти, с които да определи:</w:t>
      </w:r>
    </w:p>
    <w:p>
      <w:pPr>
        <w:pStyle w:val="Tiret0"/>
        <w:rPr>
          <w:noProof/>
        </w:rPr>
      </w:pPr>
      <w:r>
        <w:rPr>
          <w:noProof/>
        </w:rPr>
        <w:t>съдържанието на писмените правила и процедури за работата на колегиите за преструктуриране;</w:t>
      </w:r>
    </w:p>
    <w:p>
      <w:pPr>
        <w:pStyle w:val="Tiret0"/>
        <w:rPr>
          <w:noProof/>
        </w:rPr>
      </w:pPr>
      <w:r>
        <w:rPr>
          <w:noProof/>
        </w:rPr>
        <w:t>методологията за изчисляване и поддържане на размера на допълнителните предварително финансирани и предназначени за целта собствени ресурси, които да бъдат използвани от ЦК при възстановяване, а в случай че такива собствени ресурси не са налични, процедурите за искане на вноски от клиринговите членове, които не са в неизпълнение, и за възстановяването на разходите им впоследствие от страна на ЦК;</w:t>
      </w:r>
    </w:p>
    <w:p>
      <w:pPr>
        <w:pStyle w:val="Tiret0"/>
        <w:rPr>
          <w:noProof/>
        </w:rPr>
      </w:pPr>
      <w:r>
        <w:rPr>
          <w:noProof/>
        </w:rPr>
        <w:t>методологията за оценка на плановете за възстановяване;</w:t>
      </w:r>
    </w:p>
    <w:p>
      <w:pPr>
        <w:pStyle w:val="Tiret0"/>
        <w:rPr>
          <w:noProof/>
        </w:rPr>
      </w:pPr>
      <w:r>
        <w:rPr>
          <w:noProof/>
        </w:rPr>
        <w:t>съдържанието на плановете за преструктуриране;</w:t>
      </w:r>
    </w:p>
    <w:p>
      <w:pPr>
        <w:pStyle w:val="Tiret0"/>
        <w:rPr>
          <w:noProof/>
        </w:rPr>
      </w:pPr>
      <w:r>
        <w:rPr>
          <w:noProof/>
        </w:rPr>
        <w:t>реда на разпределяне, максималния период и максималния дял от годишните печалби на ЦК според компенсационния механизъм при възстановяване;</w:t>
      </w:r>
    </w:p>
    <w:p>
      <w:pPr>
        <w:pStyle w:val="Tiret0"/>
        <w:rPr>
          <w:noProof/>
        </w:rPr>
      </w:pPr>
      <w:r>
        <w:rPr>
          <w:noProof/>
        </w:rPr>
        <w:t>елементите, свързани с провеждането на оценките;</w:t>
      </w:r>
    </w:p>
    <w:p>
      <w:pPr>
        <w:pStyle w:val="Tiret0"/>
        <w:rPr>
          <w:noProof/>
        </w:rPr>
      </w:pPr>
      <w:r>
        <w:rPr>
          <w:noProof/>
        </w:rPr>
        <w:t>методологията за изчисляване на буфера за допълнителни загуби, който да бъде включен във временните оценки;</w:t>
      </w:r>
    </w:p>
    <w:p>
      <w:pPr>
        <w:pStyle w:val="Tiret0"/>
        <w:rPr>
          <w:noProof/>
        </w:rPr>
      </w:pPr>
      <w:r>
        <w:rPr>
          <w:noProof/>
        </w:rPr>
        <w:t>минималните елементи, които следва да бъдат включени в дадена реорганизация на дейността; критерии, на които да отговаря планът за реорганизация на дейността;</w:t>
      </w:r>
    </w:p>
    <w:p>
      <w:pPr>
        <w:pStyle w:val="Tiret0"/>
        <w:rPr>
          <w:noProof/>
        </w:rPr>
      </w:pPr>
      <w:r>
        <w:rPr>
          <w:noProof/>
        </w:rPr>
        <w:t>методологията за окончателна оценка според принципа за справедливо третиране на кредиторите;</w:t>
      </w:r>
    </w:p>
    <w:p>
      <w:pPr>
        <w:pStyle w:val="Tiret0"/>
        <w:rPr>
          <w:noProof/>
        </w:rPr>
      </w:pPr>
      <w:r>
        <w:rPr>
          <w:noProof/>
        </w:rPr>
        <w:t>условията, при които клиринговите членове могат да прехвърлят обезщетение на своите клиенти в съответствие с принципа на договорната симетрия.</w:t>
      </w:r>
    </w:p>
    <w:p>
      <w:pPr>
        <w:spacing w:after="100" w:afterAutospacing="1"/>
        <w:ind w:left="360"/>
        <w:rPr>
          <w:noProof/>
        </w:rPr>
      </w:pPr>
      <w:r>
        <w:rPr>
          <w:noProof/>
        </w:rPr>
        <w:t>С него също така се изисква ЕОЦКП да разработи насоки, определящи или насърчаващи:</w:t>
      </w:r>
    </w:p>
    <w:p>
      <w:pPr>
        <w:pStyle w:val="Tiret0"/>
        <w:rPr>
          <w:noProof/>
        </w:rPr>
      </w:pPr>
      <w:r>
        <w:rPr>
          <w:noProof/>
        </w:rPr>
        <w:lastRenderedPageBreak/>
        <w:t>минималния списък с качествени и количествени показатели за задействане на мерките за възстановяване;</w:t>
      </w:r>
    </w:p>
    <w:p>
      <w:pPr>
        <w:pStyle w:val="Tiret0"/>
        <w:rPr>
          <w:noProof/>
        </w:rPr>
      </w:pPr>
      <w:r>
        <w:rPr>
          <w:noProof/>
        </w:rPr>
        <w:t>различните сценарии, които да бъдат взети предвид за плана за възстановяване;</w:t>
      </w:r>
    </w:p>
    <w:p>
      <w:pPr>
        <w:pStyle w:val="Tiret0"/>
        <w:rPr>
          <w:noProof/>
        </w:rPr>
      </w:pPr>
      <w:r>
        <w:rPr>
          <w:noProof/>
        </w:rPr>
        <w:t>сближаването на практиките за преструктуриране по отношение на оценката на възможността за преструктуриране;</w:t>
      </w:r>
    </w:p>
    <w:p>
      <w:pPr>
        <w:pStyle w:val="Tiret0"/>
        <w:rPr>
          <w:noProof/>
        </w:rPr>
      </w:pPr>
      <w:r>
        <w:rPr>
          <w:noProof/>
        </w:rPr>
        <w:t>последователното прилагане на задействащите предпоставки за използване на мерките за ранна намеса;</w:t>
      </w:r>
    </w:p>
    <w:p>
      <w:pPr>
        <w:pStyle w:val="Tiret0"/>
        <w:rPr>
          <w:noProof/>
        </w:rPr>
      </w:pPr>
      <w:r>
        <w:rPr>
          <w:noProof/>
        </w:rPr>
        <w:t>сближаването на практиките на надзорните органи и практиките за преструктуриране по отношение на прилагането на разпоредбите за обстоятелствата, при които се счита, че ЦК не изпълнява или има вероятност да не изпълни задълженията си;</w:t>
      </w:r>
    </w:p>
    <w:p>
      <w:pPr>
        <w:pStyle w:val="Tiret0"/>
        <w:rPr>
          <w:noProof/>
        </w:rPr>
      </w:pPr>
      <w:r>
        <w:rPr>
          <w:noProof/>
        </w:rPr>
        <w:t>методологията, която да се използва от органа за преструктуриране за определяне на оценката на договорите, които следва да бъдат прекратени;</w:t>
      </w:r>
    </w:p>
    <w:p>
      <w:pPr>
        <w:pStyle w:val="Tiret0"/>
        <w:rPr>
          <w:noProof/>
        </w:rPr>
      </w:pPr>
      <w:r>
        <w:rPr>
          <w:noProof/>
        </w:rPr>
        <w:t>видовете и съдържанието на разпоредбите, съдържащи се в споразуменията за сътрудничество с трети държави;</w:t>
      </w:r>
    </w:p>
    <w:p>
      <w:pPr>
        <w:pStyle w:val="Tiret0"/>
        <w:rPr>
          <w:noProof/>
        </w:rPr>
      </w:pPr>
      <w:r>
        <w:rPr>
          <w:noProof/>
        </w:rPr>
        <w:t>обстоятелствата, при които компетентният орган може да поиска от ЦК да се въздържа от определени операции по изплащане след събитие, несвързано с неизпълнение.</w:t>
      </w:r>
    </w:p>
    <w:p>
      <w:pPr>
        <w:spacing w:after="100" w:afterAutospacing="1"/>
        <w:rPr>
          <w:noProof/>
          <w:u w:val="single"/>
        </w:rPr>
      </w:pPr>
      <w:r>
        <w:rPr>
          <w:noProof/>
          <w:u w:val="single"/>
        </w:rPr>
        <w:t>Б.</w:t>
      </w:r>
      <w:r>
        <w:rPr>
          <w:noProof/>
        </w:rPr>
        <w:tab/>
      </w:r>
      <w:r>
        <w:rPr>
          <w:noProof/>
          <w:u w:val="single"/>
        </w:rPr>
        <w:t>Ранна намеса, планове за възстановяване и инструменти</w:t>
      </w:r>
    </w:p>
    <w:p>
      <w:pPr>
        <w:spacing w:after="100" w:afterAutospacing="1"/>
        <w:rPr>
          <w:i/>
          <w:noProof/>
        </w:rPr>
      </w:pPr>
      <w:r>
        <w:rPr>
          <w:i/>
          <w:noProof/>
        </w:rPr>
        <w:t>i.</w:t>
      </w:r>
      <w:r>
        <w:rPr>
          <w:noProof/>
        </w:rPr>
        <w:tab/>
      </w:r>
      <w:r>
        <w:rPr>
          <w:i/>
          <w:noProof/>
        </w:rPr>
        <w:t>Допълнително собствено участие (skin-in-the-game)</w:t>
      </w:r>
    </w:p>
    <w:p>
      <w:pPr>
        <w:spacing w:after="100" w:afterAutospacing="1"/>
        <w:rPr>
          <w:noProof/>
        </w:rPr>
      </w:pPr>
      <w:r>
        <w:rPr>
          <w:noProof/>
        </w:rPr>
        <w:t>С РЕПИ бе въведен дял от собствени ресурси на ЦК в механизмите за разпределение на загубите на ЦК, който следва да се използва непосредствено преди вноските в гаранционния фонд на клиринговите членове, които не са в неизпълнение. Делът на това първо собствено участие е определен на 25 % от капиталовите изисквания за ЦК и има за цел да гарантира, че собствениците и акционерите на даден ЦК упражняват подходящ надзор върху неговите дейности и практики за управление на риска.</w:t>
      </w:r>
    </w:p>
    <w:p>
      <w:pPr>
        <w:spacing w:after="100" w:afterAutospacing="1"/>
        <w:rPr>
          <w:noProof/>
        </w:rPr>
      </w:pPr>
      <w:r>
        <w:rPr>
          <w:noProof/>
        </w:rPr>
        <w:t>С политическото споразумение се въвежда допълнителен дял от собствени ресурси на ЦК, т.е. второ собствено участие, преди налагането на каквито и да е искания за предоставяне на парични средства (касови нареждания) или намаляване на стойността на печалбите от вариационните маржини от страна на ЦК при възстановяване. Делът на това второ собствено участие е определен в размер между 10 %</w:t>
      </w:r>
      <w:r>
        <w:rPr>
          <w:rStyle w:val="FootnoteReference"/>
          <w:noProof/>
        </w:rPr>
        <w:footnoteReference w:id="8"/>
      </w:r>
      <w:r>
        <w:rPr>
          <w:noProof/>
        </w:rPr>
        <w:t xml:space="preserve"> и 25 % от капиталовите изисквания за ЦК, както е посочено в РЕПИ. Методологията за изчисляване на това второ собствено участие, както и условията за поддържането му ще бъдат определени в делегиран акт на Комисията въз основа на регулаторен технически стандарт, разработен от ЕОЦКП, като се вземат предвид:</w:t>
      </w:r>
    </w:p>
    <w:p>
      <w:pPr>
        <w:pStyle w:val="Tiret0"/>
        <w:rPr>
          <w:noProof/>
        </w:rPr>
      </w:pPr>
      <w:r>
        <w:rPr>
          <w:noProof/>
        </w:rPr>
        <w:t>структурата и вътрешната организация на ЦК и естеството/обхвата/сложността на техните дейности;</w:t>
      </w:r>
    </w:p>
    <w:p>
      <w:pPr>
        <w:pStyle w:val="Tiret0"/>
        <w:rPr>
          <w:noProof/>
        </w:rPr>
      </w:pPr>
      <w:r>
        <w:rPr>
          <w:noProof/>
        </w:rPr>
        <w:lastRenderedPageBreak/>
        <w:t>структурата на стимулите на акционерите, ръководството, клиринговите членове и клиентите на ЦК;</w:t>
      </w:r>
    </w:p>
    <w:p>
      <w:pPr>
        <w:pStyle w:val="Tiret0"/>
        <w:rPr>
          <w:noProof/>
        </w:rPr>
      </w:pPr>
      <w:r>
        <w:rPr>
          <w:noProof/>
        </w:rPr>
        <w:t>доколко за ЦК е целесъобразно да се ползват от по-широка инвестиционна политика в зависимост от валутите, в които са деноминирани финансовите инструменти, на които те извършват клиринг, валутите, приемани като обезпечение, и риска, произтичащ от тяхната дейност;</w:t>
      </w:r>
    </w:p>
    <w:p>
      <w:pPr>
        <w:pStyle w:val="Tiret0"/>
        <w:rPr>
          <w:noProof/>
        </w:rPr>
      </w:pPr>
      <w:r>
        <w:rPr>
          <w:noProof/>
        </w:rPr>
        <w:t>международния контекст и практиките в други юрисдикции.</w:t>
      </w:r>
    </w:p>
    <w:p>
      <w:pPr>
        <w:spacing w:after="100" w:afterAutospacing="1"/>
        <w:rPr>
          <w:noProof/>
        </w:rPr>
      </w:pPr>
      <w:r>
        <w:rPr>
          <w:noProof/>
        </w:rPr>
        <w:t xml:space="preserve">Такава по-широка инвестиционна политика, разрешена в съответствие с условията, които ще бъдат разработени от ЕОЦКП в регулаторния технически стандарт, може да доведе до допълнителни ликвидни рискове. Следователно, когато активите, в които е инвестирано второто собствено участие, не са непосредствено налични за поемане на загуби, с политическото споразумение на ЦК се дава възможност да продължат с разпределянето към клиринговите членове, както е посочено в плановете им за възстановяване, с цел да се гарантира непрекъснатостта на критичните клирингови услуги. Впоследствие ЦК ще трябва да </w:t>
      </w:r>
      <w:r>
        <w:rPr>
          <w:bCs/>
          <w:iCs/>
          <w:noProof/>
          <w:color w:val="000000"/>
        </w:rPr>
        <w:t>възстановят съответните суми на клиринговите членове до размера на второто собствено участие</w:t>
      </w:r>
      <w:r>
        <w:rPr>
          <w:noProof/>
        </w:rPr>
        <w:t>.</w:t>
      </w:r>
    </w:p>
    <w:p>
      <w:pPr>
        <w:spacing w:after="100" w:afterAutospacing="1"/>
        <w:rPr>
          <w:i/>
          <w:noProof/>
        </w:rPr>
      </w:pPr>
      <w:r>
        <w:rPr>
          <w:i/>
          <w:noProof/>
        </w:rPr>
        <w:t>ii.</w:t>
      </w:r>
      <w:r>
        <w:rPr>
          <w:noProof/>
        </w:rPr>
        <w:tab/>
      </w:r>
      <w:r>
        <w:rPr>
          <w:i/>
          <w:noProof/>
        </w:rPr>
        <w:t>Намаляване на стойността на печалбите от вариационните маржини (НСПВМ) и искания за предоставяне на парични средства (касови нареждания) при възстановяване</w:t>
      </w:r>
    </w:p>
    <w:p>
      <w:pPr>
        <w:spacing w:after="100" w:afterAutospacing="1"/>
        <w:rPr>
          <w:noProof/>
        </w:rPr>
      </w:pPr>
      <w:r>
        <w:rPr>
          <w:noProof/>
        </w:rPr>
        <w:t>С политическото споразумение се предвижда използването на намаляване на стойността на печалбите от вариационните маржини, когато това е уместно в зависимост от дейността на ЦК, както и искания за предоставяне на парични средства при възстановяване. Това е отражение на настоящата практика на повечето ЦК и цели подобряване на защитата на данъкоплатците. Успоредно с това политическото споразумение допринася за по-голяма прозрачност на мерките за възстановяване за заинтересованите страни, както и за увеличаването на тяхното участие в разработването на плановете за възстановяване. Също така осигурява допълнителна рамка за използването на мерки за възстановяване чрез въвеждане на няколко елемента на наблюдение и контрол от компетентните органи.</w:t>
      </w:r>
    </w:p>
    <w:p>
      <w:pPr>
        <w:spacing w:after="100" w:afterAutospacing="1"/>
        <w:rPr>
          <w:i/>
          <w:noProof/>
        </w:rPr>
      </w:pPr>
      <w:r>
        <w:rPr>
          <w:i/>
          <w:noProof/>
        </w:rPr>
        <w:t xml:space="preserve">iii. </w:t>
      </w:r>
      <w:r>
        <w:rPr>
          <w:noProof/>
        </w:rPr>
        <w:tab/>
      </w:r>
      <w:r>
        <w:rPr>
          <w:i/>
          <w:noProof/>
        </w:rPr>
        <w:t xml:space="preserve">Други: Участие на клиенти в търгове; ограничение на възнагражденията </w:t>
      </w:r>
    </w:p>
    <w:p>
      <w:pPr>
        <w:spacing w:after="100" w:afterAutospacing="1"/>
        <w:rPr>
          <w:noProof/>
        </w:rPr>
      </w:pPr>
      <w:r>
        <w:rPr>
          <w:noProof/>
        </w:rPr>
        <w:t>Политическото споразумение включва правомощия за ранна намеса, които позволяват на компетентния орган да разширява обхвата на търговете, като позволява участие на клиентите и им дава възможност да правят оферти за позициите на клиринговия член в неизпълнение. Компетентният орган ще изисква от ЦК да инструктират клиринговите членове да канят своите клиенти за пряко участие в организираните от ЦК търгове. Тази възможност се предоставя, при условие че естеството на търга оправдава това извънредно участие и че клиентът е в състояние да докаже на ЦК, че е установил подходящите договорни отношения с клирингов член за изпълнение и осъществяване на клиринг на трансакциите, които може да възникнат в резултат от търга.</w:t>
      </w:r>
    </w:p>
    <w:p>
      <w:pPr>
        <w:spacing w:after="100" w:afterAutospacing="1"/>
        <w:rPr>
          <w:noProof/>
        </w:rPr>
      </w:pPr>
      <w:r>
        <w:rPr>
          <w:noProof/>
        </w:rPr>
        <w:t>Освен това компетентните органи се оправомощават да ограничават или забраняват всяко възнаграждение на собствения капитал, включително изплащането на дивиденти и обратното изкупуване от страна на ЦК, както и да ограничават, забраняват или замразяват плащанията на променливи възнаграждения на висшето ръководство.</w:t>
      </w:r>
    </w:p>
    <w:p>
      <w:pPr>
        <w:spacing w:after="100" w:afterAutospacing="1"/>
        <w:rPr>
          <w:noProof/>
          <w:u w:val="single"/>
        </w:rPr>
      </w:pPr>
      <w:r>
        <w:rPr>
          <w:noProof/>
          <w:u w:val="single"/>
        </w:rPr>
        <w:lastRenderedPageBreak/>
        <w:t>В.</w:t>
      </w:r>
      <w:r>
        <w:rPr>
          <w:noProof/>
        </w:rPr>
        <w:tab/>
      </w:r>
      <w:r>
        <w:rPr>
          <w:noProof/>
          <w:u w:val="single"/>
        </w:rPr>
        <w:t>Инструменти за преструктуриране</w:t>
      </w:r>
    </w:p>
    <w:p>
      <w:pPr>
        <w:spacing w:after="100" w:afterAutospacing="1"/>
        <w:rPr>
          <w:i/>
          <w:noProof/>
        </w:rPr>
      </w:pPr>
      <w:r>
        <w:rPr>
          <w:i/>
          <w:noProof/>
        </w:rPr>
        <w:t>i.</w:t>
      </w:r>
      <w:r>
        <w:rPr>
          <w:noProof/>
        </w:rPr>
        <w:tab/>
      </w:r>
      <w:r>
        <w:rPr>
          <w:i/>
          <w:noProof/>
        </w:rPr>
        <w:t>Искания за предоставяне на парични средства (касови нареждания) при преструктуриране</w:t>
      </w:r>
    </w:p>
    <w:p>
      <w:pPr>
        <w:spacing w:after="100" w:afterAutospacing="1"/>
        <w:rPr>
          <w:noProof/>
        </w:rPr>
      </w:pPr>
      <w:r>
        <w:rPr>
          <w:noProof/>
        </w:rPr>
        <w:t>С политическото споразумение се потвърждава предвиденото искане за предоставяне на парични средства при преструктуриране, което е запазено за органите за преструктуриране, в допълнение към исканията за предоставяне на парични средства, предвидени в мерките за възстановяване на ЦК. Максималната експозиция на клиринговите членове поради техния допълнителен финансов ангажимент се увеличава до два пъти техните вноски към гаранционния фонд на ЦК. Този подход e в съответствие с РЕПИ (член 43, параграф 3), според който се изисква експозициите на клиринговите членове на дадено ЦК към него да бъдат ограничени. С политическото споразумение също така се разяснява използването на исканията за предоставяне на парични средства при преструктуриране при събития, несвързани с неизпълнение, както и определянето на лимита, когато ЦК имат няколко гаранционни фонда.</w:t>
      </w:r>
    </w:p>
    <w:p>
      <w:pPr>
        <w:spacing w:after="100" w:afterAutospacing="1"/>
        <w:rPr>
          <w:i/>
          <w:noProof/>
        </w:rPr>
      </w:pPr>
      <w:r>
        <w:rPr>
          <w:i/>
          <w:noProof/>
        </w:rPr>
        <w:t>ii.</w:t>
      </w:r>
      <w:r>
        <w:rPr>
          <w:noProof/>
        </w:rPr>
        <w:tab/>
      </w:r>
      <w:r>
        <w:rPr>
          <w:i/>
          <w:noProof/>
        </w:rPr>
        <w:t>Намаляване на стойността на първоначалните маржини (НСПМ)</w:t>
      </w:r>
    </w:p>
    <w:p>
      <w:pPr>
        <w:spacing w:after="100" w:afterAutospacing="1"/>
        <w:rPr>
          <w:noProof/>
        </w:rPr>
      </w:pPr>
      <w:r>
        <w:rPr>
          <w:noProof/>
        </w:rPr>
        <w:t>В политическото споразумение е предпочетен затворен списък с инструменти за преструктуриране, като изрично се изключва използването на намаляване на стойността на първоначалните маржини. Счита се, че този подход е в съответствие с РЕПИ (член 45, параграф 4), където се уточнява, че ЦК не може да използват допълнителните обезпечения (маржините), предоставени от клирингови членове, които не са в неизпълнение, за покриването на загубите, породени от неизпълнението на друг клирингов член. Освен това той улеснява принудителното изпълнение на действия за преструктуриране в големи юрисдикции на трети държави, където първоначалните маржини са изрично изключени от производството по несъстоятелност в съответствие с местните правила и разпоредби.</w:t>
      </w:r>
    </w:p>
    <w:p>
      <w:pPr>
        <w:spacing w:after="100" w:afterAutospacing="1"/>
        <w:rPr>
          <w:noProof/>
          <w:u w:val="single"/>
        </w:rPr>
      </w:pPr>
      <w:r>
        <w:rPr>
          <w:noProof/>
          <w:u w:val="single"/>
        </w:rPr>
        <w:t>Г.</w:t>
      </w:r>
      <w:r>
        <w:rPr>
          <w:noProof/>
        </w:rPr>
        <w:tab/>
      </w:r>
      <w:r>
        <w:rPr>
          <w:noProof/>
          <w:u w:val="single"/>
        </w:rPr>
        <w:t>Гаранция за справедливо (не по-неблагоприятно отколкото при ликвидация) третиране на кредиторите</w:t>
      </w:r>
    </w:p>
    <w:p>
      <w:pPr>
        <w:spacing w:after="100" w:afterAutospacing="1"/>
        <w:rPr>
          <w:noProof/>
        </w:rPr>
      </w:pPr>
      <w:r>
        <w:rPr>
          <w:noProof/>
        </w:rPr>
        <w:t>Гаранцията за справедливо третиране на кредиторите е насочена към защита на основните права на акционерите, клиринговите членове и други кредитори на ЦК при преструктуриране.</w:t>
      </w:r>
    </w:p>
    <w:p>
      <w:pPr>
        <w:spacing w:after="100" w:afterAutospacing="1"/>
        <w:rPr>
          <w:noProof/>
        </w:rPr>
      </w:pPr>
      <w:r>
        <w:rPr>
          <w:noProof/>
        </w:rPr>
        <w:t>В съответствие с международните насоки на Съвета за финансова стабилност в политическото споразумение се предвижда сравнение на загубите, понасяни от акционерите, клиринговите членове и други кредитори на ЦК при преструктуриране, със загубите, които те биха реализирали при ликвидиране на ЦК при обичайно производство по несъстоятелност, вследствие на пълното изпълнение на приложимите договорни задължения и други договорености в неговите оперативни (работни) правила.</w:t>
      </w:r>
    </w:p>
    <w:p>
      <w:pPr>
        <w:spacing w:after="100" w:afterAutospacing="1"/>
        <w:rPr>
          <w:noProof/>
        </w:rPr>
      </w:pPr>
      <w:r>
        <w:rPr>
          <w:noProof/>
        </w:rPr>
        <w:t xml:space="preserve">По отношение на оценката в политическото споразумение се изисква при съпоставителния сценарий за справедливо третиране на кредиторите да се използва разумна от търговска гледна точка оценка на преките разходи за заместване, направени от клиринговите членове, за да отворят отново сравними нетни позиции на пазара. Също така в него се изисква за оценката на такива загуби да се използва методологията </w:t>
      </w:r>
      <w:r>
        <w:rPr>
          <w:noProof/>
        </w:rPr>
        <w:lastRenderedPageBreak/>
        <w:t>на ЦК за ценообразуване, освен ако тази методология за определяне на цената не отразява реалните пазарни условия.</w:t>
      </w:r>
    </w:p>
    <w:p>
      <w:pPr>
        <w:spacing w:after="100" w:afterAutospacing="1"/>
        <w:rPr>
          <w:noProof/>
        </w:rPr>
      </w:pPr>
      <w:r>
        <w:rPr>
          <w:noProof/>
        </w:rPr>
        <w:t>С политическото споразумение също така се въвежда понятието „договорна симетрия“, с което разширява обхватът на гаранцията за справедливо третиране на кредиторите, като включва и клиентите. С него се предвижда, че ако договорните споразумения позволяват на клиринговите членове да прехвърлят отрицателните последици от инструментите за преструктуриране на своите клиенти, то те също трябва да включват, на равностойна и пропорционална основа, правото на клиентите на всякакво обезщетение, получавано от клиринговите членове, доколкото те се отнасят до позиции на клиенти. Тази разпоредба се прилага и за непреките клирингови услуги.</w:t>
      </w:r>
    </w:p>
    <w:p>
      <w:pPr>
        <w:spacing w:after="100" w:afterAutospacing="1"/>
        <w:rPr>
          <w:noProof/>
          <w:u w:val="single"/>
        </w:rPr>
      </w:pPr>
      <w:r>
        <w:rPr>
          <w:noProof/>
          <w:u w:val="single"/>
        </w:rPr>
        <w:t>Д.</w:t>
      </w:r>
      <w:r>
        <w:rPr>
          <w:noProof/>
        </w:rPr>
        <w:tab/>
      </w:r>
      <w:r>
        <w:rPr>
          <w:noProof/>
          <w:u w:val="single"/>
        </w:rPr>
        <w:t>Обезщетяване на клирингови членове, които не са в неизпълнение</w:t>
      </w:r>
    </w:p>
    <w:p>
      <w:pPr>
        <w:spacing w:after="100" w:afterAutospacing="1"/>
        <w:rPr>
          <w:noProof/>
        </w:rPr>
      </w:pPr>
      <w:r>
        <w:rPr>
          <w:noProof/>
        </w:rPr>
        <w:t>С политическото споразумение се потвърждава, че органът за преструктуриране може да изисква от ЦК да обезщети клиринговите членове, които не са в неизпълнение, за техните загуби, произтичащи от прилагането на инструменти за разпределение на загубите, когато загубите са по-големи от тези, които клиринговите членове, които не са в неизпълнение, биха понесли в съответствие с оперативните правила на ЦК.</w:t>
      </w:r>
    </w:p>
    <w:p>
      <w:pPr>
        <w:spacing w:after="100" w:afterAutospacing="1"/>
        <w:rPr>
          <w:noProof/>
        </w:rPr>
      </w:pPr>
      <w:r>
        <w:rPr>
          <w:noProof/>
        </w:rPr>
        <w:t>Това обезщетение е ограничено до случаите, когато клиринговият член, който не е в неизпълнение, би имал право да подаде иск за справедливо третиране като кредитор.</w:t>
      </w:r>
    </w:p>
    <w:p>
      <w:pPr>
        <w:spacing w:after="100" w:afterAutospacing="1"/>
        <w:rPr>
          <w:noProof/>
        </w:rPr>
      </w:pPr>
      <w:r>
        <w:rPr>
          <w:noProof/>
        </w:rPr>
        <w:t>То може да бъде под формата на инструменти за собственост, дългови инструменти или инструменти, с които се признава вземане върху бъдещите печалби на ЦК.</w:t>
      </w:r>
    </w:p>
    <w:p>
      <w:pPr>
        <w:spacing w:after="100" w:afterAutospacing="1"/>
        <w:rPr>
          <w:noProof/>
        </w:rPr>
      </w:pPr>
      <w:r>
        <w:rPr>
          <w:noProof/>
        </w:rPr>
        <w:t>С цел клиринговите членове да бъдат стимулирани да подкрепят процеса на възстановяване, в механизма за обезщетяване се включват всички неуредени договорни задължения на клиринговите членове към ЦК.</w:t>
      </w:r>
    </w:p>
    <w:p>
      <w:pPr>
        <w:spacing w:after="100" w:afterAutospacing="1"/>
        <w:rPr>
          <w:noProof/>
        </w:rPr>
      </w:pPr>
      <w:r>
        <w:rPr>
          <w:noProof/>
        </w:rPr>
        <w:t>Обезщетението ще бъде приспаднато от всяко вземане съгласно принципа за справедливо третиране на кредиторите, дължимо в полза на клирингови членове, като по този начин ще се намалят сумите, които държавите членки ще трябва да изплащат на клиринговите членове, в случай че вноските им за преструктурирането са по-големи от потенциалните им загуби при производство по несъстоятелност.</w:t>
      </w:r>
    </w:p>
    <w:p>
      <w:pPr>
        <w:spacing w:after="100" w:afterAutospacing="1"/>
        <w:rPr>
          <w:noProof/>
          <w:u w:val="single"/>
        </w:rPr>
      </w:pPr>
      <w:r>
        <w:rPr>
          <w:noProof/>
          <w:u w:val="single"/>
        </w:rPr>
        <w:t>Е.</w:t>
      </w:r>
      <w:r>
        <w:rPr>
          <w:noProof/>
        </w:rPr>
        <w:tab/>
      </w:r>
      <w:r>
        <w:rPr>
          <w:noProof/>
          <w:u w:val="single"/>
        </w:rPr>
        <w:t>Възстановяване на публичните средства</w:t>
      </w:r>
    </w:p>
    <w:p>
      <w:pPr>
        <w:spacing w:after="100" w:afterAutospacing="1"/>
        <w:rPr>
          <w:noProof/>
        </w:rPr>
      </w:pPr>
      <w:r>
        <w:rPr>
          <w:noProof/>
        </w:rPr>
        <w:t>С политическото споразумение са добавени няколко условия за използването на държавните инструменти за стабилизация под формата на капиталова подкрепа и временна публична собственост. Едно важно условие е свързано с обезценяването и преобразуването от органа за преструктуриране на всички останали инструменти на собственост, дългови инструменти или други необезпечени задължения преди или едновременно с използването на държавните инструменти за стабилизация. Освен това преди използването на държавните инструменти за стабилизация държавите членки следва да определят всеобхватни и надеждни мерки за възстановяване на публичните средства за подходящ период от време.</w:t>
      </w:r>
    </w:p>
    <w:p>
      <w:pPr>
        <w:spacing w:after="100" w:afterAutospacing="1"/>
        <w:rPr>
          <w:noProof/>
        </w:rPr>
      </w:pPr>
      <w:r>
        <w:rPr>
          <w:noProof/>
        </w:rPr>
        <w:t xml:space="preserve">С политическото споразумение се позволява възстановяването на всички публични средства, използвани като държавни инструменти за стабилизация, както и на всички </w:t>
      </w:r>
      <w:r>
        <w:rPr>
          <w:noProof/>
        </w:rPr>
        <w:lastRenderedPageBreak/>
        <w:t>разумни разходи, направени от органа за преструктуриране във връзка с използването на инструменти или правомощия за преструктуриране. Това включва разходите, свързани с евентуални искове съгласно принципа за справедливо третиране на кредиторите.</w:t>
      </w:r>
    </w:p>
    <w:p>
      <w:pPr>
        <w:spacing w:after="100" w:afterAutospacing="1"/>
        <w:rPr>
          <w:noProof/>
        </w:rPr>
      </w:pPr>
      <w:r>
        <w:rPr>
          <w:noProof/>
        </w:rPr>
        <w:t>В политическото споразумение също така се изброяват основните източници за възстановяване.</w:t>
      </w:r>
    </w:p>
    <w:p>
      <w:pPr>
        <w:spacing w:after="100" w:afterAutospacing="1"/>
        <w:rPr>
          <w:noProof/>
        </w:rPr>
      </w:pPr>
      <w:r>
        <w:rPr>
          <w:noProof/>
        </w:rPr>
        <w:t>На последно място, за да се допълнят тези източници, с политическото споразумение се въвежда механизъм за „забавено принудително изпълнение“ на всички останали договорни задължения от заинтересовани страни по отношение на ЦК, по-специално клирингови членове или предприятия майки, които не биха подлежали на принудително изпълнение по време на процес на преструктуриране, при който са използвани публични средства. Според политическото споразумение такова частично принудително изпълнение се допуска, когато:</w:t>
      </w:r>
    </w:p>
    <w:p>
      <w:pPr>
        <w:pStyle w:val="Tiret0"/>
        <w:rPr>
          <w:noProof/>
        </w:rPr>
      </w:pPr>
      <w:r>
        <w:rPr>
          <w:noProof/>
        </w:rPr>
        <w:t>пълното изпълнение на неуредените договорни задължения не е възможно в разумен срок;</w:t>
      </w:r>
    </w:p>
    <w:p>
      <w:pPr>
        <w:pStyle w:val="Tiret0"/>
        <w:rPr>
          <w:noProof/>
        </w:rPr>
      </w:pPr>
      <w:r>
        <w:rPr>
          <w:noProof/>
        </w:rPr>
        <w:t>пълното изпълнение на неуредените договорни задължения би довело до значителни неблагоприятни последици за финансовата система или би насърчило разпространението на проблемите; или</w:t>
      </w:r>
    </w:p>
    <w:p>
      <w:pPr>
        <w:pStyle w:val="Tiret0"/>
        <w:rPr>
          <w:noProof/>
        </w:rPr>
      </w:pPr>
      <w:r>
        <w:rPr>
          <w:noProof/>
        </w:rPr>
        <w:t>прилагането на инструментите за преструктуриране би било по-подходящо за своевременното постигане на целите на преструктурирането.</w:t>
      </w:r>
    </w:p>
    <w:p>
      <w:pPr>
        <w:spacing w:after="100" w:afterAutospacing="1"/>
        <w:rPr>
          <w:noProof/>
        </w:rPr>
      </w:pPr>
      <w:r>
        <w:rPr>
          <w:noProof/>
        </w:rPr>
        <w:t>Органът за преструктуриране би могъл все пак да наложи принудително изпълнение на останалите договорни задължения с цел възстановяване на използваните публични средства до 18 месеца след момента, от който се счита, че ЦК не изпълнява или има вероятност да не изпълни задълженията си, ако причините за въздържане от принудително изпълнение на тези задължения вече не съществуват.</w:t>
      </w:r>
    </w:p>
    <w:p>
      <w:pPr>
        <w:spacing w:after="100" w:afterAutospacing="1"/>
        <w:rPr>
          <w:noProof/>
          <w:u w:val="single"/>
        </w:rPr>
      </w:pPr>
      <w:r>
        <w:rPr>
          <w:noProof/>
          <w:u w:val="single"/>
        </w:rPr>
        <w:t>Ж.</w:t>
      </w:r>
      <w:r>
        <w:rPr>
          <w:noProof/>
        </w:rPr>
        <w:tab/>
      </w:r>
      <w:r>
        <w:rPr>
          <w:noProof/>
          <w:u w:val="single"/>
        </w:rPr>
        <w:t>Третиране на ЦК като част от групи</w:t>
      </w:r>
    </w:p>
    <w:p>
      <w:pPr>
        <w:spacing w:after="100" w:afterAutospacing="1"/>
        <w:rPr>
          <w:noProof/>
        </w:rPr>
      </w:pPr>
      <w:r>
        <w:rPr>
          <w:noProof/>
        </w:rPr>
        <w:t>С политическото споразумение се премахва възможността за групови планове за възстановяване, но се засилва изискването властите да вземат предвид груповите взаимозависимости в контекста на оценката или разработването на планове за възстановяване и преструктуриране. По-специално с политическото споразумение от ЦК се изисква да разработят сценарии за възстановяване, съгласно които финансовата подкрепа, договорена с техните групи или предприятия майки, не би била на разположение.</w:t>
      </w:r>
    </w:p>
    <w:p>
      <w:pPr>
        <w:spacing w:after="100" w:afterAutospacing="1"/>
        <w:rPr>
          <w:noProof/>
          <w:u w:val="single"/>
        </w:rPr>
      </w:pPr>
      <w:r>
        <w:rPr>
          <w:noProof/>
          <w:u w:val="single"/>
        </w:rPr>
        <w:t>З.</w:t>
      </w:r>
      <w:r>
        <w:rPr>
          <w:noProof/>
        </w:rPr>
        <w:tab/>
      </w:r>
      <w:r>
        <w:rPr>
          <w:noProof/>
          <w:u w:val="single"/>
        </w:rPr>
        <w:t>Изменения на РЕПИ и други актове</w:t>
      </w:r>
    </w:p>
    <w:p>
      <w:pPr>
        <w:spacing w:after="100" w:afterAutospacing="1"/>
        <w:rPr>
          <w:noProof/>
        </w:rPr>
      </w:pPr>
      <w:r>
        <w:rPr>
          <w:noProof/>
        </w:rPr>
        <w:t>С политическото споразумение се въвеждат няколко изменения в действащи законодателни актове. Най-значимите от тях са следните:</w:t>
      </w:r>
    </w:p>
    <w:p>
      <w:pPr>
        <w:spacing w:after="100" w:afterAutospacing="1"/>
        <w:rPr>
          <w:i/>
          <w:noProof/>
        </w:rPr>
      </w:pPr>
      <w:r>
        <w:rPr>
          <w:i/>
          <w:noProof/>
        </w:rPr>
        <w:t>i.</w:t>
      </w:r>
      <w:r>
        <w:rPr>
          <w:noProof/>
        </w:rPr>
        <w:tab/>
      </w:r>
      <w:r>
        <w:rPr>
          <w:i/>
          <w:noProof/>
        </w:rPr>
        <w:t>Прекратяване (спиране) на задължението за клиринг</w:t>
      </w:r>
    </w:p>
    <w:p>
      <w:pPr>
        <w:spacing w:after="100" w:afterAutospacing="1"/>
        <w:rPr>
          <w:noProof/>
        </w:rPr>
      </w:pPr>
      <w:r>
        <w:rPr>
          <w:noProof/>
        </w:rPr>
        <w:lastRenderedPageBreak/>
        <w:t>В съответствие с прегледа на РЕПИ по Програмата за пригодност и резултатност на регулаторната рамка (REFIT)</w:t>
      </w:r>
      <w:r>
        <w:rPr>
          <w:rStyle w:val="FootnoteReference"/>
          <w:noProof/>
        </w:rPr>
        <w:footnoteReference w:id="9"/>
      </w:r>
      <w:r>
        <w:rPr>
          <w:noProof/>
        </w:rPr>
        <w:t>, с политическото споразумение РЕПИ се изменя  с цел да се позволи прекратяването не само на клиринга, но и на задълженията за търговия в случаите на преструктуриране.</w:t>
      </w:r>
    </w:p>
    <w:p>
      <w:pPr>
        <w:spacing w:after="100" w:afterAutospacing="1"/>
        <w:rPr>
          <w:i/>
          <w:noProof/>
        </w:rPr>
      </w:pPr>
      <w:r>
        <w:rPr>
          <w:i/>
          <w:noProof/>
        </w:rPr>
        <w:t>ii.</w:t>
      </w:r>
      <w:r>
        <w:rPr>
          <w:noProof/>
        </w:rPr>
        <w:tab/>
      </w:r>
      <w:r>
        <w:rPr>
          <w:i/>
          <w:noProof/>
        </w:rPr>
        <w:t>Базови (референтни) лихвени проценти</w:t>
      </w:r>
    </w:p>
    <w:p>
      <w:pPr>
        <w:spacing w:after="100" w:afterAutospacing="1"/>
        <w:rPr>
          <w:noProof/>
        </w:rPr>
      </w:pPr>
      <w:r>
        <w:rPr>
          <w:noProof/>
        </w:rPr>
        <w:t>С политическото споразумение се въвежда изменение на РЕПИ с цел да се премахнат задължението за клиринг или изискванията за допълнително обезпечение (маржин) към заварените сделки, ако тези сделки трябва да бъдат подновени единствено с цел прилагане или подготовка за прилагането на реформата на базовите лихвени проценти на Съвета за финансова стабилност</w:t>
      </w:r>
      <w:r>
        <w:rPr>
          <w:rStyle w:val="FootnoteReference"/>
          <w:noProof/>
        </w:rPr>
        <w:footnoteReference w:id="10"/>
      </w:r>
      <w:r>
        <w:rPr>
          <w:noProof/>
        </w:rPr>
        <w:t>.</w:t>
      </w:r>
    </w:p>
    <w:p>
      <w:pPr>
        <w:spacing w:after="100" w:afterAutospacing="1"/>
        <w:rPr>
          <w:noProof/>
        </w:rPr>
      </w:pPr>
      <w:r>
        <w:rPr>
          <w:noProof/>
        </w:rPr>
        <w:t>С това изменение се прилага международно споразумение, постигнато от Съвета за финансова стабилност, Базелския комитет за банков надзор и Международната организация на комисиите за ценни книжа, които препоръчват такова облекчение.</w:t>
      </w:r>
    </w:p>
    <w:p>
      <w:pPr>
        <w:spacing w:after="100" w:afterAutospacing="1"/>
        <w:rPr>
          <w:i/>
          <w:noProof/>
        </w:rPr>
      </w:pPr>
      <w:r>
        <w:rPr>
          <w:i/>
          <w:noProof/>
        </w:rPr>
        <w:t>iii.</w:t>
      </w:r>
      <w:r>
        <w:rPr>
          <w:noProof/>
        </w:rPr>
        <w:tab/>
      </w:r>
      <w:r>
        <w:rPr>
          <w:i/>
          <w:noProof/>
        </w:rPr>
        <w:t>Открит достъп</w:t>
      </w:r>
    </w:p>
    <w:p>
      <w:pPr>
        <w:spacing w:after="100" w:afterAutospacing="1"/>
        <w:rPr>
          <w:noProof/>
        </w:rPr>
      </w:pPr>
      <w:r>
        <w:rPr>
          <w:noProof/>
        </w:rPr>
        <w:t>С политическото споразумение се отлагат със задна дата разпоредбите за открит достъп на Регламента за пазарите на финансови инструменти (РПФИ) с една година</w:t>
      </w:r>
      <w:r>
        <w:rPr>
          <w:rStyle w:val="FootnoteReference"/>
          <w:noProof/>
        </w:rPr>
        <w:footnoteReference w:id="11"/>
      </w:r>
      <w:r>
        <w:rPr>
          <w:noProof/>
        </w:rPr>
        <w:t>.</w:t>
      </w:r>
    </w:p>
    <w:p>
      <w:pPr>
        <w:spacing w:after="100" w:afterAutospacing="1"/>
        <w:rPr>
          <w:noProof/>
        </w:rPr>
      </w:pPr>
      <w:r>
        <w:rPr>
          <w:noProof/>
        </w:rPr>
        <w:t>С РПФИ се въвежда недискриминационен режим на открит достъп до местата за търговия и ЦК за борсово търгуваните деривати (БТД). Основната цел на изискването за открит достъп е да се прекрати използването на затворени информационни системи от предприятията за инфраструктура за търговия и клиринговите инфраструктурни предприятия и да се улесни конкуренцията. Изключително важно е, че с правилата за открит достъп на РПФИ също така са добавени множество временни преходни периоди и възможности за отказ от участие, което представлява освобождаване от задължението за прилагане на правата за достъп. Като цяло съгласно член 54, параграф 2 от РПФИ на националните компетентни органи се предоставя възможността временно да освободят местата за търговия и ЦК от задължението за прилагане на разпоредбите за достъп на РПФИ за БТД. Посоченият в този член 30-месечен преходен период е използван и щеше приключи на 3 юли 2020 г.</w:t>
      </w:r>
    </w:p>
    <w:p>
      <w:pPr>
        <w:spacing w:after="100" w:afterAutospacing="1"/>
        <w:rPr>
          <w:noProof/>
        </w:rPr>
      </w:pPr>
      <w:r>
        <w:rPr>
          <w:noProof/>
        </w:rPr>
        <w:t xml:space="preserve">Това отлагане следва да се разглежда в контекста на ефектите върху финансовите пазари от настоящата пандемична криза. На 11 юни ЕОЦКП издаде публично изявление с цел да разясни прилагането на разпоредбите за открит достъп на РПФИ на фона на последните неблагоприятни събития, свързани с COVID-19. Другата му цел бе да координира надзорните действия на националните компетентни органи, като посочи въпросите, които те следва да вземат предвид при оценката на исканията за открит </w:t>
      </w:r>
      <w:r>
        <w:rPr>
          <w:noProof/>
        </w:rPr>
        <w:lastRenderedPageBreak/>
        <w:t xml:space="preserve">достъп. Според ЕОЦКП настоящата пазарна среда, която се характеризира с висока степен на несигурност и нестабилност поради пандемията от COVID-19, може да повлияе отрицателно на дейността на ЦК и местата за търговия, като увеличи техния оперативен риск. Този повишен риск, съчетан с ограничен капацитет за оценка на исканията за достъп и за управление на миграцията на потоците от трансакции, може да повлияе на правилното функциониране на пазарите или на финансовата стабилност. ЕОЦКП очаква при вземането на решения по искания за отворен достъп националните компетентни органи да вземат предвид, доколкото е уместно, съответните неблагоприятни събития. С политическото споразумение в съображенията на законодателния акт се излагат </w:t>
      </w:r>
      <w:r>
        <w:rPr>
          <w:noProof/>
          <w:color w:val="000000"/>
          <w:u w:color="000000"/>
          <w:bdr w:val="nil"/>
        </w:rPr>
        <w:t>мотиви за отлагането във връзка както с неблагоприятните последици, произтичащи от ситуацията с COVID-19, така и с начина, по който са взети предвид оправданите правни очаквания на пазарните участници.</w:t>
      </w:r>
    </w:p>
    <w:p>
      <w:pPr>
        <w:spacing w:after="100" w:afterAutospacing="1"/>
        <w:rPr>
          <w:noProof/>
        </w:rPr>
      </w:pPr>
      <w:r>
        <w:rPr>
          <w:noProof/>
        </w:rPr>
        <w:t>В този контекст Комисията отбелязва факта, че с политическото споразумение са включени разпоредби, свързани с изискванията за открит достъп съгласно членове 35 и 36 от РПФИ. Тези разпоредби не бяха включени в първоначалното предложение на Комисията. Според Комисията тези разпоредби не са изцяло в съответствие с институционалната рамка на ЕС, по-специално с правото на инициатива на Комисията, и не могат да представляват прецедент за бъдещи преговори.</w:t>
      </w:r>
    </w:p>
    <w:p>
      <w:pPr>
        <w:spacing w:after="100" w:afterAutospacing="1"/>
        <w:rPr>
          <w:noProof/>
        </w:rPr>
      </w:pPr>
      <w:r>
        <w:rPr>
          <w:noProof/>
        </w:rPr>
        <w:t>Тъй като разглежданите изменения на РПФИ не водят до съществена промяна на политиката, а по-скоро се отнасят до краткосрочно отлагане на разпоредбите на РПФИ относно достъпа, в този случай Комисията няма да възпрепятства приемането им. Това не засяга политиките, които Комисията може евентуално да предложи по този въпрос в бъдеще.</w:t>
      </w:r>
    </w:p>
    <w:p>
      <w:pPr>
        <w:spacing w:after="100" w:afterAutospacing="1"/>
        <w:rPr>
          <w:noProof/>
          <w:u w:val="single"/>
        </w:rPr>
      </w:pPr>
      <w:r>
        <w:rPr>
          <w:noProof/>
          <w:u w:val="single"/>
        </w:rPr>
        <w:t>И.</w:t>
      </w:r>
      <w:r>
        <w:rPr>
          <w:noProof/>
        </w:rPr>
        <w:tab/>
      </w:r>
      <w:r>
        <w:rPr>
          <w:noProof/>
          <w:u w:val="single"/>
        </w:rPr>
        <w:t>Заключителни разпоредби, влизане в сила и клауза за преглед</w:t>
      </w:r>
    </w:p>
    <w:p>
      <w:pPr>
        <w:spacing w:after="100" w:afterAutospacing="1"/>
        <w:rPr>
          <w:noProof/>
        </w:rPr>
      </w:pPr>
      <w:r>
        <w:rPr>
          <w:noProof/>
        </w:rPr>
        <w:t>С политическото споразумение се въвеждат следните клаузи за преглед:</w:t>
      </w:r>
    </w:p>
    <w:p>
      <w:pPr>
        <w:pStyle w:val="Tiret0"/>
        <w:rPr>
          <w:noProof/>
        </w:rPr>
      </w:pPr>
      <w:r>
        <w:rPr>
          <w:noProof/>
        </w:rPr>
        <w:t xml:space="preserve">До </w:t>
      </w:r>
      <w:r>
        <w:rPr>
          <w:noProof/>
          <w:u w:val="single"/>
        </w:rPr>
        <w:t>31 декември 2021 г.</w:t>
      </w:r>
      <w:r>
        <w:rPr>
          <w:noProof/>
        </w:rPr>
        <w:t>: преглед на прилагането на инструмента за обезценяване и преобразуване в случай на преструктуриране на ЦК в комбинация с други инструменти за преструктуриране, които водят до финансови загуби от страна на клиринговите членове. Настоящата клауза за преглед има за цел да се вземе предвид евентуалният напредък на равнището на Съвета за финансова стабилност по отношение на третирането на собствения капитал на ЦК при преструктуриране.</w:t>
      </w:r>
    </w:p>
    <w:p>
      <w:pPr>
        <w:pStyle w:val="Tiret0"/>
        <w:rPr>
          <w:noProof/>
        </w:rPr>
      </w:pPr>
      <w:r>
        <w:rPr>
          <w:noProof/>
          <w:u w:val="single"/>
        </w:rPr>
        <w:t>След 5 години</w:t>
      </w:r>
      <w:r>
        <w:rPr>
          <w:noProof/>
        </w:rPr>
        <w:t>: общ преглед на законодателството, по-специално „дали са подходящи и достатъчни финансовите ресурси, с които разполага органът за преструктуриране за покриване на загуби, породени от събитие, несвързано с неизпълнение; б) размера на собствените ресурси на ЦК, които да се използват при възстановяване и при преструктуриране, и начините за използването им; в) дали са подходящи инструментите за преструктуриране, с които разполага органът за преструктуриране“.</w:t>
      </w:r>
    </w:p>
    <w:p>
      <w:pPr>
        <w:pStyle w:val="Tiret0"/>
        <w:rPr>
          <w:noProof/>
        </w:rPr>
      </w:pPr>
      <w:r>
        <w:rPr>
          <w:noProof/>
          <w:u w:val="single"/>
        </w:rPr>
        <w:t>След 6,5 години</w:t>
      </w:r>
      <w:r>
        <w:rPr>
          <w:noProof/>
        </w:rPr>
        <w:t>: преглед на правилата за управление при възстановяване и преструктуриране на ЦК в Съюза.</w:t>
      </w:r>
    </w:p>
    <w:p>
      <w:pPr>
        <w:spacing w:after="100" w:afterAutospacing="1"/>
        <w:rPr>
          <w:noProof/>
        </w:rPr>
      </w:pPr>
      <w:r>
        <w:rPr>
          <w:noProof/>
        </w:rPr>
        <w:t>Предвижда се поетапно влизане в сила на политическото споразумение, за да се вземат предвид сроковете, определени за разработване на технически стандарти и насоки от страна на ЕОЦКП, при което:</w:t>
      </w:r>
    </w:p>
    <w:p>
      <w:pPr>
        <w:pStyle w:val="Tiret0"/>
        <w:rPr>
          <w:noProof/>
        </w:rPr>
      </w:pPr>
      <w:r>
        <w:rPr>
          <w:noProof/>
        </w:rPr>
        <w:lastRenderedPageBreak/>
        <w:t>Разпоредбите относно плановете за възстановяване, техните оценки и свързания с тях процес на вземане на решения ще бъдат приложими след 12 месеца;</w:t>
      </w:r>
    </w:p>
    <w:p>
      <w:pPr>
        <w:pStyle w:val="Tiret0"/>
        <w:rPr>
          <w:noProof/>
        </w:rPr>
      </w:pPr>
      <w:r>
        <w:rPr>
          <w:noProof/>
        </w:rPr>
        <w:t>Всички разпоредби, свързани с преструктурирането на ЦК, ще бъдат приложими след 18 месеца; както и</w:t>
      </w:r>
    </w:p>
    <w:p>
      <w:pPr>
        <w:pStyle w:val="Tiret0"/>
        <w:rPr>
          <w:noProof/>
        </w:rPr>
      </w:pPr>
      <w:r>
        <w:rPr>
          <w:noProof/>
        </w:rPr>
        <w:t>Разпоредбите, с които се определят второто собствено участие и компенсационният механизъм за използването на намаляване на стойността на печалбите от вариационните маржини за покриване на загуби при възстановяване, които не са свързани с неизпълнение, ще бъдат приложими след 24 месеца.</w:t>
      </w:r>
    </w:p>
    <w:p>
      <w:pPr>
        <w:pStyle w:val="ManualHeading1"/>
        <w:rPr>
          <w:noProof/>
        </w:rPr>
      </w:pPr>
      <w:r>
        <w:rPr>
          <w:noProof/>
        </w:rPr>
        <w:t>5.</w:t>
      </w:r>
      <w:r>
        <w:rPr>
          <w:noProof/>
        </w:rPr>
        <w:tab/>
        <w:t>Заключение</w:t>
      </w:r>
    </w:p>
    <w:p>
      <w:pPr>
        <w:keepNext/>
        <w:rPr>
          <w:noProof/>
        </w:rPr>
      </w:pPr>
      <w:r>
        <w:rPr>
          <w:noProof/>
        </w:rPr>
        <w:t>Комисията подкрепя резултатите от междуинституционалните преговори и следователно може да приеме позицията на Съвета на първо четене. Тя обаче изразява своите институционални опасения, посочени в раздел З, точка iii.</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rPr>
          <w:lang w:val="ru-RU"/>
        </w:rPr>
      </w:pPr>
      <w:r>
        <w:rPr>
          <w:rStyle w:val="FootnoteReference"/>
        </w:rPr>
        <w:footnoteRef/>
      </w:r>
      <w:r>
        <w:tab/>
        <w:t xml:space="preserve">Терминът „участници в клиринга“ означава „клирингови членове“ и „клиенти“. </w:t>
      </w:r>
      <w:r>
        <w:rPr>
          <w:lang w:val="ru-RU"/>
        </w:rPr>
        <w:t>Съгласно Регламента за европейската пазарна инфраструктура</w:t>
      </w:r>
      <w:r>
        <w:t> </w:t>
      </w:r>
      <w:r>
        <w:rPr>
          <w:lang w:val="ru-RU"/>
        </w:rPr>
        <w:t>(РЕПИ) „клирингов член“ означава предприятие, което участва в ЦК и което е отговорно за изпълнението на финансовите задължения, произтичащи от това участие, а „клиент“ означава предприятие, намиращо се в договорни отношения с клирингов член на ЦК, вследствие на което това предприятие може да осъществява клиринг на своите трансакции с този ЦК.</w:t>
      </w:r>
    </w:p>
  </w:footnote>
  <w:footnote w:id="2">
    <w:p>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footnote>
  <w:footnote w:id="3">
    <w:p>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трансакции.</w:t>
      </w:r>
    </w:p>
  </w:footnote>
  <w:footnote w:id="4">
    <w:p>
      <w:pPr>
        <w:pStyle w:val="FootnoteText"/>
      </w:pPr>
      <w:r>
        <w:rPr>
          <w:rStyle w:val="FootnoteReference"/>
        </w:rPr>
        <w:footnoteRef/>
      </w:r>
      <w: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w:t>
      </w:r>
    </w:p>
  </w:footnote>
  <w:footnote w:id="5">
    <w:p>
      <w:pPr>
        <w:pStyle w:val="FootnoteText"/>
      </w:pPr>
      <w:r>
        <w:rPr>
          <w:rStyle w:val="FootnoteReference"/>
        </w:rPr>
        <w:footnoteRef/>
      </w:r>
      <w:r>
        <w:tab/>
        <w:t>Ключови характеристики на ефективните режими за преструктуриране на финансови институции, 15 октомври 2014 г.</w:t>
      </w:r>
    </w:p>
    <w:p>
      <w:pPr>
        <w:pStyle w:val="FootnoteText"/>
        <w:ind w:firstLine="0"/>
      </w:pPr>
      <w:hyperlink r:id="rId1" w:history="1">
        <w:r>
          <w:rPr>
            <w:rStyle w:val="Hyperlink"/>
          </w:rPr>
          <w:t>https://www.fsb.org/wp-content/uploads/r_141015.pdf</w:t>
        </w:r>
      </w:hyperlink>
      <w:r>
        <w:t xml:space="preserve"> </w:t>
      </w:r>
    </w:p>
  </w:footnote>
  <w:footnote w:id="6">
    <w:p>
      <w:pPr>
        <w:pStyle w:val="FootnoteText"/>
      </w:pPr>
      <w:r>
        <w:rPr>
          <w:rStyle w:val="FootnoteReference"/>
        </w:rPr>
        <w:footnoteRef/>
      </w:r>
      <w:r>
        <w:tab/>
        <w:t>Насоки за преструктуриране и планиране на преструктурирането на централните контрагенти, 5 юли 2017 г.</w:t>
      </w:r>
    </w:p>
    <w:p>
      <w:pPr>
        <w:pStyle w:val="FootnoteText"/>
        <w:ind w:firstLine="0"/>
      </w:pPr>
      <w:hyperlink r:id="rId2" w:history="1">
        <w:r>
          <w:rPr>
            <w:rStyle w:val="Hyperlink"/>
          </w:rPr>
          <w:t>https://www.fsb.org/wp-content/uploads/P050717-1.pdf</w:t>
        </w:r>
      </w:hyperlink>
      <w:r>
        <w:t xml:space="preserve"> </w:t>
      </w:r>
    </w:p>
  </w:footnote>
  <w:footnote w:id="7">
    <w:p>
      <w:pPr>
        <w:pStyle w:val="FootnoteText"/>
      </w:pPr>
      <w:r>
        <w:rPr>
          <w:rStyle w:val="FootnoteReference"/>
        </w:rPr>
        <w:footnoteRef/>
      </w:r>
      <w:r>
        <w:tab/>
        <w:t>Регламент (ЕС) 2019/2099 на Европейския парламент и на Съвета от 23 октомври 2019 г. за изменение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footnote>
  <w:footnote w:id="8">
    <w:p>
      <w:pPr>
        <w:pStyle w:val="FootnoteText"/>
        <w:rPr>
          <w:lang w:val="ru-RU"/>
        </w:rPr>
      </w:pPr>
      <w:r>
        <w:rPr>
          <w:rStyle w:val="FootnoteReference"/>
        </w:rPr>
        <w:footnoteRef/>
      </w:r>
      <w:r>
        <w:rPr>
          <w:lang w:val="ru-RU"/>
        </w:rPr>
        <w:tab/>
        <w:t>За цялостно или частично покриване на изискваното второ собствено участие може да се използва прагът за уведомяване, посочен в член</w:t>
      </w:r>
      <w:r>
        <w:t> </w:t>
      </w:r>
      <w:r>
        <w:rPr>
          <w:lang w:val="ru-RU"/>
        </w:rPr>
        <w:t>1, параграф</w:t>
      </w:r>
      <w:r>
        <w:t> </w:t>
      </w:r>
      <w:r>
        <w:rPr>
          <w:lang w:val="ru-RU"/>
        </w:rPr>
        <w:t>3 от Делегиран регламент</w:t>
      </w:r>
      <w:r>
        <w:t> </w:t>
      </w:r>
      <w:r>
        <w:rPr>
          <w:lang w:val="ru-RU"/>
        </w:rPr>
        <w:t>(ЕС) №</w:t>
      </w:r>
      <w:r>
        <w:t> </w:t>
      </w:r>
      <w:r>
        <w:rPr>
          <w:lang w:val="ru-RU"/>
        </w:rPr>
        <w:t>152/2013 на Комисията от 19</w:t>
      </w:r>
      <w:r>
        <w:t> </w:t>
      </w:r>
      <w:r>
        <w:rPr>
          <w:lang w:val="ru-RU"/>
        </w:rPr>
        <w:t>декември 2012</w:t>
      </w:r>
      <w:r>
        <w:t> </w:t>
      </w:r>
      <w:r>
        <w:rPr>
          <w:lang w:val="ru-RU"/>
        </w:rPr>
        <w:t>г. за допълнение на Регламент</w:t>
      </w:r>
      <w:r>
        <w:t> </w:t>
      </w:r>
      <w:r>
        <w:rPr>
          <w:lang w:val="ru-RU"/>
        </w:rPr>
        <w:t>(ЕС) №</w:t>
      </w:r>
      <w:r>
        <w:t> </w:t>
      </w:r>
      <w:r>
        <w:rPr>
          <w:lang w:val="ru-RU"/>
        </w:rPr>
        <w:t>648/2012 на Европейския парламент и на Съвета във връзка с регулаторните технически стандарти относно капиталовите изисквания за централните контрагенти.</w:t>
      </w:r>
    </w:p>
  </w:footnote>
  <w:footnote w:id="9">
    <w:p>
      <w:pPr>
        <w:pStyle w:val="FootnoteText"/>
        <w:rPr>
          <w:lang w:val="ru-RU"/>
        </w:rPr>
      </w:pPr>
      <w:r>
        <w:rPr>
          <w:rStyle w:val="FootnoteReference"/>
        </w:rPr>
        <w:footnoteRef/>
      </w:r>
      <w:r>
        <w:rPr>
          <w:lang w:val="ru-RU"/>
        </w:rPr>
        <w:tab/>
        <w:t>Регламент</w:t>
      </w:r>
      <w:r>
        <w:t> </w:t>
      </w:r>
      <w:r>
        <w:rPr>
          <w:lang w:val="ru-RU"/>
        </w:rPr>
        <w:t>(</w:t>
      </w:r>
      <w:r>
        <w:t>E</w:t>
      </w:r>
      <w:r>
        <w:rPr>
          <w:lang w:val="ru-RU"/>
        </w:rPr>
        <w:t>С) 2019/834 на Европейския парламент и на Съвета от 20</w:t>
      </w:r>
      <w:r>
        <w:t> </w:t>
      </w:r>
      <w:r>
        <w:rPr>
          <w:lang w:val="ru-RU"/>
        </w:rPr>
        <w:t>май 2019</w:t>
      </w:r>
      <w:r>
        <w:t> </w:t>
      </w:r>
      <w:r>
        <w:rPr>
          <w:lang w:val="ru-RU"/>
        </w:rPr>
        <w:t>г. за изменение на Регламент</w:t>
      </w:r>
      <w:r>
        <w:t> </w:t>
      </w:r>
      <w:r>
        <w:rPr>
          <w:lang w:val="ru-RU"/>
        </w:rPr>
        <w:t>(ЕС) №</w:t>
      </w:r>
      <w:r>
        <w:t> </w:t>
      </w:r>
      <w:r>
        <w:rPr>
          <w:lang w:val="ru-RU"/>
        </w:rPr>
        <w:t>648/2012 по отношение на задължението за клиринг, прекратяването на задължението за клиринг, изискванията за отчитане, техниките за намаляване на риска за договорите за извънборсови деривати, които не са преминали клиринг чрез централен контрагент, регистрацията и надзора на регистрите на транзакции, както и изискванията за регистрите на трансакции.</w:t>
      </w:r>
    </w:p>
  </w:footnote>
  <w:footnote w:id="10">
    <w:p>
      <w:pPr>
        <w:pStyle w:val="FootnoteText"/>
      </w:pPr>
      <w:r>
        <w:rPr>
          <w:rStyle w:val="FootnoteReference"/>
        </w:rPr>
        <w:footnoteRef/>
      </w:r>
      <w:r>
        <w:tab/>
      </w:r>
      <w:hyperlink r:id="rId3" w:history="1">
        <w:r>
          <w:rPr>
            <w:rStyle w:val="Hyperlink"/>
          </w:rPr>
          <w:t>https://www.fsb.org/work-of-the-fsb/policy-development/additional-policy-areas/financial-benchmarks/</w:t>
        </w:r>
      </w:hyperlink>
      <w:r>
        <w:t xml:space="preserve"> </w:t>
      </w:r>
    </w:p>
  </w:footnote>
  <w:footnote w:id="11">
    <w:p>
      <w:pPr>
        <w:pStyle w:val="FootnoteText"/>
      </w:pPr>
      <w:r>
        <w:rPr>
          <w:rStyle w:val="FootnoteReference"/>
        </w:rPr>
        <w:footnoteRef/>
      </w:r>
      <w:r>
        <w:tab/>
        <w:t>Регламент (ЕС) № 600/2014 на Европейския парламент и на Съвета от 15 май 2014 г. относно пазарите на финансови инструменти и за изменение на Регламент (ЕС) № 648/2012.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A5B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A1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705C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478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E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4E9D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C266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204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6CA43444"/>
    <w:lvl w:ilvl="0" w:tplc="FFFFFFFF">
      <w:start w:val="1"/>
      <w:numFmt w:val="decimal"/>
      <w:pStyle w:val="Briefinglist1"/>
      <w:lvlText w:val="%1."/>
      <w:lvlJc w:val="left"/>
      <w:pPr>
        <w:tabs>
          <w:tab w:val="num" w:pos="284"/>
        </w:tabs>
        <w:ind w:left="284" w:hanging="284"/>
      </w:pPr>
      <w:rPr>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6 12:13: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7C9BCF-B18F-4BE2-9AF7-84D8B0C377D5"/>
    <w:docVar w:name="LW_COVERPAGE_TYPE" w:val="1"/>
    <w:docVar w:name="LW_CROSSREFERENCE" w:val="&lt;UNUSED&gt;"/>
    <w:docVar w:name="LW_DocType" w:val="COM"/>
    <w:docVar w:name="LW_EMISSION" w:val="18.11.2020"/>
    <w:docVar w:name="LW_EMISSION_ISODATE" w:val="2020-11-18"/>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5"/>
    <w:docVar w:name="LW_REF.II.NEW.CP_YEAR" w:val="2016"/>
    <w:docVar w:name="LW_REF.INST.NEW" w:val="COM"/>
    <w:docVar w:name="LW_REF.INST.NEW_ADOPTED" w:val="final"/>
    <w:docVar w:name="LW_REF.INST.NEW_TEXT" w:val="(2020) 6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87?\u1086?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88?\u1072?\u1084?\u1082?\u1072? \u1079?\u1072? \u1074?\u1098?\u1079?\u1089?\u1090?\u1072?\u1085?\u1086?\u1074?\u1103?\u1074?\u1072?\u1085?\u1077? \u1080? \u1087?\u1088?\u1077?\u1089?\u1090?\u1088?\u1091?\u1082?\u1090?\u1091?\u1088?\u1080?\u1088?\u1072?\u1085?\u1077? \u1085?\u1072? \u1094?\u1077?\u1085?\u1090?\u1088?\u1072?\u1083?\u1085?\u1080? \u1082?\u1086?\u1085?\u1090?\u1088?\u1072?\u1075?\u1077?\u1085?\u1090?\u1080? \u1080? \u1079?\u1072? \u1080?\u1079?\u1084?\u1077?\u1085?\u1077?\u1085?\u1080?\u1077? \u1085?\u1072? \u1088?\u1077?\u1075?\u1083?\u1072?\u1084?\u1077?\u1085?\u1090?\u1080? (\u1045?\u1057?) \u8470? 1095/2010, (\u1045?\u1057?) \u8470? 648/2012 \u1080? (\u1045?\u1057?) 2015/2365"/>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Date">
    <w:name w:val="Date"/>
    <w:basedOn w:val="Normal"/>
    <w:next w:val="Normal"/>
    <w:link w:val="DateChar"/>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Date">
    <w:name w:val="Date"/>
    <w:basedOn w:val="Normal"/>
    <w:next w:val="Normal"/>
    <w:link w:val="DateChar"/>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569">
      <w:bodyDiv w:val="1"/>
      <w:marLeft w:val="0"/>
      <w:marRight w:val="0"/>
      <w:marTop w:val="0"/>
      <w:marBottom w:val="0"/>
      <w:divBdr>
        <w:top w:val="none" w:sz="0" w:space="0" w:color="auto"/>
        <w:left w:val="none" w:sz="0" w:space="0" w:color="auto"/>
        <w:bottom w:val="none" w:sz="0" w:space="0" w:color="auto"/>
        <w:right w:val="none" w:sz="0" w:space="0" w:color="auto"/>
      </w:divBdr>
    </w:div>
    <w:div w:id="761342540">
      <w:bodyDiv w:val="1"/>
      <w:marLeft w:val="0"/>
      <w:marRight w:val="0"/>
      <w:marTop w:val="0"/>
      <w:marBottom w:val="0"/>
      <w:divBdr>
        <w:top w:val="none" w:sz="0" w:space="0" w:color="auto"/>
        <w:left w:val="none" w:sz="0" w:space="0" w:color="auto"/>
        <w:bottom w:val="none" w:sz="0" w:space="0" w:color="auto"/>
        <w:right w:val="none" w:sz="0" w:space="0" w:color="auto"/>
      </w:divBdr>
    </w:div>
    <w:div w:id="8691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sb.org/work-of-the-fsb/policy-development/additional-policy-areas/financial-benchmarks/" TargetMode="External"/><Relationship Id="rId2" Type="http://schemas.openxmlformats.org/officeDocument/2006/relationships/hyperlink" Target="https://www.fsb.org/wp-content/uploads/P050717-1.pdf" TargetMode="External"/><Relationship Id="rId1" Type="http://schemas.openxmlformats.org/officeDocument/2006/relationships/hyperlink" Target="https://www.fsb.org/wp-content/uploads/r_141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7709-FFB4-4BDA-BDE1-628CF446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4066</Words>
  <Characters>24809</Characters>
  <Application>Microsoft Office Word</Application>
  <DocSecurity>0</DocSecurity>
  <Lines>443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2020-11-06T10:24:00Z</dcterms:created>
  <dcterms:modified xsi:type="dcterms:W3CDTF">2020-11-16T11:13:00Z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