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eastAsia="en-GB"/>
        </w:rPr>
      </w:pPr>
      <w:bookmarkStart w:id="0" w:name="LW_BM_COVERPAGE"/>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31246F88-0D29-4AC6-B474-6BB995E9574E" style="width:450.7pt;height:458.1pt">
            <v:imagedata r:id="rId9" o:title=""/>
          </v:shape>
        </w:pict>
      </w:r>
    </w:p>
    <w:bookmarkEnd w:id="0"/>
    <w:p>
      <w:pPr>
        <w:rPr>
          <w:noProof/>
          <w:lang w:eastAsia="en-GB"/>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after="0"/>
        <w:jc w:val="center"/>
        <w:rPr>
          <w:rFonts w:ascii="Times New Roman" w:hAnsi="Times New Roman"/>
          <w:noProof/>
          <w:sz w:val="20"/>
          <w:szCs w:val="20"/>
          <w:lang w:eastAsia="en-GB"/>
        </w:rPr>
      </w:pPr>
      <w:bookmarkStart w:id="1" w:name="_GoBack"/>
      <w:bookmarkEnd w:id="1"/>
      <w:r>
        <w:rPr>
          <w:rFonts w:ascii="Times New Roman" w:hAnsi="Times New Roman"/>
          <w:noProof/>
          <w:sz w:val="20"/>
          <w:szCs w:val="20"/>
          <w:lang w:eastAsia="en-GB"/>
        </w:rPr>
        <w:lastRenderedPageBreak/>
        <w:drawing>
          <wp:inline distT="0" distB="0" distL="0" distR="0">
            <wp:extent cx="1816735" cy="884555"/>
            <wp:effectExtent l="0" t="0" r="0" b="0"/>
            <wp:docPr id="175" name="Picture 175" descr="logo_ec_17_colors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c_17_colors_300dp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6735" cy="884555"/>
                    </a:xfrm>
                    <a:prstGeom prst="rect">
                      <a:avLst/>
                    </a:prstGeom>
                    <a:noFill/>
                    <a:ln>
                      <a:noFill/>
                    </a:ln>
                  </pic:spPr>
                </pic:pic>
              </a:graphicData>
            </a:graphic>
          </wp:inline>
        </w:drawing>
      </w:r>
    </w:p>
    <w:tbl>
      <w:tblPr>
        <w:tblW w:w="10439" w:type="dxa"/>
        <w:jc w:val="center"/>
        <w:tblLook w:val="04A0" w:firstRow="1" w:lastRow="0" w:firstColumn="1" w:lastColumn="0" w:noHBand="0" w:noVBand="1"/>
      </w:tblPr>
      <w:tblGrid>
        <w:gridCol w:w="4430"/>
        <w:gridCol w:w="1375"/>
        <w:gridCol w:w="4634"/>
      </w:tblGrid>
      <w:tr>
        <w:trPr>
          <w:trHeight w:val="489"/>
          <w:jc w:val="center"/>
        </w:trPr>
        <w:tc>
          <w:tcPr>
            <w:tcW w:w="4455" w:type="dxa"/>
            <w:shd w:val="clear" w:color="auto" w:fill="0F5494"/>
          </w:tcPr>
          <w:p>
            <w:pPr>
              <w:spacing w:after="0" w:line="240" w:lineRule="auto"/>
              <w:ind w:left="353" w:hanging="35"/>
              <w:rPr>
                <w:rFonts w:ascii="Times New Roman" w:hAnsi="Times New Roman"/>
                <w:noProof/>
                <w:sz w:val="20"/>
                <w:szCs w:val="20"/>
              </w:rPr>
            </w:pPr>
          </w:p>
        </w:tc>
        <w:tc>
          <w:tcPr>
            <w:tcW w:w="1322" w:type="dxa"/>
            <w:hideMark/>
          </w:tcPr>
          <w:p>
            <w:pPr>
              <w:shd w:val="clear" w:color="auto" w:fill="FFFFFF"/>
              <w:spacing w:after="0" w:line="240" w:lineRule="auto"/>
              <w:ind w:left="-95" w:hanging="13"/>
              <w:rPr>
                <w:rFonts w:ascii="Times New Roman" w:hAnsi="Times New Roman"/>
                <w:noProof/>
                <w:sz w:val="20"/>
                <w:szCs w:val="20"/>
              </w:rPr>
            </w:pPr>
            <w:r>
              <w:rPr>
                <w:rFonts w:ascii="Times New Roman" w:hAnsi="Times New Roman"/>
                <w:b/>
                <w:noProof/>
                <w:sz w:val="24"/>
                <w:szCs w:val="24"/>
                <w:shd w:val="clear" w:color="auto" w:fill="FFFFFF"/>
              </w:rPr>
              <w:t>European</w:t>
            </w:r>
          </w:p>
          <w:p>
            <w:pPr>
              <w:shd w:val="clear" w:color="auto" w:fill="FFFFFF"/>
              <w:spacing w:after="0" w:line="240" w:lineRule="auto"/>
              <w:ind w:left="-95" w:hanging="13"/>
              <w:rPr>
                <w:rFonts w:ascii="Times New Roman" w:hAnsi="Times New Roman"/>
                <w:noProof/>
                <w:sz w:val="20"/>
                <w:szCs w:val="20"/>
              </w:rPr>
            </w:pPr>
            <w:r>
              <w:rPr>
                <w:rFonts w:ascii="Times New Roman" w:hAnsi="Times New Roman"/>
                <w:b/>
                <w:noProof/>
                <w:sz w:val="24"/>
                <w:szCs w:val="24"/>
                <w:shd w:val="clear" w:color="auto" w:fill="FFFFFF"/>
              </w:rPr>
              <w:t>Commission</w:t>
            </w:r>
          </w:p>
        </w:tc>
        <w:tc>
          <w:tcPr>
            <w:tcW w:w="4662" w:type="dxa"/>
            <w:shd w:val="clear" w:color="auto" w:fill="0F5494"/>
          </w:tcPr>
          <w:p>
            <w:pPr>
              <w:spacing w:after="0" w:line="240" w:lineRule="auto"/>
              <w:rPr>
                <w:rFonts w:ascii="Times New Roman" w:hAnsi="Times New Roman"/>
                <w:noProof/>
                <w:sz w:val="20"/>
                <w:szCs w:val="20"/>
              </w:rPr>
            </w:pPr>
          </w:p>
        </w:tc>
      </w:tr>
      <w:tr>
        <w:trPr>
          <w:trHeight w:val="11717"/>
          <w:jc w:val="center"/>
        </w:trPr>
        <w:tc>
          <w:tcPr>
            <w:tcW w:w="10439" w:type="dxa"/>
            <w:gridSpan w:val="3"/>
            <w:shd w:val="clear" w:color="auto" w:fill="0F5494"/>
          </w:tcPr>
          <w:p>
            <w:pPr>
              <w:spacing w:after="0" w:line="240" w:lineRule="auto"/>
              <w:rPr>
                <w:rFonts w:ascii="Times New Roman" w:hAnsi="Times New Roman"/>
                <w:noProof/>
                <w:color w:val="FFFFFF"/>
                <w:sz w:val="56"/>
                <w:szCs w:val="56"/>
              </w:rPr>
            </w:pPr>
          </w:p>
          <w:p>
            <w:pPr>
              <w:spacing w:after="0" w:line="240" w:lineRule="auto"/>
              <w:rPr>
                <w:rFonts w:ascii="Times New Roman" w:hAnsi="Times New Roman"/>
                <w:noProof/>
                <w:color w:val="FFFFFF"/>
                <w:sz w:val="56"/>
                <w:szCs w:val="56"/>
              </w:rPr>
            </w:pPr>
          </w:p>
          <w:p>
            <w:pPr>
              <w:spacing w:after="0" w:line="240" w:lineRule="auto"/>
              <w:rPr>
                <w:rFonts w:ascii="Times New Roman" w:hAnsi="Times New Roman"/>
                <w:noProof/>
                <w:color w:val="FFFFFF"/>
                <w:sz w:val="56"/>
                <w:szCs w:val="56"/>
              </w:rPr>
            </w:pPr>
          </w:p>
          <w:p>
            <w:pPr>
              <w:spacing w:after="0" w:line="240" w:lineRule="auto"/>
              <w:rPr>
                <w:rFonts w:ascii="Times New Roman" w:hAnsi="Times New Roman"/>
                <w:noProof/>
                <w:color w:val="FFFFFF"/>
                <w:sz w:val="56"/>
                <w:szCs w:val="56"/>
              </w:rPr>
            </w:pPr>
          </w:p>
          <w:p>
            <w:pPr>
              <w:spacing w:after="0" w:line="240" w:lineRule="auto"/>
              <w:rPr>
                <w:rFonts w:ascii="Times New Roman" w:hAnsi="Times New Roman"/>
                <w:noProof/>
                <w:color w:val="FFFFFF"/>
                <w:sz w:val="56"/>
                <w:szCs w:val="56"/>
              </w:rPr>
            </w:pPr>
          </w:p>
          <w:p>
            <w:pPr>
              <w:spacing w:after="0" w:line="240" w:lineRule="auto"/>
              <w:rPr>
                <w:rFonts w:ascii="Times New Roman" w:hAnsi="Times New Roman"/>
                <w:noProof/>
                <w:color w:val="FFFFFF"/>
                <w:sz w:val="56"/>
                <w:szCs w:val="56"/>
              </w:rPr>
            </w:pPr>
          </w:p>
          <w:p>
            <w:pPr>
              <w:spacing w:after="0" w:line="240" w:lineRule="auto"/>
              <w:rPr>
                <w:rFonts w:ascii="Times New Roman" w:hAnsi="Times New Roman"/>
                <w:noProof/>
                <w:color w:val="FFFFFF"/>
                <w:sz w:val="56"/>
                <w:szCs w:val="56"/>
              </w:rPr>
            </w:pPr>
          </w:p>
          <w:p>
            <w:pPr>
              <w:spacing w:after="0" w:line="240" w:lineRule="auto"/>
              <w:rPr>
                <w:rFonts w:ascii="Times New Roman" w:hAnsi="Times New Roman"/>
                <w:noProof/>
                <w:color w:val="FFFFFF"/>
                <w:sz w:val="52"/>
                <w:szCs w:val="60"/>
              </w:rPr>
            </w:pPr>
            <w:r>
              <w:rPr>
                <w:rFonts w:ascii="Times New Roman" w:hAnsi="Times New Roman"/>
                <w:noProof/>
                <w:color w:val="FFFFFF"/>
                <w:sz w:val="56"/>
                <w:szCs w:val="56"/>
              </w:rPr>
              <w:t xml:space="preserve">                     </w:t>
            </w:r>
            <w:r>
              <w:rPr>
                <w:rFonts w:ascii="Times New Roman" w:hAnsi="Times New Roman"/>
                <w:noProof/>
                <w:color w:val="FFFFFF"/>
                <w:sz w:val="52"/>
                <w:szCs w:val="60"/>
              </w:rPr>
              <w:t>Statistical Annex of</w:t>
            </w:r>
          </w:p>
          <w:p>
            <w:pPr>
              <w:spacing w:after="0" w:line="240" w:lineRule="auto"/>
              <w:rPr>
                <w:rFonts w:ascii="Times New Roman" w:hAnsi="Times New Roman"/>
                <w:noProof/>
                <w:color w:val="FFFFFF"/>
                <w:sz w:val="52"/>
                <w:szCs w:val="60"/>
              </w:rPr>
            </w:pPr>
            <w:r>
              <w:rPr>
                <w:rFonts w:ascii="Times New Roman" w:hAnsi="Times New Roman"/>
                <w:noProof/>
                <w:color w:val="FFFFFF"/>
                <w:sz w:val="52"/>
                <w:szCs w:val="60"/>
              </w:rPr>
              <w:t xml:space="preserve">                       Alert Mechanism Report 2021</w:t>
            </w:r>
          </w:p>
          <w:p>
            <w:pPr>
              <w:autoSpaceDE w:val="0"/>
              <w:autoSpaceDN w:val="0"/>
              <w:adjustRightInd w:val="0"/>
              <w:spacing w:after="0" w:line="240" w:lineRule="auto"/>
              <w:rPr>
                <w:rFonts w:ascii="Times New Roman" w:hAnsi="Times New Roman"/>
                <w:noProof/>
                <w:color w:val="FFFFFF"/>
                <w:sz w:val="56"/>
                <w:szCs w:val="56"/>
              </w:rPr>
            </w:pPr>
            <w:r>
              <w:rPr>
                <w:rFonts w:ascii="Times New Roman" w:hAnsi="Times New Roman"/>
                <w:noProof/>
                <w:color w:val="FFFFFF"/>
                <w:sz w:val="72"/>
                <w:szCs w:val="72"/>
                <w:lang w:eastAsia="en-GB"/>
              </w:rPr>
              <w:t xml:space="preserve">                   </w:t>
            </w:r>
          </w:p>
          <w:p>
            <w:pPr>
              <w:spacing w:after="0" w:line="240" w:lineRule="auto"/>
              <w:rPr>
                <w:rFonts w:ascii="Times New Roman" w:hAnsi="Times New Roman"/>
                <w:noProof/>
                <w:color w:val="FFFFFF"/>
                <w:sz w:val="56"/>
                <w:szCs w:val="56"/>
              </w:rPr>
            </w:pPr>
          </w:p>
          <w:p>
            <w:pPr>
              <w:spacing w:after="0" w:line="240" w:lineRule="auto"/>
              <w:rPr>
                <w:rFonts w:ascii="Times New Roman" w:hAnsi="Times New Roman"/>
                <w:noProof/>
                <w:color w:val="FFFFFF"/>
                <w:sz w:val="56"/>
                <w:szCs w:val="56"/>
              </w:rPr>
            </w:pPr>
          </w:p>
          <w:p>
            <w:pPr>
              <w:spacing w:after="0" w:line="240" w:lineRule="auto"/>
              <w:rPr>
                <w:rFonts w:ascii="Times New Roman" w:hAnsi="Times New Roman"/>
                <w:noProof/>
                <w:color w:val="FFFFFF"/>
                <w:sz w:val="56"/>
                <w:szCs w:val="56"/>
              </w:rPr>
            </w:pPr>
          </w:p>
          <w:p>
            <w:pPr>
              <w:spacing w:after="0" w:line="240" w:lineRule="auto"/>
              <w:rPr>
                <w:rFonts w:ascii="Times New Roman" w:hAnsi="Times New Roman"/>
                <w:noProof/>
                <w:color w:val="FFFFFF"/>
                <w:sz w:val="16"/>
                <w:szCs w:val="16"/>
              </w:rPr>
            </w:pPr>
          </w:p>
          <w:p>
            <w:pPr>
              <w:jc w:val="center"/>
              <w:rPr>
                <w:rFonts w:ascii="Times New Roman" w:hAnsi="Times New Roman"/>
                <w:i/>
                <w:noProof/>
                <w:color w:val="FFFFFF" w:themeColor="background1"/>
                <w:sz w:val="28"/>
                <w:szCs w:val="28"/>
              </w:rPr>
            </w:pPr>
            <w:r>
              <w:rPr>
                <w:rFonts w:ascii="Times New Roman" w:hAnsi="Times New Roman"/>
                <w:i/>
                <w:noProof/>
                <w:color w:val="FFFFFF" w:themeColor="background1"/>
                <w:lang w:eastAsia="en-GB"/>
              </w:rPr>
              <w:t>This document was prepared by the European Commission's Directorate-General Eurostat</w:t>
            </w:r>
          </w:p>
          <w:p>
            <w:pPr>
              <w:spacing w:after="0" w:line="240" w:lineRule="auto"/>
              <w:rPr>
                <w:rFonts w:ascii="Times New Roman" w:hAnsi="Times New Roman"/>
                <w:noProof/>
                <w:color w:val="FFFFFF"/>
                <w:sz w:val="16"/>
                <w:szCs w:val="16"/>
              </w:rPr>
            </w:pPr>
          </w:p>
          <w:p>
            <w:pPr>
              <w:spacing w:after="0" w:line="240" w:lineRule="auto"/>
              <w:rPr>
                <w:rFonts w:ascii="Times New Roman" w:hAnsi="Times New Roman"/>
                <w:noProof/>
                <w:color w:val="FFFFFF"/>
                <w:sz w:val="16"/>
                <w:szCs w:val="16"/>
              </w:rPr>
            </w:pPr>
          </w:p>
          <w:p>
            <w:pPr>
              <w:spacing w:after="0" w:line="240" w:lineRule="auto"/>
              <w:rPr>
                <w:rFonts w:ascii="Times New Roman" w:hAnsi="Times New Roman"/>
                <w:noProof/>
                <w:sz w:val="20"/>
                <w:szCs w:val="20"/>
              </w:rPr>
            </w:pPr>
          </w:p>
        </w:tc>
      </w:tr>
    </w:tbl>
    <w:sdt>
      <w:sdtPr>
        <w:rPr>
          <w:rFonts w:ascii="Calibri" w:eastAsia="Calibri" w:hAnsi="Calibri" w:cs="Times New Roman"/>
          <w:noProof/>
          <w:color w:val="auto"/>
          <w:sz w:val="22"/>
          <w:szCs w:val="22"/>
          <w:lang w:val="en-GB"/>
        </w:rPr>
        <w:id w:val="-1825730042"/>
        <w:docPartObj>
          <w:docPartGallery w:val="Table of Contents"/>
          <w:docPartUnique/>
        </w:docPartObj>
      </w:sdtPr>
      <w:sdtEndPr>
        <w:rPr>
          <w:b/>
          <w:bCs/>
          <w:sz w:val="20"/>
          <w:szCs w:val="20"/>
        </w:rPr>
      </w:sdtEndPr>
      <w:sdtContent>
        <w:p>
          <w:pPr>
            <w:pStyle w:val="TOCHeading"/>
            <w:pageBreakBefore/>
            <w:rPr>
              <w:rFonts w:ascii="Times New Roman" w:hAnsi="Times New Roman" w:cs="Times New Roman"/>
              <w:noProof/>
              <w:color w:val="auto"/>
              <w:sz w:val="28"/>
              <w:szCs w:val="28"/>
            </w:rPr>
          </w:pPr>
          <w:r>
            <w:rPr>
              <w:rFonts w:ascii="Times New Roman" w:hAnsi="Times New Roman" w:cs="Times New Roman"/>
              <w:noProof/>
              <w:color w:val="auto"/>
              <w:sz w:val="28"/>
              <w:szCs w:val="28"/>
            </w:rPr>
            <w:t>Table of Contents</w:t>
          </w:r>
        </w:p>
        <w:p>
          <w:pPr>
            <w:rPr>
              <w:noProof/>
              <w:lang w:val="en-US"/>
            </w:rPr>
          </w:pPr>
        </w:p>
        <w:p>
          <w:pPr>
            <w:pStyle w:val="TOC1"/>
            <w:tabs>
              <w:tab w:val="right" w:leader="dot" w:pos="9628"/>
            </w:tabs>
            <w:rPr>
              <w:rFonts w:ascii="Times New Roman" w:eastAsiaTheme="minorEastAsia" w:hAnsi="Times New Roman"/>
              <w:noProof/>
              <w:sz w:val="20"/>
              <w:szCs w:val="20"/>
              <w:lang w:eastAsia="en-GB"/>
            </w:rPr>
          </w:pPr>
          <w:r>
            <w:rPr>
              <w:noProof/>
              <w:sz w:val="20"/>
              <w:szCs w:val="20"/>
            </w:rPr>
            <w:fldChar w:fldCharType="begin"/>
          </w:r>
          <w:r>
            <w:rPr>
              <w:noProof/>
              <w:sz w:val="20"/>
              <w:szCs w:val="20"/>
            </w:rPr>
            <w:instrText xml:space="preserve"> TOC \o "1-3" \h \z \u </w:instrText>
          </w:r>
          <w:r>
            <w:rPr>
              <w:noProof/>
              <w:sz w:val="20"/>
              <w:szCs w:val="20"/>
            </w:rPr>
            <w:fldChar w:fldCharType="separate"/>
          </w:r>
          <w:hyperlink w:anchor="_Toc54702298" w:history="1">
            <w:r>
              <w:rPr>
                <w:rStyle w:val="Hyperlink"/>
                <w:rFonts w:ascii="Times New Roman" w:eastAsiaTheme="majorEastAsia" w:hAnsi="Times New Roman"/>
                <w:b/>
                <w:bCs/>
                <w:smallCaps/>
                <w:noProof/>
                <w:sz w:val="20"/>
                <w:szCs w:val="20"/>
              </w:rPr>
              <w:t>Background information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_Toc54702298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w:t>
            </w:r>
            <w:r>
              <w:rPr>
                <w:rFonts w:ascii="Times New Roman" w:hAnsi="Times New Roman"/>
                <w:noProof/>
                <w:webHidden/>
                <w:sz w:val="20"/>
                <w:szCs w:val="20"/>
              </w:rPr>
              <w:fldChar w:fldCharType="end"/>
            </w:r>
          </w:hyperlink>
        </w:p>
        <w:p>
          <w:pPr>
            <w:pStyle w:val="TOC1"/>
            <w:tabs>
              <w:tab w:val="right" w:leader="dot" w:pos="9628"/>
            </w:tabs>
            <w:rPr>
              <w:rFonts w:ascii="Times New Roman" w:eastAsiaTheme="minorEastAsia" w:hAnsi="Times New Roman"/>
              <w:noProof/>
              <w:sz w:val="20"/>
              <w:szCs w:val="20"/>
              <w:lang w:eastAsia="en-GB"/>
            </w:rPr>
          </w:pPr>
          <w:hyperlink w:anchor="_Toc54702299" w:history="1">
            <w:r>
              <w:rPr>
                <w:rStyle w:val="Hyperlink"/>
                <w:rFonts w:ascii="Times New Roman" w:eastAsiaTheme="majorEastAsia" w:hAnsi="Times New Roman"/>
                <w:b/>
                <w:bCs/>
                <w:smallCaps/>
                <w:noProof/>
                <w:sz w:val="20"/>
                <w:szCs w:val="20"/>
              </w:rPr>
              <w:t>Statistical methodology improvements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_Toc54702299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w:t>
            </w:r>
            <w:r>
              <w:rPr>
                <w:rFonts w:ascii="Times New Roman" w:hAnsi="Times New Roman"/>
                <w:noProof/>
                <w:webHidden/>
                <w:sz w:val="20"/>
                <w:szCs w:val="20"/>
              </w:rPr>
              <w:fldChar w:fldCharType="end"/>
            </w:r>
          </w:hyperlink>
        </w:p>
        <w:p>
          <w:pPr>
            <w:pStyle w:val="TOC1"/>
            <w:tabs>
              <w:tab w:val="right" w:leader="dot" w:pos="9628"/>
            </w:tabs>
            <w:rPr>
              <w:rFonts w:ascii="Times New Roman" w:eastAsiaTheme="minorEastAsia" w:hAnsi="Times New Roman"/>
              <w:noProof/>
              <w:sz w:val="20"/>
              <w:szCs w:val="20"/>
              <w:lang w:eastAsia="en-GB"/>
            </w:rPr>
          </w:pPr>
          <w:hyperlink w:anchor="_Toc54702300" w:history="1">
            <w:r>
              <w:rPr>
                <w:rStyle w:val="Hyperlink"/>
                <w:rFonts w:ascii="Times New Roman" w:eastAsiaTheme="majorEastAsia" w:hAnsi="Times New Roman"/>
                <w:b/>
                <w:bCs/>
                <w:smallCaps/>
                <w:noProof/>
                <w:sz w:val="20"/>
                <w:szCs w:val="20"/>
              </w:rPr>
              <w:t>The MIP quality framework</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_Toc54702300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w:t>
            </w:r>
            <w:r>
              <w:rPr>
                <w:rFonts w:ascii="Times New Roman" w:hAnsi="Times New Roman"/>
                <w:noProof/>
                <w:webHidden/>
                <w:sz w:val="20"/>
                <w:szCs w:val="20"/>
              </w:rPr>
              <w:fldChar w:fldCharType="end"/>
            </w:r>
          </w:hyperlink>
        </w:p>
        <w:p>
          <w:pPr>
            <w:pStyle w:val="TOC1"/>
            <w:tabs>
              <w:tab w:val="right" w:leader="dot" w:pos="9628"/>
            </w:tabs>
            <w:rPr>
              <w:rFonts w:ascii="Times New Roman" w:eastAsiaTheme="minorEastAsia" w:hAnsi="Times New Roman"/>
              <w:noProof/>
              <w:sz w:val="20"/>
              <w:szCs w:val="20"/>
              <w:lang w:eastAsia="en-GB"/>
            </w:rPr>
          </w:pPr>
          <w:hyperlink w:anchor="_Toc54702301" w:history="1">
            <w:r>
              <w:rPr>
                <w:rStyle w:val="Hyperlink"/>
                <w:rFonts w:ascii="Times New Roman" w:hAnsi="Times New Roman"/>
                <w:b/>
                <w:noProof/>
                <w:sz w:val="20"/>
                <w:szCs w:val="20"/>
              </w:rPr>
              <w:t>Chapter 1: Tables by year - Headline indicators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_Toc54702301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02" w:history="1">
            <w:r>
              <w:rPr>
                <w:rStyle w:val="Hyperlink"/>
                <w:rFonts w:ascii="Times New Roman" w:hAnsi="Times New Roman"/>
                <w:noProof/>
                <w:sz w:val="20"/>
                <w:szCs w:val="20"/>
              </w:rPr>
              <w:t>Table 1.1: MIP Scoreboard 2019</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_Toc54702302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03" w:history="1">
            <w:r>
              <w:rPr>
                <w:rStyle w:val="Hyperlink"/>
                <w:rFonts w:ascii="Times New Roman" w:hAnsi="Times New Roman"/>
                <w:noProof/>
                <w:sz w:val="20"/>
                <w:szCs w:val="20"/>
              </w:rPr>
              <w:t>Table 1.2: MIP Scoreboard 2018</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_Toc54702303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04" w:history="1">
            <w:r>
              <w:rPr>
                <w:rStyle w:val="Hyperlink"/>
                <w:rFonts w:ascii="Times New Roman" w:hAnsi="Times New Roman"/>
                <w:noProof/>
                <w:sz w:val="20"/>
                <w:szCs w:val="20"/>
              </w:rPr>
              <w:t>Table 1.3: MIP Scoreboard 2017</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_Toc54702304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05" w:history="1">
            <w:r>
              <w:rPr>
                <w:rStyle w:val="Hyperlink"/>
                <w:rFonts w:ascii="Times New Roman" w:hAnsi="Times New Roman"/>
                <w:noProof/>
                <w:sz w:val="20"/>
                <w:szCs w:val="20"/>
              </w:rPr>
              <w:t>Table 1.4: MIP Scoreboard 2016</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_Toc54702305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18</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06" w:history="1">
            <w:r>
              <w:rPr>
                <w:rStyle w:val="Hyperlink"/>
                <w:rFonts w:ascii="Times New Roman" w:hAnsi="Times New Roman"/>
                <w:noProof/>
                <w:sz w:val="20"/>
                <w:szCs w:val="20"/>
              </w:rPr>
              <w:t>Table 1.5: MIP Scoreboard 2015</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_Toc54702306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19</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07" w:history="1">
            <w:r>
              <w:rPr>
                <w:rStyle w:val="Hyperlink"/>
                <w:rFonts w:ascii="Times New Roman" w:hAnsi="Times New Roman"/>
                <w:noProof/>
                <w:sz w:val="20"/>
                <w:szCs w:val="20"/>
              </w:rPr>
              <w:t>Table 1.6: MIP Scoreboard 2014</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_Toc54702307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20</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08" w:history="1">
            <w:r>
              <w:rPr>
                <w:rStyle w:val="Hyperlink"/>
                <w:rFonts w:ascii="Times New Roman" w:hAnsi="Times New Roman"/>
                <w:noProof/>
                <w:sz w:val="20"/>
                <w:szCs w:val="20"/>
              </w:rPr>
              <w:t>Table 1.7: MIP Scoreboard 2013</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_Toc54702308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21</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09" w:history="1">
            <w:r>
              <w:rPr>
                <w:rStyle w:val="Hyperlink"/>
                <w:rFonts w:ascii="Times New Roman" w:hAnsi="Times New Roman"/>
                <w:noProof/>
                <w:sz w:val="20"/>
                <w:szCs w:val="20"/>
              </w:rPr>
              <w:t>Table 1.8: MIP Scoreboard 2012</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_Toc54702309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22</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10" w:history="1">
            <w:r>
              <w:rPr>
                <w:rStyle w:val="Hyperlink"/>
                <w:rFonts w:ascii="Times New Roman" w:hAnsi="Times New Roman"/>
                <w:noProof/>
                <w:sz w:val="20"/>
                <w:szCs w:val="20"/>
              </w:rPr>
              <w:t>Table 1.9: MIP Scoreboard 2011</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_Toc54702310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23</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11" w:history="1">
            <w:r>
              <w:rPr>
                <w:rStyle w:val="Hyperlink"/>
                <w:rFonts w:ascii="Times New Roman" w:hAnsi="Times New Roman"/>
                <w:noProof/>
                <w:sz w:val="20"/>
                <w:szCs w:val="20"/>
              </w:rPr>
              <w:t>Table 1.10: MIP Scoreboard 2010</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_Toc54702311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24</w:t>
            </w:r>
            <w:r>
              <w:rPr>
                <w:rFonts w:ascii="Times New Roman" w:hAnsi="Times New Roman"/>
                <w:noProof/>
                <w:webHidden/>
                <w:sz w:val="20"/>
                <w:szCs w:val="20"/>
              </w:rPr>
              <w:fldChar w:fldCharType="end"/>
            </w:r>
          </w:hyperlink>
        </w:p>
        <w:p>
          <w:pPr>
            <w:pStyle w:val="TOC1"/>
            <w:tabs>
              <w:tab w:val="right" w:leader="dot" w:pos="9628"/>
            </w:tabs>
            <w:rPr>
              <w:rFonts w:ascii="Times New Roman" w:eastAsiaTheme="minorEastAsia" w:hAnsi="Times New Roman"/>
              <w:noProof/>
              <w:sz w:val="20"/>
              <w:szCs w:val="20"/>
              <w:lang w:eastAsia="en-GB"/>
            </w:rPr>
          </w:pPr>
          <w:hyperlink w:anchor="_Toc54702312" w:history="1">
            <w:r>
              <w:rPr>
                <w:rStyle w:val="Hyperlink"/>
                <w:rFonts w:ascii="Times New Roman" w:hAnsi="Times New Roman"/>
                <w:b/>
                <w:noProof/>
                <w:sz w:val="20"/>
                <w:szCs w:val="20"/>
              </w:rPr>
              <w:t>Chapter 2: Tables by year - Auxiliary indicators used in the economic reading of the MIP scoreboard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_Toc54702312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13" w:history="1">
            <w:r>
              <w:rPr>
                <w:rStyle w:val="Hyperlink"/>
                <w:rFonts w:ascii="Times New Roman" w:hAnsi="Times New Roman"/>
                <w:noProof/>
                <w:sz w:val="20"/>
                <w:szCs w:val="20"/>
              </w:rPr>
              <w:t>Table 2.1: Auxiliary indicators, 2019</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_Toc54702313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14" w:history="1">
            <w:r>
              <w:rPr>
                <w:rStyle w:val="Hyperlink"/>
                <w:rFonts w:ascii="Times New Roman" w:hAnsi="Times New Roman"/>
                <w:noProof/>
                <w:sz w:val="20"/>
                <w:szCs w:val="20"/>
              </w:rPr>
              <w:t>Table 2.1 (continued): Auxiliary indicators, 2019</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_Toc54702314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26</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15" w:history="1">
            <w:r>
              <w:rPr>
                <w:rStyle w:val="Hyperlink"/>
                <w:rFonts w:ascii="Times New Roman" w:hAnsi="Times New Roman"/>
                <w:noProof/>
                <w:sz w:val="20"/>
                <w:szCs w:val="20"/>
              </w:rPr>
              <w:t>Table 2.2: Auxiliary indicators, 2018</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_Toc54702315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27</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16" w:history="1">
            <w:r>
              <w:rPr>
                <w:rStyle w:val="Hyperlink"/>
                <w:rFonts w:ascii="Times New Roman" w:hAnsi="Times New Roman"/>
                <w:noProof/>
                <w:sz w:val="20"/>
                <w:szCs w:val="20"/>
              </w:rPr>
              <w:t>Table 2.2 (continued): Auxiliary indicators, 2018</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_Toc54702316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28</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17" w:history="1">
            <w:r>
              <w:rPr>
                <w:rStyle w:val="Hyperlink"/>
                <w:rFonts w:ascii="Times New Roman" w:hAnsi="Times New Roman"/>
                <w:noProof/>
                <w:sz w:val="20"/>
                <w:szCs w:val="20"/>
              </w:rPr>
              <w:t>Table 2.3: Auxiliary indicators, 2017</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_Toc54702317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29</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18" w:history="1">
            <w:r>
              <w:rPr>
                <w:rStyle w:val="Hyperlink"/>
                <w:rFonts w:ascii="Times New Roman" w:hAnsi="Times New Roman"/>
                <w:noProof/>
                <w:sz w:val="20"/>
                <w:szCs w:val="20"/>
              </w:rPr>
              <w:t>Table 2.3 (continued): Auxiliary indicators, 2017</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_Toc54702318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30</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19" w:history="1">
            <w:r>
              <w:rPr>
                <w:rStyle w:val="Hyperlink"/>
                <w:rFonts w:ascii="Times New Roman" w:hAnsi="Times New Roman"/>
                <w:noProof/>
                <w:sz w:val="20"/>
                <w:szCs w:val="20"/>
              </w:rPr>
              <w:t>Table 2.4: Auxiliary indicators, 2016</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_Toc54702319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31</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20" w:history="1">
            <w:r>
              <w:rPr>
                <w:rStyle w:val="Hyperlink"/>
                <w:rFonts w:ascii="Times New Roman" w:hAnsi="Times New Roman"/>
                <w:noProof/>
                <w:sz w:val="20"/>
                <w:szCs w:val="20"/>
              </w:rPr>
              <w:t>Table 2.4 (continued): Auxiliary indicators, 2016</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_Toc54702320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32</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21" w:history="1">
            <w:r>
              <w:rPr>
                <w:rStyle w:val="Hyperlink"/>
                <w:rFonts w:ascii="Times New Roman" w:hAnsi="Times New Roman"/>
                <w:noProof/>
                <w:sz w:val="20"/>
                <w:szCs w:val="20"/>
              </w:rPr>
              <w:t>Table 2.5: Auxiliary indicators, 2015</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_Toc54702321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33</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22" w:history="1">
            <w:r>
              <w:rPr>
                <w:rStyle w:val="Hyperlink"/>
                <w:rFonts w:ascii="Times New Roman" w:hAnsi="Times New Roman"/>
                <w:noProof/>
                <w:sz w:val="20"/>
                <w:szCs w:val="20"/>
              </w:rPr>
              <w:t>Table 2.5 (continued): Auxiliary indicators, 2015</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_Toc54702322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34</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23" w:history="1">
            <w:r>
              <w:rPr>
                <w:rStyle w:val="Hyperlink"/>
                <w:rFonts w:ascii="Times New Roman" w:hAnsi="Times New Roman"/>
                <w:noProof/>
                <w:sz w:val="20"/>
                <w:szCs w:val="20"/>
              </w:rPr>
              <w:t>Table 2.6: Auxiliary indicators, 2014</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_Toc54702323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24" w:history="1">
            <w:r>
              <w:rPr>
                <w:rStyle w:val="Hyperlink"/>
                <w:rFonts w:ascii="Times New Roman" w:hAnsi="Times New Roman"/>
                <w:noProof/>
                <w:sz w:val="20"/>
                <w:szCs w:val="20"/>
              </w:rPr>
              <w:t>Table 2.6 (continued): Auxiliary indicators, 2014</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_Toc54702324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36</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25" w:history="1">
            <w:r>
              <w:rPr>
                <w:rStyle w:val="Hyperlink"/>
                <w:rFonts w:ascii="Times New Roman" w:hAnsi="Times New Roman"/>
                <w:noProof/>
                <w:sz w:val="20"/>
                <w:szCs w:val="20"/>
              </w:rPr>
              <w:t>Table 2.7: Auxiliary indicators, 2013</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_Toc54702325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37</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26" w:history="1">
            <w:r>
              <w:rPr>
                <w:rStyle w:val="Hyperlink"/>
                <w:rFonts w:ascii="Times New Roman" w:hAnsi="Times New Roman"/>
                <w:noProof/>
                <w:sz w:val="20"/>
                <w:szCs w:val="20"/>
              </w:rPr>
              <w:t>Table 2.7 (continued): Auxiliary indicators, 2013</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_Toc54702326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38</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27" w:history="1">
            <w:r>
              <w:rPr>
                <w:rStyle w:val="Hyperlink"/>
                <w:rFonts w:ascii="Times New Roman" w:hAnsi="Times New Roman"/>
                <w:noProof/>
                <w:sz w:val="20"/>
                <w:szCs w:val="20"/>
              </w:rPr>
              <w:t>Table 2.8: Auxiliary indicators, 2012</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_Toc54702327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39</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28" w:history="1">
            <w:r>
              <w:rPr>
                <w:rStyle w:val="Hyperlink"/>
                <w:rFonts w:ascii="Times New Roman" w:hAnsi="Times New Roman"/>
                <w:noProof/>
                <w:sz w:val="20"/>
                <w:szCs w:val="20"/>
              </w:rPr>
              <w:t>Table 2.8 (continued): Auxiliary indicators, 2012</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_Toc54702328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40</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29" w:history="1">
            <w:r>
              <w:rPr>
                <w:rStyle w:val="Hyperlink"/>
                <w:rFonts w:ascii="Times New Roman" w:hAnsi="Times New Roman"/>
                <w:noProof/>
                <w:sz w:val="20"/>
                <w:szCs w:val="20"/>
              </w:rPr>
              <w:t>Table 2.9: Auxiliary indicators, 2011</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_Toc54702329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41</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30" w:history="1">
            <w:r>
              <w:rPr>
                <w:rStyle w:val="Hyperlink"/>
                <w:rFonts w:ascii="Times New Roman" w:hAnsi="Times New Roman"/>
                <w:noProof/>
                <w:sz w:val="20"/>
                <w:szCs w:val="20"/>
              </w:rPr>
              <w:t>Table 2.9 (continued): Auxiliary indicators, 2011</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_Toc54702330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42</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31" w:history="1">
            <w:r>
              <w:rPr>
                <w:rStyle w:val="Hyperlink"/>
                <w:rFonts w:ascii="Times New Roman" w:hAnsi="Times New Roman"/>
                <w:noProof/>
                <w:sz w:val="20"/>
                <w:szCs w:val="20"/>
              </w:rPr>
              <w:t>Table 2.10: Auxiliary indicators, 2010</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_Toc54702331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43</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32" w:history="1">
            <w:r>
              <w:rPr>
                <w:rStyle w:val="Hyperlink"/>
                <w:rFonts w:ascii="Times New Roman" w:hAnsi="Times New Roman"/>
                <w:noProof/>
                <w:sz w:val="20"/>
                <w:szCs w:val="20"/>
              </w:rPr>
              <w:t>Table 2.10 (continued): Auxiliary indicators, 2010</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_Toc54702332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44</w:t>
            </w:r>
            <w:r>
              <w:rPr>
                <w:rFonts w:ascii="Times New Roman" w:hAnsi="Times New Roman"/>
                <w:noProof/>
                <w:webHidden/>
                <w:sz w:val="20"/>
                <w:szCs w:val="20"/>
              </w:rPr>
              <w:fldChar w:fldCharType="end"/>
            </w:r>
          </w:hyperlink>
        </w:p>
        <w:p>
          <w:pPr>
            <w:pStyle w:val="TOC1"/>
            <w:tabs>
              <w:tab w:val="right" w:leader="dot" w:pos="9628"/>
            </w:tabs>
            <w:rPr>
              <w:rFonts w:ascii="Times New Roman" w:eastAsiaTheme="minorEastAsia" w:hAnsi="Times New Roman"/>
              <w:noProof/>
              <w:sz w:val="20"/>
              <w:szCs w:val="20"/>
              <w:lang w:eastAsia="en-GB"/>
            </w:rPr>
          </w:pPr>
          <w:hyperlink w:anchor="_Toc54702333" w:history="1">
            <w:r>
              <w:rPr>
                <w:rStyle w:val="Hyperlink"/>
                <w:rFonts w:ascii="Times New Roman" w:hAnsi="Times New Roman"/>
                <w:b/>
                <w:noProof/>
                <w:sz w:val="20"/>
                <w:szCs w:val="20"/>
              </w:rPr>
              <w:t>Chapter 3: Tables by indicator</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_Toc54702333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34" w:history="1">
            <w:r>
              <w:rPr>
                <w:rStyle w:val="Hyperlink"/>
                <w:rFonts w:ascii="Times New Roman" w:hAnsi="Times New Roman"/>
                <w:noProof/>
                <w:sz w:val="20"/>
                <w:szCs w:val="20"/>
              </w:rPr>
              <w:t>Table 3.1: Current account balance, % of GDP (3 year average)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_Toc54702334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35" w:history="1">
            <w:r>
              <w:rPr>
                <w:rStyle w:val="Hyperlink"/>
                <w:rFonts w:ascii="Times New Roman" w:hAnsi="Times New Roman"/>
                <w:noProof/>
                <w:sz w:val="20"/>
                <w:szCs w:val="20"/>
              </w:rPr>
              <w:t>Table 3.2: Current account balance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_Toc54702335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46</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36" w:history="1">
            <w:r>
              <w:rPr>
                <w:rStyle w:val="Hyperlink"/>
                <w:rFonts w:ascii="Times New Roman" w:hAnsi="Times New Roman"/>
                <w:noProof/>
                <w:sz w:val="20"/>
                <w:szCs w:val="20"/>
              </w:rPr>
              <w:t>Table 3.3: Net International Investment Position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_Toc54702336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47</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37" w:history="1">
            <w:r>
              <w:rPr>
                <w:rStyle w:val="Hyperlink"/>
                <w:rFonts w:ascii="Times New Roman" w:hAnsi="Times New Roman"/>
                <w:noProof/>
                <w:sz w:val="20"/>
                <w:szCs w:val="20"/>
              </w:rPr>
              <w:t>Table 3.4: Real effective exchange rate - 42 trading partners, HICP deflator (3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_Toc54702337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48</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38" w:history="1">
            <w:r>
              <w:rPr>
                <w:rStyle w:val="Hyperlink"/>
                <w:rFonts w:ascii="Times New Roman" w:hAnsi="Times New Roman"/>
                <w:noProof/>
                <w:sz w:val="20"/>
                <w:szCs w:val="20"/>
              </w:rPr>
              <w:t>Table 3.5: Real effective exchange rate - 42 trading partners, HICP deflator (1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_Toc54702338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49</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39" w:history="1">
            <w:r>
              <w:rPr>
                <w:rStyle w:val="Hyperlink"/>
                <w:rFonts w:ascii="Times New Roman" w:hAnsi="Times New Roman"/>
                <w:noProof/>
                <w:sz w:val="20"/>
                <w:szCs w:val="20"/>
              </w:rPr>
              <w:t>Table 3.6: Export market share - % of world exports (5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_Toc54702339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50</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40" w:history="1">
            <w:r>
              <w:rPr>
                <w:rStyle w:val="Hyperlink"/>
                <w:rFonts w:ascii="Times New Roman" w:hAnsi="Times New Roman"/>
                <w:noProof/>
                <w:sz w:val="20"/>
                <w:szCs w:val="20"/>
              </w:rPr>
              <w:t>Table 3.7: Export market share - % of world exports (1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_Toc54702340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51</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41" w:history="1">
            <w:r>
              <w:rPr>
                <w:rStyle w:val="Hyperlink"/>
                <w:rFonts w:ascii="Times New Roman" w:hAnsi="Times New Roman"/>
                <w:noProof/>
                <w:sz w:val="20"/>
                <w:szCs w:val="20"/>
              </w:rPr>
              <w:t>Table 3.8: Nominal unit labour cost index, 2010=100 (3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_Toc54702341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52</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42" w:history="1">
            <w:r>
              <w:rPr>
                <w:rStyle w:val="Hyperlink"/>
                <w:rFonts w:ascii="Times New Roman" w:hAnsi="Times New Roman"/>
                <w:noProof/>
                <w:sz w:val="20"/>
                <w:szCs w:val="20"/>
              </w:rPr>
              <w:t>Table 3.9: Nominal unit labour cost index, 2010=100 (1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_Toc54702342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53</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43" w:history="1">
            <w:r>
              <w:rPr>
                <w:rStyle w:val="Hyperlink"/>
                <w:rFonts w:ascii="Times New Roman" w:hAnsi="Times New Roman"/>
                <w:noProof/>
                <w:sz w:val="20"/>
                <w:szCs w:val="20"/>
              </w:rPr>
              <w:t>Table 3.10: House price index (2015=100), deflated (1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_Toc54702343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54</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44" w:history="1">
            <w:r>
              <w:rPr>
                <w:rStyle w:val="Hyperlink"/>
                <w:rFonts w:ascii="Times New Roman" w:hAnsi="Times New Roman"/>
                <w:noProof/>
                <w:sz w:val="20"/>
                <w:szCs w:val="20"/>
              </w:rPr>
              <w:t>Table 3.11: Private sector credit flow, consolidated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_Toc54702344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45" w:history="1">
            <w:r>
              <w:rPr>
                <w:rStyle w:val="Hyperlink"/>
                <w:rFonts w:ascii="Times New Roman" w:hAnsi="Times New Roman"/>
                <w:noProof/>
                <w:sz w:val="20"/>
                <w:szCs w:val="20"/>
              </w:rPr>
              <w:t>Table 3.12: Private sector debt, consolidated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_Toc54702345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56</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46" w:history="1">
            <w:r>
              <w:rPr>
                <w:rStyle w:val="Hyperlink"/>
                <w:rFonts w:ascii="Times New Roman" w:hAnsi="Times New Roman"/>
                <w:noProof/>
                <w:sz w:val="20"/>
                <w:szCs w:val="20"/>
              </w:rPr>
              <w:t>Table 3.13: General government gross debt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_Toc54702346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57</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47" w:history="1">
            <w:r>
              <w:rPr>
                <w:rStyle w:val="Hyperlink"/>
                <w:rFonts w:ascii="Times New Roman" w:hAnsi="Times New Roman"/>
                <w:noProof/>
                <w:sz w:val="20"/>
                <w:szCs w:val="20"/>
              </w:rPr>
              <w:t>Table 3.14: Unemployment rate (3 year average)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_Toc54702347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58</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48" w:history="1">
            <w:r>
              <w:rPr>
                <w:rStyle w:val="Hyperlink"/>
                <w:rFonts w:ascii="Times New Roman" w:hAnsi="Times New Roman"/>
                <w:noProof/>
                <w:sz w:val="20"/>
                <w:szCs w:val="20"/>
              </w:rPr>
              <w:t>Table 3.15: Unemployment rate (%)</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_Toc54702348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59</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49" w:history="1">
            <w:r>
              <w:rPr>
                <w:rStyle w:val="Hyperlink"/>
                <w:rFonts w:ascii="Times New Roman" w:hAnsi="Times New Roman"/>
                <w:noProof/>
                <w:sz w:val="20"/>
                <w:szCs w:val="20"/>
              </w:rPr>
              <w:t>Table 3.16: Total financial sector liabilities, non-consolidated (1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_Toc54702349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60</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50" w:history="1">
            <w:r>
              <w:rPr>
                <w:rStyle w:val="Hyperlink"/>
                <w:rFonts w:ascii="Times New Roman" w:hAnsi="Times New Roman"/>
                <w:noProof/>
                <w:sz w:val="20"/>
                <w:szCs w:val="20"/>
              </w:rPr>
              <w:t>Table 3.17: Total financial sector liabilities, non-consolidated (Millions NC)</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_Toc54702350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61</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51" w:history="1">
            <w:r>
              <w:rPr>
                <w:rStyle w:val="Hyperlink"/>
                <w:rFonts w:ascii="Times New Roman" w:hAnsi="Times New Roman"/>
                <w:noProof/>
                <w:sz w:val="20"/>
                <w:szCs w:val="20"/>
              </w:rPr>
              <w:t>Table 3.18: Activity rate - % of total population aged 15-64 (3 year change in pp)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_Toc54702351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62</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52" w:history="1">
            <w:r>
              <w:rPr>
                <w:rStyle w:val="Hyperlink"/>
                <w:rFonts w:ascii="Times New Roman" w:hAnsi="Times New Roman"/>
                <w:noProof/>
                <w:sz w:val="20"/>
                <w:szCs w:val="20"/>
              </w:rPr>
              <w:t>Table 3.19: Activity rate - % of total population aged 15-64</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_Toc54702352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63</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53" w:history="1">
            <w:r>
              <w:rPr>
                <w:rStyle w:val="Hyperlink"/>
                <w:rFonts w:ascii="Times New Roman" w:hAnsi="Times New Roman"/>
                <w:noProof/>
                <w:sz w:val="20"/>
                <w:szCs w:val="20"/>
              </w:rPr>
              <w:t>Table 3.20: Long-term unemployment rate - % of active population aged 15-74 (3 year change in pp)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_Toc54702353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64</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54" w:history="1">
            <w:r>
              <w:rPr>
                <w:rStyle w:val="Hyperlink"/>
                <w:rFonts w:ascii="Times New Roman" w:hAnsi="Times New Roman"/>
                <w:noProof/>
                <w:sz w:val="20"/>
                <w:szCs w:val="20"/>
              </w:rPr>
              <w:t>Table 3.21: Long-term unemployment rate - % of active population aged 15-74</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_Toc54702354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55" w:history="1">
            <w:r>
              <w:rPr>
                <w:rStyle w:val="Hyperlink"/>
                <w:rFonts w:ascii="Times New Roman" w:hAnsi="Times New Roman"/>
                <w:noProof/>
                <w:sz w:val="20"/>
                <w:szCs w:val="20"/>
              </w:rPr>
              <w:t>Table 3.22: Youth unemployment rate - % of active population aged 15-24 (3 year change in pp)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_Toc54702355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66</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56" w:history="1">
            <w:r>
              <w:rPr>
                <w:rStyle w:val="Hyperlink"/>
                <w:rFonts w:ascii="Times New Roman" w:hAnsi="Times New Roman"/>
                <w:noProof/>
                <w:sz w:val="20"/>
                <w:szCs w:val="20"/>
              </w:rPr>
              <w:t>Table 3.23: Youth unemployment rate - % of active population aged 15-24</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_Toc54702356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67</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57" w:history="1">
            <w:r>
              <w:rPr>
                <w:rStyle w:val="Hyperlink"/>
                <w:rFonts w:ascii="Times New Roman" w:hAnsi="Times New Roman"/>
                <w:noProof/>
                <w:sz w:val="20"/>
                <w:szCs w:val="20"/>
              </w:rPr>
              <w:t>Table 3.24: Real GDP (1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_Toc54702357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68</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58" w:history="1">
            <w:r>
              <w:rPr>
                <w:rStyle w:val="Hyperlink"/>
                <w:rFonts w:ascii="Times New Roman" w:hAnsi="Times New Roman"/>
                <w:noProof/>
                <w:sz w:val="20"/>
                <w:szCs w:val="20"/>
              </w:rPr>
              <w:t>Table 3.25: Gross fixed capital formation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_Toc54702358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69</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59" w:history="1">
            <w:r>
              <w:rPr>
                <w:rStyle w:val="Hyperlink"/>
                <w:rFonts w:ascii="Times New Roman" w:hAnsi="Times New Roman"/>
                <w:noProof/>
                <w:sz w:val="20"/>
                <w:szCs w:val="20"/>
              </w:rPr>
              <w:t>Table 3.26: Gross domestic expenditure on R&amp;D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_Toc54702359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70</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60" w:history="1">
            <w:r>
              <w:rPr>
                <w:rStyle w:val="Hyperlink"/>
                <w:rFonts w:ascii="Times New Roman" w:hAnsi="Times New Roman"/>
                <w:noProof/>
                <w:sz w:val="20"/>
                <w:szCs w:val="20"/>
              </w:rPr>
              <w:t>Table 3.27: Current plus capital account - Net lending-borrowing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_Toc54702360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71</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61" w:history="1">
            <w:r>
              <w:rPr>
                <w:rStyle w:val="Hyperlink"/>
                <w:rFonts w:ascii="Times New Roman" w:hAnsi="Times New Roman"/>
                <w:noProof/>
                <w:sz w:val="20"/>
                <w:szCs w:val="20"/>
              </w:rPr>
              <w:t>Table 3.28: Net international investment position excluding non-defaultable instruments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_Toc54702361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72</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62" w:history="1">
            <w:r>
              <w:rPr>
                <w:rStyle w:val="Hyperlink"/>
                <w:rFonts w:ascii="Times New Roman" w:hAnsi="Times New Roman"/>
                <w:noProof/>
                <w:sz w:val="20"/>
                <w:szCs w:val="20"/>
              </w:rPr>
              <w:t>Table 3.29: Foreign direct investment in the reporting economy - flows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_Toc54702362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73</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63" w:history="1">
            <w:r>
              <w:rPr>
                <w:rStyle w:val="Hyperlink"/>
                <w:rFonts w:ascii="Times New Roman" w:hAnsi="Times New Roman"/>
                <w:noProof/>
                <w:sz w:val="20"/>
                <w:szCs w:val="20"/>
              </w:rPr>
              <w:t>Table 3.30: Foreign direct investment in the reporting economy - stocks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_Toc54702363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74</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64" w:history="1">
            <w:r>
              <w:rPr>
                <w:rStyle w:val="Hyperlink"/>
                <w:rFonts w:ascii="Times New Roman" w:hAnsi="Times New Roman"/>
                <w:noProof/>
                <w:sz w:val="20"/>
                <w:szCs w:val="20"/>
              </w:rPr>
              <w:t>Table 3.31: Net trade balance of energy products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_Toc54702364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65" w:history="1">
            <w:r>
              <w:rPr>
                <w:rStyle w:val="Hyperlink"/>
                <w:rFonts w:ascii="Times New Roman" w:hAnsi="Times New Roman"/>
                <w:noProof/>
                <w:sz w:val="20"/>
                <w:szCs w:val="20"/>
              </w:rPr>
              <w:t>Table 3.32: Real effective exchange rate - euro area trading partners (3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_Toc54702365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76</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66" w:history="1">
            <w:r>
              <w:rPr>
                <w:rStyle w:val="Hyperlink"/>
                <w:rFonts w:ascii="Times New Roman" w:hAnsi="Times New Roman"/>
                <w:noProof/>
                <w:sz w:val="20"/>
                <w:szCs w:val="20"/>
              </w:rPr>
              <w:t>Table 3.33: Export performance against advanced economies (5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_Toc54702366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77</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67" w:history="1">
            <w:r>
              <w:rPr>
                <w:rStyle w:val="Hyperlink"/>
                <w:rFonts w:ascii="Times New Roman" w:hAnsi="Times New Roman"/>
                <w:noProof/>
                <w:sz w:val="20"/>
                <w:szCs w:val="20"/>
              </w:rPr>
              <w:t>Table 3.34: Terms of trade (5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_Toc54702367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78</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68" w:history="1">
            <w:r>
              <w:rPr>
                <w:rStyle w:val="Hyperlink"/>
                <w:rFonts w:ascii="Times New Roman" w:hAnsi="Times New Roman"/>
                <w:noProof/>
                <w:sz w:val="20"/>
                <w:szCs w:val="20"/>
              </w:rPr>
              <w:t>Table 3.35: Export market share, volume (1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_Toc54702368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79</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69" w:history="1">
            <w:r>
              <w:rPr>
                <w:rStyle w:val="Hyperlink"/>
                <w:rFonts w:ascii="Times New Roman" w:hAnsi="Times New Roman"/>
                <w:noProof/>
                <w:sz w:val="20"/>
                <w:szCs w:val="20"/>
              </w:rPr>
              <w:t>Table 3.36: Real labour productivity (1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_Toc54702369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80</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70" w:history="1">
            <w:r>
              <w:rPr>
                <w:rStyle w:val="Hyperlink"/>
                <w:rFonts w:ascii="Times New Roman" w:hAnsi="Times New Roman"/>
                <w:noProof/>
                <w:sz w:val="20"/>
                <w:szCs w:val="20"/>
              </w:rPr>
              <w:t>Table 3.37: Gross non-performing loans, domestic and foreign entities (% of gross loans)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_Toc54702370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81</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71" w:history="1">
            <w:r>
              <w:rPr>
                <w:rStyle w:val="Hyperlink"/>
                <w:rFonts w:ascii="Times New Roman" w:hAnsi="Times New Roman"/>
                <w:noProof/>
                <w:sz w:val="20"/>
                <w:szCs w:val="20"/>
              </w:rPr>
              <w:t>Table 3.38: Unit labour cost performance relative to EA (10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_Toc54702371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82</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72" w:history="1">
            <w:r>
              <w:rPr>
                <w:rStyle w:val="Hyperlink"/>
                <w:rFonts w:ascii="Times New Roman" w:hAnsi="Times New Roman"/>
                <w:noProof/>
                <w:sz w:val="20"/>
                <w:szCs w:val="20"/>
              </w:rPr>
              <w:t>Table 3.39: House price index (2015=100) - nominal (3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_Toc54702372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83</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73" w:history="1">
            <w:r>
              <w:rPr>
                <w:rStyle w:val="Hyperlink"/>
                <w:rFonts w:ascii="Times New Roman" w:hAnsi="Times New Roman"/>
                <w:noProof/>
                <w:sz w:val="20"/>
                <w:szCs w:val="20"/>
              </w:rPr>
              <w:t>Table 3.40: Residential construction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_Toc54702373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84</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74" w:history="1">
            <w:r>
              <w:rPr>
                <w:rStyle w:val="Hyperlink"/>
                <w:rFonts w:ascii="Times New Roman" w:hAnsi="Times New Roman"/>
                <w:noProof/>
                <w:sz w:val="20"/>
                <w:szCs w:val="20"/>
              </w:rPr>
              <w:t>Table 3.41: Household debt, consolidated (incl. Non-profit institutions serving households,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_Toc54702374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75" w:history="1">
            <w:r>
              <w:rPr>
                <w:rStyle w:val="Hyperlink"/>
                <w:rFonts w:ascii="Times New Roman" w:hAnsi="Times New Roman"/>
                <w:noProof/>
                <w:sz w:val="20"/>
                <w:szCs w:val="20"/>
              </w:rPr>
              <w:t>Table 3.42: Consolidated banking leverage, domestic and foreign entities (asset-to-equity multiple)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_Toc54702375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86</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76" w:history="1">
            <w:r>
              <w:rPr>
                <w:rStyle w:val="Hyperlink"/>
                <w:rFonts w:ascii="Times New Roman" w:hAnsi="Times New Roman"/>
                <w:noProof/>
                <w:sz w:val="20"/>
                <w:szCs w:val="20"/>
              </w:rPr>
              <w:t>Table 3.43: Employment (1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_Toc54702376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87</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77" w:history="1">
            <w:r>
              <w:rPr>
                <w:rStyle w:val="Hyperlink"/>
                <w:rFonts w:ascii="Times New Roman" w:hAnsi="Times New Roman"/>
                <w:noProof/>
                <w:sz w:val="20"/>
                <w:szCs w:val="20"/>
              </w:rPr>
              <w:t>Table 3.44: Young people neither in employment nor in education and training - % of total population aged 15-24</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_Toc54702377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88</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78" w:history="1">
            <w:r>
              <w:rPr>
                <w:rStyle w:val="Hyperlink"/>
                <w:rFonts w:ascii="Times New Roman" w:hAnsi="Times New Roman"/>
                <w:noProof/>
                <w:sz w:val="20"/>
                <w:szCs w:val="20"/>
              </w:rPr>
              <w:t>Table 3.45: People at risk of poverty or social exclusion - % of total population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_Toc54702378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89</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79" w:history="1">
            <w:r>
              <w:rPr>
                <w:rStyle w:val="Hyperlink"/>
                <w:rFonts w:ascii="Times New Roman" w:hAnsi="Times New Roman"/>
                <w:noProof/>
                <w:sz w:val="20"/>
                <w:szCs w:val="20"/>
              </w:rPr>
              <w:t>Table 3.46: People at risk of poverty after social transfers - % of total population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_Toc54702379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90</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80" w:history="1">
            <w:r>
              <w:rPr>
                <w:rStyle w:val="Hyperlink"/>
                <w:rFonts w:ascii="Times New Roman" w:hAnsi="Times New Roman"/>
                <w:noProof/>
                <w:sz w:val="20"/>
                <w:szCs w:val="20"/>
              </w:rPr>
              <w:t>Table 3.47: Severely materially deprived people - % of total population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_Toc54702380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91</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81" w:history="1">
            <w:r>
              <w:rPr>
                <w:rStyle w:val="Hyperlink"/>
                <w:rFonts w:ascii="Times New Roman" w:hAnsi="Times New Roman"/>
                <w:noProof/>
                <w:sz w:val="20"/>
                <w:szCs w:val="20"/>
              </w:rPr>
              <w:t>Table 3.48: People living in households with very low work intensity - % of total population aged 0-59</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_Toc54702381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92</w:t>
            </w:r>
            <w:r>
              <w:rPr>
                <w:rFonts w:ascii="Times New Roman" w:hAnsi="Times New Roman"/>
                <w:noProof/>
                <w:webHidden/>
                <w:sz w:val="20"/>
                <w:szCs w:val="20"/>
              </w:rPr>
              <w:fldChar w:fldCharType="end"/>
            </w:r>
          </w:hyperlink>
        </w:p>
        <w:p>
          <w:pPr>
            <w:pStyle w:val="TOC1"/>
            <w:tabs>
              <w:tab w:val="right" w:leader="dot" w:pos="9628"/>
            </w:tabs>
            <w:rPr>
              <w:rFonts w:ascii="Times New Roman" w:eastAsiaTheme="minorEastAsia" w:hAnsi="Times New Roman"/>
              <w:noProof/>
              <w:sz w:val="20"/>
              <w:szCs w:val="20"/>
              <w:lang w:eastAsia="en-GB"/>
            </w:rPr>
          </w:pPr>
          <w:hyperlink w:anchor="_Toc54702382" w:history="1">
            <w:r>
              <w:rPr>
                <w:rStyle w:val="Hyperlink"/>
                <w:rFonts w:ascii="Times New Roman" w:hAnsi="Times New Roman"/>
                <w:b/>
                <w:noProof/>
                <w:sz w:val="20"/>
                <w:szCs w:val="20"/>
              </w:rPr>
              <w:t>Chapter 4: Tables by Member States and the UK - Headline indicators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_Toc54702382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93</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83" w:history="1">
            <w:r>
              <w:rPr>
                <w:rStyle w:val="Hyperlink"/>
                <w:rFonts w:ascii="Times New Roman" w:hAnsi="Times New Roman"/>
                <w:noProof/>
                <w:sz w:val="20"/>
                <w:szCs w:val="20"/>
              </w:rPr>
              <w:t>Table 4.1: The MIP scoreboard for Belgium</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_Toc54702383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93</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84" w:history="1">
            <w:r>
              <w:rPr>
                <w:rStyle w:val="Hyperlink"/>
                <w:rFonts w:ascii="Times New Roman" w:hAnsi="Times New Roman"/>
                <w:noProof/>
                <w:sz w:val="20"/>
                <w:szCs w:val="20"/>
              </w:rPr>
              <w:t>Table 4.2: The MIP scoreboard for Bulgaria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_Toc54702384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94</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85" w:history="1">
            <w:r>
              <w:rPr>
                <w:rStyle w:val="Hyperlink"/>
                <w:rFonts w:ascii="Times New Roman" w:hAnsi="Times New Roman"/>
                <w:noProof/>
                <w:sz w:val="20"/>
                <w:szCs w:val="20"/>
              </w:rPr>
              <w:t>Table 4.3: The MIP scoreboard for Czech Republic</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_Toc54702385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86" w:history="1">
            <w:r>
              <w:rPr>
                <w:rStyle w:val="Hyperlink"/>
                <w:rFonts w:ascii="Times New Roman" w:hAnsi="Times New Roman"/>
                <w:noProof/>
                <w:sz w:val="20"/>
                <w:szCs w:val="20"/>
              </w:rPr>
              <w:t>Table 4.4: The MIP scoreboard for Denmark</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_Toc54702386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96</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87" w:history="1">
            <w:r>
              <w:rPr>
                <w:rStyle w:val="Hyperlink"/>
                <w:rFonts w:ascii="Times New Roman" w:hAnsi="Times New Roman"/>
                <w:noProof/>
                <w:sz w:val="20"/>
                <w:szCs w:val="20"/>
              </w:rPr>
              <w:t>Table 4.5: The MIP scoreboard for Germany</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_Toc54702387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97</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88" w:history="1">
            <w:r>
              <w:rPr>
                <w:rStyle w:val="Hyperlink"/>
                <w:rFonts w:ascii="Times New Roman" w:hAnsi="Times New Roman"/>
                <w:noProof/>
                <w:sz w:val="20"/>
                <w:szCs w:val="20"/>
              </w:rPr>
              <w:t>Table 4.6: The MIP scoreboard for Estonia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_Toc54702388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98</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89" w:history="1">
            <w:r>
              <w:rPr>
                <w:rStyle w:val="Hyperlink"/>
                <w:rFonts w:ascii="Times New Roman" w:hAnsi="Times New Roman"/>
                <w:noProof/>
                <w:sz w:val="20"/>
                <w:szCs w:val="20"/>
              </w:rPr>
              <w:t>Table 4.7: The MIP scoreboard for Ireland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_Toc54702389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99</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90" w:history="1">
            <w:r>
              <w:rPr>
                <w:rStyle w:val="Hyperlink"/>
                <w:rFonts w:ascii="Times New Roman" w:hAnsi="Times New Roman"/>
                <w:noProof/>
                <w:sz w:val="20"/>
                <w:szCs w:val="20"/>
              </w:rPr>
              <w:t>Table 4.8: The MIP scoreboard for Greece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_Toc54702390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100</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91" w:history="1">
            <w:r>
              <w:rPr>
                <w:rStyle w:val="Hyperlink"/>
                <w:rFonts w:ascii="Times New Roman" w:hAnsi="Times New Roman"/>
                <w:noProof/>
                <w:sz w:val="20"/>
                <w:szCs w:val="20"/>
              </w:rPr>
              <w:t>Table 4.9: The MIP scoreboard for Spain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_Toc54702391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101</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92" w:history="1">
            <w:r>
              <w:rPr>
                <w:rStyle w:val="Hyperlink"/>
                <w:rFonts w:ascii="Times New Roman" w:hAnsi="Times New Roman"/>
                <w:noProof/>
                <w:sz w:val="20"/>
                <w:szCs w:val="20"/>
              </w:rPr>
              <w:t>Table 4.10: The MIP scoreboard for France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_Toc54702392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102</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93" w:history="1">
            <w:r>
              <w:rPr>
                <w:rStyle w:val="Hyperlink"/>
                <w:rFonts w:ascii="Times New Roman" w:hAnsi="Times New Roman"/>
                <w:noProof/>
                <w:sz w:val="20"/>
                <w:szCs w:val="20"/>
              </w:rPr>
              <w:t>Table 4.11: The MIP scoreboard for Croatia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_Toc54702393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103</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94" w:history="1">
            <w:r>
              <w:rPr>
                <w:rStyle w:val="Hyperlink"/>
                <w:rFonts w:ascii="Times New Roman" w:hAnsi="Times New Roman"/>
                <w:noProof/>
                <w:sz w:val="20"/>
                <w:szCs w:val="20"/>
              </w:rPr>
              <w:t>Table 4.12: The MIP scoreboard for Italy</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_Toc54702394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104</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95" w:history="1">
            <w:r>
              <w:rPr>
                <w:rStyle w:val="Hyperlink"/>
                <w:rFonts w:ascii="Times New Roman" w:hAnsi="Times New Roman"/>
                <w:noProof/>
                <w:sz w:val="20"/>
                <w:szCs w:val="20"/>
              </w:rPr>
              <w:t>Table 4.13: The MIP scoreboard for Cyprus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_Toc54702395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96" w:history="1">
            <w:r>
              <w:rPr>
                <w:rStyle w:val="Hyperlink"/>
                <w:rFonts w:ascii="Times New Roman" w:hAnsi="Times New Roman"/>
                <w:noProof/>
                <w:sz w:val="20"/>
                <w:szCs w:val="20"/>
              </w:rPr>
              <w:t>Table 4.14: The MIP scoreboard for Latvia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_Toc54702396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106</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97" w:history="1">
            <w:r>
              <w:rPr>
                <w:rStyle w:val="Hyperlink"/>
                <w:rFonts w:ascii="Times New Roman" w:hAnsi="Times New Roman"/>
                <w:noProof/>
                <w:sz w:val="20"/>
                <w:szCs w:val="20"/>
              </w:rPr>
              <w:t>Table 4.15: The MIP scoreboard for Lithuania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_Toc54702397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107</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98" w:history="1">
            <w:r>
              <w:rPr>
                <w:rStyle w:val="Hyperlink"/>
                <w:rFonts w:ascii="Times New Roman" w:hAnsi="Times New Roman"/>
                <w:noProof/>
                <w:sz w:val="20"/>
                <w:szCs w:val="20"/>
              </w:rPr>
              <w:t>Table 4.16: The MIP scoreboard for Luxembourg</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_Toc54702398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108</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399" w:history="1">
            <w:r>
              <w:rPr>
                <w:rStyle w:val="Hyperlink"/>
                <w:rFonts w:ascii="Times New Roman" w:hAnsi="Times New Roman"/>
                <w:noProof/>
                <w:sz w:val="20"/>
                <w:szCs w:val="20"/>
              </w:rPr>
              <w:t>Table 4.17: The MIP scoreboard for Hungary</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_Toc54702399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109</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00" w:history="1">
            <w:r>
              <w:rPr>
                <w:rStyle w:val="Hyperlink"/>
                <w:rFonts w:ascii="Times New Roman" w:hAnsi="Times New Roman"/>
                <w:noProof/>
                <w:sz w:val="20"/>
                <w:szCs w:val="20"/>
              </w:rPr>
              <w:t>Table 4.18: The MIP scoreboard for Malta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_Toc54702400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110</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01" w:history="1">
            <w:r>
              <w:rPr>
                <w:rStyle w:val="Hyperlink"/>
                <w:rFonts w:ascii="Times New Roman" w:hAnsi="Times New Roman"/>
                <w:noProof/>
                <w:sz w:val="20"/>
                <w:szCs w:val="20"/>
              </w:rPr>
              <w:t>Table 4.19: The MIP scoreboard for Netherlands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_Toc54702401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111</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02" w:history="1">
            <w:r>
              <w:rPr>
                <w:rStyle w:val="Hyperlink"/>
                <w:rFonts w:ascii="Times New Roman" w:hAnsi="Times New Roman"/>
                <w:noProof/>
                <w:sz w:val="20"/>
                <w:szCs w:val="20"/>
              </w:rPr>
              <w:t>Table 4.20: The MIP scoreboard for Austria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_Toc54702402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112</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03" w:history="1">
            <w:r>
              <w:rPr>
                <w:rStyle w:val="Hyperlink"/>
                <w:rFonts w:ascii="Times New Roman" w:hAnsi="Times New Roman"/>
                <w:noProof/>
                <w:sz w:val="20"/>
                <w:szCs w:val="20"/>
              </w:rPr>
              <w:t>Table 4.21: The MIP scoreboard for Poland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_Toc54702403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113</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04" w:history="1">
            <w:r>
              <w:rPr>
                <w:rStyle w:val="Hyperlink"/>
                <w:rFonts w:ascii="Times New Roman" w:hAnsi="Times New Roman"/>
                <w:noProof/>
                <w:sz w:val="20"/>
                <w:szCs w:val="20"/>
              </w:rPr>
              <w:t>Table 4.22: The MIP scoreboard for Portugal</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_Toc54702404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114</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05" w:history="1">
            <w:r>
              <w:rPr>
                <w:rStyle w:val="Hyperlink"/>
                <w:rFonts w:ascii="Times New Roman" w:hAnsi="Times New Roman"/>
                <w:noProof/>
                <w:sz w:val="20"/>
                <w:szCs w:val="20"/>
              </w:rPr>
              <w:t>Table 4.23: The MIP scoreboard for Romania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_Toc54702405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06" w:history="1">
            <w:r>
              <w:rPr>
                <w:rStyle w:val="Hyperlink"/>
                <w:rFonts w:ascii="Times New Roman" w:hAnsi="Times New Roman"/>
                <w:noProof/>
                <w:sz w:val="20"/>
                <w:szCs w:val="20"/>
              </w:rPr>
              <w:t>Table 4.24: The MIP scoreboard for Slovenia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_Toc54702406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116</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07" w:history="1">
            <w:r>
              <w:rPr>
                <w:rStyle w:val="Hyperlink"/>
                <w:rFonts w:ascii="Times New Roman" w:hAnsi="Times New Roman"/>
                <w:noProof/>
                <w:sz w:val="20"/>
                <w:szCs w:val="20"/>
              </w:rPr>
              <w:t>Table 4.25: The MIP scoreboard for Slovakia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_Toc54702407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117</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08" w:history="1">
            <w:r>
              <w:rPr>
                <w:rStyle w:val="Hyperlink"/>
                <w:rFonts w:ascii="Times New Roman" w:hAnsi="Times New Roman"/>
                <w:noProof/>
                <w:sz w:val="20"/>
                <w:szCs w:val="20"/>
              </w:rPr>
              <w:t>Table 4.26: The MIP scoreboard for Finland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_Toc54702408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118</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09" w:history="1">
            <w:r>
              <w:rPr>
                <w:rStyle w:val="Hyperlink"/>
                <w:rFonts w:ascii="Times New Roman" w:hAnsi="Times New Roman"/>
                <w:noProof/>
                <w:sz w:val="20"/>
                <w:szCs w:val="20"/>
              </w:rPr>
              <w:t>Table 4.27: The MIP scoreboard for Sweden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_Toc54702409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119</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10" w:history="1">
            <w:r>
              <w:rPr>
                <w:rStyle w:val="Hyperlink"/>
                <w:rFonts w:ascii="Times New Roman" w:hAnsi="Times New Roman"/>
                <w:noProof/>
                <w:sz w:val="20"/>
                <w:szCs w:val="20"/>
              </w:rPr>
              <w:t>Table 4.28: The MIP scoreboard for the United Kingdom</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_Toc54702410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120</w:t>
            </w:r>
            <w:r>
              <w:rPr>
                <w:rFonts w:ascii="Times New Roman" w:hAnsi="Times New Roman"/>
                <w:noProof/>
                <w:webHidden/>
                <w:sz w:val="20"/>
                <w:szCs w:val="20"/>
              </w:rPr>
              <w:fldChar w:fldCharType="end"/>
            </w:r>
          </w:hyperlink>
        </w:p>
        <w:p>
          <w:pPr>
            <w:pStyle w:val="TOC1"/>
            <w:tabs>
              <w:tab w:val="right" w:leader="dot" w:pos="9628"/>
            </w:tabs>
            <w:rPr>
              <w:rFonts w:ascii="Times New Roman" w:eastAsiaTheme="minorEastAsia" w:hAnsi="Times New Roman"/>
              <w:noProof/>
              <w:sz w:val="20"/>
              <w:szCs w:val="20"/>
              <w:lang w:eastAsia="en-GB"/>
            </w:rPr>
          </w:pPr>
          <w:hyperlink w:anchor="_Toc54702411" w:history="1">
            <w:r>
              <w:rPr>
                <w:rStyle w:val="Hyperlink"/>
                <w:rFonts w:ascii="Times New Roman" w:hAnsi="Times New Roman"/>
                <w:b/>
                <w:noProof/>
                <w:sz w:val="20"/>
                <w:szCs w:val="20"/>
              </w:rPr>
              <w:t>Chapter 5: Tables by Member States and the UK - Auxiliary indicators used in the economic reading of the MIP scoreboard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_Toc54702411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121</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12" w:history="1">
            <w:r>
              <w:rPr>
                <w:rStyle w:val="Hyperlink"/>
                <w:rFonts w:ascii="Times New Roman" w:hAnsi="Times New Roman"/>
                <w:noProof/>
                <w:sz w:val="20"/>
                <w:szCs w:val="20"/>
              </w:rPr>
              <w:t>Table 5.1: Auxiliary indicators for Belgium</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_Toc54702412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121</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13" w:history="1">
            <w:r>
              <w:rPr>
                <w:rStyle w:val="Hyperlink"/>
                <w:rFonts w:ascii="Times New Roman" w:hAnsi="Times New Roman"/>
                <w:noProof/>
                <w:sz w:val="20"/>
                <w:szCs w:val="20"/>
              </w:rPr>
              <w:t>Table 5.1 (continued): Auxiliary indicators for Belgium</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_Toc54702413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122</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14" w:history="1">
            <w:r>
              <w:rPr>
                <w:rStyle w:val="Hyperlink"/>
                <w:rFonts w:ascii="Times New Roman" w:hAnsi="Times New Roman"/>
                <w:noProof/>
                <w:sz w:val="20"/>
                <w:szCs w:val="20"/>
              </w:rPr>
              <w:t>Table 5.2: Auxiliary indicators for Bulgaria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_Toc54702414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123</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15" w:history="1">
            <w:r>
              <w:rPr>
                <w:rStyle w:val="Hyperlink"/>
                <w:rFonts w:ascii="Times New Roman" w:hAnsi="Times New Roman"/>
                <w:noProof/>
                <w:sz w:val="20"/>
                <w:szCs w:val="20"/>
              </w:rPr>
              <w:t>Table 5.2 (continued): Auxiliary indicators for Bulgaria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_Toc54702415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124</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16" w:history="1">
            <w:r>
              <w:rPr>
                <w:rStyle w:val="Hyperlink"/>
                <w:rFonts w:ascii="Times New Roman" w:hAnsi="Times New Roman"/>
                <w:noProof/>
                <w:sz w:val="20"/>
                <w:szCs w:val="20"/>
              </w:rPr>
              <w:t>Table 5.3: Auxiliary indicators for Czech Republic</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_Toc54702416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17" w:history="1">
            <w:r>
              <w:rPr>
                <w:rStyle w:val="Hyperlink"/>
                <w:rFonts w:ascii="Times New Roman" w:hAnsi="Times New Roman"/>
                <w:noProof/>
                <w:sz w:val="20"/>
                <w:szCs w:val="20"/>
              </w:rPr>
              <w:t>Table 5.3 (continued): Auxiliary indicators for Czech Republic</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_Toc54702417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126</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18" w:history="1">
            <w:r>
              <w:rPr>
                <w:rStyle w:val="Hyperlink"/>
                <w:rFonts w:ascii="Times New Roman" w:hAnsi="Times New Roman"/>
                <w:noProof/>
                <w:sz w:val="20"/>
                <w:szCs w:val="20"/>
              </w:rPr>
              <w:t>Table 5.4: Auxiliary indicators for Denmark</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_Toc54702418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127</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19" w:history="1">
            <w:r>
              <w:rPr>
                <w:rStyle w:val="Hyperlink"/>
                <w:rFonts w:ascii="Times New Roman" w:hAnsi="Times New Roman"/>
                <w:noProof/>
                <w:sz w:val="20"/>
                <w:szCs w:val="20"/>
              </w:rPr>
              <w:t>Table 5.4 (continued): Auxiliary indicators for Denmark</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_Toc54702419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128</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20" w:history="1">
            <w:r>
              <w:rPr>
                <w:rStyle w:val="Hyperlink"/>
                <w:rFonts w:ascii="Times New Roman" w:hAnsi="Times New Roman"/>
                <w:noProof/>
                <w:sz w:val="20"/>
                <w:szCs w:val="20"/>
              </w:rPr>
              <w:t>Table 5.5: Auxiliary indicators for Germany</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_Toc54702420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129</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21" w:history="1">
            <w:r>
              <w:rPr>
                <w:rStyle w:val="Hyperlink"/>
                <w:rFonts w:ascii="Times New Roman" w:hAnsi="Times New Roman"/>
                <w:noProof/>
                <w:sz w:val="20"/>
                <w:szCs w:val="20"/>
              </w:rPr>
              <w:t>Table 5.5 (continued): Auxiliary indicators for Germany</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_Toc54702421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130</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22" w:history="1">
            <w:r>
              <w:rPr>
                <w:rStyle w:val="Hyperlink"/>
                <w:rFonts w:ascii="Times New Roman" w:hAnsi="Times New Roman"/>
                <w:noProof/>
                <w:sz w:val="20"/>
                <w:szCs w:val="20"/>
              </w:rPr>
              <w:t>Table 5.6: Auxiliary indicators for Estonia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_Toc54702422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131</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23" w:history="1">
            <w:r>
              <w:rPr>
                <w:rStyle w:val="Hyperlink"/>
                <w:rFonts w:ascii="Times New Roman" w:hAnsi="Times New Roman"/>
                <w:noProof/>
                <w:sz w:val="20"/>
                <w:szCs w:val="20"/>
              </w:rPr>
              <w:t>Table 5.6 (continued): Auxiliary indicators for Estonia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_Toc54702423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132</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24" w:history="1">
            <w:r>
              <w:rPr>
                <w:rStyle w:val="Hyperlink"/>
                <w:rFonts w:ascii="Times New Roman" w:hAnsi="Times New Roman"/>
                <w:noProof/>
                <w:sz w:val="20"/>
                <w:szCs w:val="20"/>
              </w:rPr>
              <w:t>Table 5.7: Auxiliary indicators for Ireland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_Toc54702424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133</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25" w:history="1">
            <w:r>
              <w:rPr>
                <w:rStyle w:val="Hyperlink"/>
                <w:rFonts w:ascii="Times New Roman" w:hAnsi="Times New Roman"/>
                <w:noProof/>
                <w:sz w:val="20"/>
                <w:szCs w:val="20"/>
              </w:rPr>
              <w:t>Table 5.7 (continued): Auxiliary indicators for Ireland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_Toc54702425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134</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26" w:history="1">
            <w:r>
              <w:rPr>
                <w:rStyle w:val="Hyperlink"/>
                <w:rFonts w:ascii="Times New Roman" w:hAnsi="Times New Roman"/>
                <w:noProof/>
                <w:sz w:val="20"/>
                <w:szCs w:val="20"/>
              </w:rPr>
              <w:t>Table 5.8: Auxiliary indicators for Greece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_Toc54702426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27" w:history="1">
            <w:r>
              <w:rPr>
                <w:rStyle w:val="Hyperlink"/>
                <w:rFonts w:ascii="Times New Roman" w:hAnsi="Times New Roman"/>
                <w:noProof/>
                <w:sz w:val="20"/>
                <w:szCs w:val="20"/>
              </w:rPr>
              <w:t>Table 5.8 (continued): Auxiliary indicators for Greece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_Toc54702427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136</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28" w:history="1">
            <w:r>
              <w:rPr>
                <w:rStyle w:val="Hyperlink"/>
                <w:rFonts w:ascii="Times New Roman" w:hAnsi="Times New Roman"/>
                <w:noProof/>
                <w:sz w:val="20"/>
                <w:szCs w:val="20"/>
              </w:rPr>
              <w:t>Table 5.9: Auxiliary indicators for Spain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_Toc54702428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137</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29" w:history="1">
            <w:r>
              <w:rPr>
                <w:rStyle w:val="Hyperlink"/>
                <w:rFonts w:ascii="Times New Roman" w:hAnsi="Times New Roman"/>
                <w:noProof/>
                <w:sz w:val="20"/>
                <w:szCs w:val="20"/>
              </w:rPr>
              <w:t>Table 5.9 (continued): Auxiliary indicators for Spain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_Toc54702429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138</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30" w:history="1">
            <w:r>
              <w:rPr>
                <w:rStyle w:val="Hyperlink"/>
                <w:rFonts w:ascii="Times New Roman" w:hAnsi="Times New Roman"/>
                <w:noProof/>
                <w:sz w:val="20"/>
                <w:szCs w:val="20"/>
              </w:rPr>
              <w:t>Table 5.10: Auxiliary indicators for France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_Toc54702430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139</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31" w:history="1">
            <w:r>
              <w:rPr>
                <w:rStyle w:val="Hyperlink"/>
                <w:rFonts w:ascii="Times New Roman" w:hAnsi="Times New Roman"/>
                <w:noProof/>
                <w:sz w:val="20"/>
                <w:szCs w:val="20"/>
              </w:rPr>
              <w:t>Table 5.10 (continued): Auxiliary indicators for France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_Toc54702431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140</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32" w:history="1">
            <w:r>
              <w:rPr>
                <w:rStyle w:val="Hyperlink"/>
                <w:rFonts w:ascii="Times New Roman" w:hAnsi="Times New Roman"/>
                <w:noProof/>
                <w:sz w:val="20"/>
                <w:szCs w:val="20"/>
              </w:rPr>
              <w:t>Table 5.11: Auxiliary indicators for Croatia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_Toc54702432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141</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33" w:history="1">
            <w:r>
              <w:rPr>
                <w:rStyle w:val="Hyperlink"/>
                <w:rFonts w:ascii="Times New Roman" w:hAnsi="Times New Roman"/>
                <w:noProof/>
                <w:sz w:val="20"/>
                <w:szCs w:val="20"/>
              </w:rPr>
              <w:t>Table 5.11 (continued): Auxiliary indicators for Croatia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_Toc54702433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142</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34" w:history="1">
            <w:r>
              <w:rPr>
                <w:rStyle w:val="Hyperlink"/>
                <w:rFonts w:ascii="Times New Roman" w:hAnsi="Times New Roman"/>
                <w:noProof/>
                <w:sz w:val="20"/>
                <w:szCs w:val="20"/>
              </w:rPr>
              <w:t>Table 5.12: Auxiliary indicators for Italy</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_Toc54702434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143</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35" w:history="1">
            <w:r>
              <w:rPr>
                <w:rStyle w:val="Hyperlink"/>
                <w:rFonts w:ascii="Times New Roman" w:hAnsi="Times New Roman"/>
                <w:noProof/>
                <w:sz w:val="20"/>
                <w:szCs w:val="20"/>
              </w:rPr>
              <w:t>Table 5.12 (continued): Auxiliary indicators for Italy</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_Toc54702435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144</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36" w:history="1">
            <w:r>
              <w:rPr>
                <w:rStyle w:val="Hyperlink"/>
                <w:rFonts w:ascii="Times New Roman" w:hAnsi="Times New Roman"/>
                <w:noProof/>
                <w:sz w:val="20"/>
                <w:szCs w:val="20"/>
              </w:rPr>
              <w:t>Table 5.13: Auxiliary indicators for Cyprus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_Toc54702436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37" w:history="1">
            <w:r>
              <w:rPr>
                <w:rStyle w:val="Hyperlink"/>
                <w:rFonts w:ascii="Times New Roman" w:hAnsi="Times New Roman"/>
                <w:noProof/>
                <w:sz w:val="20"/>
                <w:szCs w:val="20"/>
              </w:rPr>
              <w:t>Table 5.13 (continued): Auxiliary indicators for Cyprus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_Toc54702437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146</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38" w:history="1">
            <w:r>
              <w:rPr>
                <w:rStyle w:val="Hyperlink"/>
                <w:rFonts w:ascii="Times New Roman" w:hAnsi="Times New Roman"/>
                <w:noProof/>
                <w:sz w:val="20"/>
                <w:szCs w:val="20"/>
              </w:rPr>
              <w:t>Table 5.14: Auxiliary indicators for Latvia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_Toc54702438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147</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39" w:history="1">
            <w:r>
              <w:rPr>
                <w:rStyle w:val="Hyperlink"/>
                <w:rFonts w:ascii="Times New Roman" w:hAnsi="Times New Roman"/>
                <w:noProof/>
                <w:sz w:val="20"/>
                <w:szCs w:val="20"/>
              </w:rPr>
              <w:t>Table 5.14 (continued): Auxiliary indicators for Latvia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_Toc54702439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148</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40" w:history="1">
            <w:r>
              <w:rPr>
                <w:rStyle w:val="Hyperlink"/>
                <w:rFonts w:ascii="Times New Roman" w:hAnsi="Times New Roman"/>
                <w:noProof/>
                <w:sz w:val="20"/>
                <w:szCs w:val="20"/>
              </w:rPr>
              <w:t>Table 5.15: Auxiliary indicators for Lithuania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_Toc54702440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149</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41" w:history="1">
            <w:r>
              <w:rPr>
                <w:rStyle w:val="Hyperlink"/>
                <w:rFonts w:ascii="Times New Roman" w:hAnsi="Times New Roman"/>
                <w:noProof/>
                <w:sz w:val="20"/>
                <w:szCs w:val="20"/>
              </w:rPr>
              <w:t>Table 5.15 (continued): Auxiliary indicators for Lithuania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_Toc54702441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150</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42" w:history="1">
            <w:r>
              <w:rPr>
                <w:rStyle w:val="Hyperlink"/>
                <w:rFonts w:ascii="Times New Roman" w:hAnsi="Times New Roman"/>
                <w:noProof/>
                <w:sz w:val="20"/>
                <w:szCs w:val="20"/>
              </w:rPr>
              <w:t>Table 5.16: Auxiliary indicators for Luxembourg</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_Toc54702442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151</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43" w:history="1">
            <w:r>
              <w:rPr>
                <w:rStyle w:val="Hyperlink"/>
                <w:rFonts w:ascii="Times New Roman" w:hAnsi="Times New Roman"/>
                <w:noProof/>
                <w:sz w:val="20"/>
                <w:szCs w:val="20"/>
              </w:rPr>
              <w:t>Table 5.16 (continued): Auxiliary indicators for Luxembourg</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_Toc54702443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152</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44" w:history="1">
            <w:r>
              <w:rPr>
                <w:rStyle w:val="Hyperlink"/>
                <w:rFonts w:ascii="Times New Roman" w:hAnsi="Times New Roman"/>
                <w:noProof/>
                <w:sz w:val="20"/>
                <w:szCs w:val="20"/>
              </w:rPr>
              <w:t>Table 5.17: Auxiliary indicators for Hungary</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_Toc54702444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153</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45" w:history="1">
            <w:r>
              <w:rPr>
                <w:rStyle w:val="Hyperlink"/>
                <w:rFonts w:ascii="Times New Roman" w:hAnsi="Times New Roman"/>
                <w:noProof/>
                <w:sz w:val="20"/>
                <w:szCs w:val="20"/>
              </w:rPr>
              <w:t>Table 5.17 (continued): Auxiliary indicators for Hungary</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_Toc54702445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154</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46" w:history="1">
            <w:r>
              <w:rPr>
                <w:rStyle w:val="Hyperlink"/>
                <w:rFonts w:ascii="Times New Roman" w:hAnsi="Times New Roman"/>
                <w:noProof/>
                <w:sz w:val="20"/>
                <w:szCs w:val="20"/>
              </w:rPr>
              <w:t>Table 5.18: Auxiliary indicators for Malta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_Toc54702446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47" w:history="1">
            <w:r>
              <w:rPr>
                <w:rStyle w:val="Hyperlink"/>
                <w:rFonts w:ascii="Times New Roman" w:hAnsi="Times New Roman"/>
                <w:noProof/>
                <w:sz w:val="20"/>
                <w:szCs w:val="20"/>
              </w:rPr>
              <w:t>Table 5.18 (continued): Auxiliary indicators for Malta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_Toc54702447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156</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48" w:history="1">
            <w:r>
              <w:rPr>
                <w:rStyle w:val="Hyperlink"/>
                <w:rFonts w:ascii="Times New Roman" w:hAnsi="Times New Roman"/>
                <w:noProof/>
                <w:sz w:val="20"/>
                <w:szCs w:val="20"/>
              </w:rPr>
              <w:t>Table 5.19: Auxiliary indicators for Netherlands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_Toc54702448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157</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49" w:history="1">
            <w:r>
              <w:rPr>
                <w:rStyle w:val="Hyperlink"/>
                <w:rFonts w:ascii="Times New Roman" w:hAnsi="Times New Roman"/>
                <w:noProof/>
                <w:sz w:val="20"/>
                <w:szCs w:val="20"/>
              </w:rPr>
              <w:t>Table 5.19 (continued): Auxiliary indicators for Netherlands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_Toc54702449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158</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50" w:history="1">
            <w:r>
              <w:rPr>
                <w:rStyle w:val="Hyperlink"/>
                <w:rFonts w:ascii="Times New Roman" w:hAnsi="Times New Roman"/>
                <w:noProof/>
                <w:sz w:val="20"/>
                <w:szCs w:val="20"/>
              </w:rPr>
              <w:t>Table 5.20: Auxiliary indicators for Austria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_Toc54702450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159</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51" w:history="1">
            <w:r>
              <w:rPr>
                <w:rStyle w:val="Hyperlink"/>
                <w:rFonts w:ascii="Times New Roman" w:hAnsi="Times New Roman"/>
                <w:noProof/>
                <w:sz w:val="20"/>
                <w:szCs w:val="20"/>
              </w:rPr>
              <w:t>Table 5.20 (continued): Auxiliary indicators for Austria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_Toc54702451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160</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52" w:history="1">
            <w:r>
              <w:rPr>
                <w:rStyle w:val="Hyperlink"/>
                <w:rFonts w:ascii="Times New Roman" w:hAnsi="Times New Roman"/>
                <w:noProof/>
                <w:sz w:val="20"/>
                <w:szCs w:val="20"/>
              </w:rPr>
              <w:t>Table 5.21: Auxiliary indicators for Poland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_Toc54702452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161</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53" w:history="1">
            <w:r>
              <w:rPr>
                <w:rStyle w:val="Hyperlink"/>
                <w:rFonts w:ascii="Times New Roman" w:hAnsi="Times New Roman"/>
                <w:noProof/>
                <w:sz w:val="20"/>
                <w:szCs w:val="20"/>
              </w:rPr>
              <w:t>Table 5.21 (continued): Auxiliary indicators for Poland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_Toc54702453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162</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54" w:history="1">
            <w:r>
              <w:rPr>
                <w:rStyle w:val="Hyperlink"/>
                <w:rFonts w:ascii="Times New Roman" w:hAnsi="Times New Roman"/>
                <w:noProof/>
                <w:sz w:val="20"/>
                <w:szCs w:val="20"/>
              </w:rPr>
              <w:t>Table 5.22: Auxiliary indicators for Portugal</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_Toc54702454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163</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55" w:history="1">
            <w:r>
              <w:rPr>
                <w:rStyle w:val="Hyperlink"/>
                <w:rFonts w:ascii="Times New Roman" w:hAnsi="Times New Roman"/>
                <w:noProof/>
                <w:sz w:val="20"/>
                <w:szCs w:val="20"/>
              </w:rPr>
              <w:t>Table 5.22 (continued): Auxiliary indicators for Portugal</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_Toc54702455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164</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56" w:history="1">
            <w:r>
              <w:rPr>
                <w:rStyle w:val="Hyperlink"/>
                <w:rFonts w:ascii="Times New Roman" w:hAnsi="Times New Roman"/>
                <w:noProof/>
                <w:sz w:val="20"/>
                <w:szCs w:val="20"/>
              </w:rPr>
              <w:t>Table 5.23: Auxiliary indicators for Romania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_Toc54702456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57" w:history="1">
            <w:r>
              <w:rPr>
                <w:rStyle w:val="Hyperlink"/>
                <w:rFonts w:ascii="Times New Roman" w:hAnsi="Times New Roman"/>
                <w:noProof/>
                <w:sz w:val="20"/>
                <w:szCs w:val="20"/>
              </w:rPr>
              <w:t>Table 5.23 (continued): Auxiliary indicators for Romania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_Toc54702457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166</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58" w:history="1">
            <w:r>
              <w:rPr>
                <w:rStyle w:val="Hyperlink"/>
                <w:rFonts w:ascii="Times New Roman" w:hAnsi="Times New Roman"/>
                <w:noProof/>
                <w:sz w:val="20"/>
                <w:szCs w:val="20"/>
              </w:rPr>
              <w:t>Table 5.24: Auxiliary indicators for Slovenia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_Toc54702458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167</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59" w:history="1">
            <w:r>
              <w:rPr>
                <w:rStyle w:val="Hyperlink"/>
                <w:rFonts w:ascii="Times New Roman" w:hAnsi="Times New Roman"/>
                <w:noProof/>
                <w:sz w:val="20"/>
                <w:szCs w:val="20"/>
              </w:rPr>
              <w:t>Table 5.24 (continued): Auxiliary indicators for Slovenia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_Toc54702459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168</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60" w:history="1">
            <w:r>
              <w:rPr>
                <w:rStyle w:val="Hyperlink"/>
                <w:rFonts w:ascii="Times New Roman" w:hAnsi="Times New Roman"/>
                <w:noProof/>
                <w:sz w:val="20"/>
                <w:szCs w:val="20"/>
              </w:rPr>
              <w:t>Table 5.25: Auxiliary indicators for Slovakia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_Toc54702460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169</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61" w:history="1">
            <w:r>
              <w:rPr>
                <w:rStyle w:val="Hyperlink"/>
                <w:rFonts w:ascii="Times New Roman" w:hAnsi="Times New Roman"/>
                <w:noProof/>
                <w:sz w:val="20"/>
                <w:szCs w:val="20"/>
              </w:rPr>
              <w:t>Table 5.25 (continued): Auxiliary indicators for Slovakia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_Toc54702461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170</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62" w:history="1">
            <w:r>
              <w:rPr>
                <w:rStyle w:val="Hyperlink"/>
                <w:rFonts w:ascii="Times New Roman" w:hAnsi="Times New Roman"/>
                <w:noProof/>
                <w:sz w:val="20"/>
                <w:szCs w:val="20"/>
              </w:rPr>
              <w:t>Table 5.26: Auxiliary indicators for Finland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_Toc54702462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171</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63" w:history="1">
            <w:r>
              <w:rPr>
                <w:rStyle w:val="Hyperlink"/>
                <w:rFonts w:ascii="Times New Roman" w:hAnsi="Times New Roman"/>
                <w:noProof/>
                <w:sz w:val="20"/>
                <w:szCs w:val="20"/>
              </w:rPr>
              <w:t>Table 5.26 (continued): Auxiliary indicators for Finland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_Toc54702463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172</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64" w:history="1">
            <w:r>
              <w:rPr>
                <w:rStyle w:val="Hyperlink"/>
                <w:rFonts w:ascii="Times New Roman" w:hAnsi="Times New Roman"/>
                <w:noProof/>
                <w:sz w:val="20"/>
                <w:szCs w:val="20"/>
              </w:rPr>
              <w:t>Table 5.27: Auxiliary indicators for Sweden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_Toc54702464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173</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65" w:history="1">
            <w:r>
              <w:rPr>
                <w:rStyle w:val="Hyperlink"/>
                <w:rFonts w:ascii="Times New Roman" w:hAnsi="Times New Roman"/>
                <w:noProof/>
                <w:sz w:val="20"/>
                <w:szCs w:val="20"/>
              </w:rPr>
              <w:t>Table 5.27 (continued): Auxiliary indicators for Sweden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_Toc54702465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174</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66" w:history="1">
            <w:r>
              <w:rPr>
                <w:rStyle w:val="Hyperlink"/>
                <w:rFonts w:ascii="Times New Roman" w:hAnsi="Times New Roman"/>
                <w:noProof/>
                <w:sz w:val="20"/>
                <w:szCs w:val="20"/>
              </w:rPr>
              <w:t>Table 5.28: Auxiliary indicators for the United Kingdom</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_Toc54702466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175</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67" w:history="1">
            <w:r>
              <w:rPr>
                <w:rStyle w:val="Hyperlink"/>
                <w:rFonts w:ascii="Times New Roman" w:hAnsi="Times New Roman"/>
                <w:noProof/>
                <w:sz w:val="20"/>
                <w:szCs w:val="20"/>
              </w:rPr>
              <w:t>Table 5.28 (continued): Auxiliary indicators for the United Kingdom</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_Toc54702467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176</w:t>
            </w:r>
            <w:r>
              <w:rPr>
                <w:rFonts w:ascii="Times New Roman" w:hAnsi="Times New Roman"/>
                <w:noProof/>
                <w:webHidden/>
                <w:sz w:val="20"/>
                <w:szCs w:val="20"/>
              </w:rPr>
              <w:fldChar w:fldCharType="end"/>
            </w:r>
          </w:hyperlink>
        </w:p>
        <w:p>
          <w:pPr>
            <w:pStyle w:val="TOC1"/>
            <w:tabs>
              <w:tab w:val="right" w:leader="dot" w:pos="9628"/>
            </w:tabs>
            <w:rPr>
              <w:rFonts w:ascii="Times New Roman" w:eastAsiaTheme="minorEastAsia" w:hAnsi="Times New Roman"/>
              <w:noProof/>
              <w:sz w:val="20"/>
              <w:szCs w:val="20"/>
              <w:lang w:eastAsia="en-GB"/>
            </w:rPr>
          </w:pPr>
          <w:hyperlink w:anchor="_Toc54702468" w:history="1">
            <w:r>
              <w:rPr>
                <w:rStyle w:val="Hyperlink"/>
                <w:rFonts w:ascii="Times New Roman" w:hAnsi="Times New Roman"/>
                <w:b/>
                <w:noProof/>
                <w:sz w:val="20"/>
                <w:szCs w:val="20"/>
              </w:rPr>
              <w:t>Chapter 6: Tables by year - MIP Scoreboard (base indicators)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_Toc54702468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177</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69" w:history="1">
            <w:r>
              <w:rPr>
                <w:rStyle w:val="Hyperlink"/>
                <w:rFonts w:ascii="Times New Roman" w:hAnsi="Times New Roman"/>
                <w:noProof/>
                <w:sz w:val="20"/>
                <w:szCs w:val="20"/>
              </w:rPr>
              <w:t>Table 6.1: MIP Scoreboard (base indicators) 2019</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_Toc54702469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177</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70" w:history="1">
            <w:r>
              <w:rPr>
                <w:rStyle w:val="Hyperlink"/>
                <w:rFonts w:ascii="Times New Roman" w:hAnsi="Times New Roman"/>
                <w:noProof/>
                <w:sz w:val="20"/>
                <w:szCs w:val="20"/>
              </w:rPr>
              <w:t>Table 6.2: MIP Scoreboard (base indicators) 2018</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_Toc54702470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178</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71" w:history="1">
            <w:r>
              <w:rPr>
                <w:rStyle w:val="Hyperlink"/>
                <w:rFonts w:ascii="Times New Roman" w:hAnsi="Times New Roman"/>
                <w:noProof/>
                <w:sz w:val="20"/>
                <w:szCs w:val="20"/>
              </w:rPr>
              <w:t>Table 6.3: MIP Scoreboard (base indicators) 2017</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_Toc54702471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179</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72" w:history="1">
            <w:r>
              <w:rPr>
                <w:rStyle w:val="Hyperlink"/>
                <w:rFonts w:ascii="Times New Roman" w:hAnsi="Times New Roman"/>
                <w:noProof/>
                <w:sz w:val="20"/>
                <w:szCs w:val="20"/>
              </w:rPr>
              <w:t>Table 6.4: MIP Scoreboard (base indicators) 2016</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_Toc54702472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180</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73" w:history="1">
            <w:r>
              <w:rPr>
                <w:rStyle w:val="Hyperlink"/>
                <w:rFonts w:ascii="Times New Roman" w:hAnsi="Times New Roman"/>
                <w:noProof/>
                <w:sz w:val="20"/>
                <w:szCs w:val="20"/>
              </w:rPr>
              <w:t>Table 6.5: MIP Scoreboard (base indicators) 2015</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_Toc54702473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181</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74" w:history="1">
            <w:r>
              <w:rPr>
                <w:rStyle w:val="Hyperlink"/>
                <w:rFonts w:ascii="Times New Roman" w:hAnsi="Times New Roman"/>
                <w:noProof/>
                <w:sz w:val="20"/>
                <w:szCs w:val="20"/>
              </w:rPr>
              <w:t>Table 6.6: MIP Scoreboard (base indicators) 2014</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_Toc54702474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182</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75" w:history="1">
            <w:r>
              <w:rPr>
                <w:rStyle w:val="Hyperlink"/>
                <w:rFonts w:ascii="Times New Roman" w:hAnsi="Times New Roman"/>
                <w:noProof/>
                <w:sz w:val="20"/>
                <w:szCs w:val="20"/>
              </w:rPr>
              <w:t>Table 6.7: MIP Scoreboard (base indicators) 2013</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_Toc54702475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183</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76" w:history="1">
            <w:r>
              <w:rPr>
                <w:rStyle w:val="Hyperlink"/>
                <w:rFonts w:ascii="Times New Roman" w:hAnsi="Times New Roman"/>
                <w:noProof/>
                <w:sz w:val="20"/>
                <w:szCs w:val="20"/>
              </w:rPr>
              <w:t>Table 6.8: MIP Scoreboard (base indicators) 2012</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_Toc54702476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184</w:t>
            </w:r>
            <w:r>
              <w:rPr>
                <w:rFonts w:ascii="Times New Roman" w:hAnsi="Times New Roman"/>
                <w:noProof/>
                <w:webHidden/>
                <w:sz w:val="20"/>
                <w:szCs w:val="20"/>
              </w:rPr>
              <w:fldChar w:fldCharType="end"/>
            </w:r>
          </w:hyperlink>
        </w:p>
        <w:p>
          <w:pPr>
            <w:pStyle w:val="TOC2"/>
            <w:tabs>
              <w:tab w:val="right" w:leader="dot" w:pos="9628"/>
            </w:tabs>
            <w:rPr>
              <w:rFonts w:ascii="Times New Roman" w:eastAsiaTheme="minorEastAsia" w:hAnsi="Times New Roman"/>
              <w:noProof/>
              <w:sz w:val="20"/>
              <w:szCs w:val="20"/>
              <w:lang w:eastAsia="en-GB"/>
            </w:rPr>
          </w:pPr>
          <w:hyperlink w:anchor="_Toc54702477" w:history="1">
            <w:r>
              <w:rPr>
                <w:rStyle w:val="Hyperlink"/>
                <w:rFonts w:ascii="Times New Roman" w:hAnsi="Times New Roman"/>
                <w:noProof/>
                <w:sz w:val="20"/>
                <w:szCs w:val="20"/>
              </w:rPr>
              <w:t>Table 6.9: MIP Scoreboard (base indicators) 2011</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_Toc54702477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185</w:t>
            </w:r>
            <w:r>
              <w:rPr>
                <w:rFonts w:ascii="Times New Roman" w:hAnsi="Times New Roman"/>
                <w:noProof/>
                <w:webHidden/>
                <w:sz w:val="20"/>
                <w:szCs w:val="20"/>
              </w:rPr>
              <w:fldChar w:fldCharType="end"/>
            </w:r>
          </w:hyperlink>
        </w:p>
        <w:p>
          <w:pPr>
            <w:pStyle w:val="TOC2"/>
            <w:tabs>
              <w:tab w:val="right" w:leader="dot" w:pos="9628"/>
            </w:tabs>
            <w:rPr>
              <w:rFonts w:asciiTheme="minorHAnsi" w:eastAsiaTheme="minorEastAsia" w:hAnsiTheme="minorHAnsi" w:cstheme="minorBidi"/>
              <w:noProof/>
              <w:lang w:eastAsia="en-GB"/>
            </w:rPr>
          </w:pPr>
          <w:hyperlink w:anchor="_Toc54702478" w:history="1">
            <w:r>
              <w:rPr>
                <w:rStyle w:val="Hyperlink"/>
                <w:rFonts w:ascii="Times New Roman" w:hAnsi="Times New Roman"/>
                <w:noProof/>
                <w:sz w:val="20"/>
                <w:szCs w:val="20"/>
              </w:rPr>
              <w:t>Table 6.10: MIP Scoreboard (base indicators) 2010</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_Toc54702478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186</w:t>
            </w:r>
            <w:r>
              <w:rPr>
                <w:rFonts w:ascii="Times New Roman" w:hAnsi="Times New Roman"/>
                <w:noProof/>
                <w:webHidden/>
                <w:sz w:val="20"/>
                <w:szCs w:val="20"/>
              </w:rPr>
              <w:fldChar w:fldCharType="end"/>
            </w:r>
          </w:hyperlink>
        </w:p>
        <w:p>
          <w:pPr>
            <w:rPr>
              <w:noProof/>
              <w:sz w:val="20"/>
              <w:szCs w:val="20"/>
            </w:rPr>
          </w:pPr>
          <w:r>
            <w:rPr>
              <w:b/>
              <w:bCs/>
              <w:noProof/>
              <w:sz w:val="20"/>
              <w:szCs w:val="20"/>
            </w:rPr>
            <w:fldChar w:fldCharType="end"/>
          </w:r>
        </w:p>
      </w:sdtContent>
    </w:sdt>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keepNext/>
        <w:keepLines/>
        <w:pageBreakBefore/>
        <w:spacing w:after="0" w:line="360" w:lineRule="auto"/>
        <w:ind w:left="284" w:right="425"/>
        <w:jc w:val="both"/>
        <w:outlineLvl w:val="0"/>
        <w:rPr>
          <w:rFonts w:ascii="Times New Roman" w:eastAsiaTheme="majorEastAsia" w:hAnsi="Times New Roman"/>
          <w:b/>
          <w:bCs/>
          <w:smallCaps/>
          <w:noProof/>
          <w:sz w:val="28"/>
          <w:szCs w:val="28"/>
        </w:rPr>
      </w:pPr>
      <w:bookmarkStart w:id="2" w:name="_Toc22828574"/>
      <w:bookmarkStart w:id="3" w:name="_Toc22133760"/>
      <w:bookmarkStart w:id="4" w:name="_Toc54702298"/>
      <w:bookmarkStart w:id="5" w:name="_Toc433876551"/>
      <w:r>
        <w:rPr>
          <w:rFonts w:ascii="Times New Roman" w:eastAsiaTheme="majorEastAsia" w:hAnsi="Times New Roman"/>
          <w:b/>
          <w:bCs/>
          <w:smallCaps/>
          <w:noProof/>
          <w:sz w:val="28"/>
          <w:szCs w:val="28"/>
        </w:rPr>
        <w:t>Background information</w:t>
      </w:r>
      <w:bookmarkEnd w:id="2"/>
      <w:bookmarkEnd w:id="3"/>
      <w:bookmarkEnd w:id="4"/>
    </w:p>
    <w:p>
      <w:pPr>
        <w:spacing w:after="120" w:line="240" w:lineRule="auto"/>
        <w:ind w:left="284" w:right="425"/>
        <w:jc w:val="both"/>
        <w:rPr>
          <w:rFonts w:ascii="Times New Roman" w:hAnsi="Times New Roman"/>
          <w:i/>
          <w:noProof/>
          <w:sz w:val="24"/>
          <w:szCs w:val="24"/>
        </w:rPr>
      </w:pPr>
      <w:r>
        <w:rPr>
          <w:rFonts w:ascii="Times New Roman" w:hAnsi="Times New Roman"/>
          <w:noProof/>
          <w:sz w:val="24"/>
          <w:szCs w:val="24"/>
        </w:rPr>
        <w:t>This Statistical Annex to the 2021 Alert Mechanism Report (AMR 2021) presents the Macroeconomic Imbalance Procedure (MIP) scoreboard and auxiliary indicators used in the economic reading of the MIP scoreboard. The Statistical annex covers the years from 2010 to 2019, so indicators are in principle not affected by the COVID-19 pandemic. As of 1 February 2020, the United Kingdom is no longer part of the European Union</w:t>
      </w:r>
      <w:r>
        <w:rPr>
          <w:rStyle w:val="FootnoteReference"/>
          <w:rFonts w:ascii="Times New Roman" w:hAnsi="Times New Roman"/>
          <w:noProof/>
          <w:sz w:val="24"/>
          <w:szCs w:val="24"/>
        </w:rPr>
        <w:footnoteReference w:id="1"/>
      </w:r>
      <w:r>
        <w:rPr>
          <w:rFonts w:ascii="Times New Roman" w:hAnsi="Times New Roman"/>
          <w:noProof/>
          <w:sz w:val="24"/>
          <w:szCs w:val="24"/>
        </w:rPr>
        <w:t>. However, as Union law continues to apply to and in the United Kingdom for the duration of the transition period ending on 31 December 2020, the United Kingdom data is presented in tables 1.1, 2.1, 4.28 and 5.28.</w:t>
      </w:r>
    </w:p>
    <w:p>
      <w:pPr>
        <w:spacing w:after="120" w:line="240" w:lineRule="auto"/>
        <w:ind w:left="284" w:right="425"/>
        <w:jc w:val="both"/>
        <w:rPr>
          <w:rFonts w:ascii="Times New Roman" w:hAnsi="Times New Roman"/>
          <w:noProof/>
          <w:sz w:val="24"/>
          <w:szCs w:val="24"/>
        </w:rPr>
      </w:pPr>
      <w:r>
        <w:rPr>
          <w:rFonts w:ascii="Times New Roman" w:hAnsi="Times New Roman"/>
          <w:noProof/>
          <w:sz w:val="24"/>
          <w:szCs w:val="24"/>
        </w:rPr>
        <w:t>Eurostat mainly compiles MIP indicators from data transmitted by Member States (and the UK), following European legislation. The MIP scoreboard indicators are presented with their indicative thresholds (used in the AMR), while no threshold is applied to the auxiliary indicators.</w:t>
      </w:r>
    </w:p>
    <w:p>
      <w:pPr>
        <w:spacing w:after="120" w:line="240" w:lineRule="auto"/>
        <w:ind w:left="284" w:right="425"/>
        <w:jc w:val="both"/>
        <w:rPr>
          <w:rFonts w:ascii="Times New Roman" w:hAnsi="Times New Roman"/>
          <w:noProof/>
          <w:sz w:val="24"/>
          <w:szCs w:val="24"/>
        </w:rPr>
      </w:pPr>
      <w:r>
        <w:rPr>
          <w:rFonts w:ascii="Times New Roman" w:hAnsi="Times New Roman"/>
          <w:noProof/>
          <w:sz w:val="24"/>
          <w:szCs w:val="24"/>
        </w:rPr>
        <w:t>The policy framework of the MIP relies on timely and high quality socio-economic and financial statistics. Since the publication of the first Statistical Annex in 2012, significant progress has been achieved towards enhancing the standards and methods used for the compilation of underlying data as well as strengthening the statistical quality assurance framework.</w:t>
      </w:r>
    </w:p>
    <w:p>
      <w:pPr>
        <w:spacing w:after="120" w:line="240" w:lineRule="auto"/>
        <w:ind w:left="284" w:right="425"/>
        <w:jc w:val="both"/>
        <w:rPr>
          <w:rFonts w:ascii="Times New Roman" w:hAnsi="Times New Roman"/>
          <w:noProof/>
          <w:sz w:val="24"/>
          <w:szCs w:val="24"/>
        </w:rPr>
      </w:pPr>
      <w:r>
        <w:rPr>
          <w:rFonts w:ascii="Times New Roman" w:hAnsi="Times New Roman"/>
          <w:noProof/>
          <w:sz w:val="24"/>
          <w:szCs w:val="24"/>
        </w:rPr>
        <w:t>The MIP Scoreboard consists of fourteen scoreboard indicators measuring internal and external imbalances as well as social and labour market developments. The MIP scoreboard indicators for the last ten years are displayed in this statistical annex by year in chapter 1, and by country in chapter 4. Table 1 lists the MIP scoreboard indicators together with detailed information on their data sources.</w:t>
      </w:r>
    </w:p>
    <w:p>
      <w:pPr>
        <w:spacing w:after="120" w:line="240" w:lineRule="auto"/>
        <w:ind w:left="284" w:right="425"/>
        <w:jc w:val="both"/>
        <w:rPr>
          <w:rFonts w:ascii="Times New Roman" w:hAnsi="Times New Roman"/>
          <w:noProof/>
          <w:sz w:val="24"/>
          <w:szCs w:val="24"/>
        </w:rPr>
      </w:pPr>
      <w:r>
        <w:rPr>
          <w:rFonts w:ascii="Times New Roman" w:hAnsi="Times New Roman"/>
          <w:noProof/>
          <w:sz w:val="24"/>
          <w:szCs w:val="24"/>
        </w:rPr>
        <w:t xml:space="preserve">The cut-off date for the data, that is the date on which the data were extracted from the Eurostat database for the preparation of this document, was </w:t>
      </w:r>
      <w:r>
        <w:rPr>
          <w:rFonts w:ascii="Times New Roman" w:hAnsi="Times New Roman"/>
          <w:b/>
          <w:noProof/>
          <w:sz w:val="24"/>
          <w:szCs w:val="24"/>
        </w:rPr>
        <w:t>23</w:t>
      </w:r>
      <w:r>
        <w:rPr>
          <w:rFonts w:ascii="Times New Roman" w:hAnsi="Times New Roman"/>
          <w:b/>
          <w:noProof/>
          <w:sz w:val="24"/>
          <w:szCs w:val="24"/>
          <w:vertAlign w:val="superscript"/>
        </w:rPr>
        <w:t>rd</w:t>
      </w:r>
      <w:r>
        <w:rPr>
          <w:rFonts w:ascii="Times New Roman" w:hAnsi="Times New Roman"/>
          <w:b/>
          <w:noProof/>
          <w:sz w:val="24"/>
          <w:szCs w:val="24"/>
        </w:rPr>
        <w:t xml:space="preserve"> October 2020</w:t>
      </w:r>
      <w:r>
        <w:rPr>
          <w:rFonts w:ascii="Times New Roman" w:hAnsi="Times New Roman"/>
          <w:noProof/>
          <w:sz w:val="24"/>
          <w:szCs w:val="24"/>
        </w:rPr>
        <w:t xml:space="preserve">. For additional information about the data, please contact </w:t>
      </w:r>
      <w:hyperlink r:id="rId17" w:history="1">
        <w:r>
          <w:rPr>
            <w:rStyle w:val="Hyperlink"/>
            <w:rFonts w:ascii="Times New Roman" w:hAnsi="Times New Roman"/>
            <w:noProof/>
            <w:color w:val="0000FF"/>
            <w:sz w:val="24"/>
            <w:szCs w:val="24"/>
          </w:rPr>
          <w:t>ESTAT-MIP@ec.europa.eu</w:t>
        </w:r>
      </w:hyperlink>
      <w:r>
        <w:rPr>
          <w:rFonts w:ascii="Times New Roman" w:hAnsi="Times New Roman"/>
          <w:noProof/>
          <w:sz w:val="24"/>
          <w:szCs w:val="24"/>
        </w:rPr>
        <w:t>.</w:t>
      </w:r>
    </w:p>
    <w:p>
      <w:pPr>
        <w:spacing w:after="0" w:line="240" w:lineRule="auto"/>
        <w:ind w:left="284" w:right="425"/>
        <w:jc w:val="both"/>
        <w:rPr>
          <w:rFonts w:ascii="Times New Roman" w:hAnsi="Times New Roman"/>
          <w:noProof/>
          <w:sz w:val="24"/>
          <w:szCs w:val="24"/>
        </w:rPr>
      </w:pPr>
      <w:r>
        <w:rPr>
          <w:rFonts w:ascii="Times New Roman" w:hAnsi="Times New Roman"/>
          <w:b/>
          <w:noProof/>
          <w:sz w:val="24"/>
          <w:szCs w:val="24"/>
        </w:rPr>
        <w:t>Table 1. MIP scoreboard indicators (AMR 2021)</w:t>
      </w:r>
    </w:p>
    <w:tbl>
      <w:tblPr>
        <w:tblpPr w:leftFromText="180" w:rightFromText="180" w:vertAnchor="text" w:horzAnchor="margin" w:tblpXSpec="center" w:tblpY="436"/>
        <w:tblW w:w="8955" w:type="dxa"/>
        <w:tblBorders>
          <w:insideH w:val="dotted" w:sz="6" w:space="0" w:color="auto"/>
          <w:insideV w:val="dotted" w:sz="6" w:space="0" w:color="auto"/>
        </w:tblBorders>
        <w:tblLayout w:type="fixed"/>
        <w:tblLook w:val="04A0" w:firstRow="1" w:lastRow="0" w:firstColumn="1" w:lastColumn="0" w:noHBand="0" w:noVBand="1"/>
      </w:tblPr>
      <w:tblGrid>
        <w:gridCol w:w="3539"/>
        <w:gridCol w:w="1843"/>
        <w:gridCol w:w="1730"/>
        <w:gridCol w:w="1843"/>
      </w:tblGrid>
      <w:tr>
        <w:trPr>
          <w:cantSplit/>
          <w:trHeight w:val="534"/>
        </w:trPr>
        <w:tc>
          <w:tcPr>
            <w:tcW w:w="3539" w:type="dxa"/>
            <w:tcBorders>
              <w:top w:val="single" w:sz="4" w:space="0" w:color="auto"/>
              <w:left w:val="single" w:sz="4" w:space="0" w:color="auto"/>
              <w:bottom w:val="single" w:sz="4" w:space="0" w:color="auto"/>
              <w:right w:val="dotted" w:sz="6" w:space="0" w:color="auto"/>
            </w:tcBorders>
            <w:vAlign w:val="center"/>
            <w:hideMark/>
          </w:tcPr>
          <w:p>
            <w:pPr>
              <w:autoSpaceDE w:val="0"/>
              <w:autoSpaceDN w:val="0"/>
              <w:adjustRightInd w:val="0"/>
              <w:spacing w:after="0" w:line="240" w:lineRule="auto"/>
              <w:ind w:right="425"/>
              <w:jc w:val="center"/>
              <w:rPr>
                <w:rFonts w:ascii="Times New Roman" w:hAnsi="Times New Roman"/>
                <w:b/>
                <w:noProof/>
                <w:color w:val="000000"/>
                <w:sz w:val="20"/>
              </w:rPr>
            </w:pPr>
            <w:r>
              <w:rPr>
                <w:rFonts w:ascii="Times New Roman" w:hAnsi="Times New Roman"/>
                <w:b/>
                <w:noProof/>
                <w:color w:val="000000"/>
                <w:sz w:val="20"/>
              </w:rPr>
              <w:t>Indicator</w:t>
            </w:r>
          </w:p>
        </w:tc>
        <w:tc>
          <w:tcPr>
            <w:tcW w:w="1843" w:type="dxa"/>
            <w:tcBorders>
              <w:top w:val="single" w:sz="4" w:space="0" w:color="auto"/>
              <w:left w:val="dotted" w:sz="6" w:space="0" w:color="auto"/>
              <w:bottom w:val="single" w:sz="4" w:space="0" w:color="auto"/>
              <w:right w:val="dotted" w:sz="6" w:space="0" w:color="auto"/>
            </w:tcBorders>
            <w:vAlign w:val="center"/>
            <w:hideMark/>
          </w:tcPr>
          <w:p>
            <w:pPr>
              <w:autoSpaceDE w:val="0"/>
              <w:autoSpaceDN w:val="0"/>
              <w:adjustRightInd w:val="0"/>
              <w:spacing w:after="0" w:line="240" w:lineRule="auto"/>
              <w:ind w:right="425"/>
              <w:jc w:val="center"/>
              <w:rPr>
                <w:rFonts w:ascii="Times New Roman" w:hAnsi="Times New Roman"/>
                <w:b/>
                <w:noProof/>
                <w:color w:val="000000"/>
                <w:sz w:val="20"/>
              </w:rPr>
            </w:pPr>
            <w:r>
              <w:rPr>
                <w:rFonts w:ascii="Times New Roman" w:hAnsi="Times New Roman"/>
                <w:b/>
                <w:noProof/>
                <w:color w:val="000000"/>
                <w:sz w:val="20"/>
              </w:rPr>
              <w:t>Unit</w:t>
            </w:r>
          </w:p>
        </w:tc>
        <w:tc>
          <w:tcPr>
            <w:tcW w:w="1730" w:type="dxa"/>
            <w:tcBorders>
              <w:top w:val="single" w:sz="4" w:space="0" w:color="auto"/>
              <w:left w:val="dotted" w:sz="6" w:space="0" w:color="auto"/>
              <w:bottom w:val="single" w:sz="4" w:space="0" w:color="auto"/>
              <w:right w:val="dotted" w:sz="6" w:space="0" w:color="auto"/>
            </w:tcBorders>
            <w:vAlign w:val="center"/>
            <w:hideMark/>
          </w:tcPr>
          <w:p>
            <w:pPr>
              <w:autoSpaceDE w:val="0"/>
              <w:autoSpaceDN w:val="0"/>
              <w:adjustRightInd w:val="0"/>
              <w:spacing w:after="0" w:line="240" w:lineRule="auto"/>
              <w:ind w:right="425"/>
              <w:jc w:val="center"/>
              <w:rPr>
                <w:rFonts w:ascii="Times New Roman" w:hAnsi="Times New Roman"/>
                <w:b/>
                <w:noProof/>
                <w:color w:val="000000"/>
                <w:sz w:val="20"/>
              </w:rPr>
            </w:pPr>
            <w:r>
              <w:rPr>
                <w:rFonts w:ascii="Times New Roman" w:hAnsi="Times New Roman"/>
                <w:b/>
                <w:noProof/>
                <w:color w:val="000000"/>
                <w:sz w:val="20"/>
              </w:rPr>
              <w:t>Data source</w:t>
            </w:r>
          </w:p>
        </w:tc>
        <w:tc>
          <w:tcPr>
            <w:tcW w:w="1843" w:type="dxa"/>
            <w:tcBorders>
              <w:top w:val="single" w:sz="4" w:space="0" w:color="auto"/>
              <w:left w:val="dotted" w:sz="6" w:space="0" w:color="auto"/>
              <w:bottom w:val="single" w:sz="4" w:space="0" w:color="auto"/>
              <w:right w:val="single" w:sz="4" w:space="0" w:color="auto"/>
            </w:tcBorders>
            <w:vAlign w:val="center"/>
            <w:hideMark/>
          </w:tcPr>
          <w:p>
            <w:pPr>
              <w:autoSpaceDE w:val="0"/>
              <w:autoSpaceDN w:val="0"/>
              <w:adjustRightInd w:val="0"/>
              <w:spacing w:after="0" w:line="240" w:lineRule="auto"/>
              <w:ind w:left="5"/>
              <w:jc w:val="center"/>
              <w:rPr>
                <w:rFonts w:ascii="Times New Roman" w:hAnsi="Times New Roman"/>
                <w:b/>
                <w:noProof/>
                <w:color w:val="000000"/>
                <w:sz w:val="20"/>
              </w:rPr>
            </w:pPr>
            <w:r>
              <w:rPr>
                <w:rFonts w:ascii="Times New Roman" w:hAnsi="Times New Roman"/>
                <w:b/>
                <w:noProof/>
                <w:color w:val="000000"/>
                <w:sz w:val="20"/>
              </w:rPr>
              <w:t>Statistical domain</w:t>
            </w:r>
          </w:p>
        </w:tc>
      </w:tr>
      <w:tr>
        <w:trPr>
          <w:trHeight w:val="336"/>
        </w:trPr>
        <w:tc>
          <w:tcPr>
            <w:tcW w:w="3539" w:type="dxa"/>
            <w:tcBorders>
              <w:top w:val="single" w:sz="4" w:space="0" w:color="auto"/>
              <w:left w:val="single" w:sz="4" w:space="0" w:color="auto"/>
              <w:bottom w:val="dotted" w:sz="6" w:space="0" w:color="auto"/>
              <w:right w:val="dotted" w:sz="6" w:space="0" w:color="auto"/>
            </w:tcBorders>
            <w:vAlign w:val="center"/>
            <w:hideMark/>
          </w:tcPr>
          <w:p>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Current account balance (% of GDP)</w:t>
            </w:r>
          </w:p>
        </w:tc>
        <w:tc>
          <w:tcPr>
            <w:tcW w:w="1843" w:type="dxa"/>
            <w:tcBorders>
              <w:top w:val="single" w:sz="4"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average</w:t>
            </w:r>
          </w:p>
        </w:tc>
        <w:tc>
          <w:tcPr>
            <w:tcW w:w="1730" w:type="dxa"/>
            <w:tcBorders>
              <w:top w:val="single" w:sz="4"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single" w:sz="4" w:space="0" w:color="auto"/>
              <w:left w:val="dotted" w:sz="6" w:space="0" w:color="auto"/>
              <w:bottom w:val="dotted" w:sz="6" w:space="0" w:color="auto"/>
              <w:right w:val="single" w:sz="4" w:space="0" w:color="auto"/>
            </w:tcBorders>
            <w:vAlign w:val="center"/>
            <w:hideMark/>
          </w:tcPr>
          <w:p>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trPr>
          <w:trHeight w:val="236"/>
        </w:trPr>
        <w:tc>
          <w:tcPr>
            <w:tcW w:w="3539" w:type="dxa"/>
            <w:tcBorders>
              <w:top w:val="dotted" w:sz="6" w:space="0" w:color="auto"/>
              <w:left w:val="single" w:sz="4" w:space="0" w:color="auto"/>
              <w:bottom w:val="dotted" w:sz="6" w:space="0" w:color="auto"/>
              <w:right w:val="dotted" w:sz="6" w:space="0" w:color="auto"/>
            </w:tcBorders>
            <w:vAlign w:val="center"/>
            <w:hideMark/>
          </w:tcPr>
          <w:p>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Net international investment position </w:t>
            </w:r>
          </w:p>
        </w:tc>
        <w:tc>
          <w:tcPr>
            <w:tcW w:w="1843"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730"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tc>
          <w:tcPr>
            <w:tcW w:w="3539" w:type="dxa"/>
            <w:tcBorders>
              <w:top w:val="dotted" w:sz="6" w:space="0" w:color="auto"/>
              <w:left w:val="single" w:sz="4" w:space="0" w:color="auto"/>
              <w:bottom w:val="dotted" w:sz="6" w:space="0" w:color="auto"/>
              <w:right w:val="dotted" w:sz="6" w:space="0" w:color="auto"/>
            </w:tcBorders>
            <w:vAlign w:val="center"/>
            <w:hideMark/>
          </w:tcPr>
          <w:p>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Real effective exchange rate (42 trading partners, HICP deflator)</w:t>
            </w:r>
          </w:p>
        </w:tc>
        <w:tc>
          <w:tcPr>
            <w:tcW w:w="1843"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 change</w:t>
            </w:r>
          </w:p>
        </w:tc>
        <w:tc>
          <w:tcPr>
            <w:tcW w:w="1730"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DG ECFIN</w:t>
            </w:r>
          </w:p>
        </w:tc>
        <w:tc>
          <w:tcPr>
            <w:tcW w:w="1843" w:type="dxa"/>
            <w:tcBorders>
              <w:top w:val="dotted" w:sz="6" w:space="0" w:color="auto"/>
              <w:left w:val="dotted" w:sz="6" w:space="0" w:color="auto"/>
              <w:bottom w:val="dotted" w:sz="6" w:space="0" w:color="auto"/>
              <w:right w:val="single" w:sz="4" w:space="0" w:color="auto"/>
            </w:tcBorders>
            <w:vAlign w:val="center"/>
          </w:tcPr>
          <w:p>
            <w:pPr>
              <w:autoSpaceDE w:val="0"/>
              <w:autoSpaceDN w:val="0"/>
              <w:adjustRightInd w:val="0"/>
              <w:spacing w:after="0" w:line="240" w:lineRule="auto"/>
              <w:ind w:left="5"/>
              <w:rPr>
                <w:rFonts w:ascii="Times New Roman" w:hAnsi="Times New Roman"/>
                <w:noProof/>
                <w:color w:val="000000"/>
                <w:sz w:val="18"/>
                <w:szCs w:val="18"/>
                <w:lang w:eastAsia="en-GB"/>
              </w:rPr>
            </w:pPr>
          </w:p>
        </w:tc>
      </w:tr>
      <w:tr>
        <w:tc>
          <w:tcPr>
            <w:tcW w:w="3539" w:type="dxa"/>
            <w:tcBorders>
              <w:top w:val="dotted" w:sz="6" w:space="0" w:color="auto"/>
              <w:left w:val="single" w:sz="4" w:space="0" w:color="auto"/>
              <w:bottom w:val="dotted" w:sz="6" w:space="0" w:color="auto"/>
              <w:right w:val="dotted" w:sz="6" w:space="0" w:color="auto"/>
            </w:tcBorders>
            <w:vAlign w:val="center"/>
            <w:hideMark/>
          </w:tcPr>
          <w:p>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Export market share (% of world exports)</w:t>
            </w:r>
          </w:p>
        </w:tc>
        <w:tc>
          <w:tcPr>
            <w:tcW w:w="1843"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5 year % change </w:t>
            </w:r>
          </w:p>
        </w:tc>
        <w:tc>
          <w:tcPr>
            <w:tcW w:w="1730"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 IMF</w:t>
            </w:r>
          </w:p>
        </w:tc>
        <w:tc>
          <w:tcPr>
            <w:tcW w:w="1843" w:type="dxa"/>
            <w:tcBorders>
              <w:top w:val="dotted" w:sz="6" w:space="0" w:color="auto"/>
              <w:left w:val="dotted" w:sz="6" w:space="0" w:color="auto"/>
              <w:bottom w:val="dotted" w:sz="6" w:space="0" w:color="auto"/>
              <w:right w:val="single" w:sz="4" w:space="0" w:color="auto"/>
            </w:tcBorders>
            <w:vAlign w:val="center"/>
            <w:hideMark/>
          </w:tcPr>
          <w:p>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w:t>
            </w:r>
          </w:p>
        </w:tc>
      </w:tr>
      <w:tr>
        <w:trPr>
          <w:trHeight w:val="309"/>
        </w:trPr>
        <w:tc>
          <w:tcPr>
            <w:tcW w:w="3539" w:type="dxa"/>
            <w:tcBorders>
              <w:top w:val="dotted" w:sz="6" w:space="0" w:color="auto"/>
              <w:left w:val="single" w:sz="4" w:space="0" w:color="auto"/>
              <w:bottom w:val="dotted" w:sz="6" w:space="0" w:color="auto"/>
              <w:right w:val="dotted" w:sz="6" w:space="0" w:color="auto"/>
            </w:tcBorders>
            <w:vAlign w:val="center"/>
            <w:hideMark/>
          </w:tcPr>
          <w:p>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Nominal unit labour cost index (2010=100)</w:t>
            </w:r>
          </w:p>
        </w:tc>
        <w:tc>
          <w:tcPr>
            <w:tcW w:w="1843"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 change</w:t>
            </w:r>
          </w:p>
        </w:tc>
        <w:tc>
          <w:tcPr>
            <w:tcW w:w="1730"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tc>
          <w:tcPr>
            <w:tcW w:w="3539" w:type="dxa"/>
            <w:tcBorders>
              <w:top w:val="dotted" w:sz="6" w:space="0" w:color="auto"/>
              <w:left w:val="single" w:sz="4" w:space="0" w:color="auto"/>
              <w:bottom w:val="dotted" w:sz="6" w:space="0" w:color="auto"/>
              <w:right w:val="dotted" w:sz="6" w:space="0" w:color="auto"/>
            </w:tcBorders>
            <w:vAlign w:val="center"/>
            <w:hideMark/>
          </w:tcPr>
          <w:p>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House price index (2015=100), deflated</w:t>
            </w:r>
          </w:p>
        </w:tc>
        <w:tc>
          <w:tcPr>
            <w:tcW w:w="1843"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1 year % change </w:t>
            </w:r>
          </w:p>
        </w:tc>
        <w:tc>
          <w:tcPr>
            <w:tcW w:w="1730"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Price statistics/NA</w:t>
            </w:r>
          </w:p>
        </w:tc>
      </w:tr>
      <w:tr>
        <w:tc>
          <w:tcPr>
            <w:tcW w:w="3539" w:type="dxa"/>
            <w:tcBorders>
              <w:top w:val="dotted" w:sz="6" w:space="0" w:color="auto"/>
              <w:left w:val="single" w:sz="4" w:space="0" w:color="auto"/>
              <w:bottom w:val="dotted" w:sz="6" w:space="0" w:color="auto"/>
              <w:right w:val="dotted" w:sz="6" w:space="0" w:color="auto"/>
            </w:tcBorders>
            <w:vAlign w:val="center"/>
            <w:hideMark/>
          </w:tcPr>
          <w:p>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Private sector credit flow, consolidated</w:t>
            </w:r>
          </w:p>
        </w:tc>
        <w:tc>
          <w:tcPr>
            <w:tcW w:w="1843"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730"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 (FA)</w:t>
            </w:r>
          </w:p>
        </w:tc>
      </w:tr>
      <w:tr>
        <w:tc>
          <w:tcPr>
            <w:tcW w:w="3539" w:type="dxa"/>
            <w:tcBorders>
              <w:top w:val="dotted" w:sz="6" w:space="0" w:color="auto"/>
              <w:left w:val="single" w:sz="4" w:space="0" w:color="auto"/>
              <w:bottom w:val="dotted" w:sz="6" w:space="0" w:color="auto"/>
              <w:right w:val="dotted" w:sz="6" w:space="0" w:color="auto"/>
            </w:tcBorders>
            <w:vAlign w:val="center"/>
            <w:hideMark/>
          </w:tcPr>
          <w:p>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Private sector debt, consolidated</w:t>
            </w:r>
          </w:p>
        </w:tc>
        <w:tc>
          <w:tcPr>
            <w:tcW w:w="1843"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730"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 (FA)</w:t>
            </w:r>
          </w:p>
        </w:tc>
      </w:tr>
      <w:tr>
        <w:tc>
          <w:tcPr>
            <w:tcW w:w="3539" w:type="dxa"/>
            <w:tcBorders>
              <w:top w:val="dotted" w:sz="6" w:space="0" w:color="auto"/>
              <w:left w:val="single" w:sz="4" w:space="0" w:color="auto"/>
              <w:bottom w:val="dotted" w:sz="6" w:space="0" w:color="auto"/>
              <w:right w:val="dotted" w:sz="6" w:space="0" w:color="auto"/>
            </w:tcBorders>
            <w:vAlign w:val="center"/>
            <w:hideMark/>
          </w:tcPr>
          <w:p>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General government gross debt </w:t>
            </w:r>
          </w:p>
        </w:tc>
        <w:tc>
          <w:tcPr>
            <w:tcW w:w="1843"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730"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EDP/GFS</w:t>
            </w:r>
          </w:p>
        </w:tc>
      </w:tr>
      <w:tr>
        <w:tc>
          <w:tcPr>
            <w:tcW w:w="3539" w:type="dxa"/>
            <w:tcBorders>
              <w:top w:val="dotted" w:sz="6" w:space="0" w:color="auto"/>
              <w:left w:val="single" w:sz="4" w:space="0" w:color="auto"/>
              <w:bottom w:val="dotted" w:sz="6" w:space="0" w:color="auto"/>
              <w:right w:val="dotted" w:sz="6" w:space="0" w:color="auto"/>
            </w:tcBorders>
            <w:vAlign w:val="center"/>
            <w:hideMark/>
          </w:tcPr>
          <w:p>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Unemployment rate</w:t>
            </w:r>
          </w:p>
        </w:tc>
        <w:tc>
          <w:tcPr>
            <w:tcW w:w="1843"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average</w:t>
            </w:r>
          </w:p>
        </w:tc>
        <w:tc>
          <w:tcPr>
            <w:tcW w:w="1730"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tc>
          <w:tcPr>
            <w:tcW w:w="3539" w:type="dxa"/>
            <w:tcBorders>
              <w:top w:val="dotted" w:sz="6" w:space="0" w:color="auto"/>
              <w:left w:val="single" w:sz="4" w:space="0" w:color="auto"/>
              <w:bottom w:val="dotted" w:sz="6" w:space="0" w:color="auto"/>
              <w:right w:val="dotted" w:sz="6" w:space="0" w:color="auto"/>
            </w:tcBorders>
            <w:vAlign w:val="center"/>
            <w:hideMark/>
          </w:tcPr>
          <w:p>
            <w:pPr>
              <w:autoSpaceDE w:val="0"/>
              <w:autoSpaceDN w:val="0"/>
              <w:adjustRightInd w:val="0"/>
              <w:spacing w:after="0" w:line="240" w:lineRule="auto"/>
              <w:ind w:right="-113"/>
              <w:rPr>
                <w:rFonts w:ascii="Times New Roman" w:hAnsi="Times New Roman"/>
                <w:noProof/>
                <w:color w:val="000000"/>
                <w:sz w:val="18"/>
                <w:szCs w:val="18"/>
                <w:lang w:val="fr-FR" w:eastAsia="en-GB"/>
              </w:rPr>
            </w:pPr>
            <w:r>
              <w:rPr>
                <w:rFonts w:ascii="Times New Roman" w:hAnsi="Times New Roman"/>
                <w:noProof/>
                <w:color w:val="000000"/>
                <w:sz w:val="18"/>
                <w:szCs w:val="18"/>
                <w:lang w:val="fr-FR" w:eastAsia="en-GB"/>
              </w:rPr>
              <w:t>Total financial sector liabilities, non-consolidated</w:t>
            </w:r>
          </w:p>
        </w:tc>
        <w:tc>
          <w:tcPr>
            <w:tcW w:w="1843"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1 year % change </w:t>
            </w:r>
          </w:p>
        </w:tc>
        <w:tc>
          <w:tcPr>
            <w:tcW w:w="1730"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 (FA)</w:t>
            </w:r>
          </w:p>
        </w:tc>
      </w:tr>
      <w:tr>
        <w:trPr>
          <w:trHeight w:val="55"/>
        </w:trPr>
        <w:tc>
          <w:tcPr>
            <w:tcW w:w="3539" w:type="dxa"/>
            <w:tcBorders>
              <w:top w:val="dotted" w:sz="6" w:space="0" w:color="auto"/>
              <w:left w:val="single" w:sz="4" w:space="0" w:color="auto"/>
              <w:bottom w:val="dotted" w:sz="6" w:space="0" w:color="auto"/>
              <w:right w:val="dotted" w:sz="6" w:space="0" w:color="auto"/>
            </w:tcBorders>
            <w:vAlign w:val="center"/>
            <w:hideMark/>
          </w:tcPr>
          <w:p>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Activity rate (% of total population aged 15-64)</w:t>
            </w:r>
          </w:p>
        </w:tc>
        <w:tc>
          <w:tcPr>
            <w:tcW w:w="1843"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change in pp</w:t>
            </w:r>
          </w:p>
        </w:tc>
        <w:tc>
          <w:tcPr>
            <w:tcW w:w="1730"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pPr>
              <w:spacing w:after="0" w:line="240" w:lineRule="auto"/>
              <w:ind w:left="5"/>
              <w:rPr>
                <w:rFonts w:ascii="Times New Roman" w:hAnsi="Times New Roman"/>
                <w:noProof/>
                <w:sz w:val="18"/>
                <w:szCs w:val="18"/>
              </w:rPr>
            </w:pPr>
            <w:r>
              <w:rPr>
                <w:rFonts w:ascii="Times New Roman" w:hAnsi="Times New Roman"/>
                <w:noProof/>
                <w:color w:val="000000"/>
                <w:sz w:val="18"/>
                <w:szCs w:val="18"/>
                <w:lang w:eastAsia="en-GB"/>
              </w:rPr>
              <w:t>EU-LFS</w:t>
            </w:r>
          </w:p>
        </w:tc>
      </w:tr>
      <w:tr>
        <w:trPr>
          <w:trHeight w:val="351"/>
        </w:trPr>
        <w:tc>
          <w:tcPr>
            <w:tcW w:w="3539" w:type="dxa"/>
            <w:tcBorders>
              <w:top w:val="dotted" w:sz="6" w:space="0" w:color="auto"/>
              <w:left w:val="single" w:sz="4" w:space="0" w:color="auto"/>
              <w:bottom w:val="dotted" w:sz="6" w:space="0" w:color="auto"/>
              <w:right w:val="dotted" w:sz="6" w:space="0" w:color="auto"/>
            </w:tcBorders>
            <w:vAlign w:val="center"/>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Long-term unemployment rate (% of active population aged 15-74)</w:t>
            </w:r>
          </w:p>
        </w:tc>
        <w:tc>
          <w:tcPr>
            <w:tcW w:w="1843"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change in pp</w:t>
            </w:r>
          </w:p>
        </w:tc>
        <w:tc>
          <w:tcPr>
            <w:tcW w:w="1730" w:type="dxa"/>
            <w:tcBorders>
              <w:top w:val="dotted" w:sz="6" w:space="0" w:color="auto"/>
              <w:left w:val="dotted" w:sz="6" w:space="0" w:color="auto"/>
              <w:bottom w:val="dotted" w:sz="6" w:space="0" w:color="auto"/>
              <w:right w:val="dotted" w:sz="6" w:space="0" w:color="auto"/>
            </w:tcBorders>
            <w:vAlign w:val="center"/>
            <w:hideMark/>
          </w:tcPr>
          <w:p>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pPr>
              <w:spacing w:after="0" w:line="240" w:lineRule="auto"/>
              <w:ind w:left="5"/>
              <w:rPr>
                <w:rFonts w:ascii="Times New Roman" w:hAnsi="Times New Roman"/>
                <w:noProof/>
                <w:sz w:val="18"/>
                <w:szCs w:val="18"/>
              </w:rPr>
            </w:pPr>
            <w:r>
              <w:rPr>
                <w:rFonts w:ascii="Times New Roman" w:hAnsi="Times New Roman"/>
                <w:noProof/>
                <w:color w:val="000000"/>
                <w:sz w:val="18"/>
                <w:szCs w:val="18"/>
                <w:lang w:eastAsia="en-GB"/>
              </w:rPr>
              <w:t>EU-LFS</w:t>
            </w:r>
          </w:p>
        </w:tc>
      </w:tr>
      <w:tr>
        <w:tc>
          <w:tcPr>
            <w:tcW w:w="3539" w:type="dxa"/>
            <w:tcBorders>
              <w:top w:val="dotted" w:sz="6" w:space="0" w:color="auto"/>
              <w:left w:val="single" w:sz="4" w:space="0" w:color="auto"/>
              <w:bottom w:val="single" w:sz="4" w:space="0" w:color="auto"/>
              <w:right w:val="dotted" w:sz="6" w:space="0" w:color="auto"/>
            </w:tcBorders>
            <w:vAlign w:val="center"/>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Youth unemployment rate (% of active population aged 15-24)</w:t>
            </w:r>
          </w:p>
        </w:tc>
        <w:tc>
          <w:tcPr>
            <w:tcW w:w="1843" w:type="dxa"/>
            <w:tcBorders>
              <w:top w:val="dotted" w:sz="6" w:space="0" w:color="auto"/>
              <w:left w:val="dotted" w:sz="6" w:space="0" w:color="auto"/>
              <w:bottom w:val="single" w:sz="4" w:space="0" w:color="auto"/>
              <w:right w:val="dotted" w:sz="6" w:space="0" w:color="auto"/>
            </w:tcBorders>
            <w:vAlign w:val="center"/>
            <w:hideMark/>
          </w:tcPr>
          <w:p>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change in pp</w:t>
            </w:r>
          </w:p>
        </w:tc>
        <w:tc>
          <w:tcPr>
            <w:tcW w:w="1730" w:type="dxa"/>
            <w:tcBorders>
              <w:top w:val="dotted" w:sz="6" w:space="0" w:color="auto"/>
              <w:left w:val="dotted" w:sz="6" w:space="0" w:color="auto"/>
              <w:bottom w:val="single" w:sz="4" w:space="0" w:color="auto"/>
              <w:right w:val="dotted" w:sz="6" w:space="0" w:color="auto"/>
            </w:tcBorders>
            <w:vAlign w:val="center"/>
            <w:hideMark/>
          </w:tcPr>
          <w:p>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single" w:sz="4" w:space="0" w:color="auto"/>
              <w:right w:val="single" w:sz="4" w:space="0" w:color="auto"/>
            </w:tcBorders>
            <w:vAlign w:val="center"/>
            <w:hideMark/>
          </w:tcPr>
          <w:p>
            <w:pPr>
              <w:spacing w:after="0" w:line="240" w:lineRule="auto"/>
              <w:ind w:left="5"/>
              <w:rPr>
                <w:rFonts w:ascii="Times New Roman" w:hAnsi="Times New Roman"/>
                <w:noProof/>
                <w:sz w:val="18"/>
                <w:szCs w:val="18"/>
              </w:rPr>
            </w:pPr>
            <w:r>
              <w:rPr>
                <w:rFonts w:ascii="Times New Roman" w:hAnsi="Times New Roman"/>
                <w:noProof/>
                <w:color w:val="000000"/>
                <w:sz w:val="18"/>
                <w:szCs w:val="18"/>
                <w:lang w:eastAsia="en-GB"/>
              </w:rPr>
              <w:t>EU-LFS</w:t>
            </w:r>
          </w:p>
        </w:tc>
      </w:tr>
    </w:tbl>
    <w:p>
      <w:pPr>
        <w:autoSpaceDE w:val="0"/>
        <w:autoSpaceDN w:val="0"/>
        <w:adjustRightInd w:val="0"/>
        <w:spacing w:after="120" w:line="240" w:lineRule="auto"/>
        <w:ind w:left="284" w:right="425"/>
        <w:jc w:val="both"/>
        <w:rPr>
          <w:rFonts w:ascii="Times New Roman" w:hAnsi="Times New Roman"/>
          <w:i/>
          <w:noProof/>
          <w:color w:val="000000"/>
          <w:sz w:val="18"/>
          <w:szCs w:val="18"/>
          <w:lang w:eastAsia="en-GB"/>
        </w:rPr>
      </w:pPr>
      <w:r>
        <w:rPr>
          <w:rFonts w:ascii="Times New Roman" w:hAnsi="Times New Roman"/>
          <w:i/>
          <w:noProof/>
          <w:color w:val="000000"/>
          <w:sz w:val="18"/>
          <w:szCs w:val="18"/>
          <w:lang w:eastAsia="en-GB"/>
        </w:rPr>
        <w:t>Note: NA – National Accounts; BoP – Balance of Payments; FA – Financial Accounts; EDP – Excessive Deficit Procedure Statistics / GFS – Government Finance Statistics; and LFS – Labour Force Survey/Labour Market Statistics; pp – percentage points</w:t>
      </w:r>
    </w:p>
    <w:p>
      <w:pPr>
        <w:spacing w:after="120" w:line="240" w:lineRule="auto"/>
        <w:ind w:left="284" w:right="425"/>
        <w:jc w:val="both"/>
        <w:rPr>
          <w:rFonts w:ascii="Times New Roman" w:hAnsi="Times New Roman"/>
          <w:noProof/>
          <w:sz w:val="24"/>
          <w:szCs w:val="24"/>
        </w:rPr>
      </w:pPr>
      <w:r>
        <w:rPr>
          <w:rFonts w:ascii="Times New Roman" w:hAnsi="Times New Roman"/>
          <w:noProof/>
          <w:sz w:val="24"/>
          <w:szCs w:val="24"/>
        </w:rPr>
        <w:t>Supplementing the MIP scoreboard indicators, a list of 28 auxiliary indicators (see Table 2) provides additional information on aspects linked to the general macroeconomic situation, nominal and real convergence inside and outside the European Union and the euro area, detailed data on external liabilities, including foreign direct investment and net external debt, and social statistics. The auxiliary indicators enhance the information base for understanding potential imbalances, as well as the adjustment capacity of the economy. The auxiliary indicators are also presented in this Statistical Annex by year (in Chapter 2) and by country (in Chapter 5).</w:t>
      </w:r>
    </w:p>
    <w:p>
      <w:pPr>
        <w:autoSpaceDE w:val="0"/>
        <w:autoSpaceDN w:val="0"/>
        <w:adjustRightInd w:val="0"/>
        <w:spacing w:after="120" w:line="240" w:lineRule="auto"/>
        <w:ind w:left="284" w:right="425"/>
        <w:jc w:val="both"/>
        <w:rPr>
          <w:rFonts w:ascii="Times New Roman" w:hAnsi="Times New Roman"/>
          <w:b/>
          <w:bCs/>
          <w:noProof/>
          <w:color w:val="000000"/>
          <w:sz w:val="24"/>
          <w:szCs w:val="24"/>
          <w:lang w:eastAsia="en-GB"/>
        </w:rPr>
      </w:pPr>
      <w:r>
        <w:rPr>
          <w:rFonts w:ascii="Times New Roman" w:hAnsi="Times New Roman"/>
          <w:b/>
          <w:bCs/>
          <w:noProof/>
          <w:color w:val="000000"/>
          <w:sz w:val="24"/>
          <w:szCs w:val="24"/>
          <w:lang w:eastAsia="en-GB"/>
        </w:rPr>
        <w:t>Table 2. MIP auxiliary indicators (AMR 2021)</w:t>
      </w:r>
    </w:p>
    <w:tbl>
      <w:tblPr>
        <w:tblW w:w="9000" w:type="dxa"/>
        <w:jc w:val="center"/>
        <w:tblBorders>
          <w:insideH w:val="dotted" w:sz="4" w:space="0" w:color="auto"/>
          <w:insideV w:val="dotted" w:sz="4" w:space="0" w:color="auto"/>
        </w:tblBorders>
        <w:tblLayout w:type="fixed"/>
        <w:tblLook w:val="04A0" w:firstRow="1" w:lastRow="0" w:firstColumn="1" w:lastColumn="0" w:noHBand="0" w:noVBand="1"/>
      </w:tblPr>
      <w:tblGrid>
        <w:gridCol w:w="4077"/>
        <w:gridCol w:w="1872"/>
        <w:gridCol w:w="1387"/>
        <w:gridCol w:w="1664"/>
      </w:tblGrid>
      <w:tr>
        <w:trPr>
          <w:trHeight w:val="534"/>
          <w:jc w:val="center"/>
        </w:trPr>
        <w:tc>
          <w:tcPr>
            <w:tcW w:w="4077" w:type="dxa"/>
            <w:tcBorders>
              <w:top w:val="single" w:sz="4" w:space="0" w:color="auto"/>
              <w:left w:val="single" w:sz="4" w:space="0" w:color="auto"/>
              <w:bottom w:val="single" w:sz="8" w:space="0" w:color="auto"/>
              <w:right w:val="dotted" w:sz="4" w:space="0" w:color="auto"/>
            </w:tcBorders>
            <w:vAlign w:val="center"/>
            <w:hideMark/>
          </w:tcPr>
          <w:p>
            <w:pPr>
              <w:autoSpaceDE w:val="0"/>
              <w:autoSpaceDN w:val="0"/>
              <w:adjustRightInd w:val="0"/>
              <w:spacing w:after="120" w:line="240" w:lineRule="auto"/>
              <w:ind w:right="425"/>
              <w:rPr>
                <w:rFonts w:ascii="Times New Roman" w:hAnsi="Times New Roman"/>
                <w:b/>
                <w:noProof/>
                <w:color w:val="000000"/>
                <w:sz w:val="20"/>
              </w:rPr>
            </w:pPr>
            <w:r>
              <w:rPr>
                <w:rFonts w:ascii="Times New Roman" w:hAnsi="Times New Roman"/>
                <w:b/>
                <w:noProof/>
                <w:color w:val="000000"/>
                <w:sz w:val="20"/>
              </w:rPr>
              <w:t>Indicator</w:t>
            </w:r>
          </w:p>
        </w:tc>
        <w:tc>
          <w:tcPr>
            <w:tcW w:w="1872" w:type="dxa"/>
            <w:tcBorders>
              <w:top w:val="single" w:sz="4" w:space="0" w:color="auto"/>
              <w:left w:val="dotted" w:sz="4" w:space="0" w:color="auto"/>
              <w:bottom w:val="single" w:sz="8" w:space="0" w:color="auto"/>
              <w:right w:val="dotted" w:sz="4" w:space="0" w:color="auto"/>
            </w:tcBorders>
            <w:vAlign w:val="center"/>
            <w:hideMark/>
          </w:tcPr>
          <w:p>
            <w:pPr>
              <w:autoSpaceDE w:val="0"/>
              <w:autoSpaceDN w:val="0"/>
              <w:adjustRightInd w:val="0"/>
              <w:spacing w:after="120" w:line="240" w:lineRule="auto"/>
              <w:ind w:right="425"/>
              <w:rPr>
                <w:rFonts w:ascii="Times New Roman" w:hAnsi="Times New Roman"/>
                <w:b/>
                <w:noProof/>
                <w:color w:val="000000"/>
                <w:sz w:val="20"/>
              </w:rPr>
            </w:pPr>
            <w:r>
              <w:rPr>
                <w:rFonts w:ascii="Times New Roman" w:hAnsi="Times New Roman"/>
                <w:b/>
                <w:noProof/>
                <w:color w:val="000000"/>
                <w:sz w:val="20"/>
              </w:rPr>
              <w:t>Unit</w:t>
            </w:r>
          </w:p>
        </w:tc>
        <w:tc>
          <w:tcPr>
            <w:tcW w:w="1387" w:type="dxa"/>
            <w:tcBorders>
              <w:top w:val="single" w:sz="4" w:space="0" w:color="auto"/>
              <w:left w:val="dotted" w:sz="4" w:space="0" w:color="auto"/>
              <w:bottom w:val="single" w:sz="8" w:space="0" w:color="auto"/>
              <w:right w:val="dotted" w:sz="4" w:space="0" w:color="auto"/>
            </w:tcBorders>
            <w:vAlign w:val="center"/>
            <w:hideMark/>
          </w:tcPr>
          <w:p>
            <w:pPr>
              <w:autoSpaceDE w:val="0"/>
              <w:autoSpaceDN w:val="0"/>
              <w:adjustRightInd w:val="0"/>
              <w:spacing w:after="120" w:line="240" w:lineRule="auto"/>
              <w:ind w:right="425"/>
              <w:rPr>
                <w:rFonts w:ascii="Times New Roman" w:hAnsi="Times New Roman"/>
                <w:b/>
                <w:noProof/>
                <w:color w:val="000000"/>
                <w:sz w:val="20"/>
              </w:rPr>
            </w:pPr>
            <w:r>
              <w:rPr>
                <w:rFonts w:ascii="Times New Roman" w:hAnsi="Times New Roman"/>
                <w:b/>
                <w:noProof/>
                <w:color w:val="000000"/>
                <w:sz w:val="20"/>
              </w:rPr>
              <w:t>Data source</w:t>
            </w:r>
          </w:p>
        </w:tc>
        <w:tc>
          <w:tcPr>
            <w:tcW w:w="1664" w:type="dxa"/>
            <w:tcBorders>
              <w:top w:val="single" w:sz="4" w:space="0" w:color="auto"/>
              <w:left w:val="dotted" w:sz="4" w:space="0" w:color="auto"/>
              <w:bottom w:val="single" w:sz="8" w:space="0" w:color="auto"/>
              <w:right w:val="single" w:sz="4" w:space="0" w:color="auto"/>
            </w:tcBorders>
            <w:vAlign w:val="center"/>
            <w:hideMark/>
          </w:tcPr>
          <w:p>
            <w:pPr>
              <w:autoSpaceDE w:val="0"/>
              <w:autoSpaceDN w:val="0"/>
              <w:adjustRightInd w:val="0"/>
              <w:spacing w:after="120" w:line="240" w:lineRule="auto"/>
              <w:ind w:right="425"/>
              <w:rPr>
                <w:rFonts w:ascii="Times New Roman" w:hAnsi="Times New Roman"/>
                <w:b/>
                <w:noProof/>
                <w:color w:val="000000"/>
                <w:sz w:val="20"/>
              </w:rPr>
            </w:pPr>
            <w:r>
              <w:rPr>
                <w:rFonts w:ascii="Times New Roman" w:hAnsi="Times New Roman"/>
                <w:b/>
                <w:noProof/>
                <w:color w:val="000000"/>
                <w:sz w:val="20"/>
              </w:rPr>
              <w:t>Statistical domain</w:t>
            </w:r>
          </w:p>
        </w:tc>
      </w:tr>
      <w:tr>
        <w:trPr>
          <w:jc w:val="center"/>
        </w:trPr>
        <w:tc>
          <w:tcPr>
            <w:tcW w:w="4077" w:type="dxa"/>
            <w:tcBorders>
              <w:top w:val="single" w:sz="8" w:space="0" w:color="auto"/>
              <w:left w:val="single" w:sz="4" w:space="0" w:color="auto"/>
              <w:bottom w:val="nil"/>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Real GDP</w:t>
            </w:r>
          </w:p>
        </w:tc>
        <w:tc>
          <w:tcPr>
            <w:tcW w:w="1872" w:type="dxa"/>
            <w:tcBorders>
              <w:top w:val="single" w:sz="8" w:space="0" w:color="auto"/>
              <w:left w:val="dotted" w:sz="4" w:space="0" w:color="auto"/>
              <w:bottom w:val="nil"/>
              <w:right w:val="dotted" w:sz="4"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1 year % change</w:t>
            </w:r>
          </w:p>
        </w:tc>
        <w:tc>
          <w:tcPr>
            <w:tcW w:w="1387" w:type="dxa"/>
            <w:tcBorders>
              <w:top w:val="single" w:sz="8" w:space="0" w:color="auto"/>
              <w:left w:val="dotted" w:sz="4" w:space="0" w:color="auto"/>
              <w:bottom w:val="nil"/>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single" w:sz="8" w:space="0" w:color="auto"/>
              <w:left w:val="dotted" w:sz="4" w:space="0" w:color="auto"/>
              <w:bottom w:val="nil"/>
              <w:right w:val="single"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Gross fixed capital formation</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Gross domestic expenditure on R&amp;D</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Business Statistics/ NA</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Current plus capital account (Net lending-borrowing)</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Net international investment position excluding non-defaultable instruments</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 NA</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Foreign direct investment in the reporting economy – net inward flows</w:t>
            </w:r>
          </w:p>
        </w:tc>
        <w:tc>
          <w:tcPr>
            <w:tcW w:w="1872" w:type="dxa"/>
            <w:tcBorders>
              <w:top w:val="dotted" w:sz="4" w:space="0" w:color="auto"/>
              <w:left w:val="dotted" w:sz="4" w:space="0" w:color="auto"/>
              <w:bottom w:val="dotted" w:sz="4" w:space="0" w:color="auto"/>
              <w:right w:val="dotted" w:sz="4" w:space="0" w:color="auto"/>
            </w:tcBorders>
            <w:hideMark/>
          </w:tcPr>
          <w:p>
            <w:pPr>
              <w:spacing w:after="0" w:line="240" w:lineRule="auto"/>
              <w:ind w:right="10"/>
              <w:rPr>
                <w:rFonts w:ascii="Times New Roman" w:hAnsi="Times New Roman"/>
                <w:noProof/>
                <w:sz w:val="18"/>
                <w:szCs w:val="18"/>
              </w:rPr>
            </w:pPr>
            <w:r>
              <w:rPr>
                <w:rFonts w:ascii="Times New Roman" w:hAnsi="Times New Roman"/>
                <w:noProof/>
                <w:color w:val="000000"/>
                <w:sz w:val="18"/>
                <w:szCs w:val="18"/>
                <w:lang w:eastAsia="en-GB"/>
              </w:rPr>
              <w:t>% of GDP</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Foreign direct investment in the reporting economy - stocks</w:t>
            </w:r>
          </w:p>
        </w:tc>
        <w:tc>
          <w:tcPr>
            <w:tcW w:w="1872" w:type="dxa"/>
            <w:tcBorders>
              <w:top w:val="dotted" w:sz="4" w:space="0" w:color="auto"/>
              <w:left w:val="dotted" w:sz="4" w:space="0" w:color="auto"/>
              <w:bottom w:val="dotted" w:sz="4" w:space="0" w:color="auto"/>
              <w:right w:val="dotted" w:sz="4" w:space="0" w:color="auto"/>
            </w:tcBorders>
            <w:hideMark/>
          </w:tcPr>
          <w:p>
            <w:pPr>
              <w:spacing w:after="0" w:line="240" w:lineRule="auto"/>
              <w:ind w:right="10"/>
              <w:rPr>
                <w:rFonts w:ascii="Times New Roman" w:hAnsi="Times New Roman"/>
                <w:noProof/>
                <w:sz w:val="18"/>
                <w:szCs w:val="18"/>
              </w:rPr>
            </w:pPr>
            <w:r>
              <w:rPr>
                <w:rFonts w:ascii="Times New Roman" w:hAnsi="Times New Roman"/>
                <w:noProof/>
                <w:color w:val="000000"/>
                <w:sz w:val="18"/>
                <w:szCs w:val="18"/>
                <w:lang w:eastAsia="en-GB"/>
              </w:rPr>
              <w:t>% of GDP</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trPr>
          <w:trHeight w:val="227"/>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Net trade balance of energy products</w:t>
            </w:r>
          </w:p>
        </w:tc>
        <w:tc>
          <w:tcPr>
            <w:tcW w:w="1872" w:type="dxa"/>
            <w:tcBorders>
              <w:top w:val="dotted" w:sz="4" w:space="0" w:color="auto"/>
              <w:left w:val="dotted" w:sz="4" w:space="0" w:color="auto"/>
              <w:bottom w:val="dotted" w:sz="4" w:space="0" w:color="auto"/>
              <w:right w:val="dotted" w:sz="4" w:space="0" w:color="auto"/>
            </w:tcBorders>
            <w:hideMark/>
          </w:tcPr>
          <w:p>
            <w:pPr>
              <w:spacing w:after="0" w:line="240" w:lineRule="auto"/>
              <w:ind w:right="10"/>
              <w:rPr>
                <w:rFonts w:ascii="Times New Roman" w:hAnsi="Times New Roman"/>
                <w:noProof/>
                <w:sz w:val="18"/>
                <w:szCs w:val="18"/>
              </w:rPr>
            </w:pPr>
            <w:r>
              <w:rPr>
                <w:rFonts w:ascii="Times New Roman" w:hAnsi="Times New Roman"/>
                <w:noProof/>
                <w:color w:val="000000"/>
                <w:sz w:val="18"/>
                <w:szCs w:val="18"/>
                <w:lang w:eastAsia="en-GB"/>
              </w:rPr>
              <w:t>% of GDP</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International Trade/ NA</w:t>
            </w:r>
          </w:p>
        </w:tc>
      </w:tr>
      <w:tr>
        <w:trPr>
          <w:jc w:val="center"/>
        </w:trPr>
        <w:tc>
          <w:tcPr>
            <w:tcW w:w="4077" w:type="dxa"/>
            <w:tcBorders>
              <w:top w:val="dotted" w:sz="4" w:space="0" w:color="auto"/>
              <w:left w:val="single" w:sz="4" w:space="0" w:color="auto"/>
              <w:bottom w:val="dotted" w:sz="6" w:space="0" w:color="auto"/>
              <w:right w:val="dotted" w:sz="6"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Real effective exchange rates – euro area trading partners</w:t>
            </w:r>
          </w:p>
        </w:tc>
        <w:tc>
          <w:tcPr>
            <w:tcW w:w="1872" w:type="dxa"/>
            <w:tcBorders>
              <w:top w:val="dotted" w:sz="4" w:space="0" w:color="auto"/>
              <w:left w:val="dotted" w:sz="6" w:space="0" w:color="auto"/>
              <w:bottom w:val="dotted" w:sz="6" w:space="0" w:color="auto"/>
              <w:right w:val="dotted" w:sz="6"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 change</w:t>
            </w:r>
          </w:p>
        </w:tc>
        <w:tc>
          <w:tcPr>
            <w:tcW w:w="1387" w:type="dxa"/>
            <w:tcBorders>
              <w:top w:val="dotted" w:sz="4" w:space="0" w:color="auto"/>
              <w:left w:val="dotted" w:sz="6" w:space="0" w:color="auto"/>
              <w:bottom w:val="dotted" w:sz="6" w:space="0" w:color="auto"/>
              <w:right w:val="dotted" w:sz="6"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DG ECFIN</w:t>
            </w:r>
          </w:p>
        </w:tc>
        <w:tc>
          <w:tcPr>
            <w:tcW w:w="1664" w:type="dxa"/>
            <w:tcBorders>
              <w:top w:val="dotted" w:sz="4" w:space="0" w:color="auto"/>
              <w:left w:val="dotted" w:sz="6" w:space="0" w:color="auto"/>
              <w:bottom w:val="dotted" w:sz="6" w:space="0" w:color="auto"/>
              <w:right w:val="single" w:sz="4" w:space="0" w:color="auto"/>
            </w:tcBorders>
          </w:tcPr>
          <w:p>
            <w:pPr>
              <w:autoSpaceDE w:val="0"/>
              <w:autoSpaceDN w:val="0"/>
              <w:adjustRightInd w:val="0"/>
              <w:spacing w:after="0" w:line="240" w:lineRule="auto"/>
              <w:ind w:right="425"/>
              <w:rPr>
                <w:rFonts w:ascii="Times New Roman" w:hAnsi="Times New Roman"/>
                <w:noProof/>
                <w:color w:val="000000"/>
                <w:sz w:val="18"/>
                <w:szCs w:val="18"/>
                <w:lang w:eastAsia="en-GB"/>
              </w:rPr>
            </w:pPr>
          </w:p>
        </w:tc>
      </w:tr>
      <w:tr>
        <w:trPr>
          <w:jc w:val="center"/>
        </w:trPr>
        <w:tc>
          <w:tcPr>
            <w:tcW w:w="4077" w:type="dxa"/>
            <w:tcBorders>
              <w:top w:val="dotted" w:sz="6" w:space="0" w:color="auto"/>
              <w:left w:val="single" w:sz="4" w:space="0" w:color="auto"/>
              <w:bottom w:val="dotted" w:sz="6" w:space="0" w:color="auto"/>
              <w:right w:val="dotted" w:sz="6"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Export performance against advanced economies</w:t>
            </w:r>
          </w:p>
        </w:tc>
        <w:tc>
          <w:tcPr>
            <w:tcW w:w="1872" w:type="dxa"/>
            <w:tcBorders>
              <w:top w:val="dotted" w:sz="6" w:space="0" w:color="auto"/>
              <w:left w:val="dotted" w:sz="6" w:space="0" w:color="auto"/>
              <w:bottom w:val="dotted" w:sz="6" w:space="0" w:color="auto"/>
              <w:right w:val="dotted" w:sz="6"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5 year % change</w:t>
            </w:r>
          </w:p>
        </w:tc>
        <w:tc>
          <w:tcPr>
            <w:tcW w:w="1387" w:type="dxa"/>
            <w:tcBorders>
              <w:top w:val="dotted" w:sz="6" w:space="0" w:color="auto"/>
              <w:left w:val="dotted" w:sz="6" w:space="0" w:color="auto"/>
              <w:bottom w:val="dotted" w:sz="6" w:space="0" w:color="auto"/>
              <w:right w:val="dotted" w:sz="6"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Eurostat/OECD</w:t>
            </w:r>
          </w:p>
        </w:tc>
        <w:tc>
          <w:tcPr>
            <w:tcW w:w="1664" w:type="dxa"/>
            <w:tcBorders>
              <w:top w:val="dotted" w:sz="6" w:space="0" w:color="auto"/>
              <w:left w:val="dotted" w:sz="6" w:space="0" w:color="auto"/>
              <w:bottom w:val="dotted" w:sz="6" w:space="0" w:color="auto"/>
              <w:right w:val="single"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w:t>
            </w:r>
          </w:p>
        </w:tc>
      </w:tr>
      <w:tr>
        <w:trPr>
          <w:jc w:val="center"/>
        </w:trPr>
        <w:tc>
          <w:tcPr>
            <w:tcW w:w="4077" w:type="dxa"/>
            <w:tcBorders>
              <w:top w:val="dotted" w:sz="6" w:space="0" w:color="auto"/>
              <w:left w:val="single" w:sz="4" w:space="0" w:color="auto"/>
              <w:bottom w:val="dotted" w:sz="4" w:space="0" w:color="auto"/>
              <w:right w:val="dotted" w:sz="6"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Terms of trade</w:t>
            </w:r>
          </w:p>
        </w:tc>
        <w:tc>
          <w:tcPr>
            <w:tcW w:w="1872" w:type="dxa"/>
            <w:tcBorders>
              <w:top w:val="dotted" w:sz="6" w:space="0" w:color="auto"/>
              <w:left w:val="dotted" w:sz="6" w:space="0" w:color="auto"/>
              <w:bottom w:val="dotted" w:sz="4" w:space="0" w:color="auto"/>
              <w:right w:val="dotted" w:sz="6"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5 year % change</w:t>
            </w:r>
          </w:p>
        </w:tc>
        <w:tc>
          <w:tcPr>
            <w:tcW w:w="1387" w:type="dxa"/>
            <w:tcBorders>
              <w:top w:val="dotted" w:sz="6" w:space="0" w:color="auto"/>
              <w:left w:val="dotted" w:sz="6" w:space="0" w:color="auto"/>
              <w:bottom w:val="dotted" w:sz="4" w:space="0" w:color="auto"/>
              <w:right w:val="dotted" w:sz="6"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6" w:space="0" w:color="auto"/>
              <w:left w:val="dotted" w:sz="6" w:space="0" w:color="auto"/>
              <w:bottom w:val="dotted" w:sz="4" w:space="0" w:color="auto"/>
              <w:right w:val="single"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Export market share - in volume</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1 year % change</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 /IMF</w:t>
            </w:r>
          </w:p>
        </w:tc>
        <w:tc>
          <w:tcPr>
            <w:tcW w:w="1664" w:type="dxa"/>
            <w:tcBorders>
              <w:top w:val="dotted" w:sz="4" w:space="0" w:color="auto"/>
              <w:left w:val="dotted" w:sz="4" w:space="0" w:color="auto"/>
              <w:bottom w:val="dotted" w:sz="4" w:space="0" w:color="auto"/>
              <w:right w:val="single" w:sz="4" w:space="0" w:color="auto"/>
            </w:tcBorders>
          </w:tcPr>
          <w:p>
            <w:pPr>
              <w:autoSpaceDE w:val="0"/>
              <w:autoSpaceDN w:val="0"/>
              <w:adjustRightInd w:val="0"/>
              <w:spacing w:after="0" w:line="240" w:lineRule="auto"/>
              <w:ind w:right="425"/>
              <w:rPr>
                <w:rFonts w:ascii="Times New Roman" w:hAnsi="Times New Roman"/>
                <w:noProof/>
                <w:color w:val="000000"/>
                <w:sz w:val="18"/>
                <w:szCs w:val="18"/>
                <w:lang w:eastAsia="en-GB"/>
              </w:rPr>
            </w:pP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Labour productivity</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1 year % change</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Gross non-performing loans, domestic and foreign entities</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gross loans</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ECB</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CBD</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U</w:t>
            </w:r>
            <w:r>
              <w:rPr>
                <w:rFonts w:ascii="Times New Roman" w:hAnsi="Times New Roman"/>
                <w:noProof/>
                <w:sz w:val="18"/>
                <w:szCs w:val="18"/>
              </w:rPr>
              <w:t>nit labour cost</w:t>
            </w:r>
            <w:r>
              <w:rPr>
                <w:rFonts w:ascii="Times New Roman" w:hAnsi="Times New Roman"/>
                <w:noProof/>
                <w:color w:val="000000"/>
                <w:sz w:val="18"/>
                <w:szCs w:val="18"/>
                <w:lang w:eastAsia="en-GB"/>
              </w:rPr>
              <w:t xml:space="preserve"> performance relative to euro area</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10 year % change</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DG ECFIN</w:t>
            </w:r>
          </w:p>
        </w:tc>
        <w:tc>
          <w:tcPr>
            <w:tcW w:w="1664" w:type="dxa"/>
            <w:tcBorders>
              <w:top w:val="dotted" w:sz="4" w:space="0" w:color="auto"/>
              <w:left w:val="dotted" w:sz="4" w:space="0" w:color="auto"/>
              <w:bottom w:val="dotted" w:sz="4" w:space="0" w:color="auto"/>
              <w:right w:val="single" w:sz="4" w:space="0" w:color="auto"/>
            </w:tcBorders>
          </w:tcPr>
          <w:p>
            <w:pPr>
              <w:autoSpaceDE w:val="0"/>
              <w:autoSpaceDN w:val="0"/>
              <w:adjustRightInd w:val="0"/>
              <w:spacing w:after="0" w:line="240" w:lineRule="auto"/>
              <w:ind w:right="425"/>
              <w:rPr>
                <w:rFonts w:ascii="Times New Roman" w:hAnsi="Times New Roman"/>
                <w:noProof/>
                <w:color w:val="000000"/>
                <w:sz w:val="18"/>
                <w:szCs w:val="18"/>
                <w:lang w:eastAsia="en-GB"/>
              </w:rPr>
            </w:pP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House price index (2015=100) - nominal</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 change</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Price statistics</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Residential construction</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Household debt, consolidated (incl. NPISH)</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 (FA)</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Consolidated banking leverage</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Total asset/ total equity</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ECB</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CBD</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Employment</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1 year % change</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Activity rate</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total population aged 15-64</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Long term unemployment rate</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active population aged 15-74</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Youth unemployment rate</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active population aged 15-24</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Young people neither in employment nor in education and training</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total population aged 15-24</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People at risk of poverty or social exclusion </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 of total population </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EU-SILC</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People at risk of poverty after social transfers </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total population</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EU-SILC</w:t>
            </w:r>
          </w:p>
        </w:tc>
      </w:tr>
      <w:tr>
        <w:trPr>
          <w:jc w:val="center"/>
        </w:trPr>
        <w:tc>
          <w:tcPr>
            <w:tcW w:w="4077" w:type="dxa"/>
            <w:tcBorders>
              <w:top w:val="dotted" w:sz="4" w:space="0" w:color="auto"/>
              <w:left w:val="single" w:sz="4" w:space="0" w:color="auto"/>
              <w:bottom w:val="dotted" w:sz="4" w:space="0" w:color="auto"/>
              <w:right w:val="dotted" w:sz="4" w:space="0" w:color="auto"/>
            </w:tcBorders>
            <w:hideMark/>
          </w:tcPr>
          <w:p>
            <w:pPr>
              <w:autoSpaceDE w:val="0"/>
              <w:autoSpaceDN w:val="0"/>
              <w:adjustRightInd w:val="0"/>
              <w:spacing w:after="0" w:line="240" w:lineRule="auto"/>
              <w:ind w:right="1"/>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Severely materially deprived people </w:t>
            </w:r>
          </w:p>
        </w:tc>
        <w:tc>
          <w:tcPr>
            <w:tcW w:w="1872"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total population</w:t>
            </w:r>
          </w:p>
        </w:tc>
        <w:tc>
          <w:tcPr>
            <w:tcW w:w="1387" w:type="dxa"/>
            <w:tcBorders>
              <w:top w:val="dotted" w:sz="4" w:space="0" w:color="auto"/>
              <w:left w:val="dotted" w:sz="4" w:space="0" w:color="auto"/>
              <w:bottom w:val="dotted"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dotted" w:sz="4" w:space="0" w:color="auto"/>
              <w:right w:val="single" w:sz="4" w:space="0" w:color="auto"/>
            </w:tcBorders>
            <w:hideMark/>
          </w:tcPr>
          <w:p>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EU-SILC</w:t>
            </w:r>
          </w:p>
        </w:tc>
      </w:tr>
      <w:tr>
        <w:trPr>
          <w:jc w:val="center"/>
        </w:trPr>
        <w:tc>
          <w:tcPr>
            <w:tcW w:w="4077" w:type="dxa"/>
            <w:tcBorders>
              <w:top w:val="dotted" w:sz="4" w:space="0" w:color="auto"/>
              <w:left w:val="single" w:sz="4" w:space="0" w:color="auto"/>
              <w:bottom w:val="single" w:sz="4" w:space="0" w:color="auto"/>
              <w:right w:val="dotted" w:sz="4" w:space="0" w:color="auto"/>
            </w:tcBorders>
            <w:hideMark/>
          </w:tcPr>
          <w:p>
            <w:pPr>
              <w:autoSpaceDE w:val="0"/>
              <w:autoSpaceDN w:val="0"/>
              <w:adjustRightInd w:val="0"/>
              <w:spacing w:after="0" w:line="240" w:lineRule="auto"/>
              <w:ind w:right="1"/>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People living in households with very low work intensity </w:t>
            </w:r>
          </w:p>
        </w:tc>
        <w:tc>
          <w:tcPr>
            <w:tcW w:w="1872" w:type="dxa"/>
            <w:tcBorders>
              <w:top w:val="dotted" w:sz="4" w:space="0" w:color="auto"/>
              <w:left w:val="dotted" w:sz="4" w:space="0" w:color="auto"/>
              <w:bottom w:val="single" w:sz="4" w:space="0" w:color="auto"/>
              <w:right w:val="dotted" w:sz="4" w:space="0" w:color="auto"/>
            </w:tcBorders>
            <w:hideMark/>
          </w:tcPr>
          <w:p>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total population aged 0-59</w:t>
            </w:r>
          </w:p>
        </w:tc>
        <w:tc>
          <w:tcPr>
            <w:tcW w:w="1387" w:type="dxa"/>
            <w:tcBorders>
              <w:top w:val="dotted" w:sz="4" w:space="0" w:color="auto"/>
              <w:left w:val="dotted" w:sz="4" w:space="0" w:color="auto"/>
              <w:bottom w:val="single" w:sz="4" w:space="0" w:color="auto"/>
              <w:right w:val="dotted" w:sz="4" w:space="0" w:color="auto"/>
            </w:tcBorders>
            <w:hideMark/>
          </w:tcPr>
          <w:p>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664" w:type="dxa"/>
            <w:tcBorders>
              <w:top w:val="dotted" w:sz="4" w:space="0" w:color="auto"/>
              <w:left w:val="dotted" w:sz="4" w:space="0" w:color="auto"/>
              <w:bottom w:val="single" w:sz="4" w:space="0" w:color="auto"/>
              <w:right w:val="single" w:sz="4" w:space="0" w:color="auto"/>
            </w:tcBorders>
            <w:hideMark/>
          </w:tcPr>
          <w:p>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EU-SILC</w:t>
            </w:r>
          </w:p>
        </w:tc>
      </w:tr>
    </w:tbl>
    <w:p>
      <w:pPr>
        <w:autoSpaceDE w:val="0"/>
        <w:autoSpaceDN w:val="0"/>
        <w:adjustRightInd w:val="0"/>
        <w:spacing w:after="120" w:line="240" w:lineRule="auto"/>
        <w:ind w:left="284" w:right="425"/>
        <w:jc w:val="both"/>
        <w:rPr>
          <w:rFonts w:ascii="Times New Roman" w:hAnsi="Times New Roman"/>
          <w:i/>
          <w:noProof/>
          <w:color w:val="000000"/>
          <w:sz w:val="18"/>
          <w:szCs w:val="18"/>
          <w:lang w:eastAsia="en-GB"/>
        </w:rPr>
      </w:pPr>
      <w:r>
        <w:rPr>
          <w:rFonts w:ascii="Times New Roman" w:hAnsi="Times New Roman"/>
          <w:i/>
          <w:noProof/>
          <w:color w:val="000000"/>
          <w:sz w:val="18"/>
          <w:szCs w:val="18"/>
          <w:lang w:eastAsia="en-GB"/>
        </w:rPr>
        <w:t>Note: NA – National Accounts; BoP – Balance of Payments; CBD – Consolidated banking data; FA – Financial Accounts; LFS – Labour Force Survey/Labour Market Statistics; SILC – Statistics on Income and Living Condition</w:t>
      </w:r>
    </w:p>
    <w:p>
      <w:pPr>
        <w:spacing w:after="120" w:line="240" w:lineRule="auto"/>
        <w:ind w:left="284" w:right="425"/>
        <w:jc w:val="both"/>
        <w:rPr>
          <w:rFonts w:ascii="Times New Roman" w:hAnsi="Times New Roman"/>
          <w:noProof/>
          <w:sz w:val="24"/>
          <w:szCs w:val="24"/>
        </w:rPr>
      </w:pPr>
      <w:r>
        <w:rPr>
          <w:rFonts w:ascii="Times New Roman" w:hAnsi="Times New Roman"/>
          <w:noProof/>
          <w:sz w:val="24"/>
          <w:szCs w:val="24"/>
        </w:rPr>
        <w:t>In Chapter 3, the data are presented by indicator to allow easy comparison of Member States (and the UK), for the 10-year time series. In addition, short descriptions of the indicators and detailed information on sources and methods employed for their compilation are provided.</w:t>
      </w:r>
    </w:p>
    <w:p>
      <w:pPr>
        <w:keepNext/>
        <w:keepLines/>
        <w:spacing w:before="480" w:after="0" w:line="360" w:lineRule="auto"/>
        <w:ind w:left="284" w:right="425"/>
        <w:jc w:val="both"/>
        <w:outlineLvl w:val="0"/>
        <w:rPr>
          <w:rFonts w:ascii="Times New Roman" w:eastAsiaTheme="majorEastAsia" w:hAnsi="Times New Roman"/>
          <w:b/>
          <w:bCs/>
          <w:smallCaps/>
          <w:noProof/>
          <w:sz w:val="28"/>
          <w:szCs w:val="28"/>
        </w:rPr>
      </w:pPr>
      <w:bookmarkStart w:id="6" w:name="_Toc22133761"/>
      <w:bookmarkStart w:id="7" w:name="_Toc22828575"/>
      <w:bookmarkStart w:id="8" w:name="_Toc54702299"/>
      <w:r>
        <w:rPr>
          <w:rFonts w:ascii="Times New Roman" w:eastAsiaTheme="majorEastAsia" w:hAnsi="Times New Roman"/>
          <w:b/>
          <w:bCs/>
          <w:smallCaps/>
          <w:noProof/>
          <w:sz w:val="28"/>
          <w:szCs w:val="28"/>
        </w:rPr>
        <w:t>Statistical methodology improvements</w:t>
      </w:r>
      <w:bookmarkEnd w:id="6"/>
      <w:bookmarkEnd w:id="7"/>
      <w:bookmarkEnd w:id="8"/>
    </w:p>
    <w:p>
      <w:pPr>
        <w:tabs>
          <w:tab w:val="left" w:pos="993"/>
        </w:tabs>
        <w:spacing w:after="120" w:line="240" w:lineRule="auto"/>
        <w:ind w:left="284" w:right="425"/>
        <w:jc w:val="both"/>
        <w:rPr>
          <w:rFonts w:ascii="Times New Roman" w:hAnsi="Times New Roman"/>
          <w:noProof/>
          <w:sz w:val="24"/>
          <w:szCs w:val="24"/>
        </w:rPr>
      </w:pPr>
      <w:r>
        <w:rPr>
          <w:rFonts w:ascii="Times New Roman" w:hAnsi="Times New Roman"/>
          <w:noProof/>
          <w:sz w:val="24"/>
          <w:szCs w:val="24"/>
        </w:rPr>
        <w:t>Since 2014, MIP indicators stemming from the National Accounts (NA) and Balance of Payments (BoP) and International Investment Position (IIP) domains have been computed following the ESA 2010 and BPM6 statistical standards (the European System of Accounts 2010 and the Balance of Payments and International Investment Position Manual, 6</w:t>
      </w:r>
      <w:r>
        <w:rPr>
          <w:rFonts w:ascii="Times New Roman" w:hAnsi="Times New Roman"/>
          <w:noProof/>
          <w:sz w:val="24"/>
          <w:szCs w:val="24"/>
          <w:vertAlign w:val="superscript"/>
        </w:rPr>
        <w:t>th</w:t>
      </w:r>
      <w:r>
        <w:rPr>
          <w:rFonts w:ascii="Times New Roman" w:hAnsi="Times New Roman"/>
          <w:noProof/>
          <w:sz w:val="24"/>
          <w:szCs w:val="24"/>
        </w:rPr>
        <w:t xml:space="preserve"> edition)</w:t>
      </w:r>
      <w:r>
        <w:rPr>
          <w:rFonts w:ascii="Times New Roman" w:hAnsi="Times New Roman"/>
          <w:noProof/>
        </w:rPr>
        <w:t xml:space="preserve"> </w:t>
      </w:r>
      <w:r>
        <w:rPr>
          <w:rFonts w:ascii="Times New Roman" w:hAnsi="Times New Roman"/>
          <w:noProof/>
          <w:sz w:val="24"/>
          <w:szCs w:val="24"/>
        </w:rPr>
        <w:t xml:space="preserve">that guarantee a high level of comparability across European Union Member States. The successful implementation of these standards improved the quality of the MIP underlying data. </w:t>
      </w:r>
    </w:p>
    <w:p>
      <w:pPr>
        <w:spacing w:after="120" w:line="240" w:lineRule="auto"/>
        <w:ind w:left="284" w:right="425"/>
        <w:jc w:val="both"/>
        <w:rPr>
          <w:rFonts w:ascii="Times New Roman" w:eastAsiaTheme="minorHAnsi" w:hAnsi="Times New Roman"/>
          <w:noProof/>
          <w:sz w:val="24"/>
          <w:szCs w:val="24"/>
        </w:rPr>
      </w:pPr>
      <w:r>
        <w:rPr>
          <w:rFonts w:ascii="Times New Roman" w:hAnsi="Times New Roman"/>
          <w:noProof/>
          <w:sz w:val="24"/>
          <w:szCs w:val="24"/>
        </w:rPr>
        <w:t xml:space="preserve">In particular, concerning indicators from the Balance of Payments and International Investment Position, the revision of international standards and changeover to BPM6 was translated into new data requirements via the adoption of </w:t>
      </w:r>
      <w:hyperlink r:id="rId18" w:history="1">
        <w:r>
          <w:rPr>
            <w:rStyle w:val="Hyperlink"/>
            <w:rFonts w:ascii="Times New Roman" w:eastAsiaTheme="minorHAnsi" w:hAnsi="Times New Roman"/>
            <w:noProof/>
            <w:color w:val="0000FF"/>
            <w:sz w:val="24"/>
            <w:szCs w:val="24"/>
          </w:rPr>
          <w:t>Commission Regulation (EU) No 555/2012</w:t>
        </w:r>
      </w:hyperlink>
      <w:r>
        <w:rPr>
          <w:rFonts w:ascii="Times New Roman" w:eastAsiaTheme="minorHAnsi" w:hAnsi="Times New Roman"/>
          <w:noProof/>
          <w:sz w:val="24"/>
          <w:szCs w:val="24"/>
        </w:rPr>
        <w:t xml:space="preserve"> </w:t>
      </w:r>
      <w:r>
        <w:rPr>
          <w:rFonts w:ascii="Times New Roman" w:hAnsi="Times New Roman"/>
          <w:noProof/>
          <w:sz w:val="24"/>
          <w:szCs w:val="24"/>
        </w:rPr>
        <w:t>and ECB Guideline (ECB/2011/23) starting in 2014</w:t>
      </w:r>
      <w:r>
        <w:rPr>
          <w:rStyle w:val="FootnoteReference"/>
          <w:rFonts w:ascii="Times New Roman" w:hAnsi="Times New Roman"/>
          <w:noProof/>
          <w:sz w:val="24"/>
          <w:szCs w:val="24"/>
        </w:rPr>
        <w:footnoteReference w:id="2"/>
      </w:r>
      <w:r>
        <w:rPr>
          <w:rFonts w:ascii="Times New Roman" w:hAnsi="Times New Roman"/>
          <w:noProof/>
          <w:sz w:val="24"/>
          <w:szCs w:val="24"/>
        </w:rPr>
        <w:t xml:space="preserve">. </w:t>
      </w:r>
    </w:p>
    <w:p>
      <w:pPr>
        <w:spacing w:after="120" w:line="240" w:lineRule="auto"/>
        <w:ind w:left="284" w:right="425"/>
        <w:jc w:val="both"/>
        <w:rPr>
          <w:rFonts w:ascii="Times New Roman" w:hAnsi="Times New Roman"/>
          <w:noProof/>
          <w:sz w:val="24"/>
          <w:szCs w:val="24"/>
        </w:rPr>
      </w:pPr>
      <w:r>
        <w:rPr>
          <w:rFonts w:ascii="Times New Roman" w:hAnsi="Times New Roman"/>
          <w:noProof/>
          <w:sz w:val="24"/>
          <w:szCs w:val="24"/>
        </w:rPr>
        <w:t xml:space="preserve">The implementation of the standards ensures conceptual consistency between National Accounts and Balance of Payments/ International Investment Position. However, in practice, differences in the different components of the accounts (the BoP/IIP and NA Rest of the world data) still persist. </w:t>
      </w:r>
    </w:p>
    <w:p>
      <w:pPr>
        <w:autoSpaceDE w:val="0"/>
        <w:autoSpaceDN w:val="0"/>
        <w:adjustRightInd w:val="0"/>
        <w:spacing w:after="120" w:line="240" w:lineRule="auto"/>
        <w:ind w:left="284" w:right="425"/>
        <w:jc w:val="both"/>
        <w:rPr>
          <w:rFonts w:ascii="Times New Roman" w:hAnsi="Times New Roman"/>
          <w:noProof/>
          <w:sz w:val="24"/>
          <w:szCs w:val="24"/>
        </w:rPr>
      </w:pPr>
      <w:r>
        <w:rPr>
          <w:rFonts w:ascii="Times New Roman" w:hAnsi="Times New Roman"/>
          <w:noProof/>
          <w:sz w:val="24"/>
          <w:szCs w:val="24"/>
        </w:rPr>
        <w:t xml:space="preserve">Eurostat has further elaborated on the reconciliation of the Balance of Payments and the Rest of the World (RoW) account at national level, </w:t>
      </w:r>
      <w:r>
        <w:rPr>
          <w:rFonts w:ascii="Times New Roman" w:hAnsi="Times New Roman"/>
          <w:noProof/>
          <w:color w:val="000000" w:themeColor="text1"/>
          <w:sz w:val="24"/>
          <w:szCs w:val="24"/>
        </w:rPr>
        <w:t>and regularly assesses the state of consistency between Balance of Payments and National Accounts statistics</w:t>
      </w:r>
      <w:r>
        <w:rPr>
          <w:rFonts w:ascii="Times New Roman" w:hAnsi="Times New Roman"/>
          <w:noProof/>
          <w:sz w:val="24"/>
          <w:szCs w:val="24"/>
        </w:rPr>
        <w:t xml:space="preserve">. </w:t>
      </w:r>
    </w:p>
    <w:p>
      <w:pPr>
        <w:tabs>
          <w:tab w:val="left" w:pos="993"/>
        </w:tabs>
        <w:spacing w:after="120" w:line="240" w:lineRule="auto"/>
        <w:ind w:left="284" w:right="425"/>
        <w:jc w:val="both"/>
        <w:rPr>
          <w:rFonts w:ascii="Times New Roman" w:hAnsi="Times New Roman"/>
          <w:noProof/>
          <w:sz w:val="24"/>
          <w:u w:val="single"/>
        </w:rPr>
      </w:pPr>
      <w:r>
        <w:rPr>
          <w:rFonts w:ascii="Times New Roman" w:hAnsi="Times New Roman"/>
          <w:noProof/>
          <w:sz w:val="24"/>
          <w:u w:val="single"/>
        </w:rPr>
        <w:t>Additional changes in 2020</w:t>
      </w:r>
    </w:p>
    <w:p>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noProof/>
          <w:sz w:val="24"/>
          <w:szCs w:val="24"/>
        </w:rPr>
        <w:t xml:space="preserve">The implementation of the harmonised European revision policy (HERP) for </w:t>
      </w:r>
      <w:r>
        <w:rPr>
          <w:rFonts w:ascii="Times New Roman" w:hAnsi="Times New Roman"/>
          <w:b/>
          <w:noProof/>
          <w:sz w:val="24"/>
          <w:szCs w:val="24"/>
        </w:rPr>
        <w:t>National Accounts</w:t>
      </w:r>
      <w:r>
        <w:rPr>
          <w:rFonts w:ascii="Times New Roman" w:hAnsi="Times New Roman"/>
          <w:noProof/>
          <w:sz w:val="24"/>
          <w:szCs w:val="24"/>
        </w:rPr>
        <w:t xml:space="preserve"> and Balance of Payments statistics covering benchmark and routine revisions is progressing on a voluntary basis</w:t>
      </w:r>
      <w:r>
        <w:rPr>
          <w:rStyle w:val="FootnoteReference"/>
          <w:rFonts w:ascii="Times New Roman" w:hAnsi="Times New Roman"/>
          <w:noProof/>
        </w:rPr>
        <w:footnoteReference w:id="3"/>
      </w:r>
      <w:r>
        <w:rPr>
          <w:rFonts w:ascii="Times New Roman" w:hAnsi="Times New Roman"/>
          <w:noProof/>
          <w:sz w:val="24"/>
          <w:szCs w:val="24"/>
        </w:rPr>
        <w:t>. In 2020, four EU Member States, namely Czechia, Greece, Malta and Poland, officially announced that they carried out coordinated benchmark revisions of national accounts. Lithuania completed their benchmark revisions, which started in 2019 and removed a time series break in 2010. Latvia, Ireland and Romania also carried out major revisions in 2020.</w:t>
      </w:r>
    </w:p>
    <w:p>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noProof/>
          <w:sz w:val="24"/>
          <w:szCs w:val="24"/>
        </w:rPr>
        <w:t>All Member States except for Luxembourg have now introduced benchmark revisions since the implementation of ESA 2010. While the introduction of benchmark revisions is usually associated with more significant data updates, such revisions improve the overall quality and consistency of data through further improvements in the methodology, sources or estimation techniques applied. The revisions often relate to statistical improvements and actions agreed in the context of the verification of GNI and/or EDP data.</w:t>
      </w:r>
      <w:r>
        <w:rPr>
          <w:noProof/>
        </w:rPr>
        <w:t xml:space="preserve"> </w:t>
      </w:r>
      <w:r>
        <w:rPr>
          <w:rFonts w:ascii="Times New Roman" w:hAnsi="Times New Roman"/>
          <w:noProof/>
          <w:sz w:val="24"/>
          <w:szCs w:val="24"/>
        </w:rPr>
        <w:t>The 2019 coordinated benchmark revisions were considered successfully implemented and improved the quality of the accounts. The good practices will be retained for the next harmonised benchmark revisions in 2024.</w:t>
      </w:r>
    </w:p>
    <w:p>
      <w:pPr>
        <w:autoSpaceDE w:val="0"/>
        <w:autoSpaceDN w:val="0"/>
        <w:spacing w:before="60" w:after="240" w:line="240" w:lineRule="auto"/>
        <w:ind w:left="284" w:right="425"/>
        <w:jc w:val="both"/>
        <w:rPr>
          <w:rFonts w:ascii="Times New Roman" w:hAnsi="Times New Roman"/>
          <w:noProof/>
          <w:sz w:val="24"/>
          <w:szCs w:val="24"/>
        </w:rPr>
      </w:pPr>
      <w:r>
        <w:rPr>
          <w:rFonts w:ascii="Times New Roman" w:hAnsi="Times New Roman"/>
          <w:noProof/>
          <w:sz w:val="24"/>
          <w:szCs w:val="24"/>
        </w:rPr>
        <w:t xml:space="preserve">While COVID-19 has not directly affected 2019 indicators, the benchmark revision of non-financial accounts in Luxembourg was delayed and Greece implemented a staged benchmark revision due to the pandemic. </w:t>
      </w:r>
    </w:p>
    <w:p>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noProof/>
          <w:sz w:val="24"/>
          <w:szCs w:val="24"/>
        </w:rPr>
        <w:t xml:space="preserve">In the </w:t>
      </w:r>
      <w:r>
        <w:rPr>
          <w:rFonts w:ascii="Times New Roman" w:hAnsi="Times New Roman"/>
          <w:b/>
          <w:noProof/>
          <w:sz w:val="24"/>
          <w:szCs w:val="24"/>
        </w:rPr>
        <w:t xml:space="preserve">Balance of Payments </w:t>
      </w:r>
      <w:r>
        <w:rPr>
          <w:rFonts w:ascii="Times New Roman" w:hAnsi="Times New Roman"/>
          <w:noProof/>
          <w:sz w:val="24"/>
          <w:szCs w:val="24"/>
        </w:rPr>
        <w:t xml:space="preserve">domain, progress has been made concerning the asymmetries in trade in goods and services, both between Member States (and the UK) and concerning the exchanges with US. To address the problem of asymmetries in mirror trade data, Eurostat organised several workshops under the umbrella of its Balance of Payments Working Group with Member States. During these workshops, experts from Member States and the US Bureau of Economic analysis (BEA) had the opportunity to exchange experiences, discuss bilaterally and decide on specific actions to resolve their corresponding trade asymmetries. Member States have also been invited to present their experiences and approaches to address bilateral asymmetries with partner countries. Furthermore, Eurostat has recently launched a survey to Member States on asymmetries in services. Based on the outcome, Eurostat intends to draft an Inventory </w:t>
      </w:r>
      <w:r>
        <w:rPr>
          <w:rFonts w:ascii="Times New Roman" w:hAnsi="Times New Roman"/>
          <w:noProof/>
          <w:color w:val="000000" w:themeColor="text1"/>
          <w:sz w:val="24"/>
          <w:szCs w:val="24"/>
        </w:rPr>
        <w:t>of identified causes for asymmetries in trade in goods and services, primary income and foreign direct investments.</w:t>
      </w:r>
    </w:p>
    <w:p>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noProof/>
          <w:sz w:val="24"/>
          <w:szCs w:val="24"/>
        </w:rPr>
        <w:t xml:space="preserve">In addition, Asymmetries Resolution Meetings (ARM) are set up by ECB and Eurostat in the context of the quarterly BOP production. </w:t>
      </w:r>
      <w:r>
        <w:rPr>
          <w:rFonts w:ascii="Times New Roman" w:eastAsia="Times New Roman" w:hAnsi="Times New Roman"/>
          <w:noProof/>
          <w:sz w:val="24"/>
          <w:szCs w:val="24"/>
          <w:lang w:eastAsia="de-DE"/>
        </w:rPr>
        <w:t xml:space="preserve">The purpose of ARM is to facilitate </w:t>
      </w:r>
      <w:r>
        <w:rPr>
          <w:rFonts w:ascii="Times New Roman" w:hAnsi="Times New Roman"/>
          <w:noProof/>
          <w:color w:val="000000" w:themeColor="text1"/>
          <w:sz w:val="24"/>
          <w:szCs w:val="24"/>
        </w:rPr>
        <w:t xml:space="preserve">bilateral and/or multilateral reconciliation exercises to reduce bilateral asymmetries in foreign direct </w:t>
      </w:r>
      <w:r>
        <w:rPr>
          <w:rFonts w:ascii="Times New Roman" w:hAnsi="Times New Roman"/>
          <w:noProof/>
          <w:sz w:val="24"/>
          <w:szCs w:val="24"/>
        </w:rPr>
        <w:t>investment.</w:t>
      </w:r>
    </w:p>
    <w:p>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noProof/>
          <w:sz w:val="24"/>
          <w:szCs w:val="24"/>
        </w:rPr>
        <w:t xml:space="preserve">Concerning benchmark revisions for balance of payments, four countries carried out this exercise in 2020, namely Czechia, Luxembourg, Poland and Malta. </w:t>
      </w:r>
    </w:p>
    <w:p>
      <w:pPr>
        <w:autoSpaceDE w:val="0"/>
        <w:autoSpaceDN w:val="0"/>
        <w:spacing w:before="60" w:after="240" w:line="240" w:lineRule="auto"/>
        <w:ind w:left="284" w:right="425"/>
        <w:jc w:val="both"/>
        <w:rPr>
          <w:rFonts w:ascii="Times New Roman" w:hAnsi="Times New Roman"/>
          <w:noProof/>
          <w:sz w:val="24"/>
          <w:szCs w:val="24"/>
          <w:highlight w:val="yellow"/>
        </w:rPr>
      </w:pPr>
      <w:r>
        <w:rPr>
          <w:rFonts w:ascii="Times New Roman" w:hAnsi="Times New Roman"/>
          <w:noProof/>
          <w:sz w:val="24"/>
          <w:szCs w:val="24"/>
        </w:rPr>
        <w:t xml:space="preserve">In the domain of </w:t>
      </w:r>
      <w:r>
        <w:rPr>
          <w:rFonts w:ascii="Times New Roman" w:hAnsi="Times New Roman"/>
          <w:b/>
          <w:bCs/>
          <w:noProof/>
          <w:sz w:val="24"/>
          <w:szCs w:val="24"/>
        </w:rPr>
        <w:t>Financial Accounts</w:t>
      </w:r>
      <w:r>
        <w:rPr>
          <w:rFonts w:ascii="Times New Roman" w:hAnsi="Times New Roman"/>
          <w:noProof/>
          <w:sz w:val="24"/>
          <w:szCs w:val="24"/>
        </w:rPr>
        <w:t xml:space="preserve">, regarding Total Financial Sector Liabilities, work is ongoing to ensure a comprehensive and timely coverage of Other financial institutions (OFIs). Other areas of ongoing or planned statistical work which are important for the quality of MIP indicators concern the recording of other equity, of derivatives, of loans between non-financial corporations, of foreign-controlled corporations, and of the vertical discrepancy with non-financial sector accounts. On the latter, Eurostat and the ECB are cooperating in order to cover the methodology and propose a solution for reducing the discrepancies. It is also recommended to further align the national revision policies and practices in financial accounts to the harmonized European revision policy, up to the level achieved in national accounts and balance of payments statistics. </w:t>
      </w:r>
    </w:p>
    <w:p>
      <w:pPr>
        <w:pStyle w:val="NormalWeb"/>
        <w:ind w:left="284" w:right="425"/>
        <w:jc w:val="both"/>
        <w:rPr>
          <w:rFonts w:eastAsia="Calibri"/>
          <w:noProof/>
          <w:lang w:eastAsia="en-US"/>
        </w:rPr>
      </w:pPr>
      <w:r>
        <w:rPr>
          <w:rFonts w:eastAsia="Calibri"/>
          <w:noProof/>
          <w:lang w:eastAsia="en-US"/>
        </w:rPr>
        <w:t xml:space="preserve">Concerning the </w:t>
      </w:r>
      <w:r>
        <w:rPr>
          <w:rFonts w:eastAsia="Calibri"/>
          <w:b/>
          <w:noProof/>
          <w:lang w:eastAsia="en-US"/>
        </w:rPr>
        <w:t>Labour Force Survey</w:t>
      </w:r>
      <w:r>
        <w:rPr>
          <w:rFonts w:eastAsia="Calibri"/>
          <w:noProof/>
          <w:lang w:eastAsia="en-US"/>
        </w:rPr>
        <w:t>, no major methodological changes affected the data during 2019. In view of the entry into force of the Integrated European Social Statistics Framework Regulation (IESS FR), expected for the beginning of 2021, all countries are postponing methodological changes to that date, in order to introduce them together with the new standards provided by the regulation. At Eurostat level, from 2019 the data source for MIP unemployment and youth unemployment rates has been changed from the harmonised monthly data to the quarterly LFS data, as it was already for the long term unemployment rate. The innovation constitutes an increase in consistency among the sources. This change affects the entire time series, but has a limited impact, evident only in the first four years of the series. For the MIP unemployment rate, only four countries show noticeable revisions: Denmark, Germany, Romania and Portugal. The youth unemployment rate shows revisions for seven countries: Bulgaria, Germany, Croatia, Luxembourg, Portugal, Romania and Slovakia.</w:t>
      </w:r>
    </w:p>
    <w:p>
      <w:pPr>
        <w:tabs>
          <w:tab w:val="left" w:pos="9072"/>
          <w:tab w:val="left" w:pos="9214"/>
        </w:tabs>
        <w:spacing w:line="240" w:lineRule="auto"/>
        <w:ind w:left="284" w:right="425"/>
        <w:jc w:val="both"/>
        <w:rPr>
          <w:rFonts w:ascii="Times New Roman" w:hAnsi="Times New Roman"/>
          <w:noProof/>
          <w:sz w:val="24"/>
          <w:szCs w:val="24"/>
        </w:rPr>
      </w:pPr>
      <w:r>
        <w:rPr>
          <w:rFonts w:ascii="Times New Roman" w:hAnsi="Times New Roman"/>
          <w:noProof/>
          <w:sz w:val="24"/>
          <w:szCs w:val="24"/>
        </w:rPr>
        <w:t xml:space="preserve">In the </w:t>
      </w:r>
      <w:r>
        <w:rPr>
          <w:rFonts w:ascii="Times New Roman" w:hAnsi="Times New Roman"/>
          <w:b/>
          <w:noProof/>
          <w:sz w:val="24"/>
          <w:szCs w:val="24"/>
        </w:rPr>
        <w:t>House Prices</w:t>
      </w:r>
      <w:r>
        <w:rPr>
          <w:rFonts w:ascii="Times New Roman" w:hAnsi="Times New Roman"/>
          <w:noProof/>
          <w:sz w:val="24"/>
          <w:szCs w:val="24"/>
        </w:rPr>
        <w:t xml:space="preserve"> domain, the index for Finland has been slightly revised upwards for the years from 2015 to 2018 following an improvement in the calculation of the sub-index for new apartments. The index for Slovenia has also been revised in 2017 and 2018 because of more new dwellings taken into account in the index computation. </w:t>
      </w:r>
    </w:p>
    <w:p>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b/>
          <w:noProof/>
          <w:sz w:val="24"/>
          <w:szCs w:val="24"/>
        </w:rPr>
        <w:t>General Government Gross Debt</w:t>
      </w:r>
      <w:r>
        <w:rPr>
          <w:rFonts w:ascii="Times New Roman" w:hAnsi="Times New Roman"/>
          <w:noProof/>
          <w:sz w:val="24"/>
          <w:szCs w:val="24"/>
        </w:rPr>
        <w:t xml:space="preserve"> data notified for the years 2016 to 2019 were released on 22 October 2020 within the EDP notification. For more information on main revisions between the April 2020 and the October 2020 notifications please see the latest </w:t>
      </w:r>
      <w:hyperlink r:id="rId19" w:history="1">
        <w:r>
          <w:rPr>
            <w:rStyle w:val="Hyperlink"/>
            <w:rFonts w:ascii="Times New Roman" w:hAnsi="Times New Roman"/>
            <w:noProof/>
            <w:sz w:val="24"/>
            <w:szCs w:val="24"/>
          </w:rPr>
          <w:t>EDP news release</w:t>
        </w:r>
      </w:hyperlink>
      <w:r>
        <w:rPr>
          <w:rFonts w:ascii="Times New Roman" w:hAnsi="Times New Roman"/>
          <w:noProof/>
          <w:sz w:val="24"/>
          <w:szCs w:val="24"/>
        </w:rPr>
        <w:t>.</w:t>
      </w:r>
    </w:p>
    <w:p>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noProof/>
          <w:sz w:val="24"/>
          <w:szCs w:val="24"/>
        </w:rPr>
        <w:t xml:space="preserve">Timeliness and availability of general government gross debt data remained generally excellent despite the COVID-19 pandemic-related challenges, although Denmark failed to supply subsector data at the end of March 2020. </w:t>
      </w:r>
    </w:p>
    <w:p>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noProof/>
          <w:sz w:val="24"/>
          <w:szCs w:val="24"/>
        </w:rPr>
        <w:t xml:space="preserve">Furthermore, the benchmark revisions related to general government gross debt undertaken in 2019 and 2020 by most Member States have resulted in improved coherence of the data.  </w:t>
      </w:r>
    </w:p>
    <w:p>
      <w:pPr>
        <w:keepNext/>
        <w:keepLines/>
        <w:spacing w:before="480" w:after="0" w:line="360" w:lineRule="auto"/>
        <w:ind w:left="284" w:right="425"/>
        <w:jc w:val="both"/>
        <w:outlineLvl w:val="0"/>
        <w:rPr>
          <w:rFonts w:ascii="Times New Roman" w:eastAsiaTheme="majorEastAsia" w:hAnsi="Times New Roman"/>
          <w:b/>
          <w:bCs/>
          <w:smallCaps/>
          <w:noProof/>
          <w:sz w:val="28"/>
          <w:szCs w:val="28"/>
        </w:rPr>
      </w:pPr>
      <w:bookmarkStart w:id="9" w:name="_Toc22133762"/>
      <w:bookmarkStart w:id="10" w:name="_Toc22828576"/>
      <w:bookmarkStart w:id="11" w:name="_Toc54702300"/>
      <w:r>
        <w:rPr>
          <w:rFonts w:ascii="Times New Roman" w:eastAsiaTheme="majorEastAsia" w:hAnsi="Times New Roman"/>
          <w:b/>
          <w:bCs/>
          <w:smallCaps/>
          <w:noProof/>
          <w:sz w:val="28"/>
          <w:szCs w:val="28"/>
        </w:rPr>
        <w:t>The MIP quality framework</w:t>
      </w:r>
      <w:bookmarkEnd w:id="9"/>
      <w:bookmarkEnd w:id="10"/>
      <w:bookmarkEnd w:id="11"/>
      <w:r>
        <w:rPr>
          <w:rFonts w:ascii="Times New Roman" w:eastAsiaTheme="majorEastAsia" w:hAnsi="Times New Roman"/>
          <w:b/>
          <w:bCs/>
          <w:smallCaps/>
          <w:noProof/>
          <w:sz w:val="28"/>
          <w:szCs w:val="28"/>
        </w:rPr>
        <w:t xml:space="preserve"> </w:t>
      </w:r>
    </w:p>
    <w:p>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noProof/>
          <w:sz w:val="24"/>
          <w:szCs w:val="24"/>
        </w:rPr>
        <w:t>The credibility of the MIP and its smooth implementation depends critically on the availability and quality of the MIP underlying statistics. The statistics used in the procedure have to be fit for the purpose, reliable and comparable among Member States and in time. For that reason, the scoreboard indicators are regularly reviewed; the underlying statistical methodology and the statistical production processes are constantly improved.</w:t>
      </w:r>
      <w:r>
        <w:rPr>
          <w:rFonts w:ascii="Times New Roman" w:hAnsi="Times New Roman"/>
          <w:noProof/>
        </w:rPr>
        <w:t xml:space="preserve"> </w:t>
      </w:r>
      <w:r>
        <w:rPr>
          <w:rFonts w:ascii="Times New Roman" w:eastAsia="Times New Roman" w:hAnsi="Times New Roman"/>
          <w:noProof/>
          <w:sz w:val="24"/>
          <w:szCs w:val="24"/>
          <w:lang w:eastAsia="ar-SA"/>
        </w:rPr>
        <w:t>Statistics underlying the MIP indicators are based on European Union legislation and compiled by the European Statistical System (ESS) and in part by the European System of Central Banks (ESCB).</w:t>
      </w:r>
    </w:p>
    <w:p>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noProof/>
          <w:sz w:val="24"/>
          <w:szCs w:val="24"/>
        </w:rPr>
        <w:t>In 2016, the Economic and Financial Affairs Council (ECOFIN)</w:t>
      </w:r>
      <w:r>
        <w:rPr>
          <w:rStyle w:val="FootnoteReference"/>
          <w:rFonts w:ascii="Times New Roman" w:hAnsi="Times New Roman"/>
          <w:noProof/>
          <w:sz w:val="24"/>
          <w:szCs w:val="24"/>
        </w:rPr>
        <w:footnoteReference w:id="4"/>
      </w:r>
      <w:r>
        <w:rPr>
          <w:rFonts w:ascii="Times New Roman" w:hAnsi="Times New Roman"/>
          <w:noProof/>
          <w:sz w:val="24"/>
          <w:szCs w:val="24"/>
        </w:rPr>
        <w:t xml:space="preserve"> recalled that the MIP must rely upon sound and harmonised official statistics and since 2011 it has emphasised the importance of close cooperation between the ESS and the ESCB in assessing the reliability of the statistics underlying the MIP and improving their quality. Following the invitation of the Council to take all necessary initiatives to assure a reliable procedure for the compilation of MIP indicators, as well as a continuous improvement of the underlying statistical information, a Memorandum of Understanding (MoU) was signed between Eurostat and the</w:t>
      </w:r>
      <w:r>
        <w:rPr>
          <w:rFonts w:ascii="Times New Roman" w:hAnsi="Times New Roman"/>
          <w:noProof/>
        </w:rPr>
        <w:t xml:space="preserve"> </w:t>
      </w:r>
      <w:r>
        <w:rPr>
          <w:rFonts w:ascii="Times New Roman" w:hAnsi="Times New Roman"/>
          <w:noProof/>
          <w:sz w:val="24"/>
          <w:szCs w:val="24"/>
        </w:rPr>
        <w:t>Directorate General Statistics of the European Central Bank in November 2016, which mutually recognises both quality assurance frameworks and enables an even closer cooperation on the respective quality reports in the field of BoP/IIP and Financial Accounts.</w:t>
      </w:r>
    </w:p>
    <w:p>
      <w:pPr>
        <w:autoSpaceDE w:val="0"/>
        <w:autoSpaceDN w:val="0"/>
        <w:adjustRightInd w:val="0"/>
        <w:spacing w:before="60" w:after="240" w:line="240" w:lineRule="auto"/>
        <w:ind w:left="284" w:right="425"/>
        <w:jc w:val="both"/>
        <w:rPr>
          <w:rFonts w:ascii="Times New Roman" w:hAnsi="Times New Roman"/>
          <w:noProof/>
          <w:sz w:val="24"/>
          <w:szCs w:val="24"/>
          <w:lang w:eastAsia="ar-SA"/>
        </w:rPr>
      </w:pPr>
      <w:r>
        <w:rPr>
          <w:rFonts w:ascii="Times New Roman" w:hAnsi="Times New Roman"/>
          <w:noProof/>
          <w:sz w:val="24"/>
          <w:szCs w:val="24"/>
        </w:rPr>
        <w:t xml:space="preserve">The MIP quality assurance framework, developed jointly by Eurostat and the Directorate General Statistics of the European Central Bank, follows a three-level structure. </w:t>
      </w:r>
      <w:r>
        <w:rPr>
          <w:rFonts w:ascii="Times New Roman" w:hAnsi="Times New Roman"/>
          <w:noProof/>
          <w:sz w:val="24"/>
          <w:szCs w:val="24"/>
          <w:lang w:eastAsia="ar-SA"/>
        </w:rPr>
        <w:t xml:space="preserve">A </w:t>
      </w:r>
      <w:hyperlink r:id="rId20" w:history="1">
        <w:r>
          <w:rPr>
            <w:rFonts w:ascii="Times New Roman" w:hAnsi="Times New Roman"/>
            <w:noProof/>
            <w:sz w:val="24"/>
            <w:szCs w:val="24"/>
          </w:rPr>
          <w:t>comprehensive</w:t>
        </w:r>
        <w:r>
          <w:rPr>
            <w:noProof/>
          </w:rPr>
          <w:t xml:space="preserve"> </w:t>
        </w:r>
        <w:r>
          <w:rPr>
            <w:rStyle w:val="Hyperlink"/>
            <w:rFonts w:ascii="Times New Roman" w:hAnsi="Times New Roman"/>
            <w:noProof/>
            <w:sz w:val="24"/>
            <w:szCs w:val="24"/>
            <w:lang w:eastAsia="ar-SA"/>
          </w:rPr>
          <w:t>webpage</w:t>
        </w:r>
      </w:hyperlink>
      <w:r>
        <w:rPr>
          <w:rStyle w:val="FootnoteReference"/>
          <w:rFonts w:ascii="Times New Roman" w:hAnsi="Times New Roman"/>
          <w:noProof/>
          <w:sz w:val="24"/>
          <w:szCs w:val="24"/>
          <w:lang w:eastAsia="ar-SA"/>
        </w:rPr>
        <w:footnoteReference w:id="5"/>
      </w:r>
      <w:r>
        <w:rPr>
          <w:rFonts w:ascii="Times New Roman" w:hAnsi="Times New Roman"/>
          <w:noProof/>
          <w:sz w:val="24"/>
          <w:szCs w:val="24"/>
          <w:lang w:eastAsia="ar-SA"/>
        </w:rPr>
        <w:t xml:space="preserve"> with information and links to all relevant quality documents is available on the MIP dedicated section of Eurostat website. In this framework, the work performed consisted of the following actions:</w:t>
      </w:r>
    </w:p>
    <w:p>
      <w:pPr>
        <w:numPr>
          <w:ilvl w:val="0"/>
          <w:numId w:val="1"/>
        </w:numPr>
        <w:tabs>
          <w:tab w:val="left" w:pos="1134"/>
        </w:tabs>
        <w:suppressAutoHyphens/>
        <w:spacing w:after="240" w:line="240" w:lineRule="auto"/>
        <w:ind w:left="1134" w:right="424" w:hanging="850"/>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Level 1: preparation of an annual ESS-ESCB quality assessment report on MIP statistics by Eurostat and the ECB towards the European Parliament and Council, policy makers and the public at large, to assess the reliability and comparability of MIP underlying statistics and address the most relevant quality issues. The sixth report was published on 22 July 2020 on the websites of Eurostat, the ECB, and of the Committee on Monetary, Financial and Balance of Payments Statistics (CMFB). The report relates to recent developments, with a clear separation from more permanent features.</w:t>
      </w:r>
    </w:p>
    <w:p>
      <w:pPr>
        <w:numPr>
          <w:ilvl w:val="0"/>
          <w:numId w:val="1"/>
        </w:numPr>
        <w:tabs>
          <w:tab w:val="left" w:pos="1134"/>
        </w:tabs>
        <w:suppressAutoHyphens/>
        <w:spacing w:after="120" w:line="240" w:lineRule="auto"/>
        <w:ind w:left="1134" w:right="425" w:hanging="850"/>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Level 2: domain-specific quality reports produced by Eurostat and the ECB summarising the main findings for the euro area or the European Union Member States. These reports assess the underlying compilation process and its robustness, describe its legal basis and evaluate whether the statistics are in line with international statistical standards. The following level 2 reports are currently available:</w:t>
      </w:r>
    </w:p>
    <w:p>
      <w:pPr>
        <w:numPr>
          <w:ilvl w:val="0"/>
          <w:numId w:val="2"/>
        </w:numPr>
        <w:tabs>
          <w:tab w:val="left" w:pos="1701"/>
        </w:tabs>
        <w:suppressAutoHyphens/>
        <w:spacing w:after="120" w:line="240" w:lineRule="auto"/>
        <w:ind w:left="1701" w:right="425" w:hanging="283"/>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National Accounts (including Financial Accounts) (</w:t>
      </w:r>
      <w:hyperlink r:id="rId21" w:history="1">
        <w:r>
          <w:rPr>
            <w:rStyle w:val="Hyperlink"/>
            <w:rFonts w:ascii="Times New Roman" w:eastAsia="Times New Roman" w:hAnsi="Times New Roman"/>
            <w:noProof/>
            <w:sz w:val="24"/>
            <w:szCs w:val="24"/>
            <w:lang w:eastAsia="ar-SA"/>
          </w:rPr>
          <w:t>Eurostat</w:t>
        </w:r>
      </w:hyperlink>
      <w:r>
        <w:rPr>
          <w:rFonts w:ascii="Times New Roman" w:eastAsia="Times New Roman" w:hAnsi="Times New Roman"/>
          <w:noProof/>
          <w:sz w:val="24"/>
          <w:szCs w:val="24"/>
          <w:lang w:eastAsia="ar-SA"/>
        </w:rPr>
        <w:t>) and Financial Accounts (</w:t>
      </w:r>
      <w:hyperlink r:id="rId22" w:history="1">
        <w:r>
          <w:rPr>
            <w:rStyle w:val="Hyperlink"/>
            <w:rFonts w:ascii="Times New Roman" w:eastAsia="Times New Roman" w:hAnsi="Times New Roman"/>
            <w:noProof/>
            <w:sz w:val="24"/>
            <w:szCs w:val="24"/>
            <w:lang w:eastAsia="ar-SA"/>
          </w:rPr>
          <w:t>ECB</w:t>
        </w:r>
      </w:hyperlink>
      <w:r>
        <w:rPr>
          <w:rFonts w:ascii="Times New Roman" w:eastAsia="Times New Roman" w:hAnsi="Times New Roman"/>
          <w:noProof/>
          <w:sz w:val="24"/>
          <w:szCs w:val="24"/>
          <w:lang w:eastAsia="ar-SA"/>
        </w:rPr>
        <w:t>)</w:t>
      </w:r>
    </w:p>
    <w:p>
      <w:pPr>
        <w:numPr>
          <w:ilvl w:val="0"/>
          <w:numId w:val="2"/>
        </w:numPr>
        <w:tabs>
          <w:tab w:val="left" w:pos="1701"/>
        </w:tabs>
        <w:suppressAutoHyphens/>
        <w:spacing w:after="120" w:line="240" w:lineRule="auto"/>
        <w:ind w:left="1701" w:right="425" w:hanging="283"/>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Balance of Payments and International Investment Position statistics (</w:t>
      </w:r>
      <w:hyperlink r:id="rId23" w:history="1">
        <w:r>
          <w:rPr>
            <w:rStyle w:val="Hyperlink"/>
            <w:rFonts w:ascii="Times New Roman" w:eastAsia="Times New Roman" w:hAnsi="Times New Roman"/>
            <w:noProof/>
            <w:sz w:val="24"/>
            <w:szCs w:val="24"/>
            <w:lang w:eastAsia="ar-SA"/>
          </w:rPr>
          <w:t>Eurostat</w:t>
        </w:r>
      </w:hyperlink>
      <w:r>
        <w:rPr>
          <w:rFonts w:ascii="Times New Roman" w:eastAsia="Times New Roman" w:hAnsi="Times New Roman"/>
          <w:noProof/>
          <w:sz w:val="24"/>
          <w:szCs w:val="24"/>
          <w:lang w:eastAsia="ar-SA"/>
        </w:rPr>
        <w:t xml:space="preserve">, </w:t>
      </w:r>
      <w:hyperlink r:id="rId24" w:history="1">
        <w:r>
          <w:rPr>
            <w:rStyle w:val="Hyperlink"/>
            <w:rFonts w:ascii="Times New Roman" w:eastAsia="Times New Roman" w:hAnsi="Times New Roman"/>
            <w:noProof/>
            <w:sz w:val="24"/>
            <w:szCs w:val="24"/>
            <w:lang w:eastAsia="ar-SA"/>
          </w:rPr>
          <w:t>ECB</w:t>
        </w:r>
      </w:hyperlink>
      <w:r>
        <w:rPr>
          <w:rFonts w:ascii="Times New Roman" w:eastAsia="Times New Roman" w:hAnsi="Times New Roman"/>
          <w:noProof/>
          <w:sz w:val="24"/>
          <w:szCs w:val="24"/>
          <w:lang w:eastAsia="ar-SA"/>
        </w:rPr>
        <w:t>)</w:t>
      </w:r>
    </w:p>
    <w:p>
      <w:pPr>
        <w:numPr>
          <w:ilvl w:val="0"/>
          <w:numId w:val="2"/>
        </w:numPr>
        <w:tabs>
          <w:tab w:val="left" w:pos="1701"/>
        </w:tabs>
        <w:suppressAutoHyphens/>
        <w:spacing w:after="120" w:line="240" w:lineRule="auto"/>
        <w:ind w:left="1701" w:right="425" w:hanging="283"/>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House Price Statistics (</w:t>
      </w:r>
      <w:hyperlink r:id="rId25" w:history="1">
        <w:r>
          <w:rPr>
            <w:rStyle w:val="Hyperlink"/>
            <w:rFonts w:ascii="Times New Roman" w:eastAsia="Times New Roman" w:hAnsi="Times New Roman"/>
            <w:noProof/>
            <w:sz w:val="24"/>
            <w:szCs w:val="24"/>
            <w:lang w:eastAsia="ar-SA"/>
          </w:rPr>
          <w:t>Eurostat</w:t>
        </w:r>
      </w:hyperlink>
      <w:r>
        <w:rPr>
          <w:rFonts w:ascii="Times New Roman" w:eastAsia="Times New Roman" w:hAnsi="Times New Roman"/>
          <w:noProof/>
          <w:sz w:val="24"/>
          <w:szCs w:val="24"/>
          <w:lang w:eastAsia="ar-SA"/>
        </w:rPr>
        <w:t>)</w:t>
      </w:r>
    </w:p>
    <w:p>
      <w:pPr>
        <w:numPr>
          <w:ilvl w:val="0"/>
          <w:numId w:val="2"/>
        </w:numPr>
        <w:tabs>
          <w:tab w:val="left" w:pos="1701"/>
        </w:tabs>
        <w:suppressAutoHyphens/>
        <w:spacing w:after="120" w:line="240" w:lineRule="auto"/>
        <w:ind w:left="1701" w:right="425" w:hanging="283"/>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Labour Force Survey (</w:t>
      </w:r>
      <w:hyperlink r:id="rId26" w:history="1">
        <w:r>
          <w:rPr>
            <w:rStyle w:val="Hyperlink"/>
            <w:rFonts w:ascii="Times New Roman" w:eastAsia="Times New Roman" w:hAnsi="Times New Roman"/>
            <w:noProof/>
            <w:sz w:val="24"/>
            <w:szCs w:val="24"/>
            <w:lang w:eastAsia="ar-SA"/>
          </w:rPr>
          <w:t>Eurostat</w:t>
        </w:r>
      </w:hyperlink>
      <w:r>
        <w:rPr>
          <w:rFonts w:ascii="Times New Roman" w:eastAsia="Times New Roman" w:hAnsi="Times New Roman"/>
          <w:noProof/>
          <w:sz w:val="24"/>
          <w:szCs w:val="24"/>
          <w:lang w:eastAsia="ar-SA"/>
        </w:rPr>
        <w:t>)</w:t>
      </w:r>
    </w:p>
    <w:p>
      <w:pPr>
        <w:autoSpaceDE w:val="0"/>
        <w:autoSpaceDN w:val="0"/>
        <w:adjustRightInd w:val="0"/>
        <w:spacing w:before="60" w:after="240" w:line="240" w:lineRule="auto"/>
        <w:ind w:left="284" w:right="425"/>
        <w:jc w:val="both"/>
        <w:rPr>
          <w:rFonts w:ascii="Times New Roman" w:hAnsi="Times New Roman"/>
          <w:noProof/>
          <w:sz w:val="24"/>
          <w:szCs w:val="24"/>
          <w:lang w:eastAsia="ar-SA"/>
        </w:rPr>
      </w:pPr>
      <w:r>
        <w:rPr>
          <w:rFonts w:ascii="Times New Roman" w:hAnsi="Times New Roman"/>
          <w:noProof/>
          <w:sz w:val="24"/>
          <w:szCs w:val="24"/>
          <w:lang w:eastAsia="ar-SA"/>
        </w:rPr>
        <w:t>In line with the legal requirements of quality reporting for national and regional accounts</w:t>
      </w:r>
      <w:r>
        <w:rPr>
          <w:rStyle w:val="FootnoteReference"/>
          <w:rFonts w:ascii="Times New Roman" w:hAnsi="Times New Roman"/>
          <w:noProof/>
          <w:sz w:val="24"/>
          <w:szCs w:val="24"/>
          <w:lang w:eastAsia="ar-SA"/>
        </w:rPr>
        <w:footnoteReference w:id="6"/>
      </w:r>
      <w:r>
        <w:rPr>
          <w:rFonts w:ascii="Times New Roman" w:hAnsi="Times New Roman"/>
          <w:noProof/>
          <w:sz w:val="24"/>
          <w:szCs w:val="24"/>
          <w:lang w:eastAsia="ar-SA"/>
        </w:rPr>
        <w:t xml:space="preserve">, the third annual </w:t>
      </w:r>
      <w:r>
        <w:rPr>
          <w:rFonts w:ascii="Times New Roman" w:hAnsi="Times New Roman"/>
          <w:noProof/>
          <w:sz w:val="24"/>
          <w:szCs w:val="24"/>
        </w:rPr>
        <w:t>Eurostat</w:t>
      </w:r>
      <w:r>
        <w:rPr>
          <w:rFonts w:ascii="Times New Roman" w:hAnsi="Times New Roman"/>
          <w:noProof/>
          <w:sz w:val="24"/>
          <w:szCs w:val="24"/>
          <w:lang w:eastAsia="ar-SA"/>
        </w:rPr>
        <w:t xml:space="preserve"> quality report was published on 20 December 2019</w:t>
      </w:r>
      <w:r>
        <w:rPr>
          <w:rStyle w:val="FootnoteReference"/>
          <w:rFonts w:ascii="Times New Roman" w:hAnsi="Times New Roman"/>
          <w:noProof/>
          <w:sz w:val="24"/>
          <w:szCs w:val="24"/>
          <w:lang w:eastAsia="ar-SA"/>
        </w:rPr>
        <w:footnoteReference w:id="7"/>
      </w:r>
      <w:r>
        <w:rPr>
          <w:rFonts w:ascii="Times New Roman" w:hAnsi="Times New Roman"/>
          <w:noProof/>
          <w:sz w:val="24"/>
          <w:szCs w:val="24"/>
          <w:lang w:eastAsia="ar-SA"/>
        </w:rPr>
        <w:t>, and covered data transmissions in 2018 in line with the ESA 2010 transmission programme. The fourth quality report, based on 2019 data, is close to completion. The Eurostat quality report also explicitly covers data underlying the MIP indicators. The set of quality indicators covered will be progressively extended by 2021. An overview on ESA 2010 implementation and quality is available on the Eurostat website</w:t>
      </w:r>
      <w:r>
        <w:rPr>
          <w:rStyle w:val="FootnoteReference"/>
          <w:rFonts w:ascii="Times New Roman" w:hAnsi="Times New Roman"/>
          <w:noProof/>
          <w:sz w:val="24"/>
          <w:szCs w:val="24"/>
          <w:lang w:eastAsia="ar-SA"/>
        </w:rPr>
        <w:footnoteReference w:id="8"/>
      </w:r>
      <w:r>
        <w:rPr>
          <w:rFonts w:ascii="Times New Roman" w:hAnsi="Times New Roman"/>
          <w:noProof/>
          <w:sz w:val="24"/>
          <w:szCs w:val="24"/>
          <w:lang w:eastAsia="ar-SA"/>
        </w:rPr>
        <w:t>. All ESA 2010 derogations expired on 1 January 2020 and data delivery is expected with the next transmission deadline in 2020.</w:t>
      </w:r>
    </w:p>
    <w:p>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noProof/>
          <w:sz w:val="24"/>
          <w:szCs w:val="24"/>
          <w:lang w:eastAsia="ar-SA"/>
        </w:rPr>
        <w:t xml:space="preserve">The implementation of the alignment of the </w:t>
      </w:r>
      <w:r>
        <w:rPr>
          <w:rFonts w:ascii="Times New Roman" w:hAnsi="Times New Roman"/>
          <w:bCs/>
          <w:noProof/>
          <w:sz w:val="24"/>
          <w:szCs w:val="24"/>
          <w:lang w:eastAsia="ar-SA"/>
        </w:rPr>
        <w:t>existing Quality Reports</w:t>
      </w:r>
      <w:r>
        <w:rPr>
          <w:rFonts w:ascii="Times New Roman" w:hAnsi="Times New Roman"/>
          <w:noProof/>
          <w:sz w:val="24"/>
          <w:szCs w:val="24"/>
          <w:lang w:eastAsia="ar-SA"/>
        </w:rPr>
        <w:t xml:space="preserve"> on Balance of Payments/International Investment Position produced by the ESS and the ESCB has been achieved. While due to the different data coverage and legislation, it is currently not possible to have one common report, its structure, the indicators and the findings included in the Eurostat and the ECB reports are to a great extent harmonized. </w:t>
      </w:r>
    </w:p>
    <w:p>
      <w:pPr>
        <w:spacing w:line="240" w:lineRule="auto"/>
        <w:ind w:left="284" w:right="425"/>
        <w:jc w:val="both"/>
        <w:rPr>
          <w:rFonts w:ascii="Times New Roman" w:hAnsi="Times New Roman"/>
          <w:noProof/>
          <w:sz w:val="24"/>
          <w:szCs w:val="24"/>
          <w:lang w:eastAsia="ar-SA"/>
        </w:rPr>
      </w:pPr>
      <w:r>
        <w:rPr>
          <w:rFonts w:ascii="Times New Roman" w:hAnsi="Times New Roman"/>
          <w:noProof/>
          <w:sz w:val="24"/>
          <w:szCs w:val="24"/>
          <w:lang w:eastAsia="ar-SA"/>
        </w:rPr>
        <w:t>In addition, the Commission (DG ECFIN), in its capacity as compiler of the Real Effective Exchange Rate (REER) indicator, publishes quality information on real effective exchange rate indicators on its website</w:t>
      </w:r>
      <w:r>
        <w:rPr>
          <w:rFonts w:ascii="Times New Roman" w:hAnsi="Times New Roman"/>
          <w:noProof/>
          <w:vertAlign w:val="superscript"/>
        </w:rPr>
        <w:footnoteReference w:id="9"/>
      </w:r>
      <w:r>
        <w:rPr>
          <w:rFonts w:ascii="Times New Roman" w:hAnsi="Times New Roman"/>
          <w:noProof/>
          <w:sz w:val="24"/>
          <w:szCs w:val="24"/>
          <w:lang w:eastAsia="ar-SA"/>
        </w:rPr>
        <w:t>.</w:t>
      </w:r>
    </w:p>
    <w:p>
      <w:pPr>
        <w:pStyle w:val="ListParagraph"/>
        <w:numPr>
          <w:ilvl w:val="0"/>
          <w:numId w:val="3"/>
        </w:numPr>
        <w:tabs>
          <w:tab w:val="left" w:pos="1134"/>
        </w:tabs>
        <w:spacing w:after="200"/>
        <w:ind w:left="1134" w:right="425" w:hanging="850"/>
        <w:contextualSpacing/>
        <w:jc w:val="both"/>
        <w:rPr>
          <w:rFonts w:ascii="Times New Roman" w:eastAsia="Times New Roman" w:hAnsi="Times New Roman"/>
          <w:noProof/>
          <w:sz w:val="24"/>
          <w:szCs w:val="24"/>
          <w:lang w:eastAsia="ar-SA"/>
        </w:rPr>
      </w:pPr>
      <w:bookmarkStart w:id="12" w:name="_Toc22132286"/>
      <w:r>
        <w:rPr>
          <w:rFonts w:ascii="Times New Roman" w:eastAsia="Times New Roman" w:hAnsi="Times New Roman"/>
          <w:noProof/>
          <w:sz w:val="24"/>
          <w:szCs w:val="24"/>
          <w:lang w:eastAsia="ar-SA"/>
        </w:rPr>
        <w:t>Level 3: development of condensed country specific self-assessment reports on the quality and statistical processes for statistics underlying the MIP indicators that are easily understandable by users. They should provide the basis for assuring the quality of the statistics and their comparability across countries. Member States are encouraged to publish such reports. In 2020, the information for the statistical domains Financial Accounts and House Price Statistics was updated for almost all countries and national reports were published on the CMFB website</w:t>
      </w:r>
      <w:r>
        <w:rPr>
          <w:rFonts w:ascii="Times New Roman" w:eastAsia="Times New Roman" w:hAnsi="Times New Roman"/>
          <w:noProof/>
          <w:sz w:val="24"/>
          <w:szCs w:val="24"/>
          <w:vertAlign w:val="superscript"/>
          <w:lang w:eastAsia="ar-SA"/>
        </w:rPr>
        <w:footnoteReference w:id="10"/>
      </w:r>
      <w:r>
        <w:rPr>
          <w:rFonts w:ascii="Times New Roman" w:eastAsia="Times New Roman" w:hAnsi="Times New Roman"/>
          <w:noProof/>
          <w:sz w:val="24"/>
          <w:szCs w:val="24"/>
          <w:lang w:eastAsia="ar-SA"/>
        </w:rPr>
        <w:t>.</w:t>
      </w:r>
      <w:bookmarkEnd w:id="12"/>
      <w:r>
        <w:rPr>
          <w:rFonts w:ascii="Times New Roman" w:eastAsia="Times New Roman" w:hAnsi="Times New Roman"/>
          <w:noProof/>
          <w:sz w:val="24"/>
          <w:szCs w:val="24"/>
          <w:lang w:eastAsia="ar-SA"/>
        </w:rPr>
        <w:t xml:space="preserve"> </w:t>
      </w:r>
    </w:p>
    <w:p>
      <w:pPr>
        <w:spacing w:line="240" w:lineRule="auto"/>
        <w:ind w:left="284" w:right="425"/>
        <w:jc w:val="both"/>
        <w:rPr>
          <w:rFonts w:ascii="Times New Roman" w:hAnsi="Times New Roman"/>
          <w:noProof/>
          <w:sz w:val="24"/>
          <w:szCs w:val="24"/>
          <w:lang w:eastAsia="ar-SA"/>
        </w:rPr>
      </w:pPr>
      <w:r>
        <w:rPr>
          <w:rFonts w:ascii="Times New Roman" w:hAnsi="Times New Roman"/>
          <w:noProof/>
          <w:sz w:val="24"/>
          <w:szCs w:val="24"/>
          <w:lang w:eastAsia="ar-SA"/>
        </w:rPr>
        <w:t>Moreover, in the context of the MoU, joint ECB-Eurostat visits to the Member States have taken place, focussing on Balance of Payments and Financial Accounts.</w:t>
      </w:r>
      <w:r>
        <w:rPr>
          <w:rFonts w:ascii="Times New Roman" w:hAnsi="Times New Roman"/>
          <w:noProof/>
          <w:sz w:val="24"/>
          <w:szCs w:val="24"/>
        </w:rPr>
        <w:t xml:space="preserve"> </w:t>
      </w:r>
      <w:r>
        <w:rPr>
          <w:rFonts w:ascii="Times New Roman" w:hAnsi="Times New Roman"/>
          <w:noProof/>
          <w:sz w:val="24"/>
          <w:szCs w:val="24"/>
          <w:lang w:eastAsia="ar-SA"/>
        </w:rPr>
        <w:t xml:space="preserve">The first two pilot joint visits took place in 2017 in Belgium and Greece. In 2018, Eurostat and the ECB visited Luxembourg and Poland. In 2019, Germany, Malta and Ireland were visited. In January 2020, France was visited. </w:t>
      </w:r>
    </w:p>
    <w:p>
      <w:pPr>
        <w:spacing w:line="240" w:lineRule="auto"/>
        <w:ind w:left="284" w:right="425"/>
        <w:jc w:val="both"/>
        <w:rPr>
          <w:rFonts w:ascii="Times New Roman" w:hAnsi="Times New Roman"/>
          <w:noProof/>
          <w:sz w:val="24"/>
          <w:szCs w:val="24"/>
          <w:lang w:eastAsia="ar-SA"/>
        </w:rPr>
      </w:pPr>
      <w:bookmarkStart w:id="13" w:name="_Toc22132287"/>
      <w:r>
        <w:rPr>
          <w:rFonts w:ascii="Times New Roman" w:hAnsi="Times New Roman"/>
          <w:noProof/>
          <w:sz w:val="24"/>
          <w:szCs w:val="24"/>
          <w:lang w:eastAsia="ar-SA"/>
        </w:rPr>
        <w:t>The rest of this document presents MIP scoreboard and auxiliary indicators by different perspectives: Chapter 1 and Chapter 2 illustrate the headline and auxiliary indicators by year respectively, Chapter 3 focuses on the evolution of indicators in time, while Chapter 4 and Chapter 5 present the scoreboard and auxiliary indicators by Member State respectively, and finally Chapter 6 illustrates untransformed scoreboard indicators by year.</w:t>
      </w:r>
      <w:bookmarkEnd w:id="13"/>
    </w:p>
    <w:bookmarkEnd w:id="5"/>
    <w:p>
      <w:pPr>
        <w:rPr>
          <w:noProof/>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spacing w:after="0"/>
        <w:jc w:val="center"/>
        <w:rPr>
          <w:rFonts w:ascii="Times New Roman" w:hAnsi="Times New Roman"/>
          <w:noProof/>
          <w:sz w:val="20"/>
          <w:szCs w:val="20"/>
          <w:lang w:eastAsia="en-GB"/>
        </w:rPr>
      </w:pPr>
    </w:p>
    <w:p>
      <w:pPr>
        <w:rPr>
          <w:noProof/>
        </w:rPr>
        <w:sectPr>
          <w:headerReference w:type="even" r:id="rId27"/>
          <w:headerReference w:type="default" r:id="rId28"/>
          <w:footerReference w:type="even" r:id="rId29"/>
          <w:footerReference w:type="default" r:id="rId30"/>
          <w:headerReference w:type="first" r:id="rId31"/>
          <w:footerReference w:type="first" r:id="rId32"/>
          <w:pgSz w:w="11906" w:h="16838"/>
          <w:pgMar w:top="1247" w:right="1134" w:bottom="1247" w:left="1134" w:header="720" w:footer="720" w:gutter="0"/>
          <w:cols w:space="720"/>
          <w:titlePg/>
          <w:docGrid w:linePitch="360"/>
        </w:sectPr>
      </w:pPr>
    </w:p>
    <w:p>
      <w:pPr>
        <w:pStyle w:val="Heading1"/>
        <w:rPr>
          <w:rFonts w:ascii="Times New Roman" w:hAnsi="Times New Roman" w:cs="Times New Roman"/>
          <w:b/>
          <w:noProof/>
          <w:color w:val="auto"/>
          <w:sz w:val="28"/>
          <w:szCs w:val="28"/>
        </w:rPr>
      </w:pPr>
      <w:bookmarkStart w:id="14" w:name="_Toc54702301"/>
      <w:r>
        <w:rPr>
          <w:rFonts w:ascii="Times New Roman" w:hAnsi="Times New Roman" w:cs="Times New Roman"/>
          <w:b/>
          <w:noProof/>
          <w:color w:val="auto"/>
          <w:sz w:val="28"/>
          <w:szCs w:val="28"/>
        </w:rPr>
        <w:t>Chapter 1: Tables by year - Headline indicators</w:t>
      </w:r>
      <w:bookmarkEnd w:id="14"/>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p>
    <w:p>
      <w:pPr>
        <w:pStyle w:val="Heading2"/>
        <w:rPr>
          <w:rFonts w:ascii="Times New Roman" w:hAnsi="Times New Roman" w:cs="Times New Roman"/>
          <w:noProof/>
          <w:color w:val="auto"/>
        </w:rPr>
      </w:pPr>
      <w:bookmarkStart w:id="15" w:name="_Toc54702302"/>
      <w:r>
        <w:rPr>
          <w:rFonts w:ascii="Times New Roman" w:hAnsi="Times New Roman" w:cs="Times New Roman"/>
          <w:noProof/>
          <w:color w:val="auto"/>
        </w:rPr>
        <w:t>Table 1.1: MIP Scoreboard 2019</w:t>
      </w:r>
      <w:bookmarkEnd w:id="15"/>
      <w:r>
        <w:rPr>
          <w:rFonts w:ascii="Times New Roman" w:hAnsi="Times New Roman" w:cs="Times New Roman"/>
          <w:noProof/>
          <w:color w:val="auto"/>
        </w:rPr>
        <w:tab/>
      </w:r>
    </w:p>
    <w:p>
      <w:pPr>
        <w:pStyle w:val="NoSpacing"/>
        <w:rPr>
          <w:noProof/>
        </w:rPr>
      </w:pPr>
      <w:r>
        <w:rPr>
          <w:noProof/>
          <w:lang w:eastAsia="en-GB"/>
        </w:rPr>
        <w:drawing>
          <wp:inline distT="0" distB="0" distL="0" distR="0">
            <wp:extent cx="9108440" cy="5052686"/>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08440" cy="5052686"/>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6" w:name="_Toc54702303"/>
      <w:r>
        <w:rPr>
          <w:rFonts w:ascii="Times New Roman" w:hAnsi="Times New Roman" w:cs="Times New Roman"/>
          <w:noProof/>
          <w:color w:val="auto"/>
        </w:rPr>
        <w:t>Table 1.2: MIP Scoreboard 2018</w:t>
      </w:r>
      <w:bookmarkEnd w:id="16"/>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9206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08440" cy="4920616"/>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7" w:name="_Toc54702304"/>
      <w:r>
        <w:rPr>
          <w:rFonts w:ascii="Times New Roman" w:hAnsi="Times New Roman" w:cs="Times New Roman"/>
          <w:noProof/>
          <w:color w:val="auto"/>
        </w:rPr>
        <w:t>Table 1.3: MIP Scoreboard 2017</w:t>
      </w:r>
      <w:bookmarkEnd w:id="17"/>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915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08440" cy="4915315"/>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8" w:name="_Toc54702305"/>
      <w:r>
        <w:rPr>
          <w:rFonts w:ascii="Times New Roman" w:hAnsi="Times New Roman" w:cs="Times New Roman"/>
          <w:noProof/>
          <w:color w:val="auto"/>
        </w:rPr>
        <w:t>Table 1.4: MIP Scoreboard 2016</w:t>
      </w:r>
      <w:bookmarkEnd w:id="18"/>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426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08440" cy="4426788"/>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9" w:name="_Toc54702306"/>
      <w:r>
        <w:rPr>
          <w:rFonts w:ascii="Times New Roman" w:hAnsi="Times New Roman" w:cs="Times New Roman"/>
          <w:noProof/>
          <w:color w:val="auto"/>
        </w:rPr>
        <w:t>Table 1.5: MIP Scoreboard 2015</w:t>
      </w:r>
      <w:bookmarkEnd w:id="19"/>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5539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08440" cy="455399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20" w:name="_Toc54702307"/>
      <w:r>
        <w:rPr>
          <w:rFonts w:ascii="Times New Roman" w:hAnsi="Times New Roman" w:cs="Times New Roman"/>
          <w:noProof/>
          <w:color w:val="auto"/>
        </w:rPr>
        <w:t>Table 1.6: MIP Scoreboard 2014</w:t>
      </w:r>
      <w:bookmarkEnd w:id="20"/>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4577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08440" cy="445770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21" w:name="_Toc54702308"/>
      <w:r>
        <w:rPr>
          <w:rFonts w:ascii="Times New Roman" w:hAnsi="Times New Roman" w:cs="Times New Roman"/>
          <w:noProof/>
          <w:color w:val="auto"/>
        </w:rPr>
        <w:t>Table 1.7: MIP Scoreboard 2013</w:t>
      </w:r>
      <w:bookmarkEnd w:id="21"/>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4166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08440" cy="4416628"/>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22" w:name="_Toc54702309"/>
      <w:r>
        <w:rPr>
          <w:rFonts w:ascii="Times New Roman" w:hAnsi="Times New Roman" w:cs="Times New Roman"/>
          <w:noProof/>
          <w:color w:val="auto"/>
        </w:rPr>
        <w:t>Table 1.8: MIP Scoreboard 2012</w:t>
      </w:r>
      <w:bookmarkEnd w:id="22"/>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4577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08440" cy="445770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23" w:name="_Toc54702310"/>
      <w:r>
        <w:rPr>
          <w:rFonts w:ascii="Times New Roman" w:hAnsi="Times New Roman" w:cs="Times New Roman"/>
          <w:noProof/>
          <w:color w:val="auto"/>
        </w:rPr>
        <w:t>Table 1.9: MIP Scoreboard 2011</w:t>
      </w:r>
      <w:bookmarkEnd w:id="23"/>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4369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08440" cy="443694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24" w:name="_Toc54702311"/>
      <w:r>
        <w:rPr>
          <w:rFonts w:ascii="Times New Roman" w:hAnsi="Times New Roman" w:cs="Times New Roman"/>
          <w:noProof/>
          <w:color w:val="auto"/>
        </w:rPr>
        <w:t>Table 1.10: MIP Scoreboard 2010</w:t>
      </w:r>
      <w:bookmarkEnd w:id="24"/>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5336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08440" cy="4533681"/>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1"/>
        <w:rPr>
          <w:rFonts w:ascii="Times New Roman" w:hAnsi="Times New Roman" w:cs="Times New Roman"/>
          <w:b/>
          <w:noProof/>
          <w:color w:val="auto"/>
          <w:sz w:val="28"/>
          <w:szCs w:val="28"/>
        </w:rPr>
      </w:pPr>
      <w:bookmarkStart w:id="25" w:name="_Toc54702312"/>
      <w:r>
        <w:rPr>
          <w:rFonts w:ascii="Times New Roman" w:hAnsi="Times New Roman" w:cs="Times New Roman"/>
          <w:b/>
          <w:noProof/>
          <w:color w:val="auto"/>
          <w:sz w:val="28"/>
          <w:szCs w:val="28"/>
        </w:rPr>
        <w:t>Chapter 2: Tables by year - Auxiliary indicators used in the economic reading of the MIP scoreboard</w:t>
      </w:r>
      <w:bookmarkEnd w:id="25"/>
      <w:r>
        <w:rPr>
          <w:rFonts w:ascii="Times New Roman" w:hAnsi="Times New Roman" w:cs="Times New Roman"/>
          <w:b/>
          <w:noProof/>
          <w:color w:val="auto"/>
          <w:sz w:val="28"/>
          <w:szCs w:val="28"/>
        </w:rPr>
        <w:tab/>
      </w:r>
    </w:p>
    <w:p>
      <w:pPr>
        <w:pStyle w:val="Heading2"/>
        <w:rPr>
          <w:rFonts w:ascii="Times New Roman" w:hAnsi="Times New Roman" w:cs="Times New Roman"/>
          <w:noProof/>
          <w:color w:val="auto"/>
        </w:rPr>
      </w:pPr>
      <w:bookmarkStart w:id="26" w:name="_Toc54702313"/>
      <w:r>
        <w:rPr>
          <w:rFonts w:ascii="Times New Roman" w:hAnsi="Times New Roman" w:cs="Times New Roman"/>
          <w:noProof/>
          <w:color w:val="auto"/>
        </w:rPr>
        <w:t>Table 2.1: Auxiliary indicators, 2019</w:t>
      </w:r>
      <w:bookmarkEnd w:id="2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34538"/>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08440" cy="4734538"/>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27" w:name="_Toc54702314"/>
      <w:r>
        <w:rPr>
          <w:rFonts w:ascii="Times New Roman" w:hAnsi="Times New Roman" w:cs="Times New Roman"/>
          <w:noProof/>
          <w:color w:val="auto"/>
        </w:rPr>
        <w:t>Table 2.1 (continued): Auxiliary indicators, 2019</w:t>
      </w:r>
      <w:bookmarkEnd w:id="2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5067951"/>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08440" cy="5067951"/>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28" w:name="_Toc54702315"/>
      <w:r>
        <w:rPr>
          <w:rFonts w:ascii="Times New Roman" w:hAnsi="Times New Roman" w:cs="Times New Roman"/>
          <w:noProof/>
          <w:color w:val="auto"/>
        </w:rPr>
        <w:t>Table 2.2: Auxiliary indicators, 2018</w:t>
      </w:r>
      <w:bookmarkEnd w:id="2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631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08440" cy="4631520"/>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29" w:name="_Toc54702316"/>
      <w:r>
        <w:rPr>
          <w:rFonts w:ascii="Times New Roman" w:hAnsi="Times New Roman" w:cs="Times New Roman"/>
          <w:noProof/>
          <w:color w:val="auto"/>
        </w:rPr>
        <w:t>Table 2.2 (continued): Auxiliary indicators, 2018</w:t>
      </w:r>
      <w:bookmarkEnd w:id="2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05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08440" cy="4805360"/>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30" w:name="_Toc54702317"/>
      <w:r>
        <w:rPr>
          <w:rFonts w:ascii="Times New Roman" w:hAnsi="Times New Roman" w:cs="Times New Roman"/>
          <w:noProof/>
          <w:color w:val="auto"/>
        </w:rPr>
        <w:t>Table 2.3: Auxiliary indicators, 2017</w:t>
      </w:r>
      <w:bookmarkEnd w:id="3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6528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08440" cy="465287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31" w:name="_Toc54702318"/>
      <w:r>
        <w:rPr>
          <w:rFonts w:ascii="Times New Roman" w:hAnsi="Times New Roman" w:cs="Times New Roman"/>
          <w:noProof/>
          <w:color w:val="auto"/>
        </w:rPr>
        <w:t>Table 2.3 (continued): Auxiliary indicators, 2017</w:t>
      </w:r>
      <w:bookmarkEnd w:id="3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753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08440" cy="4875304"/>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32" w:name="_Toc54702319"/>
      <w:r>
        <w:rPr>
          <w:rFonts w:ascii="Times New Roman" w:hAnsi="Times New Roman" w:cs="Times New Roman"/>
          <w:noProof/>
          <w:color w:val="auto"/>
        </w:rPr>
        <w:t>Table 2.4: Auxiliary indicators, 2016</w:t>
      </w:r>
      <w:bookmarkEnd w:id="3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6528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08440" cy="465287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33" w:name="_Toc54702320"/>
      <w:r>
        <w:rPr>
          <w:rFonts w:ascii="Times New Roman" w:hAnsi="Times New Roman" w:cs="Times New Roman"/>
          <w:noProof/>
          <w:color w:val="auto"/>
        </w:rPr>
        <w:t>Table 2.4 (continued): Auxiliary indicators, 2016</w:t>
      </w:r>
      <w:bookmarkEnd w:id="3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52138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08440" cy="5213874"/>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34" w:name="_Toc54702321"/>
      <w:r>
        <w:rPr>
          <w:rFonts w:ascii="Times New Roman" w:hAnsi="Times New Roman" w:cs="Times New Roman"/>
          <w:noProof/>
          <w:color w:val="auto"/>
        </w:rPr>
        <w:t>Table 2.5: Auxiliary indicators, 2015</w:t>
      </w:r>
      <w:bookmarkEnd w:id="3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331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08440" cy="4733195"/>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35" w:name="_Toc54702322"/>
      <w:r>
        <w:rPr>
          <w:rFonts w:ascii="Times New Roman" w:hAnsi="Times New Roman" w:cs="Times New Roman"/>
          <w:noProof/>
          <w:color w:val="auto"/>
        </w:rPr>
        <w:t>Table 2.5 (continued): Auxiliary indicators, 2015</w:t>
      </w:r>
      <w:bookmarkEnd w:id="3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636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08440" cy="4863646"/>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36" w:name="_Toc54702323"/>
      <w:r>
        <w:rPr>
          <w:rFonts w:ascii="Times New Roman" w:hAnsi="Times New Roman" w:cs="Times New Roman"/>
          <w:noProof/>
          <w:color w:val="auto"/>
        </w:rPr>
        <w:t>Table 2.6: Auxiliary indicators, 2014</w:t>
      </w:r>
      <w:bookmarkEnd w:id="3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6370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108440" cy="4637092"/>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37" w:name="_Toc54702324"/>
      <w:r>
        <w:rPr>
          <w:rFonts w:ascii="Times New Roman" w:hAnsi="Times New Roman" w:cs="Times New Roman"/>
          <w:noProof/>
          <w:color w:val="auto"/>
        </w:rPr>
        <w:t>Table 2.6 (continued): Auxiliary indicators, 2014</w:t>
      </w:r>
      <w:bookmarkEnd w:id="3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90470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108440" cy="4904701"/>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38" w:name="_Toc54702325"/>
      <w:r>
        <w:rPr>
          <w:rFonts w:ascii="Times New Roman" w:hAnsi="Times New Roman" w:cs="Times New Roman"/>
          <w:noProof/>
          <w:color w:val="auto"/>
        </w:rPr>
        <w:t>Table 2.7: Auxiliary indicators, 2013</w:t>
      </w:r>
      <w:bookmarkEnd w:id="3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6584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08440" cy="4658448"/>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39" w:name="_Toc54702326"/>
      <w:r>
        <w:rPr>
          <w:rFonts w:ascii="Times New Roman" w:hAnsi="Times New Roman" w:cs="Times New Roman"/>
          <w:noProof/>
          <w:color w:val="auto"/>
        </w:rPr>
        <w:t>Table 2.7 (continued): Auxiliary indicators, 2013</w:t>
      </w:r>
      <w:bookmarkEnd w:id="3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05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08440" cy="4805360"/>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40" w:name="_Toc54702327"/>
      <w:r>
        <w:rPr>
          <w:rFonts w:ascii="Times New Roman" w:hAnsi="Times New Roman" w:cs="Times New Roman"/>
          <w:noProof/>
          <w:color w:val="auto"/>
        </w:rPr>
        <w:t>Table 2.8: Auxiliary indicators, 2012</w:t>
      </w:r>
      <w:bookmarkEnd w:id="4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6370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08440" cy="4637092"/>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41" w:name="_Toc54702328"/>
      <w:r>
        <w:rPr>
          <w:rFonts w:ascii="Times New Roman" w:hAnsi="Times New Roman" w:cs="Times New Roman"/>
          <w:noProof/>
          <w:color w:val="auto"/>
        </w:rPr>
        <w:t>Table 2.8 (continued): Auxiliary indicators, 2012</w:t>
      </w:r>
      <w:bookmarkEnd w:id="4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703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08440" cy="4770388"/>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42" w:name="_Toc54702329"/>
      <w:r>
        <w:rPr>
          <w:rFonts w:ascii="Times New Roman" w:hAnsi="Times New Roman" w:cs="Times New Roman"/>
          <w:noProof/>
          <w:color w:val="auto"/>
        </w:rPr>
        <w:t>Table 2.9: Auxiliary indicators, 2011</w:t>
      </w:r>
      <w:bookmarkEnd w:id="4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6584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08440" cy="4658448"/>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43" w:name="_Toc54702330"/>
      <w:r>
        <w:rPr>
          <w:rFonts w:ascii="Times New Roman" w:hAnsi="Times New Roman" w:cs="Times New Roman"/>
          <w:noProof/>
          <w:color w:val="auto"/>
        </w:rPr>
        <w:t>Table 2.9 (continued): Auxiliary indicators, 2011</w:t>
      </w:r>
      <w:bookmarkEnd w:id="4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9370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08440" cy="4793702"/>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44" w:name="_Toc54702331"/>
      <w:r>
        <w:rPr>
          <w:rFonts w:ascii="Times New Roman" w:hAnsi="Times New Roman" w:cs="Times New Roman"/>
          <w:noProof/>
          <w:color w:val="auto"/>
        </w:rPr>
        <w:t>Table 2.10: Auxiliary indicators, 2010</w:t>
      </w:r>
      <w:bookmarkEnd w:id="4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6742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08440" cy="4674233"/>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45" w:name="_Toc54702332"/>
      <w:r>
        <w:rPr>
          <w:rFonts w:ascii="Times New Roman" w:hAnsi="Times New Roman" w:cs="Times New Roman"/>
          <w:noProof/>
          <w:color w:val="auto"/>
        </w:rPr>
        <w:t>Table 2.10 (continued): Auxiliary indicators, 2010</w:t>
      </w:r>
      <w:bookmarkEnd w:id="4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170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08440" cy="481701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1"/>
        <w:rPr>
          <w:rFonts w:ascii="Times New Roman" w:hAnsi="Times New Roman" w:cs="Times New Roman"/>
          <w:b/>
          <w:noProof/>
          <w:color w:val="auto"/>
          <w:sz w:val="28"/>
          <w:szCs w:val="28"/>
        </w:rPr>
      </w:pPr>
      <w:bookmarkStart w:id="46" w:name="_Toc54702333"/>
      <w:r>
        <w:rPr>
          <w:rFonts w:ascii="Times New Roman" w:hAnsi="Times New Roman" w:cs="Times New Roman"/>
          <w:b/>
          <w:noProof/>
          <w:color w:val="auto"/>
          <w:sz w:val="28"/>
          <w:szCs w:val="28"/>
        </w:rPr>
        <w:t>Chapter 3: Tables by indicator</w:t>
      </w:r>
      <w:bookmarkEnd w:id="46"/>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p>
    <w:p>
      <w:pPr>
        <w:pStyle w:val="Heading2"/>
        <w:rPr>
          <w:rFonts w:ascii="Times New Roman" w:hAnsi="Times New Roman" w:cs="Times New Roman"/>
          <w:noProof/>
          <w:color w:val="auto"/>
        </w:rPr>
      </w:pPr>
      <w:bookmarkStart w:id="47" w:name="_Toc54702334"/>
      <w:r>
        <w:rPr>
          <w:rFonts w:ascii="Times New Roman" w:hAnsi="Times New Roman" w:cs="Times New Roman"/>
          <w:noProof/>
          <w:color w:val="auto"/>
        </w:rPr>
        <w:t>Table 3.1: Current account balance, % of GDP (3 year average)</w:t>
      </w:r>
      <w:bookmarkEnd w:id="47"/>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6995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08440" cy="4699556"/>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48" w:name="_Toc54702335"/>
      <w:r>
        <w:rPr>
          <w:rFonts w:ascii="Times New Roman" w:hAnsi="Times New Roman" w:cs="Times New Roman"/>
          <w:noProof/>
          <w:color w:val="auto"/>
        </w:rPr>
        <w:t>Table 3.2: Current account balance (% of GDP)</w:t>
      </w:r>
      <w:bookmarkEnd w:id="48"/>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69955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08440" cy="4699556"/>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49" w:name="_Toc54702336"/>
      <w:r>
        <w:rPr>
          <w:rFonts w:ascii="Times New Roman" w:hAnsi="Times New Roman" w:cs="Times New Roman"/>
          <w:noProof/>
          <w:color w:val="auto"/>
        </w:rPr>
        <w:t>Table 3.3: Net International Investment Position (% of GDP)</w:t>
      </w:r>
      <w:bookmarkEnd w:id="49"/>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224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08440" cy="4822445"/>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50" w:name="_Toc54702337"/>
      <w:r>
        <w:rPr>
          <w:rFonts w:ascii="Times New Roman" w:hAnsi="Times New Roman" w:cs="Times New Roman"/>
          <w:noProof/>
          <w:color w:val="auto"/>
        </w:rPr>
        <w:t>Table 3.4: Real effective exchange rate - 42 trading partners, HICP deflator (3 year % change)</w:t>
      </w:r>
      <w:bookmarkEnd w:id="50"/>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937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108440" cy="4893710"/>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51" w:name="_Toc54702338"/>
      <w:r>
        <w:rPr>
          <w:rFonts w:ascii="Times New Roman" w:hAnsi="Times New Roman" w:cs="Times New Roman"/>
          <w:noProof/>
          <w:color w:val="auto"/>
        </w:rPr>
        <w:t>Table 3.5: Real effective exchange rate - 42 trading partners, HICP deflator (1 year % change)</w:t>
      </w:r>
      <w:bookmarkEnd w:id="51"/>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7699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08440" cy="4776993"/>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52" w:name="_Toc54702339"/>
      <w:r>
        <w:rPr>
          <w:rFonts w:ascii="Times New Roman" w:hAnsi="Times New Roman" w:cs="Times New Roman"/>
          <w:noProof/>
          <w:color w:val="auto"/>
        </w:rPr>
        <w:t>Table 3.6: Export market share - % of world exports (5 year % change)</w:t>
      </w:r>
      <w:bookmarkEnd w:id="52"/>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50540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108440" cy="4505401"/>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53" w:name="_Toc54702340"/>
      <w:r>
        <w:rPr>
          <w:rFonts w:ascii="Times New Roman" w:hAnsi="Times New Roman" w:cs="Times New Roman"/>
          <w:noProof/>
          <w:color w:val="auto"/>
        </w:rPr>
        <w:t>Table 3.7: Export market share - % of world exports (1 year % change)</w:t>
      </w:r>
      <w:bookmarkEnd w:id="53"/>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53794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108440" cy="4537947"/>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54" w:name="_Toc54702341"/>
      <w:r>
        <w:rPr>
          <w:rFonts w:ascii="Times New Roman" w:hAnsi="Times New Roman" w:cs="Times New Roman"/>
          <w:noProof/>
          <w:color w:val="auto"/>
        </w:rPr>
        <w:t>Table 3.8: Nominal unit labour cost index, 2010=100 (3 year % change)</w:t>
      </w:r>
      <w:bookmarkEnd w:id="54"/>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5791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08440" cy="4757914"/>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55" w:name="_Toc54702342"/>
      <w:r>
        <w:rPr>
          <w:rFonts w:ascii="Times New Roman" w:hAnsi="Times New Roman" w:cs="Times New Roman"/>
          <w:noProof/>
          <w:color w:val="auto"/>
        </w:rPr>
        <w:t>Table 3.9: Nominal unit labour cost index, 2010=100 (1 year % change)</w:t>
      </w:r>
      <w:bookmarkEnd w:id="55"/>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5625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08440" cy="4756256"/>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56" w:name="_Toc54702343"/>
      <w:r>
        <w:rPr>
          <w:rFonts w:ascii="Times New Roman" w:hAnsi="Times New Roman" w:cs="Times New Roman"/>
          <w:noProof/>
          <w:color w:val="auto"/>
        </w:rPr>
        <w:t>Table 3.10: House price index (2015=100), deflated (1 year % change)</w:t>
      </w:r>
      <w:bookmarkEnd w:id="56"/>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6569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08440" cy="4865692"/>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57" w:name="_Toc54702344"/>
      <w:r>
        <w:rPr>
          <w:rFonts w:ascii="Times New Roman" w:hAnsi="Times New Roman" w:cs="Times New Roman"/>
          <w:noProof/>
          <w:color w:val="auto"/>
        </w:rPr>
        <w:t>Table 3.11: Private sector credit flow, consolidated (% of GDP)</w:t>
      </w:r>
      <w:bookmarkEnd w:id="57"/>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579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108440" cy="4757914"/>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58" w:name="_Toc54702345"/>
      <w:r>
        <w:rPr>
          <w:rFonts w:ascii="Times New Roman" w:hAnsi="Times New Roman" w:cs="Times New Roman"/>
          <w:noProof/>
          <w:color w:val="auto"/>
        </w:rPr>
        <w:t>Table 3.12: Private sector debt, consolidated (% of GDP)</w:t>
      </w:r>
      <w:bookmarkEnd w:id="58"/>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2360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108440" cy="4823601"/>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59" w:name="_Toc54702346"/>
      <w:r>
        <w:rPr>
          <w:rFonts w:ascii="Times New Roman" w:hAnsi="Times New Roman" w:cs="Times New Roman"/>
          <w:noProof/>
          <w:color w:val="auto"/>
        </w:rPr>
        <w:t>Table 3.13: General government gross debt (% of GDP)</w:t>
      </w:r>
      <w:bookmarkEnd w:id="59"/>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65410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08440" cy="4654103"/>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60" w:name="_Toc54702347"/>
      <w:r>
        <w:rPr>
          <w:rFonts w:ascii="Times New Roman" w:hAnsi="Times New Roman" w:cs="Times New Roman"/>
          <w:noProof/>
          <w:color w:val="auto"/>
        </w:rPr>
        <w:t>Table 3.14: Unemployment rate (3 year average)</w:t>
      </w:r>
      <w:bookmarkEnd w:id="60"/>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5625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108440" cy="4756256"/>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61" w:name="_Toc54702348"/>
      <w:r>
        <w:rPr>
          <w:rFonts w:ascii="Times New Roman" w:hAnsi="Times New Roman" w:cs="Times New Roman"/>
          <w:noProof/>
          <w:color w:val="auto"/>
        </w:rPr>
        <w:t>Table 3.15: Unemployment rate (%)</w:t>
      </w:r>
      <w:bookmarkEnd w:id="61"/>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3210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08440" cy="4732102"/>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62" w:name="_Toc54702349"/>
      <w:r>
        <w:rPr>
          <w:rFonts w:ascii="Times New Roman" w:hAnsi="Times New Roman" w:cs="Times New Roman"/>
          <w:noProof/>
          <w:color w:val="auto"/>
        </w:rPr>
        <w:t>Table 3.16: Total financial sector liabilities, non-consolidated (1 year % change)</w:t>
      </w:r>
      <w:bookmarkEnd w:id="62"/>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067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108440" cy="4806765"/>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63" w:name="_Toc54702350"/>
      <w:r>
        <w:rPr>
          <w:rFonts w:ascii="Times New Roman" w:hAnsi="Times New Roman" w:cs="Times New Roman"/>
          <w:noProof/>
          <w:color w:val="auto"/>
        </w:rPr>
        <w:t>Table 3.17: Total financial sector liabilities, non-consolidated (Millions NC)</w:t>
      </w:r>
      <w:bookmarkEnd w:id="63"/>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7699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108440" cy="4776993"/>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64" w:name="_Toc54702351"/>
      <w:r>
        <w:rPr>
          <w:rFonts w:ascii="Times New Roman" w:hAnsi="Times New Roman" w:cs="Times New Roman"/>
          <w:noProof/>
          <w:color w:val="auto"/>
        </w:rPr>
        <w:t>Table 3.18: Activity rate - % of total population aged 15-64 (3 year change in pp)</w:t>
      </w:r>
      <w:bookmarkEnd w:id="64"/>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708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08440" cy="4770820"/>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65" w:name="_Toc54702352"/>
      <w:r>
        <w:rPr>
          <w:rFonts w:ascii="Times New Roman" w:hAnsi="Times New Roman" w:cs="Times New Roman"/>
          <w:noProof/>
          <w:color w:val="auto"/>
        </w:rPr>
        <w:t>Table 3.19: Activity rate - % of total population aged 15-64</w:t>
      </w:r>
      <w:bookmarkEnd w:id="65"/>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5791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108440" cy="4757914"/>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66" w:name="_Toc54702353"/>
      <w:r>
        <w:rPr>
          <w:rFonts w:ascii="Times New Roman" w:hAnsi="Times New Roman" w:cs="Times New Roman"/>
          <w:noProof/>
          <w:color w:val="auto"/>
        </w:rPr>
        <w:t>Table 3.20: Long-term unemployment rate - % of active population aged 15-74 (3 year change in pp)</w:t>
      </w:r>
      <w:bookmarkEnd w:id="66"/>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937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108440" cy="4893710"/>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67" w:name="_Toc54702354"/>
      <w:r>
        <w:rPr>
          <w:rFonts w:ascii="Times New Roman" w:hAnsi="Times New Roman" w:cs="Times New Roman"/>
          <w:noProof/>
          <w:color w:val="auto"/>
        </w:rPr>
        <w:t>Table 3.21: Long-term unemployment rate - % of active population aged 15-74</w:t>
      </w:r>
      <w:bookmarkEnd w:id="67"/>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6116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108440" cy="4861164"/>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68" w:name="_Toc54702355"/>
      <w:r>
        <w:rPr>
          <w:rFonts w:ascii="Times New Roman" w:hAnsi="Times New Roman" w:cs="Times New Roman"/>
          <w:noProof/>
          <w:color w:val="auto"/>
        </w:rPr>
        <w:t>Table 3.22: Youth unemployment rate - % of active population aged 15-24 (3 year change in pp)</w:t>
      </w:r>
      <w:bookmarkEnd w:id="68"/>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937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108440" cy="4893710"/>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69" w:name="_Toc54702356"/>
      <w:r>
        <w:rPr>
          <w:rFonts w:ascii="Times New Roman" w:hAnsi="Times New Roman" w:cs="Times New Roman"/>
          <w:noProof/>
          <w:color w:val="auto"/>
        </w:rPr>
        <w:t>Table 3.23: Youth unemployment rate - % of active population aged 15-24</w:t>
      </w:r>
      <w:bookmarkEnd w:id="69"/>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2861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108440" cy="4828618"/>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70" w:name="_Toc54702357"/>
      <w:r>
        <w:rPr>
          <w:rFonts w:ascii="Times New Roman" w:hAnsi="Times New Roman" w:cs="Times New Roman"/>
          <w:noProof/>
          <w:color w:val="auto"/>
        </w:rPr>
        <w:t>Table 3.24: Real GDP (1 year % change)</w:t>
      </w:r>
      <w:bookmarkEnd w:id="70"/>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1571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108440" cy="4815712"/>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71" w:name="_Toc54702358"/>
      <w:r>
        <w:rPr>
          <w:rFonts w:ascii="Times New Roman" w:hAnsi="Times New Roman" w:cs="Times New Roman"/>
          <w:noProof/>
          <w:color w:val="auto"/>
        </w:rPr>
        <w:t>Table 3.25: Gross fixed capital formation (% of GDP)</w:t>
      </w:r>
      <w:bookmarkEnd w:id="71"/>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1246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108440" cy="4712462"/>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72" w:name="_Toc54702359"/>
      <w:r>
        <w:rPr>
          <w:rFonts w:ascii="Times New Roman" w:hAnsi="Times New Roman" w:cs="Times New Roman"/>
          <w:noProof/>
          <w:color w:val="auto"/>
        </w:rPr>
        <w:t>Table 3.26: Gross domestic expenditure on R&amp;D (% of GDP)</w:t>
      </w:r>
      <w:bookmarkEnd w:id="72"/>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6468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108440" cy="4646820"/>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73" w:name="_Toc54702360"/>
      <w:r>
        <w:rPr>
          <w:rFonts w:ascii="Times New Roman" w:hAnsi="Times New Roman" w:cs="Times New Roman"/>
          <w:noProof/>
          <w:color w:val="auto"/>
        </w:rPr>
        <w:t>Table 3.27: Current plus capital account - Net lending-borrowing (% of GDP)</w:t>
      </w:r>
      <w:bookmarkEnd w:id="73"/>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6799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108440" cy="4679916"/>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74" w:name="_Toc54702361"/>
      <w:r>
        <w:rPr>
          <w:rFonts w:ascii="Times New Roman" w:hAnsi="Times New Roman" w:cs="Times New Roman"/>
          <w:noProof/>
          <w:color w:val="auto"/>
        </w:rPr>
        <w:t>Table 3.28: Net international investment position excluding non-defaultable instruments (% of GDP)</w:t>
      </w:r>
      <w:bookmarkEnd w:id="74"/>
      <w:r>
        <w:rPr>
          <w:rFonts w:ascii="Times New Roman" w:hAnsi="Times New Roman" w:cs="Times New Roman"/>
          <w:noProof/>
          <w:color w:val="auto"/>
        </w:rPr>
        <w:t xml:space="preserve"> </w:t>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3941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108440" cy="4739419"/>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75" w:name="_Toc54702362"/>
      <w:r>
        <w:rPr>
          <w:rFonts w:ascii="Times New Roman" w:hAnsi="Times New Roman" w:cs="Times New Roman"/>
          <w:noProof/>
          <w:color w:val="auto"/>
        </w:rPr>
        <w:t>Table 3.29: Foreign direct investment in the reporting economy - flows (% of GDP)</w:t>
      </w:r>
      <w:bookmarkEnd w:id="75"/>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3535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108440" cy="4835352"/>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76" w:name="_Toc54702363"/>
      <w:r>
        <w:rPr>
          <w:rFonts w:ascii="Times New Roman" w:hAnsi="Times New Roman" w:cs="Times New Roman"/>
          <w:noProof/>
          <w:color w:val="auto"/>
        </w:rPr>
        <w:t>Table 3.30: Foreign direct investment in the reporting economy - stocks (% of GDP)</w:t>
      </w:r>
      <w:bookmarkEnd w:id="76"/>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2861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108440" cy="4828618"/>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77" w:name="_Toc54702364"/>
      <w:r>
        <w:rPr>
          <w:rFonts w:ascii="Times New Roman" w:hAnsi="Times New Roman" w:cs="Times New Roman"/>
          <w:noProof/>
          <w:color w:val="auto"/>
        </w:rPr>
        <w:t>Table 3.31: Net trade balance of energy products (% of GDP)</w:t>
      </w:r>
      <w:bookmarkEnd w:id="77"/>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54580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108440" cy="4545802"/>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78" w:name="_Toc54702365"/>
      <w:r>
        <w:rPr>
          <w:rFonts w:ascii="Times New Roman" w:hAnsi="Times New Roman" w:cs="Times New Roman"/>
          <w:noProof/>
          <w:color w:val="auto"/>
        </w:rPr>
        <w:t>Table 3.32: Real effective exchange rate - euro area trading partners (3 year % change)</w:t>
      </w:r>
      <w:bookmarkEnd w:id="78"/>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3827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108440" cy="4738274"/>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79" w:name="_Toc54702366"/>
      <w:r>
        <w:rPr>
          <w:rFonts w:ascii="Times New Roman" w:hAnsi="Times New Roman" w:cs="Times New Roman"/>
          <w:noProof/>
          <w:color w:val="auto"/>
        </w:rPr>
        <w:t>Table 3.33: Export performance against advanced economies (5 year % change)</w:t>
      </w:r>
      <w:bookmarkEnd w:id="79"/>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52504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108440" cy="4525041"/>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80" w:name="_Toc54702367"/>
      <w:r>
        <w:rPr>
          <w:rFonts w:ascii="Times New Roman" w:hAnsi="Times New Roman" w:cs="Times New Roman"/>
          <w:noProof/>
          <w:color w:val="auto"/>
        </w:rPr>
        <w:t>Table 3.34: Terms of trade (5 year % change)</w:t>
      </w:r>
      <w:bookmarkEnd w:id="80"/>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69338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108440" cy="4693383"/>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81" w:name="_Toc54702368"/>
      <w:r>
        <w:rPr>
          <w:rFonts w:ascii="Times New Roman" w:hAnsi="Times New Roman" w:cs="Times New Roman"/>
          <w:noProof/>
          <w:color w:val="auto"/>
        </w:rPr>
        <w:t>Table 3.35: Export market share, volume (1 year % change)</w:t>
      </w:r>
      <w:bookmarkEnd w:id="81"/>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3827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108440" cy="4738274"/>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82" w:name="_Toc54702369"/>
      <w:r>
        <w:rPr>
          <w:rFonts w:ascii="Times New Roman" w:hAnsi="Times New Roman" w:cs="Times New Roman"/>
          <w:noProof/>
          <w:color w:val="auto"/>
        </w:rPr>
        <w:t>Table 3.36: Real labour productivity (1 year % change)</w:t>
      </w:r>
      <w:bookmarkEnd w:id="82"/>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5791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108440" cy="4757914"/>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83" w:name="_Toc54702370"/>
      <w:r>
        <w:rPr>
          <w:rFonts w:ascii="Times New Roman" w:hAnsi="Times New Roman" w:cs="Times New Roman"/>
          <w:noProof/>
          <w:color w:val="auto"/>
        </w:rPr>
        <w:t>Table 3.37: Gross non-performing loans, domestic and foreign entities (% of gross loans)</w:t>
      </w:r>
      <w:bookmarkEnd w:id="83"/>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8992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108440" cy="4789928"/>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84" w:name="_Toc54702371"/>
      <w:r>
        <w:rPr>
          <w:rFonts w:ascii="Times New Roman" w:hAnsi="Times New Roman" w:cs="Times New Roman"/>
          <w:noProof/>
          <w:color w:val="auto"/>
        </w:rPr>
        <w:t>Table 3.38: Unit labour cost performance relative to EA (10 year % change)</w:t>
      </w:r>
      <w:bookmarkEnd w:id="84"/>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64119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108440" cy="4641197"/>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85" w:name="_Toc54702372"/>
      <w:r>
        <w:rPr>
          <w:rFonts w:ascii="Times New Roman" w:hAnsi="Times New Roman" w:cs="Times New Roman"/>
          <w:noProof/>
          <w:color w:val="auto"/>
        </w:rPr>
        <w:t>Table 3.39: House price index (2015=100) - nominal (3 year % change)</w:t>
      </w:r>
      <w:bookmarkEnd w:id="85"/>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3210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108440" cy="4732102"/>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86" w:name="_Toc54702373"/>
      <w:r>
        <w:rPr>
          <w:rFonts w:ascii="Times New Roman" w:hAnsi="Times New Roman" w:cs="Times New Roman"/>
          <w:noProof/>
          <w:color w:val="auto"/>
        </w:rPr>
        <w:t>Table 3.40: Residential construction (% of GDP)</w:t>
      </w:r>
      <w:bookmarkEnd w:id="86"/>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3941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108440" cy="4739419"/>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87" w:name="_Toc54702374"/>
      <w:r>
        <w:rPr>
          <w:rFonts w:ascii="Times New Roman" w:hAnsi="Times New Roman" w:cs="Times New Roman"/>
          <w:noProof/>
          <w:color w:val="auto"/>
        </w:rPr>
        <w:t>Table 3.41: Household debt, consolidated (incl. Non-profit institutions serving households, % of GDP)</w:t>
      </w:r>
      <w:bookmarkEnd w:id="87"/>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4500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108440" cy="4745008"/>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88" w:name="_Toc54702375"/>
      <w:r>
        <w:rPr>
          <w:rFonts w:ascii="Times New Roman" w:hAnsi="Times New Roman" w:cs="Times New Roman"/>
          <w:noProof/>
          <w:color w:val="auto"/>
        </w:rPr>
        <w:t>Table 3.42: Consolidated banking leverage, domestic and foreign entities (asset-to-equity multiple)</w:t>
      </w:r>
      <w:bookmarkEnd w:id="88"/>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58339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108440" cy="4583399"/>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89" w:name="_Toc54702376"/>
      <w:r>
        <w:rPr>
          <w:rFonts w:ascii="Times New Roman" w:hAnsi="Times New Roman" w:cs="Times New Roman"/>
          <w:noProof/>
          <w:color w:val="auto"/>
        </w:rPr>
        <w:t>Table 3.43: Employment (1 year % change)</w:t>
      </w:r>
      <w:bookmarkEnd w:id="89"/>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5791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108440" cy="4757914"/>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90" w:name="_Toc54702377"/>
      <w:r>
        <w:rPr>
          <w:rFonts w:ascii="Times New Roman" w:hAnsi="Times New Roman" w:cs="Times New Roman"/>
          <w:noProof/>
          <w:color w:val="auto"/>
        </w:rPr>
        <w:t>Table 3.44: Young people neither in employment nor in education and training - % of total population aged 15-24</w:t>
      </w:r>
      <w:bookmarkEnd w:id="90"/>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95150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108440" cy="4951508"/>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91" w:name="_Toc54702378"/>
      <w:r>
        <w:rPr>
          <w:rFonts w:ascii="Times New Roman" w:hAnsi="Times New Roman" w:cs="Times New Roman"/>
          <w:noProof/>
          <w:color w:val="auto"/>
        </w:rPr>
        <w:t>Table 3.45: People at risk of poverty or social exclusion - % of total population</w:t>
      </w:r>
      <w:bookmarkEnd w:id="91"/>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5008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108440" cy="5008800"/>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92" w:name="_Toc54702379"/>
      <w:r>
        <w:rPr>
          <w:rFonts w:ascii="Times New Roman" w:hAnsi="Times New Roman" w:cs="Times New Roman"/>
          <w:noProof/>
          <w:color w:val="auto"/>
        </w:rPr>
        <w:t>Table 3.46: People at risk of poverty after social transfers - % of total population</w:t>
      </w:r>
      <w:bookmarkEnd w:id="92"/>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6408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108440" cy="4764087"/>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93" w:name="_Toc54702380"/>
      <w:r>
        <w:rPr>
          <w:rFonts w:ascii="Times New Roman" w:hAnsi="Times New Roman" w:cs="Times New Roman"/>
          <w:noProof/>
          <w:color w:val="auto"/>
        </w:rPr>
        <w:t>Table 3.47: Severely materially deprived people - % of total population</w:t>
      </w:r>
      <w:bookmarkEnd w:id="93"/>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224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108440" cy="4822445"/>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94" w:name="_Toc54702381"/>
      <w:r>
        <w:rPr>
          <w:rFonts w:ascii="Times New Roman" w:hAnsi="Times New Roman" w:cs="Times New Roman"/>
          <w:noProof/>
          <w:color w:val="auto"/>
        </w:rPr>
        <w:t>Table 3.48: People living in households with very low work intensity - % of total population aged 0-59</w:t>
      </w:r>
      <w:bookmarkEnd w:id="94"/>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53794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108440" cy="453794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1"/>
        <w:rPr>
          <w:rFonts w:ascii="Times New Roman" w:hAnsi="Times New Roman" w:cs="Times New Roman"/>
          <w:b/>
          <w:noProof/>
          <w:color w:val="auto"/>
          <w:sz w:val="28"/>
          <w:szCs w:val="28"/>
        </w:rPr>
      </w:pPr>
      <w:bookmarkStart w:id="95" w:name="_Toc54702382"/>
      <w:r>
        <w:rPr>
          <w:rFonts w:ascii="Times New Roman" w:hAnsi="Times New Roman" w:cs="Times New Roman"/>
          <w:b/>
          <w:noProof/>
          <w:color w:val="auto"/>
          <w:sz w:val="28"/>
          <w:szCs w:val="28"/>
        </w:rPr>
        <w:t>Chapter 4: Tables by Member States and the UK - Headline indicators</w:t>
      </w:r>
      <w:bookmarkEnd w:id="95"/>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p>
    <w:p>
      <w:pPr>
        <w:pStyle w:val="Heading2"/>
        <w:rPr>
          <w:rFonts w:ascii="Times New Roman" w:hAnsi="Times New Roman" w:cs="Times New Roman"/>
          <w:noProof/>
          <w:color w:val="auto"/>
        </w:rPr>
      </w:pPr>
      <w:bookmarkStart w:id="96" w:name="_Toc54702383"/>
      <w:r>
        <w:rPr>
          <w:rFonts w:ascii="Times New Roman" w:hAnsi="Times New Roman" w:cs="Times New Roman"/>
          <w:noProof/>
          <w:color w:val="auto"/>
        </w:rPr>
        <w:t>Table 4.1: The MIP scoreboard for Belgium</w:t>
      </w:r>
      <w:bookmarkEnd w:id="96"/>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09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108440" cy="3780990"/>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97" w:name="_Toc54702384"/>
      <w:r>
        <w:rPr>
          <w:rFonts w:ascii="Times New Roman" w:hAnsi="Times New Roman" w:cs="Times New Roman"/>
          <w:noProof/>
          <w:color w:val="auto"/>
        </w:rPr>
        <w:t>Table 4.2: The MIP scoreboard for Bulgaria</w:t>
      </w:r>
      <w:bookmarkEnd w:id="97"/>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2619"/>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108440" cy="378261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98" w:name="_Toc54702385"/>
      <w:r>
        <w:rPr>
          <w:rFonts w:ascii="Times New Roman" w:hAnsi="Times New Roman" w:cs="Times New Roman"/>
          <w:noProof/>
          <w:color w:val="auto"/>
        </w:rPr>
        <w:t>Table 4.3: The MIP scoreboard for Czech Republic</w:t>
      </w:r>
      <w:bookmarkEnd w:id="98"/>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261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108440" cy="378261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99" w:name="_Toc54702386"/>
      <w:r>
        <w:rPr>
          <w:rFonts w:ascii="Times New Roman" w:hAnsi="Times New Roman" w:cs="Times New Roman"/>
          <w:noProof/>
          <w:color w:val="auto"/>
        </w:rPr>
        <w:t>Table 4.4: The MIP scoreboard for Denmark</w:t>
      </w:r>
      <w:bookmarkEnd w:id="99"/>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261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108440" cy="378261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00" w:name="_Toc54702387"/>
      <w:r>
        <w:rPr>
          <w:rFonts w:ascii="Times New Roman" w:hAnsi="Times New Roman" w:cs="Times New Roman"/>
          <w:noProof/>
          <w:color w:val="auto"/>
        </w:rPr>
        <w:t>Table 4.5: The MIP scoreboard for Germany</w:t>
      </w:r>
      <w:bookmarkEnd w:id="100"/>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261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108440" cy="378261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01" w:name="_Toc54702388"/>
      <w:r>
        <w:rPr>
          <w:rFonts w:ascii="Times New Roman" w:hAnsi="Times New Roman" w:cs="Times New Roman"/>
          <w:noProof/>
          <w:color w:val="auto"/>
        </w:rPr>
        <w:t>Table 4.6: The MIP scoreboard for Estonia</w:t>
      </w:r>
      <w:bookmarkEnd w:id="101"/>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261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108440" cy="378261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02" w:name="_Toc54702389"/>
      <w:r>
        <w:rPr>
          <w:rFonts w:ascii="Times New Roman" w:hAnsi="Times New Roman" w:cs="Times New Roman"/>
          <w:noProof/>
          <w:color w:val="auto"/>
        </w:rPr>
        <w:t>Table 4.7: The MIP scoreboard for Ireland</w:t>
      </w:r>
      <w:bookmarkEnd w:id="102"/>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099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108440" cy="3780990"/>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03" w:name="_Toc54702390"/>
      <w:r>
        <w:rPr>
          <w:rFonts w:ascii="Times New Roman" w:hAnsi="Times New Roman" w:cs="Times New Roman"/>
          <w:noProof/>
          <w:color w:val="auto"/>
        </w:rPr>
        <w:t>Table 4.8: The MIP scoreboard for Greece</w:t>
      </w:r>
      <w:bookmarkEnd w:id="103"/>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261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108440" cy="378261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04" w:name="_Toc54702391"/>
      <w:r>
        <w:rPr>
          <w:rFonts w:ascii="Times New Roman" w:hAnsi="Times New Roman" w:cs="Times New Roman"/>
          <w:noProof/>
          <w:color w:val="auto"/>
        </w:rPr>
        <w:t>Table 4.9: The MIP scoreboard for Spain</w:t>
      </w:r>
      <w:bookmarkEnd w:id="104"/>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09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108440" cy="3780990"/>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05" w:name="_Toc54702392"/>
      <w:r>
        <w:rPr>
          <w:rFonts w:ascii="Times New Roman" w:hAnsi="Times New Roman" w:cs="Times New Roman"/>
          <w:noProof/>
          <w:color w:val="auto"/>
        </w:rPr>
        <w:t>Table 4.10: The MIP scoreboard for France</w:t>
      </w:r>
      <w:bookmarkEnd w:id="105"/>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261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108440" cy="378261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06" w:name="_Toc54702393"/>
      <w:r>
        <w:rPr>
          <w:rFonts w:ascii="Times New Roman" w:hAnsi="Times New Roman" w:cs="Times New Roman"/>
          <w:noProof/>
          <w:color w:val="auto"/>
        </w:rPr>
        <w:t>Table 4.11: The MIP scoreboard for Croatia</w:t>
      </w:r>
      <w:bookmarkEnd w:id="106"/>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261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108440" cy="378261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07" w:name="_Toc54702394"/>
      <w:r>
        <w:rPr>
          <w:rFonts w:ascii="Times New Roman" w:hAnsi="Times New Roman" w:cs="Times New Roman"/>
          <w:noProof/>
          <w:color w:val="auto"/>
        </w:rPr>
        <w:t>Table 4.12: The MIP scoreboard for Italy</w:t>
      </w:r>
      <w:bookmarkEnd w:id="107"/>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261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08440" cy="378261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08" w:name="_Toc54702395"/>
      <w:r>
        <w:rPr>
          <w:rFonts w:ascii="Times New Roman" w:hAnsi="Times New Roman" w:cs="Times New Roman"/>
          <w:noProof/>
          <w:color w:val="auto"/>
        </w:rPr>
        <w:t>Table 4.13: The MIP scoreboard for Cyprus</w:t>
      </w:r>
      <w:bookmarkEnd w:id="108"/>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261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108440" cy="378261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09" w:name="_Toc54702396"/>
      <w:r>
        <w:rPr>
          <w:rFonts w:ascii="Times New Roman" w:hAnsi="Times New Roman" w:cs="Times New Roman"/>
          <w:noProof/>
          <w:color w:val="auto"/>
        </w:rPr>
        <w:t>Table 4.14: The MIP scoreboard for Latvia</w:t>
      </w:r>
      <w:bookmarkEnd w:id="109"/>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099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108440" cy="3780990"/>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10" w:name="_Toc54702397"/>
      <w:r>
        <w:rPr>
          <w:rFonts w:ascii="Times New Roman" w:hAnsi="Times New Roman" w:cs="Times New Roman"/>
          <w:noProof/>
          <w:color w:val="auto"/>
        </w:rPr>
        <w:t>Table 4.15: The MIP scoreboard for Lithuania</w:t>
      </w:r>
      <w:bookmarkEnd w:id="110"/>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261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108440" cy="378261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11" w:name="_Toc54702398"/>
      <w:r>
        <w:rPr>
          <w:rFonts w:ascii="Times New Roman" w:hAnsi="Times New Roman" w:cs="Times New Roman"/>
          <w:noProof/>
          <w:color w:val="auto"/>
        </w:rPr>
        <w:t>Table 4.16: The MIP scoreboard for Luxembourg</w:t>
      </w:r>
      <w:bookmarkEnd w:id="111"/>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261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108440" cy="378261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12" w:name="_Toc54702399"/>
      <w:r>
        <w:rPr>
          <w:rFonts w:ascii="Times New Roman" w:hAnsi="Times New Roman" w:cs="Times New Roman"/>
          <w:noProof/>
          <w:color w:val="auto"/>
        </w:rPr>
        <w:t>Table 4.17: The MIP scoreboard for Hungary</w:t>
      </w:r>
      <w:bookmarkEnd w:id="112"/>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09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108440" cy="3780990"/>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13" w:name="_Toc54702400"/>
      <w:r>
        <w:rPr>
          <w:rFonts w:ascii="Times New Roman" w:hAnsi="Times New Roman" w:cs="Times New Roman"/>
          <w:noProof/>
          <w:color w:val="auto"/>
        </w:rPr>
        <w:t>Table 4.18: The MIP scoreboard for Malta</w:t>
      </w:r>
      <w:bookmarkEnd w:id="113"/>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261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108440" cy="378261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14" w:name="_Toc54702401"/>
      <w:r>
        <w:rPr>
          <w:rFonts w:ascii="Times New Roman" w:hAnsi="Times New Roman" w:cs="Times New Roman"/>
          <w:noProof/>
          <w:color w:val="auto"/>
        </w:rPr>
        <w:t>Table 4.19: The MIP scoreboard for Netherlands</w:t>
      </w:r>
      <w:bookmarkEnd w:id="114"/>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099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108440" cy="3780990"/>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15" w:name="_Toc54702402"/>
      <w:r>
        <w:rPr>
          <w:rFonts w:ascii="Times New Roman" w:hAnsi="Times New Roman" w:cs="Times New Roman"/>
          <w:noProof/>
          <w:color w:val="auto"/>
        </w:rPr>
        <w:t>Table 4.20: The MIP scoreboard for Austria</w:t>
      </w:r>
      <w:bookmarkEnd w:id="115"/>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099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08440" cy="3780990"/>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16" w:name="_Toc54702403"/>
      <w:r>
        <w:rPr>
          <w:rFonts w:ascii="Times New Roman" w:hAnsi="Times New Roman" w:cs="Times New Roman"/>
          <w:noProof/>
          <w:color w:val="auto"/>
        </w:rPr>
        <w:t>Table 4.21: The MIP scoreboard for Poland</w:t>
      </w:r>
      <w:bookmarkEnd w:id="116"/>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099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108440" cy="3780990"/>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17" w:name="_Toc54702404"/>
      <w:r>
        <w:rPr>
          <w:rFonts w:ascii="Times New Roman" w:hAnsi="Times New Roman" w:cs="Times New Roman"/>
          <w:noProof/>
          <w:color w:val="auto"/>
        </w:rPr>
        <w:t>Table 4.22: The MIP scoreboard for Portugal</w:t>
      </w:r>
      <w:bookmarkEnd w:id="117"/>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099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108440" cy="3780990"/>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18" w:name="_Toc54702405"/>
      <w:r>
        <w:rPr>
          <w:rFonts w:ascii="Times New Roman" w:hAnsi="Times New Roman" w:cs="Times New Roman"/>
          <w:noProof/>
          <w:color w:val="auto"/>
        </w:rPr>
        <w:t>Table 4.23: The MIP scoreboard for Romania</w:t>
      </w:r>
      <w:bookmarkEnd w:id="118"/>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099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108440" cy="3780990"/>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19" w:name="_Toc54702406"/>
      <w:r>
        <w:rPr>
          <w:rFonts w:ascii="Times New Roman" w:hAnsi="Times New Roman" w:cs="Times New Roman"/>
          <w:noProof/>
          <w:color w:val="auto"/>
        </w:rPr>
        <w:t>Table 4.24: The MIP scoreboard for Slovenia</w:t>
      </w:r>
      <w:bookmarkEnd w:id="119"/>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2619"/>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108440" cy="378261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20" w:name="_Toc54702407"/>
      <w:r>
        <w:rPr>
          <w:rFonts w:ascii="Times New Roman" w:hAnsi="Times New Roman" w:cs="Times New Roman"/>
          <w:noProof/>
          <w:color w:val="auto"/>
        </w:rPr>
        <w:t>Table 4.25: The MIP scoreboard for Slovakia</w:t>
      </w:r>
      <w:bookmarkEnd w:id="120"/>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2619"/>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108440" cy="378261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21" w:name="_Toc54702408"/>
      <w:r>
        <w:rPr>
          <w:rFonts w:ascii="Times New Roman" w:hAnsi="Times New Roman" w:cs="Times New Roman"/>
          <w:noProof/>
          <w:color w:val="auto"/>
        </w:rPr>
        <w:t>Table 4.26: The MIP scoreboard for Finland</w:t>
      </w:r>
      <w:bookmarkEnd w:id="121"/>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099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108440" cy="3780990"/>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22" w:name="_Toc54702409"/>
      <w:r>
        <w:rPr>
          <w:rFonts w:ascii="Times New Roman" w:hAnsi="Times New Roman" w:cs="Times New Roman"/>
          <w:noProof/>
          <w:color w:val="auto"/>
        </w:rPr>
        <w:t>Table 4.27: The MIP scoreboard for Sweden</w:t>
      </w:r>
      <w:bookmarkEnd w:id="122"/>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8261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108440" cy="378261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23" w:name="_Toc54702410"/>
      <w:r>
        <w:rPr>
          <w:rFonts w:ascii="Times New Roman" w:hAnsi="Times New Roman" w:cs="Times New Roman"/>
          <w:noProof/>
          <w:color w:val="auto"/>
        </w:rPr>
        <w:t>Table 4.28: The MIP scoreboard for the United Kingdom</w:t>
      </w:r>
      <w:bookmarkEnd w:id="123"/>
    </w:p>
    <w:p>
      <w:pPr>
        <w:rPr>
          <w:noProof/>
        </w:rPr>
      </w:pPr>
      <w:r>
        <w:rPr>
          <w:noProof/>
          <w:lang w:eastAsia="en-GB"/>
        </w:rPr>
        <w:drawing>
          <wp:inline distT="0" distB="0" distL="0" distR="0">
            <wp:extent cx="9108440" cy="37545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108440" cy="3754538"/>
                    </a:xfrm>
                    <a:prstGeom prst="rect">
                      <a:avLst/>
                    </a:prstGeom>
                    <a:noFill/>
                    <a:ln>
                      <a:noFill/>
                    </a:ln>
                  </pic:spPr>
                </pic:pic>
              </a:graphicData>
            </a:graphic>
          </wp:inline>
        </w:drawing>
      </w:r>
    </w:p>
    <w:p>
      <w:pPr>
        <w:pStyle w:val="Heading1"/>
        <w:rPr>
          <w:rFonts w:ascii="Times New Roman" w:hAnsi="Times New Roman" w:cs="Times New Roman"/>
          <w:b/>
          <w:noProof/>
          <w:color w:val="auto"/>
          <w:sz w:val="28"/>
          <w:szCs w:val="28"/>
        </w:rPr>
      </w:pPr>
      <w:bookmarkStart w:id="124" w:name="_Toc54702411"/>
      <w:r>
        <w:rPr>
          <w:rFonts w:ascii="Times New Roman" w:hAnsi="Times New Roman" w:cs="Times New Roman"/>
          <w:b/>
          <w:noProof/>
          <w:color w:val="auto"/>
          <w:sz w:val="28"/>
          <w:szCs w:val="28"/>
        </w:rPr>
        <w:t>Chapter 5: Tables by Member States and the UK - Auxiliary indicators used in the economic reading of the MIP scoreboard</w:t>
      </w:r>
      <w:bookmarkEnd w:id="124"/>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p>
    <w:p>
      <w:pPr>
        <w:pStyle w:val="Heading2"/>
        <w:rPr>
          <w:rFonts w:ascii="Times New Roman" w:hAnsi="Times New Roman" w:cs="Times New Roman"/>
          <w:noProof/>
          <w:color w:val="auto"/>
        </w:rPr>
      </w:pPr>
      <w:bookmarkStart w:id="125" w:name="_Toc54702412"/>
      <w:r>
        <w:rPr>
          <w:rFonts w:ascii="Times New Roman" w:hAnsi="Times New Roman" w:cs="Times New Roman"/>
          <w:noProof/>
          <w:color w:val="auto"/>
        </w:rPr>
        <w:t>Table 5.1: Auxiliary indicators for Belgium</w:t>
      </w:r>
      <w:bookmarkEnd w:id="125"/>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30689"/>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108440" cy="4730689"/>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26" w:name="_Toc54702413"/>
      <w:r>
        <w:rPr>
          <w:rFonts w:ascii="Times New Roman" w:hAnsi="Times New Roman" w:cs="Times New Roman"/>
          <w:noProof/>
          <w:color w:val="auto"/>
        </w:rPr>
        <w:t>Table 5.1 (continued): Auxiliary indicators for Belgium</w:t>
      </w:r>
      <w:bookmarkEnd w:id="12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7572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108440" cy="3775721"/>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27" w:name="_Toc54702414"/>
      <w:r>
        <w:rPr>
          <w:rFonts w:ascii="Times New Roman" w:hAnsi="Times New Roman" w:cs="Times New Roman"/>
          <w:noProof/>
          <w:color w:val="auto"/>
        </w:rPr>
        <w:t>Table 5.2: Auxiliary indicators for Bulgaria</w:t>
      </w:r>
      <w:bookmarkEnd w:id="127"/>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7206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108440" cy="4772061"/>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28" w:name="_Toc54702415"/>
      <w:r>
        <w:rPr>
          <w:rFonts w:ascii="Times New Roman" w:hAnsi="Times New Roman" w:cs="Times New Roman"/>
          <w:noProof/>
          <w:color w:val="auto"/>
        </w:rPr>
        <w:t>Table 5.2 (continued): Auxiliary indicators for Bulgaria</w:t>
      </w:r>
      <w:bookmarkEnd w:id="12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6621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108440" cy="3666218"/>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29" w:name="_Toc54702416"/>
      <w:r>
        <w:rPr>
          <w:rFonts w:ascii="Times New Roman" w:hAnsi="Times New Roman" w:cs="Times New Roman"/>
          <w:noProof/>
          <w:color w:val="auto"/>
        </w:rPr>
        <w:t>Table 5.3: Auxiliary indicators for Czech Republic</w:t>
      </w:r>
      <w:bookmarkEnd w:id="129"/>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84816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108440" cy="4848164"/>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30" w:name="_Toc54702417"/>
      <w:r>
        <w:rPr>
          <w:rFonts w:ascii="Times New Roman" w:hAnsi="Times New Roman" w:cs="Times New Roman"/>
          <w:noProof/>
          <w:color w:val="auto"/>
        </w:rPr>
        <w:t>Table 5.3 (continued): Auxiliary indicators for Czech Republic</w:t>
      </w:r>
      <w:bookmarkEnd w:id="13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2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108440" cy="361222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31" w:name="_Toc54702418"/>
      <w:r>
        <w:rPr>
          <w:rFonts w:ascii="Times New Roman" w:hAnsi="Times New Roman" w:cs="Times New Roman"/>
          <w:noProof/>
          <w:color w:val="auto"/>
        </w:rPr>
        <w:t>Table 5.4: Auxiliary indicators for Denmark</w:t>
      </w:r>
      <w:bookmarkEnd w:id="131"/>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1332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108440" cy="4713323"/>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32" w:name="_Toc54702419"/>
      <w:r>
        <w:rPr>
          <w:rFonts w:ascii="Times New Roman" w:hAnsi="Times New Roman" w:cs="Times New Roman"/>
          <w:noProof/>
          <w:color w:val="auto"/>
        </w:rPr>
        <w:t>Table 5.4 (continued): Auxiliary indicators for Denmark</w:t>
      </w:r>
      <w:bookmarkEnd w:id="13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108440" cy="361222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33" w:name="_Toc54702420"/>
      <w:r>
        <w:rPr>
          <w:rFonts w:ascii="Times New Roman" w:hAnsi="Times New Roman" w:cs="Times New Roman"/>
          <w:noProof/>
          <w:color w:val="auto"/>
        </w:rPr>
        <w:t>Table 5.5: Auxiliary indicators for Germany</w:t>
      </w:r>
      <w:bookmarkEnd w:id="133"/>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7254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108440" cy="4772547"/>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34" w:name="_Toc54702421"/>
      <w:r>
        <w:rPr>
          <w:rFonts w:ascii="Times New Roman" w:hAnsi="Times New Roman" w:cs="Times New Roman"/>
          <w:noProof/>
          <w:color w:val="auto"/>
        </w:rPr>
        <w:t>Table 5.5 (continued): Auxiliary indicators for Germany</w:t>
      </w:r>
      <w:bookmarkEnd w:id="13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2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108440" cy="361222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35" w:name="_Toc54702422"/>
      <w:r>
        <w:rPr>
          <w:rFonts w:ascii="Times New Roman" w:hAnsi="Times New Roman" w:cs="Times New Roman"/>
          <w:noProof/>
          <w:color w:val="auto"/>
        </w:rPr>
        <w:t>Table 5.6: Auxiliary indicators for Estonia</w:t>
      </w:r>
      <w:bookmarkEnd w:id="135"/>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18923"/>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108440" cy="4718923"/>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36" w:name="_Toc54702423"/>
      <w:r>
        <w:rPr>
          <w:rFonts w:ascii="Times New Roman" w:hAnsi="Times New Roman" w:cs="Times New Roman"/>
          <w:noProof/>
          <w:color w:val="auto"/>
        </w:rPr>
        <w:t>Table 5.6 (continued): Auxiliary indicators for Estonia</w:t>
      </w:r>
      <w:bookmarkEnd w:id="13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3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108440" cy="3612236"/>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37" w:name="_Toc54702424"/>
      <w:r>
        <w:rPr>
          <w:rFonts w:ascii="Times New Roman" w:hAnsi="Times New Roman" w:cs="Times New Roman"/>
          <w:noProof/>
          <w:color w:val="auto"/>
        </w:rPr>
        <w:t>Table 5.7: Auxiliary indicators for Ireland</w:t>
      </w:r>
      <w:bookmarkEnd w:id="137"/>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4190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108440" cy="4741904"/>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38" w:name="_Toc54702425"/>
      <w:r>
        <w:rPr>
          <w:rFonts w:ascii="Times New Roman" w:hAnsi="Times New Roman" w:cs="Times New Roman"/>
          <w:noProof/>
          <w:color w:val="auto"/>
        </w:rPr>
        <w:t>Table 5.7 (continued): Auxiliary indicators for Ireland</w:t>
      </w:r>
      <w:bookmarkEnd w:id="13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744581"/>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108440" cy="3744581"/>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39" w:name="_Toc54702426"/>
      <w:r>
        <w:rPr>
          <w:rFonts w:ascii="Times New Roman" w:hAnsi="Times New Roman" w:cs="Times New Roman"/>
          <w:noProof/>
          <w:color w:val="auto"/>
        </w:rPr>
        <w:t>Table 5.8: Auxiliary indicators for Greece</w:t>
      </w:r>
      <w:bookmarkEnd w:id="139"/>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4856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108440" cy="4748565"/>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40" w:name="_Toc54702427"/>
      <w:r>
        <w:rPr>
          <w:rFonts w:ascii="Times New Roman" w:hAnsi="Times New Roman" w:cs="Times New Roman"/>
          <w:noProof/>
          <w:color w:val="auto"/>
        </w:rPr>
        <w:t>Table 5.8 (continued): Auxiliary indicators for Greece</w:t>
      </w:r>
      <w:bookmarkEnd w:id="14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27"/>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108440" cy="361222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41" w:name="_Toc54702428"/>
      <w:r>
        <w:rPr>
          <w:rFonts w:ascii="Times New Roman" w:hAnsi="Times New Roman" w:cs="Times New Roman"/>
          <w:noProof/>
          <w:color w:val="auto"/>
        </w:rPr>
        <w:t>Table 5.9: Auxiliary indicators for Spain</w:t>
      </w:r>
      <w:bookmarkEnd w:id="141"/>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3681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108440" cy="4736818"/>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42" w:name="_Toc54702429"/>
      <w:r>
        <w:rPr>
          <w:rFonts w:ascii="Times New Roman" w:hAnsi="Times New Roman" w:cs="Times New Roman"/>
          <w:noProof/>
          <w:color w:val="auto"/>
        </w:rPr>
        <w:t>Table 5.9 (continued): Auxiliary indicators for Spain</w:t>
      </w:r>
      <w:bookmarkEnd w:id="14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3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108440" cy="3612236"/>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43" w:name="_Toc54702430"/>
      <w:r>
        <w:rPr>
          <w:rFonts w:ascii="Times New Roman" w:hAnsi="Times New Roman" w:cs="Times New Roman"/>
          <w:noProof/>
          <w:color w:val="auto"/>
        </w:rPr>
        <w:t>Table 5.10: Auxiliary indicators for France</w:t>
      </w:r>
      <w:bookmarkEnd w:id="143"/>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4856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108440" cy="4748565"/>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44" w:name="_Toc54702431"/>
      <w:r>
        <w:rPr>
          <w:rFonts w:ascii="Times New Roman" w:hAnsi="Times New Roman" w:cs="Times New Roman"/>
          <w:noProof/>
          <w:color w:val="auto"/>
        </w:rPr>
        <w:t>Table 5.10 (continued): Auxiliary indicators for France</w:t>
      </w:r>
      <w:bookmarkEnd w:id="14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2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108440" cy="361222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45" w:name="_Toc54702432"/>
      <w:r>
        <w:rPr>
          <w:rFonts w:ascii="Times New Roman" w:hAnsi="Times New Roman" w:cs="Times New Roman"/>
          <w:noProof/>
          <w:color w:val="auto"/>
        </w:rPr>
        <w:t>Table 5.11: Auxiliary indicators for Croatia</w:t>
      </w:r>
      <w:bookmarkEnd w:id="145"/>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6031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108440" cy="4760313"/>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46" w:name="_Toc54702433"/>
      <w:r>
        <w:rPr>
          <w:rFonts w:ascii="Times New Roman" w:hAnsi="Times New Roman" w:cs="Times New Roman"/>
          <w:noProof/>
          <w:color w:val="auto"/>
        </w:rPr>
        <w:t>Table 5.11 (continued): Auxiliary indicators for Croatia</w:t>
      </w:r>
      <w:bookmarkEnd w:id="14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2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108440" cy="361222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47" w:name="_Toc54702434"/>
      <w:r>
        <w:rPr>
          <w:rFonts w:ascii="Times New Roman" w:hAnsi="Times New Roman" w:cs="Times New Roman"/>
          <w:noProof/>
          <w:color w:val="auto"/>
        </w:rPr>
        <w:t>Table 5.12: Auxiliary indicators for Italy</w:t>
      </w:r>
      <w:bookmarkEnd w:id="147"/>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5722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108440" cy="4757226"/>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48" w:name="_Toc54702435"/>
      <w:r>
        <w:rPr>
          <w:rFonts w:ascii="Times New Roman" w:hAnsi="Times New Roman" w:cs="Times New Roman"/>
          <w:noProof/>
          <w:color w:val="auto"/>
        </w:rPr>
        <w:t>Table 5.12 (continued): Auxiliary indicators for Italy</w:t>
      </w:r>
      <w:bookmarkEnd w:id="14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27"/>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108440" cy="361222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49" w:name="_Toc54702436"/>
      <w:r>
        <w:rPr>
          <w:rFonts w:ascii="Times New Roman" w:hAnsi="Times New Roman" w:cs="Times New Roman"/>
          <w:noProof/>
          <w:color w:val="auto"/>
        </w:rPr>
        <w:t>Table 5.13: Auxiliary indicators for Cyprus</w:t>
      </w:r>
      <w:bookmarkEnd w:id="149"/>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95529"/>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108440" cy="4795529"/>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50" w:name="_Toc54702437"/>
      <w:r>
        <w:rPr>
          <w:rFonts w:ascii="Times New Roman" w:hAnsi="Times New Roman" w:cs="Times New Roman"/>
          <w:noProof/>
          <w:color w:val="auto"/>
        </w:rPr>
        <w:t>Table 5.13 (continued): Auxiliary indicators for Cyprus</w:t>
      </w:r>
      <w:bookmarkEnd w:id="15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27"/>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108440" cy="361222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51" w:name="_Toc54702438"/>
      <w:r>
        <w:rPr>
          <w:rFonts w:ascii="Times New Roman" w:hAnsi="Times New Roman" w:cs="Times New Roman"/>
          <w:noProof/>
          <w:color w:val="auto"/>
        </w:rPr>
        <w:t>Table 5.14: Auxiliary indicators for Latvia</w:t>
      </w:r>
      <w:bookmarkEnd w:id="151"/>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36818"/>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108440" cy="4736818"/>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52" w:name="_Toc54702439"/>
      <w:r>
        <w:rPr>
          <w:rFonts w:ascii="Times New Roman" w:hAnsi="Times New Roman" w:cs="Times New Roman"/>
          <w:noProof/>
          <w:color w:val="auto"/>
        </w:rPr>
        <w:t>Table 5.14 (continued): Auxiliary indicators for Latvia</w:t>
      </w:r>
      <w:bookmarkEnd w:id="15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27"/>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108440" cy="361222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53" w:name="_Toc54702440"/>
      <w:r>
        <w:rPr>
          <w:rFonts w:ascii="Times New Roman" w:hAnsi="Times New Roman" w:cs="Times New Roman"/>
          <w:noProof/>
          <w:color w:val="auto"/>
        </w:rPr>
        <w:t>Table 5.15: Auxiliary indicators for Lithuania</w:t>
      </w:r>
      <w:bookmarkEnd w:id="153"/>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36818"/>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108440" cy="4736818"/>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54" w:name="_Toc54702441"/>
      <w:r>
        <w:rPr>
          <w:rFonts w:ascii="Times New Roman" w:hAnsi="Times New Roman" w:cs="Times New Roman"/>
          <w:noProof/>
          <w:color w:val="auto"/>
        </w:rPr>
        <w:t>Table 5.15 (continued): Auxiliary indicators for Lithuania</w:t>
      </w:r>
      <w:bookmarkEnd w:id="15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27"/>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108440" cy="361222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55" w:name="_Toc54702442"/>
      <w:r>
        <w:rPr>
          <w:rFonts w:ascii="Times New Roman" w:hAnsi="Times New Roman" w:cs="Times New Roman"/>
          <w:noProof/>
          <w:color w:val="auto"/>
        </w:rPr>
        <w:t>Table 5.16: Auxiliary indicators for Luxembourg</w:t>
      </w:r>
      <w:bookmarkEnd w:id="155"/>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77679"/>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108440" cy="4777679"/>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56" w:name="_Toc54702443"/>
      <w:r>
        <w:rPr>
          <w:rFonts w:ascii="Times New Roman" w:hAnsi="Times New Roman" w:cs="Times New Roman"/>
          <w:noProof/>
          <w:color w:val="auto"/>
        </w:rPr>
        <w:t>Table 5.16 (continued): Auxiliary indicators for Luxembourg</w:t>
      </w:r>
      <w:bookmarkEnd w:id="15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88737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108440" cy="3887375"/>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57" w:name="_Toc54702444"/>
      <w:r>
        <w:rPr>
          <w:rFonts w:ascii="Times New Roman" w:hAnsi="Times New Roman" w:cs="Times New Roman"/>
          <w:noProof/>
          <w:color w:val="auto"/>
        </w:rPr>
        <w:t>Table 5.17: Auxiliary indicators for Hungary</w:t>
      </w:r>
      <w:bookmarkEnd w:id="157"/>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42436"/>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108440" cy="4742436"/>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58" w:name="_Toc54702445"/>
      <w:r>
        <w:rPr>
          <w:rFonts w:ascii="Times New Roman" w:hAnsi="Times New Roman" w:cs="Times New Roman"/>
          <w:noProof/>
          <w:color w:val="auto"/>
        </w:rPr>
        <w:t>Table 5.17 (continued): Auxiliary indicators for Hungary</w:t>
      </w:r>
      <w:bookmarkEnd w:id="15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2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108440" cy="361222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59" w:name="_Toc54702446"/>
      <w:r>
        <w:rPr>
          <w:rFonts w:ascii="Times New Roman" w:hAnsi="Times New Roman" w:cs="Times New Roman"/>
          <w:noProof/>
          <w:color w:val="auto"/>
        </w:rPr>
        <w:t>Table 5.18: Auxiliary indicators for Malta</w:t>
      </w:r>
      <w:bookmarkEnd w:id="159"/>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30689"/>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108440" cy="4730689"/>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60" w:name="_Toc54702447"/>
      <w:r>
        <w:rPr>
          <w:rFonts w:ascii="Times New Roman" w:hAnsi="Times New Roman" w:cs="Times New Roman"/>
          <w:noProof/>
          <w:color w:val="auto"/>
        </w:rPr>
        <w:t>Table 5.18 (continued): Auxiliary indicators for Malta</w:t>
      </w:r>
      <w:bookmarkEnd w:id="16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36"/>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108440" cy="3612236"/>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61" w:name="_Toc54702448"/>
      <w:r>
        <w:rPr>
          <w:rFonts w:ascii="Times New Roman" w:hAnsi="Times New Roman" w:cs="Times New Roman"/>
          <w:noProof/>
          <w:color w:val="auto"/>
        </w:rPr>
        <w:t>Table 5.19: Auxiliary indicators for Netherlands</w:t>
      </w:r>
      <w:bookmarkEnd w:id="161"/>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26583"/>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108440" cy="4726583"/>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62" w:name="_Toc54702449"/>
      <w:r>
        <w:rPr>
          <w:rFonts w:ascii="Times New Roman" w:hAnsi="Times New Roman" w:cs="Times New Roman"/>
          <w:noProof/>
          <w:color w:val="auto"/>
        </w:rPr>
        <w:t>Table 5.19 (continued): Auxiliary indicators for Netherlands</w:t>
      </w:r>
      <w:bookmarkEnd w:id="16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58946"/>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08440" cy="3658946"/>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63" w:name="_Toc54702450"/>
      <w:r>
        <w:rPr>
          <w:rFonts w:ascii="Times New Roman" w:hAnsi="Times New Roman" w:cs="Times New Roman"/>
          <w:noProof/>
          <w:color w:val="auto"/>
        </w:rPr>
        <w:t>Table 5.20: Auxiliary indicators for Austria</w:t>
      </w:r>
      <w:bookmarkEnd w:id="163"/>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72547"/>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108440" cy="4772547"/>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64" w:name="_Toc54702451"/>
      <w:r>
        <w:rPr>
          <w:rFonts w:ascii="Times New Roman" w:hAnsi="Times New Roman" w:cs="Times New Roman"/>
          <w:noProof/>
          <w:color w:val="auto"/>
        </w:rPr>
        <w:t>Table 5.20 (continued): Auxiliary indicators for Austria</w:t>
      </w:r>
      <w:bookmarkEnd w:id="16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36"/>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108440" cy="3612236"/>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65" w:name="_Toc54702452"/>
      <w:r>
        <w:rPr>
          <w:rFonts w:ascii="Times New Roman" w:hAnsi="Times New Roman" w:cs="Times New Roman"/>
          <w:noProof/>
          <w:color w:val="auto"/>
        </w:rPr>
        <w:t>Table 5.21: Auxiliary indicators for Poland</w:t>
      </w:r>
      <w:bookmarkEnd w:id="165"/>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2658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108440" cy="4726583"/>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66" w:name="_Toc54702453"/>
      <w:r>
        <w:rPr>
          <w:rFonts w:ascii="Times New Roman" w:hAnsi="Times New Roman" w:cs="Times New Roman"/>
          <w:noProof/>
          <w:color w:val="auto"/>
        </w:rPr>
        <w:t>Table 5.21 (continued): Auxiliary indicators for Poland</w:t>
      </w:r>
      <w:bookmarkEnd w:id="16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36"/>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108440" cy="3612236"/>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67" w:name="_Toc54702454"/>
      <w:r>
        <w:rPr>
          <w:rFonts w:ascii="Times New Roman" w:hAnsi="Times New Roman" w:cs="Times New Roman"/>
          <w:noProof/>
          <w:color w:val="auto"/>
        </w:rPr>
        <w:t>Table 5.22: Auxiliary indicators for Portugal</w:t>
      </w:r>
      <w:bookmarkEnd w:id="167"/>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3424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108440" cy="4734244"/>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68" w:name="_Toc54702455"/>
      <w:r>
        <w:rPr>
          <w:rFonts w:ascii="Times New Roman" w:hAnsi="Times New Roman" w:cs="Times New Roman"/>
          <w:noProof/>
          <w:color w:val="auto"/>
        </w:rPr>
        <w:t>Table 5.22 (continued): Auxiliary indicators for Portugal</w:t>
      </w:r>
      <w:bookmarkEnd w:id="16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36"/>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108440" cy="3612236"/>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69" w:name="_Toc54702456"/>
      <w:r>
        <w:rPr>
          <w:rFonts w:ascii="Times New Roman" w:hAnsi="Times New Roman" w:cs="Times New Roman"/>
          <w:noProof/>
          <w:color w:val="auto"/>
        </w:rPr>
        <w:t>Table 5.23: Auxiliary indicators for Romania</w:t>
      </w:r>
      <w:bookmarkEnd w:id="169"/>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4856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108440" cy="4748565"/>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70" w:name="_Toc54702457"/>
      <w:r>
        <w:rPr>
          <w:rFonts w:ascii="Times New Roman" w:hAnsi="Times New Roman" w:cs="Times New Roman"/>
          <w:noProof/>
          <w:color w:val="auto"/>
        </w:rPr>
        <w:t>Table 5.23 (continued): Auxiliary indicators for Romania</w:t>
      </w:r>
      <w:bookmarkEnd w:id="17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27"/>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108440" cy="361222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71" w:name="_Toc54702458"/>
      <w:r>
        <w:rPr>
          <w:rFonts w:ascii="Times New Roman" w:hAnsi="Times New Roman" w:cs="Times New Roman"/>
          <w:noProof/>
          <w:color w:val="auto"/>
        </w:rPr>
        <w:t>Table 5.24: Auxiliary indicators for Slovenia</w:t>
      </w:r>
      <w:bookmarkEnd w:id="171"/>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36818"/>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9108440" cy="4736818"/>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72" w:name="_Toc54702459"/>
      <w:r>
        <w:rPr>
          <w:rFonts w:ascii="Times New Roman" w:hAnsi="Times New Roman" w:cs="Times New Roman"/>
          <w:noProof/>
          <w:color w:val="auto"/>
        </w:rPr>
        <w:t>Table 5.24 (continued): Auxiliary indicators for Slovenia</w:t>
      </w:r>
      <w:bookmarkEnd w:id="17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27"/>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108440" cy="361222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73" w:name="_Toc54702460"/>
      <w:r>
        <w:rPr>
          <w:rFonts w:ascii="Times New Roman" w:hAnsi="Times New Roman" w:cs="Times New Roman"/>
          <w:noProof/>
          <w:color w:val="auto"/>
        </w:rPr>
        <w:t>Table 5.25: Auxiliary indicators for Slovakia</w:t>
      </w:r>
      <w:bookmarkEnd w:id="173"/>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18941"/>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108440" cy="4718941"/>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74" w:name="_Toc54702461"/>
      <w:r>
        <w:rPr>
          <w:rFonts w:ascii="Times New Roman" w:hAnsi="Times New Roman" w:cs="Times New Roman"/>
          <w:noProof/>
          <w:color w:val="auto"/>
        </w:rPr>
        <w:t>Table 5.25 (continued): Auxiliary indicators for Slovakia</w:t>
      </w:r>
      <w:bookmarkEnd w:id="17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27"/>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108440" cy="361222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75" w:name="_Toc54702462"/>
      <w:r>
        <w:rPr>
          <w:rFonts w:ascii="Times New Roman" w:hAnsi="Times New Roman" w:cs="Times New Roman"/>
          <w:noProof/>
          <w:color w:val="auto"/>
        </w:rPr>
        <w:t>Table 5.26: Auxiliary indicators for Finland</w:t>
      </w:r>
      <w:bookmarkEnd w:id="175"/>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4856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108440" cy="4748565"/>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76" w:name="_Toc54702463"/>
      <w:r>
        <w:rPr>
          <w:rFonts w:ascii="Times New Roman" w:hAnsi="Times New Roman" w:cs="Times New Roman"/>
          <w:noProof/>
          <w:color w:val="auto"/>
        </w:rPr>
        <w:t>Table 5.26 (continued): Auxiliary indicators for Finland</w:t>
      </w:r>
      <w:bookmarkEnd w:id="17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27"/>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108440" cy="361222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77" w:name="_Toc54702464"/>
      <w:r>
        <w:rPr>
          <w:rFonts w:ascii="Times New Roman" w:hAnsi="Times New Roman" w:cs="Times New Roman"/>
          <w:noProof/>
          <w:color w:val="auto"/>
        </w:rPr>
        <w:t>Table 5.27: Auxiliary indicators for Sweden</w:t>
      </w:r>
      <w:bookmarkEnd w:id="177"/>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736818"/>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108440" cy="4736818"/>
                    </a:xfrm>
                    <a:prstGeom prst="rect">
                      <a:avLst/>
                    </a:prstGeom>
                    <a:noFill/>
                    <a:ln>
                      <a:noFill/>
                    </a:ln>
                  </pic:spPr>
                </pic:pic>
              </a:graphicData>
            </a:graphic>
          </wp:inline>
        </w:drawing>
      </w:r>
    </w:p>
    <w:p>
      <w:pPr>
        <w:pStyle w:val="NoSpacing"/>
        <w:rPr>
          <w:rFonts w:ascii="Times New Roman" w:hAnsi="Times New Roman"/>
          <w:noProof/>
        </w:rPr>
      </w:pPr>
    </w:p>
    <w:p>
      <w:pPr>
        <w:pStyle w:val="Heading2"/>
        <w:rPr>
          <w:rFonts w:ascii="Times New Roman" w:hAnsi="Times New Roman" w:cs="Times New Roman"/>
          <w:noProof/>
          <w:color w:val="auto"/>
        </w:rPr>
      </w:pPr>
      <w:bookmarkStart w:id="178" w:name="_Toc54702465"/>
      <w:r>
        <w:rPr>
          <w:rFonts w:ascii="Times New Roman" w:hAnsi="Times New Roman" w:cs="Times New Roman"/>
          <w:noProof/>
          <w:color w:val="auto"/>
        </w:rPr>
        <w:t>Table 5.27 (continued): Auxiliary indicators for Sweden</w:t>
      </w:r>
      <w:bookmarkEnd w:id="17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3612227"/>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108440" cy="3612227"/>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eastAsiaTheme="majorEastAsia" w:hAnsi="Times New Roman"/>
          <w:noProof/>
          <w:sz w:val="26"/>
          <w:szCs w:val="26"/>
        </w:rPr>
      </w:pPr>
    </w:p>
    <w:p>
      <w:pPr>
        <w:pStyle w:val="NoSpacing"/>
        <w:rPr>
          <w:rFonts w:ascii="Times New Roman" w:eastAsiaTheme="majorEastAsia" w:hAnsi="Times New Roman"/>
          <w:noProof/>
          <w:sz w:val="26"/>
          <w:szCs w:val="26"/>
        </w:rPr>
      </w:pPr>
    </w:p>
    <w:p>
      <w:pPr>
        <w:pStyle w:val="NoSpacing"/>
        <w:rPr>
          <w:rFonts w:ascii="Times New Roman" w:eastAsiaTheme="majorEastAsia" w:hAnsi="Times New Roman"/>
          <w:noProof/>
          <w:sz w:val="26"/>
          <w:szCs w:val="26"/>
        </w:rPr>
      </w:pPr>
    </w:p>
    <w:p>
      <w:pPr>
        <w:pStyle w:val="NoSpacing"/>
        <w:rPr>
          <w:rFonts w:ascii="Times New Roman" w:eastAsiaTheme="majorEastAsia" w:hAnsi="Times New Roman"/>
          <w:noProof/>
          <w:sz w:val="26"/>
          <w:szCs w:val="26"/>
        </w:rPr>
      </w:pPr>
    </w:p>
    <w:p>
      <w:pPr>
        <w:pStyle w:val="NoSpacing"/>
        <w:rPr>
          <w:rFonts w:ascii="Times New Roman" w:eastAsiaTheme="majorEastAsia" w:hAnsi="Times New Roman"/>
          <w:noProof/>
          <w:sz w:val="26"/>
          <w:szCs w:val="26"/>
        </w:rPr>
      </w:pPr>
    </w:p>
    <w:p>
      <w:pPr>
        <w:pStyle w:val="NoSpacing"/>
        <w:rPr>
          <w:rFonts w:ascii="Times New Roman" w:eastAsiaTheme="majorEastAsia" w:hAnsi="Times New Roman"/>
          <w:noProof/>
          <w:sz w:val="26"/>
          <w:szCs w:val="26"/>
        </w:rPr>
      </w:pPr>
    </w:p>
    <w:p>
      <w:pPr>
        <w:pStyle w:val="Heading2"/>
        <w:rPr>
          <w:rFonts w:ascii="Times New Roman" w:hAnsi="Times New Roman" w:cs="Times New Roman"/>
          <w:noProof/>
          <w:color w:val="auto"/>
        </w:rPr>
      </w:pPr>
      <w:bookmarkStart w:id="179" w:name="_Toc54702466"/>
      <w:r>
        <w:rPr>
          <w:rFonts w:ascii="Times New Roman" w:hAnsi="Times New Roman" w:cs="Times New Roman"/>
          <w:noProof/>
          <w:color w:val="auto"/>
        </w:rPr>
        <w:t>Table 5.28: Auxiliary indicators for the United Kingdom</w:t>
      </w:r>
      <w:bookmarkEnd w:id="179"/>
    </w:p>
    <w:p>
      <w:pPr>
        <w:pStyle w:val="NoSpacing"/>
        <w:rPr>
          <w:rFonts w:ascii="Times New Roman" w:eastAsiaTheme="majorEastAsia" w:hAnsi="Times New Roman"/>
          <w:noProof/>
          <w:sz w:val="26"/>
          <w:szCs w:val="26"/>
        </w:rPr>
      </w:pPr>
      <w:r>
        <w:rPr>
          <w:rFonts w:ascii="Times New Roman" w:eastAsiaTheme="majorEastAsia" w:hAnsi="Times New Roman"/>
          <w:noProof/>
          <w:sz w:val="26"/>
          <w:szCs w:val="26"/>
          <w:lang w:eastAsia="en-GB"/>
        </w:rPr>
        <w:drawing>
          <wp:inline distT="0" distB="0" distL="0" distR="0">
            <wp:extent cx="9108440" cy="49074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108440" cy="4907413"/>
                    </a:xfrm>
                    <a:prstGeom prst="rect">
                      <a:avLst/>
                    </a:prstGeom>
                    <a:noFill/>
                    <a:ln>
                      <a:noFill/>
                    </a:ln>
                  </pic:spPr>
                </pic:pic>
              </a:graphicData>
            </a:graphic>
          </wp:inline>
        </w:drawing>
      </w:r>
    </w:p>
    <w:p>
      <w:pPr>
        <w:pStyle w:val="NoSpacing"/>
        <w:rPr>
          <w:rFonts w:ascii="Times New Roman" w:eastAsiaTheme="majorEastAsia" w:hAnsi="Times New Roman"/>
          <w:noProof/>
          <w:sz w:val="26"/>
          <w:szCs w:val="26"/>
        </w:rPr>
      </w:pPr>
    </w:p>
    <w:p>
      <w:pPr>
        <w:pStyle w:val="NoSpacing"/>
        <w:rPr>
          <w:rFonts w:ascii="Times New Roman" w:eastAsiaTheme="majorEastAsia" w:hAnsi="Times New Roman"/>
          <w:noProof/>
          <w:sz w:val="26"/>
          <w:szCs w:val="26"/>
        </w:rPr>
      </w:pPr>
    </w:p>
    <w:p>
      <w:pPr>
        <w:pStyle w:val="Heading2"/>
        <w:rPr>
          <w:rFonts w:ascii="Times New Roman" w:hAnsi="Times New Roman" w:cs="Times New Roman"/>
          <w:noProof/>
          <w:color w:val="auto"/>
        </w:rPr>
      </w:pPr>
      <w:bookmarkStart w:id="180" w:name="_Toc54702467"/>
      <w:r>
        <w:rPr>
          <w:rFonts w:ascii="Times New Roman" w:hAnsi="Times New Roman" w:cs="Times New Roman"/>
          <w:noProof/>
          <w:color w:val="auto"/>
        </w:rPr>
        <w:t>Table 5.28 (continued): Auxiliary indicators for the United Kingdom</w:t>
      </w:r>
      <w:bookmarkEnd w:id="180"/>
    </w:p>
    <w:p>
      <w:pPr>
        <w:pStyle w:val="NoSpacing"/>
        <w:rPr>
          <w:rFonts w:ascii="Times New Roman" w:hAnsi="Times New Roman"/>
          <w:noProof/>
        </w:rPr>
      </w:pPr>
      <w:r>
        <w:rPr>
          <w:rFonts w:ascii="Times New Roman" w:hAnsi="Times New Roman"/>
          <w:noProof/>
          <w:lang w:eastAsia="en-GB"/>
        </w:rPr>
        <w:drawing>
          <wp:inline distT="0" distB="0" distL="0" distR="0">
            <wp:extent cx="9108440" cy="4006779"/>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108440" cy="4006779"/>
                    </a:xfrm>
                    <a:prstGeom prst="rect">
                      <a:avLst/>
                    </a:prstGeom>
                    <a:noFill/>
                    <a:ln>
                      <a:noFill/>
                    </a:ln>
                  </pic:spPr>
                </pic:pic>
              </a:graphicData>
            </a:graphic>
          </wp:inline>
        </w:drawing>
      </w:r>
    </w:p>
    <w:p>
      <w:pPr>
        <w:pStyle w:val="Heading1"/>
        <w:rPr>
          <w:rFonts w:ascii="Times New Roman" w:hAnsi="Times New Roman" w:cs="Times New Roman"/>
          <w:b/>
          <w:noProof/>
          <w:color w:val="auto"/>
          <w:sz w:val="28"/>
          <w:szCs w:val="28"/>
        </w:rPr>
      </w:pPr>
      <w:bookmarkStart w:id="181" w:name="_Toc54702468"/>
      <w:r>
        <w:rPr>
          <w:rFonts w:ascii="Times New Roman" w:hAnsi="Times New Roman" w:cs="Times New Roman"/>
          <w:b/>
          <w:noProof/>
          <w:color w:val="auto"/>
          <w:sz w:val="28"/>
          <w:szCs w:val="28"/>
        </w:rPr>
        <w:t>Chapter 6: Tables by year - MIP Scoreboard (base indicators)</w:t>
      </w:r>
      <w:bookmarkEnd w:id="181"/>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p>
    <w:p>
      <w:pPr>
        <w:pStyle w:val="Heading2"/>
        <w:rPr>
          <w:rFonts w:ascii="Times New Roman" w:hAnsi="Times New Roman" w:cs="Times New Roman"/>
          <w:noProof/>
          <w:color w:val="auto"/>
        </w:rPr>
      </w:pPr>
      <w:bookmarkStart w:id="182" w:name="_Toc54702469"/>
      <w:r>
        <w:rPr>
          <w:rFonts w:ascii="Times New Roman" w:hAnsi="Times New Roman" w:cs="Times New Roman"/>
          <w:noProof/>
          <w:color w:val="auto"/>
        </w:rPr>
        <w:t>Table 6.1: MIP Scoreboard (base indicators) 2019</w:t>
      </w:r>
      <w:bookmarkEnd w:id="18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246189"/>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108440" cy="424618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83" w:name="_Toc54702470"/>
      <w:r>
        <w:rPr>
          <w:rFonts w:ascii="Times New Roman" w:hAnsi="Times New Roman" w:cs="Times New Roman"/>
          <w:noProof/>
          <w:color w:val="auto"/>
        </w:rPr>
        <w:t>Table 6.2: MIP Scoreboard (base indicators) 2018</w:t>
      </w:r>
      <w:bookmarkEnd w:id="18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259438"/>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108440" cy="4259438"/>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84" w:name="_Toc54702471"/>
      <w:r>
        <w:rPr>
          <w:rFonts w:ascii="Times New Roman" w:hAnsi="Times New Roman" w:cs="Times New Roman"/>
          <w:noProof/>
          <w:color w:val="auto"/>
        </w:rPr>
        <w:t>Table 6.3: MIP Scoreboard (base indicators) 2017</w:t>
      </w:r>
      <w:bookmarkEnd w:id="18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381292"/>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108440" cy="4381292"/>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85" w:name="_Toc54702472"/>
      <w:r>
        <w:rPr>
          <w:rFonts w:ascii="Times New Roman" w:hAnsi="Times New Roman" w:cs="Times New Roman"/>
          <w:noProof/>
          <w:color w:val="auto"/>
        </w:rPr>
        <w:t>Table 6.4: MIP Scoreboard (base indicators) 2016</w:t>
      </w:r>
      <w:bookmarkEnd w:id="18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264239"/>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108440" cy="426423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86" w:name="_Toc54702473"/>
      <w:r>
        <w:rPr>
          <w:rFonts w:ascii="Times New Roman" w:hAnsi="Times New Roman" w:cs="Times New Roman"/>
          <w:noProof/>
          <w:color w:val="auto"/>
        </w:rPr>
        <w:t>Table 6.5: MIP Scoreboard (base indicators) 2015</w:t>
      </w:r>
      <w:bookmarkEnd w:id="18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432088"/>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108440" cy="4432088"/>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87" w:name="_Toc54702474"/>
      <w:r>
        <w:rPr>
          <w:rFonts w:ascii="Times New Roman" w:hAnsi="Times New Roman" w:cs="Times New Roman"/>
          <w:noProof/>
          <w:color w:val="auto"/>
        </w:rPr>
        <w:t>Table 6.6: MIP Scoreboard (base indicators) 2014</w:t>
      </w:r>
      <w:bookmarkEnd w:id="18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213068"/>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108440" cy="4213068"/>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88" w:name="_Toc54702475"/>
      <w:r>
        <w:rPr>
          <w:rFonts w:ascii="Times New Roman" w:hAnsi="Times New Roman" w:cs="Times New Roman"/>
          <w:noProof/>
          <w:color w:val="auto"/>
        </w:rPr>
        <w:t>Table 6.7: MIP Scoreboard (base indicators) 2013</w:t>
      </w:r>
      <w:bookmarkEnd w:id="18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23862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108440" cy="4238620"/>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89" w:name="_Toc54702476"/>
      <w:r>
        <w:rPr>
          <w:rFonts w:ascii="Times New Roman" w:hAnsi="Times New Roman" w:cs="Times New Roman"/>
          <w:noProof/>
          <w:color w:val="auto"/>
        </w:rPr>
        <w:t>Table 6.8: MIP Scoreboard (base indicators) 2012</w:t>
      </w:r>
      <w:bookmarkEnd w:id="18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264239"/>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108440" cy="4264239"/>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90" w:name="_Toc54702477"/>
      <w:r>
        <w:rPr>
          <w:rFonts w:ascii="Times New Roman" w:hAnsi="Times New Roman" w:cs="Times New Roman"/>
          <w:noProof/>
          <w:color w:val="auto"/>
        </w:rPr>
        <w:t>Table 6.9: MIP Scoreboard (base indicators) 2011</w:t>
      </w:r>
      <w:bookmarkEnd w:id="19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325681"/>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108440" cy="4325681"/>
                    </a:xfrm>
                    <a:prstGeom prst="rect">
                      <a:avLst/>
                    </a:prstGeom>
                    <a:noFill/>
                    <a:ln>
                      <a:noFill/>
                    </a:ln>
                  </pic:spPr>
                </pic:pic>
              </a:graphicData>
            </a:graphic>
          </wp:inline>
        </w:drawing>
      </w:r>
    </w:p>
    <w:p>
      <w:pPr>
        <w:pStyle w:val="NoSpacing"/>
        <w:rPr>
          <w:rFonts w:ascii="Times New Roman" w:hAnsi="Times New Roman"/>
          <w:noProof/>
        </w:rPr>
      </w:pPr>
    </w:p>
    <w:p>
      <w:pPr>
        <w:pStyle w:val="NoSpacing"/>
        <w:rPr>
          <w:rFonts w:ascii="Times New Roman" w:hAnsi="Times New Roman"/>
          <w:noProof/>
        </w:rPr>
      </w:pPr>
    </w:p>
    <w:p>
      <w:pPr>
        <w:pStyle w:val="NoSpacing"/>
        <w:rPr>
          <w:rFonts w:ascii="Times New Roman" w:hAnsi="Times New Roman"/>
          <w:noProof/>
        </w:rPr>
      </w:pPr>
    </w:p>
    <w:p>
      <w:pPr>
        <w:pStyle w:val="Heading2"/>
        <w:rPr>
          <w:rFonts w:ascii="Times New Roman" w:hAnsi="Times New Roman" w:cs="Times New Roman"/>
          <w:noProof/>
          <w:color w:val="auto"/>
        </w:rPr>
      </w:pPr>
      <w:bookmarkStart w:id="191" w:name="_Toc54702478"/>
      <w:r>
        <w:rPr>
          <w:rFonts w:ascii="Times New Roman" w:hAnsi="Times New Roman" w:cs="Times New Roman"/>
          <w:noProof/>
          <w:color w:val="auto"/>
        </w:rPr>
        <w:t>Table 6.10: MIP Scoreboard (base indicators) 2010</w:t>
      </w:r>
      <w:bookmarkEnd w:id="19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pPr>
        <w:pStyle w:val="NoSpacing"/>
        <w:rPr>
          <w:rFonts w:ascii="Times New Roman" w:hAnsi="Times New Roman"/>
          <w:noProof/>
        </w:rPr>
      </w:pPr>
      <w:r>
        <w:rPr>
          <w:rFonts w:ascii="Times New Roman" w:hAnsi="Times New Roman"/>
          <w:noProof/>
          <w:lang w:eastAsia="en-GB"/>
        </w:rPr>
        <w:drawing>
          <wp:inline distT="0" distB="0" distL="0" distR="0">
            <wp:extent cx="9108440" cy="4436947"/>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108440" cy="4436947"/>
                    </a:xfrm>
                    <a:prstGeom prst="rect">
                      <a:avLst/>
                    </a:prstGeom>
                    <a:noFill/>
                    <a:ln>
                      <a:noFill/>
                    </a:ln>
                  </pic:spPr>
                </pic:pic>
              </a:graphicData>
            </a:graphic>
          </wp:inline>
        </w:drawing>
      </w:r>
    </w:p>
    <w:sectPr>
      <w:headerReference w:type="even" r:id="rId205"/>
      <w:headerReference w:type="default" r:id="rId206"/>
      <w:footerReference w:type="even" r:id="rId207"/>
      <w:footerReference w:type="default" r:id="rId208"/>
      <w:headerReference w:type="first" r:id="rId209"/>
      <w:footerReference w:type="first" r:id="rId210"/>
      <w:pgSz w:w="16838" w:h="11906" w:orient="landscape"/>
      <w:pgMar w:top="1134" w:right="1247" w:bottom="1134" w:left="124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687265"/>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58613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0420191"/>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ind w:left="284" w:right="282"/>
        <w:jc w:val="both"/>
      </w:pPr>
      <w:r>
        <w:rPr>
          <w:rStyle w:val="FootnoteReference"/>
        </w:rPr>
        <w:footnoteRef/>
      </w:r>
      <w:r>
        <w:t xml:space="preserve"> </w:t>
      </w:r>
      <w:r>
        <w:rPr>
          <w:rFonts w:ascii="Times New Roman" w:hAnsi="Times New Roman"/>
        </w:rPr>
        <w:t>The United Kingdom left the European Union on 31 January 2020 on the basis of the Agreement on the withdrawal of the United Kingdom of Great Britain and Northern Ireland from the European Union and the European Atomic Energy Community (‘the withdrawal Agreement’, OJ C 384 I, 12.11.2019, p. 1), Union law continues to apply to and in the United Kingdom for the duration of the transition period ending on 31 December 2020.</w:t>
      </w:r>
    </w:p>
  </w:footnote>
  <w:footnote w:id="2">
    <w:p>
      <w:pPr>
        <w:pStyle w:val="FootnoteText"/>
        <w:ind w:left="284" w:right="424"/>
        <w:jc w:val="both"/>
      </w:pPr>
      <w:r>
        <w:rPr>
          <w:rStyle w:val="FootnoteReference"/>
        </w:rPr>
        <w:footnoteRef/>
      </w:r>
      <w:r>
        <w:t xml:space="preserve"> </w:t>
      </w:r>
      <w:r>
        <w:rPr>
          <w:rFonts w:ascii="Times New Roman" w:hAnsi="Times New Roman"/>
        </w:rPr>
        <w:t>Member States submit to the Commission (Eurostat) data following the BPM6 requirements from 2014 onwards only. In order to maintain comparability over time, either countries themselves or Eurostat in cooperation with them, have back-calculated the main BoP time series according to the new standards. As a result, data coverage for the ten years timespan needed for this year's Statistical Annex (2010-2019) is complete.</w:t>
      </w:r>
    </w:p>
  </w:footnote>
  <w:footnote w:id="3">
    <w:p>
      <w:pPr>
        <w:pStyle w:val="FootnoteText"/>
        <w:ind w:left="284"/>
        <w:rPr>
          <w:rFonts w:ascii="Times New Roman" w:hAnsi="Times New Roman"/>
        </w:rPr>
      </w:pPr>
      <w:r>
        <w:rPr>
          <w:rStyle w:val="FootnoteReference"/>
        </w:rPr>
        <w:footnoteRef/>
      </w:r>
      <w:r>
        <w:t xml:space="preserve"> </w:t>
      </w:r>
      <w:r>
        <w:rPr>
          <w:rFonts w:ascii="Times New Roman" w:hAnsi="Times New Roman"/>
        </w:rPr>
        <w:t xml:space="preserve">Information on data revisions and on the publication of benchmark data is available on the Eurostat website: </w:t>
      </w:r>
    </w:p>
    <w:p>
      <w:pPr>
        <w:pStyle w:val="FootnoteText"/>
        <w:ind w:left="284"/>
        <w:rPr>
          <w:rFonts w:ascii="Times New Roman" w:hAnsi="Times New Roman"/>
        </w:rPr>
      </w:pPr>
      <w:hyperlink r:id="rId1" w:history="1">
        <w:r>
          <w:rPr>
            <w:rStyle w:val="Hyperlink"/>
            <w:rFonts w:ascii="Times New Roman" w:hAnsi="Times New Roman"/>
          </w:rPr>
          <w:t>https://ec.europa.eu/eurostat/web/esa-2010/esa-2010-implementation-and-data-quality</w:t>
        </w:r>
      </w:hyperlink>
      <w:r>
        <w:rPr>
          <w:rFonts w:ascii="Times New Roman" w:hAnsi="Times New Roman"/>
        </w:rPr>
        <w:t xml:space="preserve"> </w:t>
      </w:r>
    </w:p>
    <w:p>
      <w:pPr>
        <w:pStyle w:val="FootnoteText"/>
        <w:ind w:left="284"/>
        <w:rPr>
          <w:rFonts w:ascii="Times New Roman" w:hAnsi="Times New Roman"/>
        </w:rPr>
      </w:pPr>
      <w:hyperlink r:id="rId2" w:history="1">
        <w:r>
          <w:rPr>
            <w:rStyle w:val="Hyperlink"/>
            <w:rFonts w:ascii="Times New Roman" w:hAnsi="Times New Roman"/>
          </w:rPr>
          <w:t>https://ec.europa.eu/eurostat/documents/737960/9861115/Benchmark_revisions_2019.pdf</w:t>
        </w:r>
      </w:hyperlink>
      <w:r>
        <w:rPr>
          <w:rFonts w:ascii="Times New Roman" w:hAnsi="Times New Roman"/>
        </w:rPr>
        <w:t xml:space="preserve"> </w:t>
      </w:r>
    </w:p>
  </w:footnote>
  <w:footnote w:id="4">
    <w:p>
      <w:pPr>
        <w:pStyle w:val="FootnoteText"/>
        <w:ind w:left="426"/>
        <w:rPr>
          <w:rFonts w:ascii="Times New Roman" w:hAnsi="Times New Roman"/>
        </w:rPr>
      </w:pPr>
      <w:r>
        <w:rPr>
          <w:rStyle w:val="FootnoteReference"/>
          <w:rFonts w:ascii="Times New Roman" w:hAnsi="Times New Roman"/>
        </w:rPr>
        <w:footnoteRef/>
      </w:r>
      <w:r>
        <w:rPr>
          <w:rFonts w:ascii="Times New Roman" w:hAnsi="Times New Roman"/>
        </w:rPr>
        <w:t xml:space="preserve"> Council conclusions of ECOFIN Council meeting on 8 November 2016 (</w:t>
      </w:r>
      <w:hyperlink r:id="rId3" w:history="1">
        <w:r>
          <w:rPr>
            <w:rStyle w:val="Hyperlink"/>
            <w:rFonts w:ascii="Times New Roman" w:hAnsi="Times New Roman"/>
          </w:rPr>
          <w:t>http://data.consilium.europa.eu/doc/document/ST-14164-2016-INIT/en/pdf</w:t>
        </w:r>
      </w:hyperlink>
      <w:r>
        <w:rPr>
          <w:rFonts w:ascii="Times New Roman" w:hAnsi="Times New Roman"/>
        </w:rPr>
        <w:t xml:space="preserve">) </w:t>
      </w:r>
    </w:p>
  </w:footnote>
  <w:footnote w:id="5">
    <w:p>
      <w:pPr>
        <w:pStyle w:val="FootnoteText"/>
        <w:ind w:left="284"/>
      </w:pPr>
      <w:r>
        <w:rPr>
          <w:rStyle w:val="FootnoteReference"/>
        </w:rPr>
        <w:footnoteRef/>
      </w:r>
      <w:r>
        <w:t xml:space="preserve"> </w:t>
      </w:r>
      <w:hyperlink r:id="rId4" w:history="1">
        <w:r>
          <w:rPr>
            <w:rStyle w:val="Hyperlink"/>
            <w:rFonts w:ascii="Times New Roman" w:hAnsi="Times New Roman"/>
          </w:rPr>
          <w:t>https://ec.europa.eu/eurostat/web/macroeconomic-imbalances-procedure/quality</w:t>
        </w:r>
      </w:hyperlink>
    </w:p>
  </w:footnote>
  <w:footnote w:id="6">
    <w:p>
      <w:pPr>
        <w:pStyle w:val="FootnoteText"/>
        <w:ind w:left="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5" w:history="1">
        <w:r>
          <w:rPr>
            <w:rStyle w:val="Hyperlink"/>
            <w:rFonts w:ascii="Times New Roman" w:hAnsi="Times New Roman"/>
          </w:rPr>
          <w:t>http://eur-lex.europa.eu/legal-content/EN/TXT/?uri=uriserv%3AOJ.L_.2016.345.01.0027.01.ENG</w:t>
        </w:r>
      </w:hyperlink>
    </w:p>
    <w:p>
      <w:pPr>
        <w:pStyle w:val="FootnoteText"/>
        <w:ind w:left="284" w:right="424"/>
        <w:jc w:val="both"/>
        <w:rPr>
          <w:rFonts w:ascii="Times New Roman" w:hAnsi="Times New Roman"/>
        </w:rPr>
      </w:pPr>
      <w:r>
        <w:rPr>
          <w:rFonts w:ascii="Times New Roman" w:hAnsi="Times New Roman"/>
        </w:rPr>
        <w:t>Commission Implementing Regulation (EU) 2016/2304 of 19 December 2016 on the modalities, structure, periodicity and assessment indicators of the quality reports on data transmitted pursuant to Regulation (EU) No 549/2013 of the European Parliament and of the Council, OJ L 345, 20.12.2016, p. 27-36.</w:t>
      </w:r>
    </w:p>
  </w:footnote>
  <w:footnote w:id="7">
    <w:p>
      <w:pPr>
        <w:pStyle w:val="FootnoteText"/>
        <w:ind w:left="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6" w:history="1">
        <w:r>
          <w:rPr>
            <w:rStyle w:val="Hyperlink"/>
            <w:rFonts w:ascii="Times New Roman" w:hAnsi="Times New Roman"/>
          </w:rPr>
          <w:t>https://ec.europa.eu/eurostat/en/web/products-statistical-reports/-/KS-FT-19-009</w:t>
        </w:r>
      </w:hyperlink>
    </w:p>
  </w:footnote>
  <w:footnote w:id="8">
    <w:p>
      <w:pPr>
        <w:pStyle w:val="FootnoteText"/>
        <w:ind w:left="284"/>
        <w:jc w:val="both"/>
      </w:pPr>
      <w:r>
        <w:rPr>
          <w:rStyle w:val="FootnoteReference"/>
          <w:rFonts w:ascii="Times New Roman" w:hAnsi="Times New Roman"/>
        </w:rPr>
        <w:footnoteRef/>
      </w:r>
      <w:r>
        <w:rPr>
          <w:rFonts w:ascii="Times New Roman" w:hAnsi="Times New Roman"/>
        </w:rPr>
        <w:t xml:space="preserve"> </w:t>
      </w:r>
      <w:hyperlink r:id="rId7" w:history="1">
        <w:r>
          <w:rPr>
            <w:rStyle w:val="Hyperlink"/>
            <w:rFonts w:ascii="Times New Roman" w:hAnsi="Times New Roman"/>
          </w:rPr>
          <w:t>https://ec.europa.eu/eurostat/web/esa-2010/esa-2010-implementation-and-data-quality</w:t>
        </w:r>
      </w:hyperlink>
      <w:r>
        <w:rPr>
          <w:rFonts w:ascii="Times New Roman" w:hAnsi="Times New Roman"/>
        </w:rPr>
        <w:t xml:space="preserve"> </w:t>
      </w:r>
    </w:p>
  </w:footnote>
  <w:footnote w:id="9">
    <w:p>
      <w:pPr>
        <w:spacing w:after="0" w:line="240" w:lineRule="auto"/>
        <w:ind w:left="284"/>
      </w:pPr>
      <w:r>
        <w:rPr>
          <w:rStyle w:val="FootnoteReference"/>
          <w:rFonts w:ascii="Times New Roman" w:hAnsi="Times New Roman"/>
          <w:sz w:val="20"/>
          <w:szCs w:val="20"/>
        </w:rPr>
        <w:footnoteRef/>
      </w:r>
      <w:r>
        <w:rPr>
          <w:rFonts w:ascii="Times New Roman" w:hAnsi="Times New Roman"/>
          <w:sz w:val="20"/>
          <w:szCs w:val="20"/>
        </w:rPr>
        <w:t xml:space="preserve"> </w:t>
      </w:r>
      <w:hyperlink r:id="rId8" w:history="1">
        <w:r>
          <w:rPr>
            <w:rStyle w:val="Hyperlink"/>
            <w:rFonts w:ascii="Times New Roman" w:hAnsi="Times New Roman"/>
            <w:sz w:val="20"/>
            <w:szCs w:val="20"/>
          </w:rPr>
          <w:t>https://ec.europa.eu/info/files/report-quality-sources-and-methods_en</w:t>
        </w:r>
      </w:hyperlink>
      <w:r>
        <w:rPr>
          <w:rFonts w:ascii="Times New Roman" w:hAnsi="Times New Roman"/>
          <w:sz w:val="20"/>
          <w:szCs w:val="20"/>
        </w:rPr>
        <w:t xml:space="preserve"> </w:t>
      </w:r>
    </w:p>
  </w:footnote>
  <w:footnote w:id="10">
    <w:p>
      <w:pPr>
        <w:pStyle w:val="FootnoteText"/>
        <w:ind w:left="284"/>
        <w:rPr>
          <w:rFonts w:ascii="Times New Roman" w:hAnsi="Times New Roman"/>
        </w:rPr>
      </w:pPr>
      <w:r>
        <w:rPr>
          <w:rStyle w:val="FootnoteReference"/>
          <w:rFonts w:ascii="Times New Roman" w:hAnsi="Times New Roman"/>
        </w:rPr>
        <w:footnoteRef/>
      </w:r>
      <w:r>
        <w:t xml:space="preserve"> </w:t>
      </w:r>
      <w:hyperlink r:id="rId9" w:history="1">
        <w:r>
          <w:rPr>
            <w:rStyle w:val="Hyperlink"/>
            <w:rFonts w:ascii="Times New Roman" w:hAnsi="Times New Roman"/>
          </w:rPr>
          <w:t>https://www.cmfb.org/main-topics/mip-quality</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7455E"/>
    <w:multiLevelType w:val="hybridMultilevel"/>
    <w:tmpl w:val="E93AE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37A85EBF"/>
    <w:multiLevelType w:val="hybridMultilevel"/>
    <w:tmpl w:val="0592ED68"/>
    <w:lvl w:ilvl="0" w:tplc="969EB7EA">
      <w:start w:val="1"/>
      <w:numFmt w:val="bullet"/>
      <w:lvlText w:val=""/>
      <w:lvlJc w:val="left"/>
      <w:pPr>
        <w:ind w:left="720" w:hanging="360"/>
      </w:pPr>
      <w:rPr>
        <w:rFonts w:ascii="Symbol" w:hAnsi="Symbol" w:hint="default"/>
      </w:rPr>
    </w:lvl>
    <w:lvl w:ilvl="1" w:tplc="969EB7EA">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3D3C5DDF"/>
    <w:multiLevelType w:val="hybridMultilevel"/>
    <w:tmpl w:val="0E28583A"/>
    <w:lvl w:ilvl="0" w:tplc="08090001">
      <w:start w:val="1"/>
      <w:numFmt w:val="bullet"/>
      <w:lvlText w:val=""/>
      <w:lvlJc w:val="left"/>
      <w:pPr>
        <w:ind w:left="1074" w:hanging="360"/>
      </w:pPr>
      <w:rPr>
        <w:rFonts w:ascii="Symbol" w:hAnsi="Symbol" w:hint="default"/>
      </w:rPr>
    </w:lvl>
    <w:lvl w:ilvl="1" w:tplc="08090003">
      <w:start w:val="1"/>
      <w:numFmt w:val="bullet"/>
      <w:lvlText w:val="o"/>
      <w:lvlJc w:val="left"/>
      <w:pPr>
        <w:ind w:left="1794" w:hanging="360"/>
      </w:pPr>
      <w:rPr>
        <w:rFonts w:ascii="Courier New" w:hAnsi="Courier New" w:cs="Courier New" w:hint="default"/>
      </w:rPr>
    </w:lvl>
    <w:lvl w:ilvl="2" w:tplc="08090005">
      <w:start w:val="1"/>
      <w:numFmt w:val="bullet"/>
      <w:lvlText w:val=""/>
      <w:lvlJc w:val="left"/>
      <w:pPr>
        <w:ind w:left="2514" w:hanging="360"/>
      </w:pPr>
      <w:rPr>
        <w:rFonts w:ascii="Wingdings" w:hAnsi="Wingdings" w:hint="default"/>
      </w:rPr>
    </w:lvl>
    <w:lvl w:ilvl="3" w:tplc="08090001">
      <w:start w:val="1"/>
      <w:numFmt w:val="bullet"/>
      <w:lvlText w:val=""/>
      <w:lvlJc w:val="left"/>
      <w:pPr>
        <w:ind w:left="3234" w:hanging="360"/>
      </w:pPr>
      <w:rPr>
        <w:rFonts w:ascii="Symbol" w:hAnsi="Symbol" w:hint="default"/>
      </w:rPr>
    </w:lvl>
    <w:lvl w:ilvl="4" w:tplc="08090003">
      <w:start w:val="1"/>
      <w:numFmt w:val="bullet"/>
      <w:lvlText w:val="o"/>
      <w:lvlJc w:val="left"/>
      <w:pPr>
        <w:ind w:left="3954" w:hanging="360"/>
      </w:pPr>
      <w:rPr>
        <w:rFonts w:ascii="Courier New" w:hAnsi="Courier New" w:cs="Courier New" w:hint="default"/>
      </w:rPr>
    </w:lvl>
    <w:lvl w:ilvl="5" w:tplc="08090005">
      <w:start w:val="1"/>
      <w:numFmt w:val="bullet"/>
      <w:lvlText w:val=""/>
      <w:lvlJc w:val="left"/>
      <w:pPr>
        <w:ind w:left="4674" w:hanging="360"/>
      </w:pPr>
      <w:rPr>
        <w:rFonts w:ascii="Wingdings" w:hAnsi="Wingdings" w:hint="default"/>
      </w:rPr>
    </w:lvl>
    <w:lvl w:ilvl="6" w:tplc="08090001">
      <w:start w:val="1"/>
      <w:numFmt w:val="bullet"/>
      <w:lvlText w:val=""/>
      <w:lvlJc w:val="left"/>
      <w:pPr>
        <w:ind w:left="5394" w:hanging="360"/>
      </w:pPr>
      <w:rPr>
        <w:rFonts w:ascii="Symbol" w:hAnsi="Symbol" w:hint="default"/>
      </w:rPr>
    </w:lvl>
    <w:lvl w:ilvl="7" w:tplc="08090003">
      <w:start w:val="1"/>
      <w:numFmt w:val="bullet"/>
      <w:lvlText w:val="o"/>
      <w:lvlJc w:val="left"/>
      <w:pPr>
        <w:ind w:left="6114" w:hanging="360"/>
      </w:pPr>
      <w:rPr>
        <w:rFonts w:ascii="Courier New" w:hAnsi="Courier New" w:cs="Courier New" w:hint="default"/>
      </w:rPr>
    </w:lvl>
    <w:lvl w:ilvl="8" w:tplc="08090005">
      <w:start w:val="1"/>
      <w:numFmt w:val="bullet"/>
      <w:lvlText w:val=""/>
      <w:lvlJc w:val="left"/>
      <w:pPr>
        <w:ind w:left="6834"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hideGrammaticalErrors/>
  <w:revisionView w:markup="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31246F88-0D29-4AC6-B474-6BB995E9574E"/>
    <w:docVar w:name="LW_COVERPAGE_TYPE" w:val="1"/>
    <w:docVar w:name="LW_CROSSREFERENCE" w:val="{COM(2020) 745 final}"/>
    <w:docVar w:name="LW_DocType" w:val="NORMAL"/>
    <w:docVar w:name="LW_EMISSION" w:val="18.11.2020"/>
    <w:docVar w:name="LW_EMISSION_ISODATE" w:val="2020-11-18"/>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lt;FMT:Bold&gt;Alert Mechanism Report 2021&lt;/FMT&gt;_x000d__x000d__x000b__x000d__x000b_(prepared in accordance with Articles 3 and 4 of Regulation_x000d__x000d__x000b_(EU) No 1176/2011 on the prevention and correction of macroeconomic imbalances)"/>
    <w:docVar w:name="LW_PART_NBR" w:val="1"/>
    <w:docVar w:name="LW_PART_NBR_TOTAL" w:val="1"/>
    <w:docVar w:name="LW_REF.INST.NEW" w:val="SWD"/>
    <w:docVar w:name="LW_REF.INST.NEW_ADOPTED" w:val="final"/>
    <w:docVar w:name="LW_REF.INST.NEW_TEXT" w:val="(2020) 27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STATISTICAL ANNEX"/>
    <w:docVar w:name="LW_TYPE.DOC.CP" w:val="COMMISSION STAFF WORKING DOCUMENT"/>
    <w:docVar w:name="LW_TYPEACTEPRINCIPAL.CP" w:val="REPORT FROM THE COMMISSION TO THE EUROPEAN PARLIAMENT,_x000b_THE COUNCIL, THE EUROPEAN CENTRAL BANK_x000b_AND THE EUROPEAN ECONOMIC AND SOCIAL COMMITTE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Pr>
      <w:sz w:val="22"/>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lang w:eastAsia="en-US"/>
    </w:rPr>
  </w:style>
  <w:style w:type="paragraph" w:styleId="TOCHeading">
    <w:name w:val="TOC Heading"/>
    <w:basedOn w:val="Heading1"/>
    <w:next w:val="Normal"/>
    <w:uiPriority w:val="39"/>
    <w:unhideWhenUsed/>
    <w:qFormat/>
    <w:pPr>
      <w:spacing w:line="259" w:lineRule="auto"/>
      <w:outlineLvl w:val="9"/>
    </w:pPr>
    <w:rPr>
      <w:lang w:val="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line="259" w:lineRule="auto"/>
      <w:ind w:left="440"/>
    </w:pPr>
    <w:rPr>
      <w:rFonts w:asciiTheme="minorHAnsi" w:eastAsiaTheme="minorEastAsia" w:hAnsiTheme="minorHAnsi" w:cstheme="minorBidi"/>
      <w:lang w:eastAsia="en-GB"/>
    </w:r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lang w:eastAsia="en-GB"/>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lang w:eastAsia="en-US"/>
    </w:rPr>
  </w:style>
  <w:style w:type="paragraph" w:styleId="ListParagraph">
    <w:name w:val="List Paragraph"/>
    <w:basedOn w:val="Normal"/>
    <w:uiPriority w:val="34"/>
    <w:qFormat/>
    <w:pPr>
      <w:spacing w:after="0" w:line="240" w:lineRule="auto"/>
      <w:ind w:left="720"/>
    </w:pPr>
    <w:rPr>
      <w:rFonts w:eastAsiaTheme="minorHAnsi"/>
    </w:rPr>
  </w:style>
  <w:style w:type="character" w:styleId="FootnoteReference">
    <w:name w:val="footnote reference"/>
    <w:aliases w:val="Footnote reference number,Footnote symbol,note TESI,number,SUPERS,EN Footnote Reference,Times 10 Point,Exposant 3 Point,Footnote Reference_LVL6,Footnote Reference_LVL61,Footnote Reference_LVL62,Footnote Reference_LVL"/>
    <w:uiPriority w:val="99"/>
    <w:semiHidden/>
    <w:unhideWhenUsed/>
    <w:rPr>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pageBreakBefore/>
      <w:tabs>
        <w:tab w:val="center" w:pos="4535"/>
        <w:tab w:val="right" w:pos="9071"/>
        <w:tab w:val="right" w:pos="9921"/>
      </w:tabs>
      <w:autoSpaceDE w:val="0"/>
      <w:autoSpaceDN w:val="0"/>
      <w:adjustRightInd w:val="0"/>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hAnsi="Times New Roman"/>
      <w:sz w:val="24"/>
      <w:szCs w:val="22"/>
      <w:lang w:eastAsia="en-US"/>
    </w:rPr>
  </w:style>
  <w:style w:type="paragraph" w:customStyle="1" w:styleId="FooterSensitivity">
    <w:name w:val="Footer Sensitivity"/>
    <w:basedOn w:val="Normal"/>
    <w:link w:val="FooterSensitivityChar"/>
    <w:pPr>
      <w:pageBreakBefore/>
      <w:pBdr>
        <w:top w:val="single" w:sz="4" w:space="1" w:color="auto"/>
        <w:left w:val="single" w:sz="4" w:space="4" w:color="auto"/>
        <w:bottom w:val="single" w:sz="4" w:space="1" w:color="auto"/>
        <w:right w:val="single" w:sz="4" w:space="4" w:color="auto"/>
      </w:pBdr>
      <w:autoSpaceDE w:val="0"/>
      <w:autoSpaceDN w:val="0"/>
      <w:adjustRightInd w:val="0"/>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basedOn w:val="DefaultParagraphFont"/>
    <w:link w:val="FooterSensitivity"/>
    <w:rPr>
      <w:rFonts w:ascii="Times New Roman" w:hAnsi="Times New Roman"/>
      <w:b/>
      <w:sz w:val="32"/>
      <w:szCs w:val="22"/>
      <w:lang w:eastAsia="en-US"/>
    </w:rPr>
  </w:style>
  <w:style w:type="paragraph" w:customStyle="1" w:styleId="HeaderCoverPage">
    <w:name w:val="Header Cover Page"/>
    <w:basedOn w:val="Normal"/>
    <w:link w:val="HeaderCoverPageChar"/>
    <w:pPr>
      <w:pageBreakBefore/>
      <w:tabs>
        <w:tab w:val="center" w:pos="4535"/>
        <w:tab w:val="right" w:pos="9071"/>
      </w:tabs>
      <w:autoSpaceDE w:val="0"/>
      <w:autoSpaceDN w:val="0"/>
      <w:adjustRightInd w:val="0"/>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sz w:val="24"/>
      <w:szCs w:val="22"/>
      <w:lang w:eastAsia="en-US"/>
    </w:rPr>
  </w:style>
  <w:style w:type="paragraph" w:customStyle="1" w:styleId="HeaderSensitivity">
    <w:name w:val="Header Sensitivity"/>
    <w:basedOn w:val="Normal"/>
    <w:link w:val="HeaderSensitivityChar"/>
    <w:pPr>
      <w:pageBreakBefore/>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DefaultParagraphFont"/>
    <w:link w:val="HeaderSensitivity"/>
    <w:rPr>
      <w:rFonts w:ascii="Times New Roman" w:hAnsi="Times New Roman"/>
      <w:b/>
      <w:sz w:val="32"/>
      <w:szCs w:val="22"/>
      <w:lang w:eastAsia="en-US"/>
    </w:rPr>
  </w:style>
  <w:style w:type="paragraph" w:customStyle="1" w:styleId="HeaderSensitivityRight">
    <w:name w:val="Header Sensitivity Right"/>
    <w:basedOn w:val="Normal"/>
    <w:link w:val="HeaderSensitivityRightChar"/>
    <w:pPr>
      <w:pageBreakBefore/>
      <w:autoSpaceDE w:val="0"/>
      <w:autoSpaceDN w:val="0"/>
      <w:adjustRightInd w:val="0"/>
      <w:spacing w:after="120" w:line="240" w:lineRule="auto"/>
      <w:jc w:val="right"/>
    </w:pPr>
    <w:rPr>
      <w:rFonts w:ascii="Times New Roman" w:hAnsi="Times New Roman"/>
      <w:sz w:val="28"/>
    </w:rPr>
  </w:style>
  <w:style w:type="character" w:customStyle="1" w:styleId="HeaderSensitivityRightChar">
    <w:name w:val="Header Sensitivity Right Char"/>
    <w:basedOn w:val="DefaultParagraphFont"/>
    <w:link w:val="HeaderSensitivityRight"/>
    <w:rPr>
      <w:rFonts w:ascii="Times New Roman" w:hAnsi="Times New Roman"/>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Pr>
      <w:sz w:val="22"/>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lang w:eastAsia="en-US"/>
    </w:rPr>
  </w:style>
  <w:style w:type="paragraph" w:styleId="TOCHeading">
    <w:name w:val="TOC Heading"/>
    <w:basedOn w:val="Heading1"/>
    <w:next w:val="Normal"/>
    <w:uiPriority w:val="39"/>
    <w:unhideWhenUsed/>
    <w:qFormat/>
    <w:pPr>
      <w:spacing w:line="259" w:lineRule="auto"/>
      <w:outlineLvl w:val="9"/>
    </w:pPr>
    <w:rPr>
      <w:lang w:val="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line="259" w:lineRule="auto"/>
      <w:ind w:left="440"/>
    </w:pPr>
    <w:rPr>
      <w:rFonts w:asciiTheme="minorHAnsi" w:eastAsiaTheme="minorEastAsia" w:hAnsiTheme="minorHAnsi" w:cstheme="minorBidi"/>
      <w:lang w:eastAsia="en-GB"/>
    </w:r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lang w:eastAsia="en-GB"/>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lang w:eastAsia="en-US"/>
    </w:rPr>
  </w:style>
  <w:style w:type="paragraph" w:styleId="ListParagraph">
    <w:name w:val="List Paragraph"/>
    <w:basedOn w:val="Normal"/>
    <w:uiPriority w:val="34"/>
    <w:qFormat/>
    <w:pPr>
      <w:spacing w:after="0" w:line="240" w:lineRule="auto"/>
      <w:ind w:left="720"/>
    </w:pPr>
    <w:rPr>
      <w:rFonts w:eastAsiaTheme="minorHAnsi"/>
    </w:rPr>
  </w:style>
  <w:style w:type="character" w:styleId="FootnoteReference">
    <w:name w:val="footnote reference"/>
    <w:aliases w:val="Footnote reference number,Footnote symbol,note TESI,number,SUPERS,EN Footnote Reference,Times 10 Point,Exposant 3 Point,Footnote Reference_LVL6,Footnote Reference_LVL61,Footnote Reference_LVL62,Footnote Reference_LVL"/>
    <w:uiPriority w:val="99"/>
    <w:semiHidden/>
    <w:unhideWhenUsed/>
    <w:rPr>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pageBreakBefore/>
      <w:tabs>
        <w:tab w:val="center" w:pos="4535"/>
        <w:tab w:val="right" w:pos="9071"/>
        <w:tab w:val="right" w:pos="9921"/>
      </w:tabs>
      <w:autoSpaceDE w:val="0"/>
      <w:autoSpaceDN w:val="0"/>
      <w:adjustRightInd w:val="0"/>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hAnsi="Times New Roman"/>
      <w:sz w:val="24"/>
      <w:szCs w:val="22"/>
      <w:lang w:eastAsia="en-US"/>
    </w:rPr>
  </w:style>
  <w:style w:type="paragraph" w:customStyle="1" w:styleId="FooterSensitivity">
    <w:name w:val="Footer Sensitivity"/>
    <w:basedOn w:val="Normal"/>
    <w:link w:val="FooterSensitivityChar"/>
    <w:pPr>
      <w:pageBreakBefore/>
      <w:pBdr>
        <w:top w:val="single" w:sz="4" w:space="1" w:color="auto"/>
        <w:left w:val="single" w:sz="4" w:space="4" w:color="auto"/>
        <w:bottom w:val="single" w:sz="4" w:space="1" w:color="auto"/>
        <w:right w:val="single" w:sz="4" w:space="4" w:color="auto"/>
      </w:pBdr>
      <w:autoSpaceDE w:val="0"/>
      <w:autoSpaceDN w:val="0"/>
      <w:adjustRightInd w:val="0"/>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basedOn w:val="DefaultParagraphFont"/>
    <w:link w:val="FooterSensitivity"/>
    <w:rPr>
      <w:rFonts w:ascii="Times New Roman" w:hAnsi="Times New Roman"/>
      <w:b/>
      <w:sz w:val="32"/>
      <w:szCs w:val="22"/>
      <w:lang w:eastAsia="en-US"/>
    </w:rPr>
  </w:style>
  <w:style w:type="paragraph" w:customStyle="1" w:styleId="HeaderCoverPage">
    <w:name w:val="Header Cover Page"/>
    <w:basedOn w:val="Normal"/>
    <w:link w:val="HeaderCoverPageChar"/>
    <w:pPr>
      <w:pageBreakBefore/>
      <w:tabs>
        <w:tab w:val="center" w:pos="4535"/>
        <w:tab w:val="right" w:pos="9071"/>
      </w:tabs>
      <w:autoSpaceDE w:val="0"/>
      <w:autoSpaceDN w:val="0"/>
      <w:adjustRightInd w:val="0"/>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sz w:val="24"/>
      <w:szCs w:val="22"/>
      <w:lang w:eastAsia="en-US"/>
    </w:rPr>
  </w:style>
  <w:style w:type="paragraph" w:customStyle="1" w:styleId="HeaderSensitivity">
    <w:name w:val="Header Sensitivity"/>
    <w:basedOn w:val="Normal"/>
    <w:link w:val="HeaderSensitivityChar"/>
    <w:pPr>
      <w:pageBreakBefore/>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DefaultParagraphFont"/>
    <w:link w:val="HeaderSensitivity"/>
    <w:rPr>
      <w:rFonts w:ascii="Times New Roman" w:hAnsi="Times New Roman"/>
      <w:b/>
      <w:sz w:val="32"/>
      <w:szCs w:val="22"/>
      <w:lang w:eastAsia="en-US"/>
    </w:rPr>
  </w:style>
  <w:style w:type="paragraph" w:customStyle="1" w:styleId="HeaderSensitivityRight">
    <w:name w:val="Header Sensitivity Right"/>
    <w:basedOn w:val="Normal"/>
    <w:link w:val="HeaderSensitivityRightChar"/>
    <w:pPr>
      <w:pageBreakBefore/>
      <w:autoSpaceDE w:val="0"/>
      <w:autoSpaceDN w:val="0"/>
      <w:adjustRightInd w:val="0"/>
      <w:spacing w:after="120" w:line="240" w:lineRule="auto"/>
      <w:jc w:val="right"/>
    </w:pPr>
    <w:rPr>
      <w:rFonts w:ascii="Times New Roman" w:hAnsi="Times New Roman"/>
      <w:sz w:val="28"/>
    </w:rPr>
  </w:style>
  <w:style w:type="character" w:customStyle="1" w:styleId="HeaderSensitivityRightChar">
    <w:name w:val="Header Sensitivity Right Char"/>
    <w:basedOn w:val="DefaultParagraphFont"/>
    <w:link w:val="HeaderSensitivityRight"/>
    <w:rPr>
      <w:rFonts w:ascii="Times New Roman" w:hAnsi="Times New Roman"/>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749332">
      <w:bodyDiv w:val="1"/>
      <w:marLeft w:val="0"/>
      <w:marRight w:val="0"/>
      <w:marTop w:val="0"/>
      <w:marBottom w:val="0"/>
      <w:divBdr>
        <w:top w:val="none" w:sz="0" w:space="0" w:color="auto"/>
        <w:left w:val="none" w:sz="0" w:space="0" w:color="auto"/>
        <w:bottom w:val="none" w:sz="0" w:space="0" w:color="auto"/>
        <w:right w:val="none" w:sz="0" w:space="0" w:color="auto"/>
      </w:divBdr>
    </w:div>
    <w:div w:id="157381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emf"/><Relationship Id="rId21" Type="http://schemas.openxmlformats.org/officeDocument/2006/relationships/hyperlink" Target="https://ec.europa.eu/eurostat/documents/7870049/10315118/KS-FT-19-009-EN-N.pdf/6f26c2ab-6a33-bdf1-0b7e-ec328e286751" TargetMode="External"/><Relationship Id="rId42" Type="http://schemas.openxmlformats.org/officeDocument/2006/relationships/image" Target="media/image12.emf"/><Relationship Id="rId63" Type="http://schemas.openxmlformats.org/officeDocument/2006/relationships/image" Target="media/image33.emf"/><Relationship Id="rId84" Type="http://schemas.openxmlformats.org/officeDocument/2006/relationships/image" Target="media/image54.emf"/><Relationship Id="rId138" Type="http://schemas.openxmlformats.org/officeDocument/2006/relationships/image" Target="media/image108.emf"/><Relationship Id="rId159" Type="http://schemas.openxmlformats.org/officeDocument/2006/relationships/image" Target="media/image129.emf"/><Relationship Id="rId170" Type="http://schemas.openxmlformats.org/officeDocument/2006/relationships/image" Target="media/image140.emf"/><Relationship Id="rId191" Type="http://schemas.openxmlformats.org/officeDocument/2006/relationships/image" Target="media/image161.emf"/><Relationship Id="rId205" Type="http://schemas.openxmlformats.org/officeDocument/2006/relationships/header" Target="header7.xml"/><Relationship Id="rId107" Type="http://schemas.openxmlformats.org/officeDocument/2006/relationships/image" Target="media/image77.emf"/><Relationship Id="rId11" Type="http://schemas.openxmlformats.org/officeDocument/2006/relationships/header" Target="header2.xml"/><Relationship Id="rId32" Type="http://schemas.openxmlformats.org/officeDocument/2006/relationships/footer" Target="footer6.xml"/><Relationship Id="rId37" Type="http://schemas.openxmlformats.org/officeDocument/2006/relationships/image" Target="media/image7.emf"/><Relationship Id="rId53" Type="http://schemas.openxmlformats.org/officeDocument/2006/relationships/image" Target="media/image23.emf"/><Relationship Id="rId58" Type="http://schemas.openxmlformats.org/officeDocument/2006/relationships/image" Target="media/image28.emf"/><Relationship Id="rId74" Type="http://schemas.openxmlformats.org/officeDocument/2006/relationships/image" Target="media/image44.emf"/><Relationship Id="rId79" Type="http://schemas.openxmlformats.org/officeDocument/2006/relationships/image" Target="media/image49.emf"/><Relationship Id="rId102" Type="http://schemas.openxmlformats.org/officeDocument/2006/relationships/image" Target="media/image72.emf"/><Relationship Id="rId123" Type="http://schemas.openxmlformats.org/officeDocument/2006/relationships/image" Target="media/image93.emf"/><Relationship Id="rId128" Type="http://schemas.openxmlformats.org/officeDocument/2006/relationships/image" Target="media/image98.emf"/><Relationship Id="rId144" Type="http://schemas.openxmlformats.org/officeDocument/2006/relationships/image" Target="media/image114.emf"/><Relationship Id="rId149" Type="http://schemas.openxmlformats.org/officeDocument/2006/relationships/image" Target="media/image119.emf"/><Relationship Id="rId5" Type="http://schemas.openxmlformats.org/officeDocument/2006/relationships/settings" Target="settings.xml"/><Relationship Id="rId90" Type="http://schemas.openxmlformats.org/officeDocument/2006/relationships/image" Target="media/image60.emf"/><Relationship Id="rId95" Type="http://schemas.openxmlformats.org/officeDocument/2006/relationships/image" Target="media/image65.emf"/><Relationship Id="rId160" Type="http://schemas.openxmlformats.org/officeDocument/2006/relationships/image" Target="media/image130.emf"/><Relationship Id="rId165" Type="http://schemas.openxmlformats.org/officeDocument/2006/relationships/image" Target="media/image135.emf"/><Relationship Id="rId181" Type="http://schemas.openxmlformats.org/officeDocument/2006/relationships/image" Target="media/image151.emf"/><Relationship Id="rId186" Type="http://schemas.openxmlformats.org/officeDocument/2006/relationships/image" Target="media/image156.emf"/><Relationship Id="rId211" Type="http://schemas.openxmlformats.org/officeDocument/2006/relationships/fontTable" Target="fontTable.xml"/><Relationship Id="rId22" Type="http://schemas.openxmlformats.org/officeDocument/2006/relationships/hyperlink" Target="https://www.ecb.europa.eu/pub/pdf/euroareafinancialaccounts/ecb.eaqfa201806.en.pdf" TargetMode="External"/><Relationship Id="rId27" Type="http://schemas.openxmlformats.org/officeDocument/2006/relationships/header" Target="header4.xml"/><Relationship Id="rId43" Type="http://schemas.openxmlformats.org/officeDocument/2006/relationships/image" Target="media/image13.emf"/><Relationship Id="rId48" Type="http://schemas.openxmlformats.org/officeDocument/2006/relationships/image" Target="media/image18.emf"/><Relationship Id="rId64" Type="http://schemas.openxmlformats.org/officeDocument/2006/relationships/image" Target="media/image34.emf"/><Relationship Id="rId69" Type="http://schemas.openxmlformats.org/officeDocument/2006/relationships/image" Target="media/image39.emf"/><Relationship Id="rId113" Type="http://schemas.openxmlformats.org/officeDocument/2006/relationships/image" Target="media/image83.emf"/><Relationship Id="rId118" Type="http://schemas.openxmlformats.org/officeDocument/2006/relationships/image" Target="media/image88.emf"/><Relationship Id="rId134" Type="http://schemas.openxmlformats.org/officeDocument/2006/relationships/image" Target="media/image104.emf"/><Relationship Id="rId139" Type="http://schemas.openxmlformats.org/officeDocument/2006/relationships/image" Target="media/image109.emf"/><Relationship Id="rId80" Type="http://schemas.openxmlformats.org/officeDocument/2006/relationships/image" Target="media/image50.emf"/><Relationship Id="rId85" Type="http://schemas.openxmlformats.org/officeDocument/2006/relationships/image" Target="media/image55.emf"/><Relationship Id="rId150" Type="http://schemas.openxmlformats.org/officeDocument/2006/relationships/image" Target="media/image120.emf"/><Relationship Id="rId155" Type="http://schemas.openxmlformats.org/officeDocument/2006/relationships/image" Target="media/image125.emf"/><Relationship Id="rId171" Type="http://schemas.openxmlformats.org/officeDocument/2006/relationships/image" Target="media/image141.emf"/><Relationship Id="rId176" Type="http://schemas.openxmlformats.org/officeDocument/2006/relationships/image" Target="media/image146.emf"/><Relationship Id="rId192" Type="http://schemas.openxmlformats.org/officeDocument/2006/relationships/image" Target="media/image162.emf"/><Relationship Id="rId197" Type="http://schemas.openxmlformats.org/officeDocument/2006/relationships/image" Target="media/image167.emf"/><Relationship Id="rId206" Type="http://schemas.openxmlformats.org/officeDocument/2006/relationships/header" Target="header8.xml"/><Relationship Id="rId201" Type="http://schemas.openxmlformats.org/officeDocument/2006/relationships/image" Target="media/image171.emf"/><Relationship Id="rId12" Type="http://schemas.openxmlformats.org/officeDocument/2006/relationships/footer" Target="footer1.xml"/><Relationship Id="rId17" Type="http://schemas.openxmlformats.org/officeDocument/2006/relationships/hyperlink" Target="mailto:ESTAT-MIP@ec.europa.eu" TargetMode="External"/><Relationship Id="rId33" Type="http://schemas.openxmlformats.org/officeDocument/2006/relationships/image" Target="media/image3.emf"/><Relationship Id="rId38" Type="http://schemas.openxmlformats.org/officeDocument/2006/relationships/image" Target="media/image8.emf"/><Relationship Id="rId59" Type="http://schemas.openxmlformats.org/officeDocument/2006/relationships/image" Target="media/image29.emf"/><Relationship Id="rId103" Type="http://schemas.openxmlformats.org/officeDocument/2006/relationships/image" Target="media/image73.emf"/><Relationship Id="rId108" Type="http://schemas.openxmlformats.org/officeDocument/2006/relationships/image" Target="media/image78.emf"/><Relationship Id="rId124" Type="http://schemas.openxmlformats.org/officeDocument/2006/relationships/image" Target="media/image94.emf"/><Relationship Id="rId129" Type="http://schemas.openxmlformats.org/officeDocument/2006/relationships/image" Target="media/image99.emf"/><Relationship Id="rId54" Type="http://schemas.openxmlformats.org/officeDocument/2006/relationships/image" Target="media/image24.emf"/><Relationship Id="rId70" Type="http://schemas.openxmlformats.org/officeDocument/2006/relationships/image" Target="media/image40.emf"/><Relationship Id="rId75" Type="http://schemas.openxmlformats.org/officeDocument/2006/relationships/image" Target="media/image45.emf"/><Relationship Id="rId91" Type="http://schemas.openxmlformats.org/officeDocument/2006/relationships/image" Target="media/image61.emf"/><Relationship Id="rId96" Type="http://schemas.openxmlformats.org/officeDocument/2006/relationships/image" Target="media/image66.emf"/><Relationship Id="rId140" Type="http://schemas.openxmlformats.org/officeDocument/2006/relationships/image" Target="media/image110.emf"/><Relationship Id="rId145" Type="http://schemas.openxmlformats.org/officeDocument/2006/relationships/image" Target="media/image115.emf"/><Relationship Id="rId161" Type="http://schemas.openxmlformats.org/officeDocument/2006/relationships/image" Target="media/image131.emf"/><Relationship Id="rId166" Type="http://schemas.openxmlformats.org/officeDocument/2006/relationships/image" Target="media/image136.emf"/><Relationship Id="rId182" Type="http://schemas.openxmlformats.org/officeDocument/2006/relationships/image" Target="media/image152.emf"/><Relationship Id="rId187" Type="http://schemas.openxmlformats.org/officeDocument/2006/relationships/image" Target="media/image157.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theme" Target="theme/theme1.xml"/><Relationship Id="rId23" Type="http://schemas.openxmlformats.org/officeDocument/2006/relationships/hyperlink" Target="https://ec.europa.eu/eurostat/documents/7870049/10088317/KS-FT-19-005-EN-N.pdf" TargetMode="External"/><Relationship Id="rId28" Type="http://schemas.openxmlformats.org/officeDocument/2006/relationships/header" Target="header5.xml"/><Relationship Id="rId49" Type="http://schemas.openxmlformats.org/officeDocument/2006/relationships/image" Target="media/image19.emf"/><Relationship Id="rId114" Type="http://schemas.openxmlformats.org/officeDocument/2006/relationships/image" Target="media/image84.emf"/><Relationship Id="rId119" Type="http://schemas.openxmlformats.org/officeDocument/2006/relationships/image" Target="media/image89.emf"/><Relationship Id="rId44" Type="http://schemas.openxmlformats.org/officeDocument/2006/relationships/image" Target="media/image14.emf"/><Relationship Id="rId60" Type="http://schemas.openxmlformats.org/officeDocument/2006/relationships/image" Target="media/image30.emf"/><Relationship Id="rId65" Type="http://schemas.openxmlformats.org/officeDocument/2006/relationships/image" Target="media/image35.emf"/><Relationship Id="rId81" Type="http://schemas.openxmlformats.org/officeDocument/2006/relationships/image" Target="media/image51.emf"/><Relationship Id="rId86" Type="http://schemas.openxmlformats.org/officeDocument/2006/relationships/image" Target="media/image56.emf"/><Relationship Id="rId130" Type="http://schemas.openxmlformats.org/officeDocument/2006/relationships/image" Target="media/image100.emf"/><Relationship Id="rId135" Type="http://schemas.openxmlformats.org/officeDocument/2006/relationships/image" Target="media/image105.emf"/><Relationship Id="rId151" Type="http://schemas.openxmlformats.org/officeDocument/2006/relationships/image" Target="media/image121.emf"/><Relationship Id="rId156" Type="http://schemas.openxmlformats.org/officeDocument/2006/relationships/image" Target="media/image126.emf"/><Relationship Id="rId177" Type="http://schemas.openxmlformats.org/officeDocument/2006/relationships/image" Target="media/image147.emf"/><Relationship Id="rId198" Type="http://schemas.openxmlformats.org/officeDocument/2006/relationships/image" Target="media/image168.emf"/><Relationship Id="rId172" Type="http://schemas.openxmlformats.org/officeDocument/2006/relationships/image" Target="media/image142.emf"/><Relationship Id="rId193" Type="http://schemas.openxmlformats.org/officeDocument/2006/relationships/image" Target="media/image163.emf"/><Relationship Id="rId202" Type="http://schemas.openxmlformats.org/officeDocument/2006/relationships/image" Target="media/image172.emf"/><Relationship Id="rId207" Type="http://schemas.openxmlformats.org/officeDocument/2006/relationships/footer" Target="footer7.xml"/><Relationship Id="rId13" Type="http://schemas.openxmlformats.org/officeDocument/2006/relationships/footer" Target="footer2.xml"/><Relationship Id="rId18" Type="http://schemas.openxmlformats.org/officeDocument/2006/relationships/hyperlink" Target="http://eur-lex.europa.eu/LexUriServ/LexUriServ.do?uri=OJ:L:2012:166:0022:0066:EN:PDF" TargetMode="External"/><Relationship Id="rId39" Type="http://schemas.openxmlformats.org/officeDocument/2006/relationships/image" Target="media/image9.emf"/><Relationship Id="rId109" Type="http://schemas.openxmlformats.org/officeDocument/2006/relationships/image" Target="media/image79.emf"/><Relationship Id="rId34" Type="http://schemas.openxmlformats.org/officeDocument/2006/relationships/image" Target="media/image4.emf"/><Relationship Id="rId50" Type="http://schemas.openxmlformats.org/officeDocument/2006/relationships/image" Target="media/image20.emf"/><Relationship Id="rId55" Type="http://schemas.openxmlformats.org/officeDocument/2006/relationships/image" Target="media/image25.emf"/><Relationship Id="rId76" Type="http://schemas.openxmlformats.org/officeDocument/2006/relationships/image" Target="media/image46.emf"/><Relationship Id="rId97" Type="http://schemas.openxmlformats.org/officeDocument/2006/relationships/image" Target="media/image67.emf"/><Relationship Id="rId104" Type="http://schemas.openxmlformats.org/officeDocument/2006/relationships/image" Target="media/image74.emf"/><Relationship Id="rId120" Type="http://schemas.openxmlformats.org/officeDocument/2006/relationships/image" Target="media/image90.emf"/><Relationship Id="rId125" Type="http://schemas.openxmlformats.org/officeDocument/2006/relationships/image" Target="media/image95.emf"/><Relationship Id="rId141" Type="http://schemas.openxmlformats.org/officeDocument/2006/relationships/image" Target="media/image111.emf"/><Relationship Id="rId146" Type="http://schemas.openxmlformats.org/officeDocument/2006/relationships/image" Target="media/image116.emf"/><Relationship Id="rId167" Type="http://schemas.openxmlformats.org/officeDocument/2006/relationships/image" Target="media/image137.emf"/><Relationship Id="rId188" Type="http://schemas.openxmlformats.org/officeDocument/2006/relationships/image" Target="media/image158.emf"/><Relationship Id="rId7" Type="http://schemas.openxmlformats.org/officeDocument/2006/relationships/footnotes" Target="footnotes.xml"/><Relationship Id="rId71" Type="http://schemas.openxmlformats.org/officeDocument/2006/relationships/image" Target="media/image41.emf"/><Relationship Id="rId92" Type="http://schemas.openxmlformats.org/officeDocument/2006/relationships/image" Target="media/image62.emf"/><Relationship Id="rId162" Type="http://schemas.openxmlformats.org/officeDocument/2006/relationships/image" Target="media/image132.emf"/><Relationship Id="rId183" Type="http://schemas.openxmlformats.org/officeDocument/2006/relationships/image" Target="media/image153.emf"/><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yperlink" Target="https://www.ecb.europa.eu/pub/pdf/bopips/ecb.bopips201806.en.pdf" TargetMode="External"/><Relationship Id="rId40" Type="http://schemas.openxmlformats.org/officeDocument/2006/relationships/image" Target="media/image10.emf"/><Relationship Id="rId45" Type="http://schemas.openxmlformats.org/officeDocument/2006/relationships/image" Target="media/image15.emf"/><Relationship Id="rId66" Type="http://schemas.openxmlformats.org/officeDocument/2006/relationships/image" Target="media/image36.emf"/><Relationship Id="rId87" Type="http://schemas.openxmlformats.org/officeDocument/2006/relationships/image" Target="media/image57.emf"/><Relationship Id="rId110" Type="http://schemas.openxmlformats.org/officeDocument/2006/relationships/image" Target="media/image80.emf"/><Relationship Id="rId115" Type="http://schemas.openxmlformats.org/officeDocument/2006/relationships/image" Target="media/image85.emf"/><Relationship Id="rId131" Type="http://schemas.openxmlformats.org/officeDocument/2006/relationships/image" Target="media/image101.emf"/><Relationship Id="rId136" Type="http://schemas.openxmlformats.org/officeDocument/2006/relationships/image" Target="media/image106.emf"/><Relationship Id="rId157" Type="http://schemas.openxmlformats.org/officeDocument/2006/relationships/image" Target="media/image127.emf"/><Relationship Id="rId178" Type="http://schemas.openxmlformats.org/officeDocument/2006/relationships/image" Target="media/image148.emf"/><Relationship Id="rId61" Type="http://schemas.openxmlformats.org/officeDocument/2006/relationships/image" Target="media/image31.emf"/><Relationship Id="rId82" Type="http://schemas.openxmlformats.org/officeDocument/2006/relationships/image" Target="media/image52.emf"/><Relationship Id="rId152" Type="http://schemas.openxmlformats.org/officeDocument/2006/relationships/image" Target="media/image122.emf"/><Relationship Id="rId173" Type="http://schemas.openxmlformats.org/officeDocument/2006/relationships/image" Target="media/image143.emf"/><Relationship Id="rId194" Type="http://schemas.openxmlformats.org/officeDocument/2006/relationships/image" Target="media/image164.emf"/><Relationship Id="rId199" Type="http://schemas.openxmlformats.org/officeDocument/2006/relationships/image" Target="media/image169.emf"/><Relationship Id="rId203" Type="http://schemas.openxmlformats.org/officeDocument/2006/relationships/image" Target="media/image173.emf"/><Relationship Id="rId208" Type="http://schemas.openxmlformats.org/officeDocument/2006/relationships/footer" Target="footer8.xml"/><Relationship Id="rId19" Type="http://schemas.openxmlformats.org/officeDocument/2006/relationships/hyperlink" Target="https://ec.europa.eu/eurostat/web/government-finance-statistics/publications" TargetMode="External"/><Relationship Id="rId14" Type="http://schemas.openxmlformats.org/officeDocument/2006/relationships/header" Target="header3.xml"/><Relationship Id="rId30" Type="http://schemas.openxmlformats.org/officeDocument/2006/relationships/footer" Target="footer5.xml"/><Relationship Id="rId35" Type="http://schemas.openxmlformats.org/officeDocument/2006/relationships/image" Target="media/image5.emf"/><Relationship Id="rId56" Type="http://schemas.openxmlformats.org/officeDocument/2006/relationships/image" Target="media/image26.emf"/><Relationship Id="rId77" Type="http://schemas.openxmlformats.org/officeDocument/2006/relationships/image" Target="media/image47.emf"/><Relationship Id="rId100" Type="http://schemas.openxmlformats.org/officeDocument/2006/relationships/image" Target="media/image70.emf"/><Relationship Id="rId105" Type="http://schemas.openxmlformats.org/officeDocument/2006/relationships/image" Target="media/image75.emf"/><Relationship Id="rId126" Type="http://schemas.openxmlformats.org/officeDocument/2006/relationships/image" Target="media/image96.emf"/><Relationship Id="rId147" Type="http://schemas.openxmlformats.org/officeDocument/2006/relationships/image" Target="media/image117.emf"/><Relationship Id="rId168" Type="http://schemas.openxmlformats.org/officeDocument/2006/relationships/image" Target="media/image138.emf"/><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image" Target="media/image42.emf"/><Relationship Id="rId93" Type="http://schemas.openxmlformats.org/officeDocument/2006/relationships/image" Target="media/image63.emf"/><Relationship Id="rId98" Type="http://schemas.openxmlformats.org/officeDocument/2006/relationships/image" Target="media/image68.emf"/><Relationship Id="rId121" Type="http://schemas.openxmlformats.org/officeDocument/2006/relationships/image" Target="media/image91.emf"/><Relationship Id="rId142" Type="http://schemas.openxmlformats.org/officeDocument/2006/relationships/image" Target="media/image112.emf"/><Relationship Id="rId163" Type="http://schemas.openxmlformats.org/officeDocument/2006/relationships/image" Target="media/image133.emf"/><Relationship Id="rId184" Type="http://schemas.openxmlformats.org/officeDocument/2006/relationships/image" Target="media/image154.emf"/><Relationship Id="rId189" Type="http://schemas.openxmlformats.org/officeDocument/2006/relationships/image" Target="media/image159.emf"/><Relationship Id="rId3" Type="http://schemas.openxmlformats.org/officeDocument/2006/relationships/styles" Target="styles.xml"/><Relationship Id="rId25" Type="http://schemas.openxmlformats.org/officeDocument/2006/relationships/hyperlink" Target="https://circabc.europa.eu/sd/a/20d9bdeb-b5b6-455f-8132-fa6b024c603d/Housing%20Price%20Index%20Level%202%20Quality%20Report%202020.pdf" TargetMode="External"/><Relationship Id="rId46" Type="http://schemas.openxmlformats.org/officeDocument/2006/relationships/image" Target="media/image16.emf"/><Relationship Id="rId67" Type="http://schemas.openxmlformats.org/officeDocument/2006/relationships/image" Target="media/image37.emf"/><Relationship Id="rId116" Type="http://schemas.openxmlformats.org/officeDocument/2006/relationships/image" Target="media/image86.emf"/><Relationship Id="rId137" Type="http://schemas.openxmlformats.org/officeDocument/2006/relationships/image" Target="media/image107.emf"/><Relationship Id="rId158" Type="http://schemas.openxmlformats.org/officeDocument/2006/relationships/image" Target="media/image128.emf"/><Relationship Id="rId20" Type="http://schemas.openxmlformats.org/officeDocument/2006/relationships/hyperlink" Target="https://ec.europa.eu/eurostat/web/macroeconomic-imbalances-procedure/quality" TargetMode="External"/><Relationship Id="rId41" Type="http://schemas.openxmlformats.org/officeDocument/2006/relationships/image" Target="media/image11.emf"/><Relationship Id="rId62" Type="http://schemas.openxmlformats.org/officeDocument/2006/relationships/image" Target="media/image32.emf"/><Relationship Id="rId83" Type="http://schemas.openxmlformats.org/officeDocument/2006/relationships/image" Target="media/image53.emf"/><Relationship Id="rId88" Type="http://schemas.openxmlformats.org/officeDocument/2006/relationships/image" Target="media/image58.emf"/><Relationship Id="rId111" Type="http://schemas.openxmlformats.org/officeDocument/2006/relationships/image" Target="media/image81.emf"/><Relationship Id="rId132" Type="http://schemas.openxmlformats.org/officeDocument/2006/relationships/image" Target="media/image102.emf"/><Relationship Id="rId153" Type="http://schemas.openxmlformats.org/officeDocument/2006/relationships/image" Target="media/image123.emf"/><Relationship Id="rId174" Type="http://schemas.openxmlformats.org/officeDocument/2006/relationships/image" Target="media/image144.emf"/><Relationship Id="rId179" Type="http://schemas.openxmlformats.org/officeDocument/2006/relationships/image" Target="media/image149.emf"/><Relationship Id="rId195" Type="http://schemas.openxmlformats.org/officeDocument/2006/relationships/image" Target="media/image165.emf"/><Relationship Id="rId209" Type="http://schemas.openxmlformats.org/officeDocument/2006/relationships/header" Target="header9.xml"/><Relationship Id="rId190" Type="http://schemas.openxmlformats.org/officeDocument/2006/relationships/image" Target="media/image160.emf"/><Relationship Id="rId204" Type="http://schemas.openxmlformats.org/officeDocument/2006/relationships/image" Target="media/image174.emf"/><Relationship Id="rId15" Type="http://schemas.openxmlformats.org/officeDocument/2006/relationships/footer" Target="footer3.xml"/><Relationship Id="rId36" Type="http://schemas.openxmlformats.org/officeDocument/2006/relationships/image" Target="media/image6.emf"/><Relationship Id="rId57" Type="http://schemas.openxmlformats.org/officeDocument/2006/relationships/image" Target="media/image27.emf"/><Relationship Id="rId106" Type="http://schemas.openxmlformats.org/officeDocument/2006/relationships/image" Target="media/image76.emf"/><Relationship Id="rId127" Type="http://schemas.openxmlformats.org/officeDocument/2006/relationships/image" Target="media/image97.emf"/><Relationship Id="rId10" Type="http://schemas.openxmlformats.org/officeDocument/2006/relationships/header" Target="header1.xml"/><Relationship Id="rId31" Type="http://schemas.openxmlformats.org/officeDocument/2006/relationships/header" Target="header6.xml"/><Relationship Id="rId52" Type="http://schemas.openxmlformats.org/officeDocument/2006/relationships/image" Target="media/image22.emf"/><Relationship Id="rId73" Type="http://schemas.openxmlformats.org/officeDocument/2006/relationships/image" Target="media/image43.emf"/><Relationship Id="rId78" Type="http://schemas.openxmlformats.org/officeDocument/2006/relationships/image" Target="media/image48.emf"/><Relationship Id="rId94" Type="http://schemas.openxmlformats.org/officeDocument/2006/relationships/image" Target="media/image64.emf"/><Relationship Id="rId99" Type="http://schemas.openxmlformats.org/officeDocument/2006/relationships/image" Target="media/image69.emf"/><Relationship Id="rId101" Type="http://schemas.openxmlformats.org/officeDocument/2006/relationships/image" Target="media/image71.emf"/><Relationship Id="rId122" Type="http://schemas.openxmlformats.org/officeDocument/2006/relationships/image" Target="media/image92.emf"/><Relationship Id="rId143" Type="http://schemas.openxmlformats.org/officeDocument/2006/relationships/image" Target="media/image113.emf"/><Relationship Id="rId148" Type="http://schemas.openxmlformats.org/officeDocument/2006/relationships/image" Target="media/image118.emf"/><Relationship Id="rId164" Type="http://schemas.openxmlformats.org/officeDocument/2006/relationships/image" Target="media/image134.emf"/><Relationship Id="rId169" Type="http://schemas.openxmlformats.org/officeDocument/2006/relationships/image" Target="media/image139.emf"/><Relationship Id="rId185" Type="http://schemas.openxmlformats.org/officeDocument/2006/relationships/image" Target="media/image155.emf"/><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150.emf"/><Relationship Id="rId210" Type="http://schemas.openxmlformats.org/officeDocument/2006/relationships/footer" Target="footer9.xml"/><Relationship Id="rId26" Type="http://schemas.openxmlformats.org/officeDocument/2006/relationships/hyperlink" Target="https://ec.europa.eu/eurostat/documents/7870049/10381077/KS-FT-20-001-EN-N.pdf/9945a36a-4166-eae6-47a6-7153346915de" TargetMode="External"/><Relationship Id="rId47" Type="http://schemas.openxmlformats.org/officeDocument/2006/relationships/image" Target="media/image17.emf"/><Relationship Id="rId68" Type="http://schemas.openxmlformats.org/officeDocument/2006/relationships/image" Target="media/image38.emf"/><Relationship Id="rId89" Type="http://schemas.openxmlformats.org/officeDocument/2006/relationships/image" Target="media/image59.emf"/><Relationship Id="rId112" Type="http://schemas.openxmlformats.org/officeDocument/2006/relationships/image" Target="media/image82.emf"/><Relationship Id="rId133" Type="http://schemas.openxmlformats.org/officeDocument/2006/relationships/image" Target="media/image103.emf"/><Relationship Id="rId154" Type="http://schemas.openxmlformats.org/officeDocument/2006/relationships/image" Target="media/image124.emf"/><Relationship Id="rId175" Type="http://schemas.openxmlformats.org/officeDocument/2006/relationships/image" Target="media/image145.emf"/><Relationship Id="rId196" Type="http://schemas.openxmlformats.org/officeDocument/2006/relationships/image" Target="media/image166.emf"/><Relationship Id="rId200" Type="http://schemas.openxmlformats.org/officeDocument/2006/relationships/image" Target="media/image170.emf"/><Relationship Id="rId16"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files/report-quality-sources-and-methods_en" TargetMode="External"/><Relationship Id="rId3" Type="http://schemas.openxmlformats.org/officeDocument/2006/relationships/hyperlink" Target="http://data.consilium.europa.eu/doc/document/ST-14164-2016-INIT/en/pdf" TargetMode="External"/><Relationship Id="rId7" Type="http://schemas.openxmlformats.org/officeDocument/2006/relationships/hyperlink" Target="https://ec.europa.eu/eurostat/web/esa-2010/esa-2010-implementation-and-data-quality" TargetMode="External"/><Relationship Id="rId2" Type="http://schemas.openxmlformats.org/officeDocument/2006/relationships/hyperlink" Target="https://ec.europa.eu/eurostat/documents/737960/9861115/Benchmark_revisions_2019.pdf" TargetMode="External"/><Relationship Id="rId1" Type="http://schemas.openxmlformats.org/officeDocument/2006/relationships/hyperlink" Target="https://ec.europa.eu/eurostat/web/esa-2010/esa-2010-implementation-and-data-quality" TargetMode="External"/><Relationship Id="rId6" Type="http://schemas.openxmlformats.org/officeDocument/2006/relationships/hyperlink" Target="https://ec.europa.eu/eurostat/en/web/products-statistical-reports/-/KS-FT-19-009" TargetMode="External"/><Relationship Id="rId5" Type="http://schemas.openxmlformats.org/officeDocument/2006/relationships/hyperlink" Target="http://eur-lex.europa.eu/legal-content/EN/TXT/?uri=uriserv%3AOJ.L_.2016.345.01.0027.01.ENG" TargetMode="External"/><Relationship Id="rId4" Type="http://schemas.openxmlformats.org/officeDocument/2006/relationships/hyperlink" Target="https://ec.europa.eu/eurostat/web/macroeconomic-imbalances-procedure/quality" TargetMode="External"/><Relationship Id="rId9" Type="http://schemas.openxmlformats.org/officeDocument/2006/relationships/hyperlink" Target="https://www.cmfb.org/main-topics/mip-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6919D4C-CD78-4403-A26C-370ECC9BC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8118</Words>
  <Characters>45382</Characters>
  <Application>Microsoft Office Word</Application>
  <DocSecurity>0</DocSecurity>
  <Lines>1973</Lines>
  <Paragraphs>906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17</cp:revision>
  <cp:lastPrinted>2020-10-20T06:53:00Z</cp:lastPrinted>
  <dcterms:created xsi:type="dcterms:W3CDTF">2020-11-11T21:54:00Z</dcterms:created>
  <dcterms:modified xsi:type="dcterms:W3CDTF">2020-11-17T13:13:00Z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7.0.1, Build 20190916</vt:lpwstr>
  </property>
</Properties>
</file>