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85035EE-EA46-4F0A-AC0B-46D322CE139C" style="width:450.4pt;height:32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36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ДОКЛАД НА КОМИСИЯТА ДО ЕВРОПЕЙСКИЯ ПАРЛАМЕНТ И СЪВЕТА</w:t>
      </w:r>
    </w:p>
    <w:p>
      <w:pPr>
        <w:spacing w:before="360"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szCs w:val="24"/>
        </w:rPr>
        <w:t>Качество на бензиновите и дизеловите горива, използвани за автомобилен транспорт в Европейския съюз</w:t>
      </w:r>
      <w:r>
        <w:rPr>
          <w:noProof/>
        </w:rPr>
        <w:t xml:space="preserve"> </w:t>
      </w:r>
      <w:r>
        <w:rPr>
          <w:noProof/>
        </w:rPr>
        <w:br/>
      </w:r>
      <w:r>
        <w:rPr>
          <w:rFonts w:ascii="Times New Roman" w:hAnsi="Times New Roman"/>
          <w:b/>
          <w:noProof/>
          <w:sz w:val="24"/>
          <w:szCs w:val="24"/>
        </w:rPr>
        <w:t>(за отчетната 2018 година)</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2" w:name="texte"/>
      <w:r>
        <w:rPr>
          <w:rFonts w:ascii="Times New Roman" w:hAnsi="Times New Roman"/>
          <w:b/>
          <w:smallCaps/>
          <w:noProof/>
          <w:sz w:val="24"/>
          <w:szCs w:val="24"/>
        </w:rPr>
        <w:t>1.</w:t>
      </w:r>
      <w:r>
        <w:rPr>
          <w:noProof/>
        </w:rPr>
        <w:tab/>
      </w:r>
      <w:r>
        <w:rPr>
          <w:rFonts w:ascii="Times New Roman" w:hAnsi="Times New Roman"/>
          <w:b/>
          <w:smallCaps/>
          <w:noProof/>
          <w:sz w:val="24"/>
          <w:szCs w:val="24"/>
        </w:rPr>
        <w:t>Въведение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съответствие с член 7а от Директива 98/70/ЕО</w:t>
      </w:r>
      <w:r>
        <w:rPr>
          <w:rFonts w:ascii="Times New Roman" w:eastAsia="Times New Roman" w:hAnsi="Times New Roman" w:cs="Times New Roman"/>
          <w:noProof/>
          <w:sz w:val="24"/>
          <w:szCs w:val="24"/>
          <w:vertAlign w:val="superscript"/>
          <w:lang w:eastAsia="en-GB"/>
        </w:rPr>
        <w:footnoteReference w:id="2"/>
      </w:r>
      <w:r>
        <w:rPr>
          <w:rFonts w:ascii="Times New Roman" w:hAnsi="Times New Roman"/>
          <w:noProof/>
          <w:sz w:val="24"/>
          <w:szCs w:val="24"/>
        </w:rPr>
        <w:t xml:space="preserve"> относно качеството на бензиновите и дизеловите горива (наричана по-нататък „Директива относно качеството на горивата“) и член 5 от Директива (ЕС) 2015/652 на Съвета за установяване на методи за изчисляване и на изисквания за докладване съгласно Директива 98/70/ЕО</w:t>
      </w:r>
      <w:r>
        <w:rPr>
          <w:rStyle w:val="FootnoteReference"/>
          <w:rFonts w:ascii="Times New Roman" w:eastAsia="Times New Roman" w:hAnsi="Times New Roman" w:cs="Times New Roman"/>
          <w:noProof/>
          <w:sz w:val="24"/>
          <w:szCs w:val="24"/>
          <w:lang w:eastAsia="en-GB"/>
        </w:rPr>
        <w:footnoteReference w:id="3"/>
      </w:r>
      <w:r>
        <w:rPr>
          <w:rFonts w:ascii="Times New Roman" w:hAnsi="Times New Roman"/>
          <w:noProof/>
          <w:sz w:val="24"/>
          <w:szCs w:val="24"/>
        </w:rPr>
        <w:t xml:space="preserve"> от държавите членки се изисква ежегодно да докладват за интензитета на парникови газове (ПГ) на доставяните на територията им горива и енергия. Това задължение за докладване се приложи за първи път за отчетната 2017 г. след прилагането и транспонирането на Директива (ЕС) 2015/652 на Съвета. Настоящият годишен доклад включва данните, докладвани за 2018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Освен това съгласно член 8, параграф 3 от Директива 98/70/ЕО от държавите членки се изисква да представят доклад с националните данни за качеството на горивата за предходната календарна година.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настоящия годишен доклад се обобщава предоставената от държавите членки информация във връзка с посочените по-горе изисквания за докладване. Настоящият доклад се основава на данните за 2018 г., подадени от държавите членки до Европейската агенция за околната среда (ЕАОС).</w:t>
      </w:r>
    </w:p>
    <w:p>
      <w:pPr>
        <w:keepNext/>
        <w:tabs>
          <w:tab w:val="left" w:pos="850"/>
        </w:tabs>
        <w:spacing w:before="360" w:after="120" w:line="240" w:lineRule="auto"/>
        <w:ind w:left="864" w:hanging="864"/>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2.</w:t>
      </w:r>
      <w:r>
        <w:rPr>
          <w:noProof/>
        </w:rPr>
        <w:tab/>
      </w:r>
      <w:r>
        <w:rPr>
          <w:rFonts w:ascii="Times New Roman" w:hAnsi="Times New Roman"/>
          <w:b/>
          <w:smallCaps/>
          <w:noProof/>
          <w:sz w:val="24"/>
          <w:szCs w:val="24"/>
        </w:rPr>
        <w:t>Обеми и интензитет на парникови газове за целия жизнен цикъл на видовете горива и енергия</w:t>
      </w:r>
    </w:p>
    <w:p>
      <w:pPr>
        <w:pStyle w:val="EEATextbody"/>
        <w:rPr>
          <w:rFonts w:ascii="Times New Roman" w:hAnsi="Times New Roman" w:cs="Times New Roman"/>
          <w:noProof/>
          <w:sz w:val="24"/>
          <w:szCs w:val="24"/>
        </w:rPr>
      </w:pPr>
      <w:r>
        <w:rPr>
          <w:rFonts w:ascii="Times New Roman" w:hAnsi="Times New Roman"/>
          <w:noProof/>
          <w:sz w:val="24"/>
          <w:szCs w:val="24"/>
        </w:rPr>
        <w:t>В член 7а от Директивата относно качеството на горивата, във връзка с Директива (ЕС) 2015/652 на Съвета, са определени изисквания за докладване по отношение на следното:</w:t>
      </w:r>
    </w:p>
    <w:p>
      <w:pPr>
        <w:pStyle w:val="EEATextbody"/>
        <w:numPr>
          <w:ilvl w:val="0"/>
          <w:numId w:val="41"/>
        </w:numPr>
        <w:rPr>
          <w:rFonts w:ascii="Times New Roman" w:hAnsi="Times New Roman" w:cs="Times New Roman"/>
          <w:noProof/>
          <w:sz w:val="24"/>
          <w:szCs w:val="24"/>
        </w:rPr>
      </w:pPr>
      <w:r>
        <w:rPr>
          <w:rFonts w:ascii="Times New Roman" w:hAnsi="Times New Roman"/>
          <w:noProof/>
          <w:sz w:val="24"/>
          <w:szCs w:val="24"/>
        </w:rPr>
        <w:t>общото количество на всеки вид гориво или енергия, доставяни за автомобилен транспорт или за извънпътна подвижна техника (включително плавателните съдове за вътрешни водни пътища, когато не се намират в морски води), за селскостопански и горскостопански трактори, както и за плавателните съдове с развлекателна цел, когато не се намират в морски води;</w:t>
      </w:r>
    </w:p>
    <w:p>
      <w:pPr>
        <w:pStyle w:val="EEATextbody"/>
        <w:numPr>
          <w:ilvl w:val="0"/>
          <w:numId w:val="41"/>
        </w:numPr>
        <w:rPr>
          <w:rFonts w:ascii="Times New Roman" w:hAnsi="Times New Roman" w:cs="Times New Roman"/>
          <w:noProof/>
          <w:sz w:val="24"/>
          <w:szCs w:val="24"/>
        </w:rPr>
      </w:pPr>
      <w:r>
        <w:rPr>
          <w:rFonts w:ascii="Times New Roman" w:hAnsi="Times New Roman"/>
          <w:noProof/>
          <w:sz w:val="24"/>
          <w:szCs w:val="24"/>
        </w:rPr>
        <w:t>емисиите на ПГ през жизнения цикъл за единица енергия, включително предварителните средни стойности на предвижданите количества емисии от биогорива вследствие на непреки промени в земеползването</w:t>
      </w:r>
      <w:r>
        <w:rPr>
          <w:rFonts w:ascii="Times New Roman" w:hAnsi="Times New Roman"/>
          <w:noProof/>
          <w:sz w:val="24"/>
          <w:szCs w:val="24"/>
          <w:lang w:val="ru-RU"/>
        </w:rPr>
        <w:t xml:space="preserve"> (</w:t>
      </w:r>
      <w:r>
        <w:rPr>
          <w:rFonts w:ascii="Times New Roman" w:hAnsi="Times New Roman"/>
          <w:noProof/>
          <w:sz w:val="24"/>
          <w:szCs w:val="24"/>
        </w:rPr>
        <w:t>НПЗ)</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p>
    <w:p>
      <w:pPr>
        <w:pStyle w:val="EEATextbody"/>
        <w:numPr>
          <w:ilvl w:val="0"/>
          <w:numId w:val="41"/>
        </w:numPr>
        <w:rPr>
          <w:rFonts w:ascii="Times New Roman" w:hAnsi="Times New Roman" w:cs="Times New Roman"/>
          <w:noProof/>
          <w:sz w:val="24"/>
          <w:szCs w:val="24"/>
        </w:rPr>
      </w:pPr>
      <w:r>
        <w:rPr>
          <w:rFonts w:ascii="Times New Roman" w:hAnsi="Times New Roman"/>
          <w:noProof/>
          <w:color w:val="auto"/>
          <w:sz w:val="24"/>
          <w:szCs w:val="24"/>
        </w:rPr>
        <w:t>изходните суровини и начините за производство на биогорива, използвани за всеки вид биогориво, доставяно на територията на държавите членки.</w:t>
      </w:r>
    </w:p>
    <w:p>
      <w:pPr>
        <w:pStyle w:val="EEATextbody"/>
        <w:rPr>
          <w:rFonts w:ascii="Times New Roman" w:eastAsia="Times New Roman" w:hAnsi="Times New Roman" w:cs="Times New Roman"/>
          <w:noProof/>
          <w:color w:val="auto"/>
          <w:sz w:val="24"/>
          <w:szCs w:val="24"/>
        </w:rPr>
      </w:pPr>
      <w:r>
        <w:rPr>
          <w:rFonts w:ascii="Times New Roman" w:hAnsi="Times New Roman"/>
          <w:noProof/>
          <w:sz w:val="24"/>
          <w:szCs w:val="24"/>
        </w:rPr>
        <w:lastRenderedPageBreak/>
        <w:t>С Директивата относно качеството на горивата държавите членки се задължават да изискват от доставчиците на горива да намалят интензитета на парникови газове през жизнения цикъл на транспортните горива, т.е. емисиите на парникови газове през жизнения цикъл на единица енергия от доставените горива и енергия с най-малко 6 % до 31 декември 2020 г. спрямо основния стандарт за горивата от 2010 г., който е в размер на 94,1 gCO2eq/MJ</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При оценяване на съответствието с целта за намаляване с най-малко 6 % не се вземат предвид емисиите на ПГ вследствие на непреки промени в земеползването.</w:t>
      </w:r>
    </w:p>
    <w:p>
      <w:pPr>
        <w:pStyle w:val="EEATextbody"/>
        <w:rPr>
          <w:rFonts w:ascii="Times New Roman" w:eastAsia="Times New Roman" w:hAnsi="Times New Roman" w:cs="Times New Roman"/>
          <w:noProof/>
          <w:sz w:val="24"/>
          <w:szCs w:val="24"/>
        </w:rPr>
      </w:pPr>
      <w:r>
        <w:rPr>
          <w:rFonts w:ascii="Times New Roman" w:hAnsi="Times New Roman"/>
          <w:noProof/>
          <w:sz w:val="24"/>
          <w:szCs w:val="24"/>
        </w:rPr>
        <w:t>През 2018 г. всички 28 държави членки (както и Норвегия и Исландия) предоставиха данни в подходящ формат за намаляването на емисиите на парникови газове.</w:t>
      </w:r>
    </w:p>
    <w:p>
      <w:pPr>
        <w:pStyle w:val="EEABoxcaption"/>
        <w:spacing w:before="360" w:after="120"/>
        <w:ind w:left="0" w:firstLine="0"/>
        <w:jc w:val="both"/>
        <w:rPr>
          <w:rFonts w:ascii="Times New Roman" w:hAnsi="Times New Roman" w:cs="Times New Roman"/>
          <w:bCs w:val="0"/>
          <w:noProof/>
          <w:color w:val="000000" w:themeColor="text1"/>
          <w:sz w:val="24"/>
          <w:szCs w:val="24"/>
        </w:rPr>
      </w:pPr>
      <w:r>
        <w:rPr>
          <w:rFonts w:ascii="Times New Roman" w:hAnsi="Times New Roman"/>
          <w:bCs w:val="0"/>
          <w:noProof/>
          <w:color w:val="000000" w:themeColor="text1"/>
          <w:sz w:val="24"/>
          <w:szCs w:val="24"/>
        </w:rPr>
        <w:t>2.1</w:t>
      </w:r>
      <w:r>
        <w:rPr>
          <w:noProof/>
        </w:rPr>
        <w:tab/>
      </w:r>
      <w:r>
        <w:rPr>
          <w:rFonts w:ascii="Times New Roman" w:hAnsi="Times New Roman"/>
          <w:bCs w:val="0"/>
          <w:noProof/>
          <w:color w:val="000000" w:themeColor="text1"/>
          <w:sz w:val="24"/>
          <w:szCs w:val="24"/>
        </w:rPr>
        <w:t>Емисии на парникови газове и отстояние от целта за 2020 г.</w:t>
      </w:r>
    </w:p>
    <w:p>
      <w:pPr>
        <w:pStyle w:val="EEATextbody"/>
        <w:rPr>
          <w:rFonts w:ascii="Times New Roman" w:eastAsia="Times New Roman" w:hAnsi="Times New Roman" w:cs="Times New Roman"/>
          <w:noProof/>
          <w:color w:val="auto"/>
          <w:sz w:val="24"/>
          <w:szCs w:val="24"/>
        </w:rPr>
      </w:pPr>
      <w:r>
        <w:rPr>
          <w:rFonts w:ascii="Times New Roman" w:hAnsi="Times New Roman"/>
          <w:noProof/>
          <w:color w:val="auto"/>
          <w:sz w:val="24"/>
          <w:szCs w:val="24"/>
        </w:rPr>
        <w:t>Съгласно предоставените данни</w:t>
      </w:r>
      <w:r>
        <w:rPr>
          <w:rFonts w:ascii="Times New Roman" w:hAnsi="Times New Roman"/>
          <w:noProof/>
          <w:sz w:val="24"/>
          <w:szCs w:val="24"/>
        </w:rPr>
        <w:t xml:space="preserve"> средната стойност на интензитета на парникови газове на доставените горива и енергия в 28-те докладващи държави членки през 2018 г. </w:t>
      </w:r>
      <w:r>
        <w:rPr>
          <w:rFonts w:ascii="Times New Roman" w:hAnsi="Times New Roman"/>
          <w:noProof/>
          <w:color w:val="auto"/>
          <w:sz w:val="24"/>
          <w:szCs w:val="24"/>
        </w:rPr>
        <w:t>е бил 90,6 g</w:t>
      </w:r>
      <w:r>
        <w:rPr>
          <w:rFonts w:ascii="Times New Roman" w:hAnsi="Times New Roman"/>
          <w:noProof/>
          <w:sz w:val="24"/>
          <w:szCs w:val="24"/>
        </w:rPr>
        <w:t>CO</w:t>
      </w:r>
      <w:r>
        <w:rPr>
          <w:rFonts w:ascii="Times New Roman" w:hAnsi="Times New Roman"/>
          <w:noProof/>
          <w:sz w:val="24"/>
          <w:szCs w:val="24"/>
          <w:vertAlign w:val="subscript"/>
        </w:rPr>
        <w:t>2eq</w:t>
      </w:r>
      <w:r>
        <w:rPr>
          <w:rFonts w:ascii="Times New Roman" w:hAnsi="Times New Roman"/>
          <w:noProof/>
          <w:sz w:val="24"/>
          <w:szCs w:val="24"/>
        </w:rPr>
        <w:t>/MJ, което е с 3,7 % по-ниско от основния стандарт за горивата от 2010 г., съответстващ на 94,1 gCO2</w:t>
      </w:r>
      <w:r>
        <w:rPr>
          <w:rFonts w:ascii="Times New Roman" w:hAnsi="Times New Roman"/>
          <w:noProof/>
          <w:sz w:val="24"/>
          <w:szCs w:val="24"/>
          <w:vertAlign w:val="subscript"/>
        </w:rPr>
        <w:t>eq</w:t>
      </w:r>
      <w:r>
        <w:rPr>
          <w:rFonts w:ascii="Times New Roman" w:hAnsi="Times New Roman"/>
          <w:noProof/>
          <w:sz w:val="24"/>
          <w:szCs w:val="24"/>
        </w:rPr>
        <w:t>/MJ. Това съответства на намаление с 51 Mt еквивалент на въглероден диоксид (CO</w:t>
      </w:r>
      <w:r>
        <w:rPr>
          <w:rFonts w:ascii="Times New Roman" w:hAnsi="Times New Roman"/>
          <w:noProof/>
          <w:sz w:val="24"/>
          <w:szCs w:val="24"/>
          <w:vertAlign w:val="subscript"/>
        </w:rPr>
        <w:t>2eq</w:t>
      </w:r>
      <w:r>
        <w:rPr>
          <w:rFonts w:ascii="Times New Roman" w:hAnsi="Times New Roman"/>
          <w:noProof/>
          <w:sz w:val="24"/>
          <w:szCs w:val="24"/>
        </w:rPr>
        <w:t xml:space="preserve">) през 2018 г. </w:t>
      </w:r>
      <w:r>
        <w:rPr>
          <w:rFonts w:ascii="Times New Roman" w:hAnsi="Times New Roman"/>
          <w:noProof/>
          <w:color w:val="auto"/>
          <w:sz w:val="24"/>
          <w:szCs w:val="24"/>
        </w:rPr>
        <w:t>В периода 2017—2018 г. доставчиците на горива постигнаха ограничен напредък, като подобрението е с 0,3 процентни пункта от докладвания среден интензитет на парникови газове на горивата по отношение.</w:t>
      </w:r>
    </w:p>
    <w:p>
      <w:pPr>
        <w:pStyle w:val="EEATextbody"/>
        <w:rPr>
          <w:rFonts w:ascii="Times New Roman" w:hAnsi="Times New Roman" w:cs="Times New Roman"/>
          <w:noProof/>
          <w:sz w:val="24"/>
          <w:szCs w:val="24"/>
        </w:rPr>
      </w:pPr>
      <w:r>
        <w:rPr>
          <w:rFonts w:ascii="Times New Roman" w:hAnsi="Times New Roman"/>
          <w:noProof/>
          <w:color w:val="auto"/>
          <w:sz w:val="24"/>
          <w:szCs w:val="24"/>
        </w:rPr>
        <w:t>Данните, докладвани за 2018 г., потвърждават, че доставчиците на гориво от ЕС в 28-те докладващи държави членки средностатистически изостават от целта си за намаляване</w:t>
      </w:r>
      <w:r>
        <w:rPr>
          <w:rFonts w:ascii="Times New Roman" w:hAnsi="Times New Roman"/>
          <w:noProof/>
          <w:sz w:val="24"/>
          <w:szCs w:val="24"/>
        </w:rPr>
        <w:t xml:space="preserve"> на интензитета на парников газове на транспортните горива с 6 % до 2020 г., в сравнение с 2010 г. (вж. </w:t>
      </w:r>
      <w:r>
        <w:rPr>
          <w:rFonts w:ascii="Times New Roman" w:hAnsi="Times New Roman"/>
          <w:i/>
          <w:iCs/>
          <w:noProof/>
          <w:sz w:val="24"/>
          <w:szCs w:val="24"/>
        </w:rPr>
        <w:t>фигура 1</w:t>
      </w:r>
      <w:r>
        <w:rPr>
          <w:rFonts w:ascii="Times New Roman" w:hAnsi="Times New Roman"/>
          <w:noProof/>
          <w:sz w:val="24"/>
          <w:szCs w:val="24"/>
        </w:rPr>
        <w:t>). Трябва да се отбележи, че през 2018 г. не е докладвано намаляване на емисиите нагоре по веригата</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Те се очаква да допринесат за постигане на целта за намаляване през 2020 г.</w:t>
      </w:r>
    </w:p>
    <w:p>
      <w:pPr>
        <w:pStyle w:val="EEATextbody"/>
        <w:spacing w:line="240" w:lineRule="atLeast"/>
        <w:rPr>
          <w:rFonts w:ascii="Times New Roman" w:eastAsia="Times New Roman" w:hAnsi="Times New Roman" w:cs="Times New Roman"/>
          <w:noProof/>
          <w:color w:val="auto"/>
          <w:sz w:val="24"/>
          <w:szCs w:val="24"/>
        </w:rPr>
      </w:pPr>
      <w:r>
        <w:rPr>
          <w:rFonts w:ascii="Times New Roman" w:hAnsi="Times New Roman"/>
          <w:noProof/>
          <w:color w:val="auto"/>
          <w:sz w:val="24"/>
          <w:szCs w:val="24"/>
        </w:rPr>
        <w:t xml:space="preserve">Освен това напредъкът се различава значително в отделните държави членки. В 23 държави членки намаленията през 2018 г. все още остават по-ниски от незадължителната междинна цел от 4 %, която държавите членки можеха да изискват от доставчиците на горива да постигнат още през 2017 г. </w:t>
      </w:r>
      <w:r>
        <w:rPr>
          <w:rFonts w:ascii="Times New Roman" w:hAnsi="Times New Roman"/>
          <w:noProof/>
          <w:sz w:val="24"/>
          <w:szCs w:val="24"/>
        </w:rPr>
        <w:t xml:space="preserve">Швеция и Финландия са единствените държави членки, които вече са надхвърлили целта за намаляване на емисиите с 6 % за 2020 г. (допълнителна информация може да бъде намерена в Технически доклад на ЕАОС № </w:t>
      </w:r>
      <w:r>
        <w:rPr>
          <w:rFonts w:ascii="Times New Roman" w:hAnsi="Times New Roman"/>
          <w:noProof/>
          <w:sz w:val="24"/>
          <w:szCs w:val="24"/>
          <w:lang w:val="ru-RU"/>
        </w:rPr>
        <w:t>2</w:t>
      </w:r>
      <w:r>
        <w:rPr>
          <w:rFonts w:ascii="Times New Roman" w:hAnsi="Times New Roman"/>
          <w:noProof/>
          <w:sz w:val="24"/>
          <w:szCs w:val="24"/>
        </w:rPr>
        <w:t>/2020, озаглавен „Интензитети на транспортните горива по отношение на парниковите газове в ЕС през 2018 г.“) .</w:t>
      </w:r>
      <w:r>
        <w:rPr>
          <w:rFonts w:ascii="Times New Roman" w:hAnsi="Times New Roman"/>
          <w:noProof/>
          <w:color w:val="auto"/>
          <w:sz w:val="24"/>
          <w:szCs w:val="24"/>
        </w:rPr>
        <w:t xml:space="preserve"> </w:t>
      </w:r>
      <w:r>
        <w:rPr>
          <w:rFonts w:ascii="Times New Roman" w:hAnsi="Times New Roman"/>
          <w:noProof/>
          <w:sz w:val="24"/>
          <w:szCs w:val="24"/>
        </w:rPr>
        <w:t>Поради това почти всички държави членки трябва бързо да предприемат допълнителни действия, за да гарантират, че целта за 2020 г. ще бъде постигната.</w:t>
      </w:r>
    </w:p>
    <w:p>
      <w:pPr>
        <w:pStyle w:val="EEATextbody"/>
        <w:spacing w:line="240" w:lineRule="atLeast"/>
        <w:rPr>
          <w:rFonts w:ascii="Times New Roman" w:eastAsia="Times New Roman" w:hAnsi="Times New Roman" w:cs="Times New Roman"/>
          <w:noProof/>
          <w:color w:val="auto"/>
          <w:sz w:val="24"/>
          <w:szCs w:val="24"/>
        </w:rPr>
      </w:pPr>
      <w:r>
        <w:rPr>
          <w:noProof/>
          <w:lang w:val="en-GB" w:eastAsia="en-GB"/>
        </w:rPr>
        <w:drawing>
          <wp:inline distT="0" distB="0" distL="0" distR="0">
            <wp:extent cx="5760085" cy="4210685"/>
            <wp:effectExtent l="0" t="0" r="12065"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EEATextbody"/>
        <w:jc w:val="center"/>
        <w:rPr>
          <w:rFonts w:ascii="Times New Roman" w:eastAsia="Times New Roman" w:hAnsi="Times New Roman" w:cs="Times New Roman"/>
          <w:b/>
          <w:noProof/>
          <w:color w:val="auto"/>
          <w:sz w:val="24"/>
          <w:szCs w:val="24"/>
        </w:rPr>
      </w:pPr>
      <w:r>
        <w:rPr>
          <w:rFonts w:ascii="Times New Roman" w:hAnsi="Times New Roman"/>
          <w:b/>
          <w:noProof/>
          <w:color w:val="auto"/>
          <w:sz w:val="24"/>
          <w:szCs w:val="24"/>
        </w:rPr>
        <w:t xml:space="preserve">Фигура 1: Намаления на интензитета на парникови газове на горивата, постигнати от доставчиците на горива от ЕС, 2010—2018 г. </w:t>
      </w:r>
      <w:r>
        <w:rPr>
          <w:rFonts w:ascii="Times New Roman" w:hAnsi="Times New Roman"/>
          <w:b/>
          <w:i/>
          <w:noProof/>
          <w:color w:val="auto"/>
          <w:sz w:val="24"/>
          <w:szCs w:val="24"/>
        </w:rPr>
        <w:t>(източник: ЕАОС)</w:t>
      </w:r>
    </w:p>
    <w:p>
      <w:pPr>
        <w:pStyle w:val="EEATextbody"/>
        <w:spacing w:line="240" w:lineRule="atLeast"/>
        <w:rPr>
          <w:rFonts w:ascii="Times New Roman" w:eastAsia="Times New Roman" w:hAnsi="Times New Roman" w:cs="Times New Roman"/>
          <w:noProof/>
          <w:color w:val="auto"/>
          <w:sz w:val="24"/>
          <w:szCs w:val="24"/>
        </w:rPr>
      </w:pPr>
      <w:r>
        <w:rPr>
          <w:rFonts w:ascii="Times New Roman" w:hAnsi="Times New Roman"/>
          <w:noProof/>
          <w:sz w:val="24"/>
          <w:szCs w:val="24"/>
        </w:rPr>
        <w:t>Като се вземат предвид емисиите вследствие на непреките промени в земеползването</w:t>
      </w:r>
      <w:r>
        <w:rPr>
          <w:rStyle w:val="FootnoteReference"/>
          <w:rFonts w:ascii="Times New Roman" w:eastAsia="Times New Roman" w:hAnsi="Times New Roman" w:cs="Times New Roman"/>
          <w:noProof/>
          <w:sz w:val="24"/>
          <w:szCs w:val="24"/>
        </w:rPr>
        <w:footnoteReference w:id="7"/>
      </w:r>
      <w:r>
        <w:rPr>
          <w:rFonts w:ascii="Times New Roman" w:hAnsi="Times New Roman"/>
          <w:noProof/>
          <w:sz w:val="24"/>
          <w:szCs w:val="24"/>
        </w:rPr>
        <w:t>, средната стойност на интензитета парникови газове на потребените през 2018 г. горива е била с 2,1 % по-ниска от тази през 2010 г. Това съответства на намаление с 29 Mt CO</w:t>
      </w:r>
      <w:r>
        <w:rPr>
          <w:rFonts w:ascii="Times New Roman" w:hAnsi="Times New Roman"/>
          <w:noProof/>
          <w:sz w:val="24"/>
          <w:szCs w:val="24"/>
          <w:vertAlign w:val="subscript"/>
        </w:rPr>
        <w:t>2eq</w:t>
      </w:r>
      <w:r>
        <w:rPr>
          <w:rFonts w:ascii="Times New Roman" w:hAnsi="Times New Roman"/>
          <w:noProof/>
          <w:sz w:val="24"/>
          <w:szCs w:val="24"/>
        </w:rPr>
        <w:t xml:space="preserve"> през 2018 г. При оценяване на съответствието с целта за намаление с най-малко 6 % не са взети предвид емисиите вследствие на непреки промени в земеползването.</w:t>
      </w:r>
    </w:p>
    <w:p>
      <w:pPr>
        <w:pStyle w:val="EEABoxcaption"/>
        <w:spacing w:before="360" w:after="120"/>
        <w:ind w:left="0" w:firstLine="0"/>
        <w:jc w:val="both"/>
        <w:rPr>
          <w:rFonts w:ascii="Times New Roman" w:hAnsi="Times New Roman" w:cs="Times New Roman"/>
          <w:noProof/>
          <w:sz w:val="24"/>
          <w:szCs w:val="24"/>
        </w:rPr>
      </w:pPr>
      <w:r>
        <w:rPr>
          <w:rFonts w:ascii="Times New Roman" w:hAnsi="Times New Roman"/>
          <w:bCs w:val="0"/>
          <w:noProof/>
          <w:color w:val="000000" w:themeColor="text1"/>
          <w:sz w:val="24"/>
          <w:szCs w:val="24"/>
        </w:rPr>
        <w:t>2.2</w:t>
      </w:r>
      <w:r>
        <w:rPr>
          <w:noProof/>
        </w:rPr>
        <w:tab/>
      </w:r>
      <w:r>
        <w:rPr>
          <w:rFonts w:ascii="Times New Roman" w:hAnsi="Times New Roman"/>
          <w:bCs w:val="0"/>
          <w:noProof/>
          <w:color w:val="000000" w:themeColor="text1"/>
          <w:sz w:val="24"/>
          <w:szCs w:val="24"/>
        </w:rPr>
        <w:t>Доставки на горива</w:t>
      </w:r>
    </w:p>
    <w:p>
      <w:pPr>
        <w:pStyle w:val="EEATextbody"/>
        <w:rPr>
          <w:rFonts w:ascii="Times New Roman" w:eastAsia="Times New Roman" w:hAnsi="Times New Roman" w:cs="Times New Roman"/>
          <w:noProof/>
          <w:color w:val="auto"/>
          <w:sz w:val="24"/>
          <w:szCs w:val="24"/>
        </w:rPr>
      </w:pPr>
      <w:r>
        <w:rPr>
          <w:rFonts w:ascii="Times New Roman" w:hAnsi="Times New Roman"/>
          <w:noProof/>
          <w:color w:val="auto"/>
          <w:sz w:val="24"/>
          <w:szCs w:val="24"/>
        </w:rPr>
        <w:t>В настоящия раздел се предоставят данни, подадени от държавите членки, за всички изкопаеми горива, биогорива и горива от небиологичен произход, използвани за автомобилен транспорт и за извънпътна подвижна техника, попадащи в обхвата на Директивата относно качеството на горивата.</w:t>
      </w:r>
    </w:p>
    <w:p>
      <w:pPr>
        <w:pStyle w:val="EEATextbody"/>
        <w:rPr>
          <w:rFonts w:ascii="Times New Roman" w:eastAsia="Times New Roman" w:hAnsi="Times New Roman" w:cs="Times New Roman"/>
          <w:noProof/>
          <w:color w:val="auto"/>
          <w:sz w:val="24"/>
          <w:szCs w:val="24"/>
        </w:rPr>
      </w:pPr>
      <w:r>
        <w:rPr>
          <w:rFonts w:ascii="Times New Roman" w:hAnsi="Times New Roman"/>
          <w:noProof/>
          <w:color w:val="auto"/>
          <w:sz w:val="24"/>
          <w:szCs w:val="24"/>
        </w:rPr>
        <w:t>Докладваните общи доставки на горива възлизат на 14 028 петаджаула (PJ), от които 94,8 % са от изкопаеми горива, а 5,2 % от биогорива. През 2018 г. не са докладвани данни за възобновяеми горива от небиологичен произход.</w:t>
      </w:r>
    </w:p>
    <w:p>
      <w:pPr>
        <w:pStyle w:val="EEATextbody"/>
        <w:rPr>
          <w:rFonts w:ascii="Times New Roman" w:eastAsia="Times New Roman" w:hAnsi="Times New Roman" w:cs="Times New Roman"/>
          <w:noProof/>
          <w:color w:val="auto"/>
          <w:sz w:val="24"/>
          <w:szCs w:val="24"/>
        </w:rPr>
      </w:pPr>
      <w:r>
        <w:rPr>
          <w:rFonts w:ascii="Times New Roman" w:hAnsi="Times New Roman"/>
          <w:noProof/>
          <w:color w:val="auto"/>
          <w:sz w:val="24"/>
          <w:szCs w:val="24"/>
        </w:rPr>
        <w:t xml:space="preserve">В доставките на изкопаеми горива през 2018 г. са преобладавали дизеловите горива (59,8 %; 8386 PJ), следвани от бензиновите горива (23,3 %; 3271 PJ) и газьола (9,7 %; 1363 PJ). </w:t>
      </w:r>
      <w:r>
        <w:rPr>
          <w:rFonts w:ascii="Times New Roman" w:hAnsi="Times New Roman"/>
          <w:noProof/>
          <w:sz w:val="24"/>
          <w:szCs w:val="24"/>
        </w:rPr>
        <w:t xml:space="preserve">Общият дял на втечнения нефтен газ и на компресирания природен газ възлиза на 2 % (275 PJ) (вж. </w:t>
      </w:r>
      <w:r>
        <w:rPr>
          <w:rFonts w:ascii="Times New Roman" w:hAnsi="Times New Roman"/>
          <w:i/>
          <w:noProof/>
          <w:sz w:val="24"/>
          <w:szCs w:val="24"/>
        </w:rPr>
        <w:t>фигура 2</w:t>
      </w:r>
      <w:r>
        <w:rPr>
          <w:rFonts w:ascii="Times New Roman" w:hAnsi="Times New Roman"/>
          <w:noProof/>
          <w:sz w:val="24"/>
          <w:szCs w:val="24"/>
        </w:rPr>
        <w:t>).</w:t>
      </w:r>
    </w:p>
    <w:p>
      <w:pPr>
        <w:pStyle w:val="EEATextbody"/>
        <w:rPr>
          <w:rFonts w:ascii="Times New Roman" w:eastAsia="Times New Roman" w:hAnsi="Times New Roman" w:cs="Times New Roman"/>
          <w:noProof/>
          <w:color w:val="auto"/>
          <w:sz w:val="24"/>
          <w:szCs w:val="24"/>
        </w:rPr>
      </w:pPr>
    </w:p>
    <w:p>
      <w:pPr>
        <w:pStyle w:val="EEATextbody"/>
        <w:spacing w:line="240" w:lineRule="atLeast"/>
        <w:rPr>
          <w:rFonts w:ascii="Times New Roman" w:eastAsia="Times New Roman" w:hAnsi="Times New Roman" w:cs="Times New Roman"/>
          <w:noProof/>
          <w:color w:val="auto"/>
          <w:sz w:val="24"/>
          <w:szCs w:val="24"/>
        </w:rPr>
      </w:pPr>
      <w:r>
        <w:rPr>
          <w:noProof/>
          <w:lang w:val="en-GB" w:eastAsia="en-GB"/>
        </w:rPr>
        <w:drawing>
          <wp:inline distT="0" distB="0" distL="0" distR="0">
            <wp:extent cx="5760085" cy="3586480"/>
            <wp:effectExtent l="0" t="0" r="12065" b="13970"/>
            <wp:docPr id="2" name="Chart 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C1B95D8-861A-4CD3-8670-9FAF3D47AC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EEATextbody"/>
        <w:spacing w:line="240" w:lineRule="atLeast"/>
        <w:rPr>
          <w:rFonts w:ascii="Times New Roman" w:eastAsia="Times New Roman" w:hAnsi="Times New Roman" w:cs="Times New Roman"/>
          <w:noProof/>
          <w:color w:val="auto"/>
          <w:sz w:val="24"/>
          <w:szCs w:val="24"/>
        </w:rPr>
      </w:pPr>
    </w:p>
    <w:p>
      <w:pPr>
        <w:pStyle w:val="EEATextbody"/>
        <w:keepNext/>
        <w:jc w:val="center"/>
        <w:rPr>
          <w:rFonts w:ascii="Times New Roman" w:eastAsia="Times New Roman" w:hAnsi="Times New Roman" w:cs="Times New Roman"/>
          <w:noProof/>
          <w:color w:val="auto"/>
          <w:sz w:val="24"/>
          <w:szCs w:val="24"/>
        </w:rPr>
      </w:pPr>
      <w:r>
        <w:rPr>
          <w:rFonts w:ascii="Times New Roman" w:hAnsi="Times New Roman"/>
          <w:b/>
          <w:noProof/>
          <w:color w:val="auto"/>
          <w:sz w:val="24"/>
          <w:szCs w:val="24"/>
        </w:rPr>
        <w:t>Фигура 2: Дялове на енергийните доставки от горива по видове гориво през 2018 г. (</w:t>
      </w:r>
      <w:r>
        <w:rPr>
          <w:rFonts w:ascii="Times New Roman" w:hAnsi="Times New Roman"/>
          <w:b/>
          <w:i/>
          <w:noProof/>
          <w:color w:val="auto"/>
          <w:sz w:val="24"/>
          <w:szCs w:val="24"/>
        </w:rPr>
        <w:t>източник: ЕАОС)</w:t>
      </w:r>
    </w:p>
    <w:p>
      <w:pPr>
        <w:pStyle w:val="EEABoxcaption"/>
        <w:spacing w:before="360" w:after="120"/>
        <w:ind w:left="0" w:firstLine="0"/>
        <w:jc w:val="both"/>
        <w:rPr>
          <w:rFonts w:ascii="Times New Roman" w:hAnsi="Times New Roman" w:cs="Times New Roman"/>
          <w:noProof/>
          <w:sz w:val="24"/>
          <w:szCs w:val="24"/>
        </w:rPr>
      </w:pPr>
      <w:r>
        <w:rPr>
          <w:rFonts w:ascii="Times New Roman" w:hAnsi="Times New Roman"/>
          <w:bCs w:val="0"/>
          <w:noProof/>
          <w:color w:val="000000" w:themeColor="text1"/>
          <w:sz w:val="24"/>
          <w:szCs w:val="24"/>
        </w:rPr>
        <w:t>2.3</w:t>
      </w:r>
      <w:r>
        <w:rPr>
          <w:noProof/>
        </w:rPr>
        <w:tab/>
      </w:r>
      <w:r>
        <w:rPr>
          <w:rFonts w:ascii="Times New Roman" w:hAnsi="Times New Roman"/>
          <w:bCs w:val="0"/>
          <w:noProof/>
          <w:color w:val="000000" w:themeColor="text1"/>
          <w:sz w:val="24"/>
          <w:szCs w:val="24"/>
        </w:rPr>
        <w:t>Потребление на биогорива</w:t>
      </w:r>
    </w:p>
    <w:p>
      <w:pPr>
        <w:pStyle w:val="EEATextbody"/>
        <w:rPr>
          <w:rFonts w:ascii="Times New Roman" w:eastAsia="Times New Roman" w:hAnsi="Times New Roman" w:cs="Times New Roman"/>
          <w:noProof/>
          <w:color w:val="auto"/>
          <w:sz w:val="24"/>
          <w:szCs w:val="24"/>
        </w:rPr>
      </w:pPr>
      <w:r>
        <w:rPr>
          <w:rFonts w:ascii="Times New Roman" w:hAnsi="Times New Roman"/>
          <w:noProof/>
          <w:color w:val="auto"/>
          <w:sz w:val="24"/>
          <w:szCs w:val="24"/>
        </w:rPr>
        <w:t xml:space="preserve">Потреблението на биогорива в 28-те държави членки продължава да бъде доминирано от биодизеловото гориво (метилов естер на мастни киселини, МЕМК) (68,9 % от общото потребление на биогорива; 504 PJ), следван от биоетанола (15,1 %; 111 PJ) и от хидрогенираното растително масло (HVO; 13,1 %; 93 PJ). Био-трет-бутилетиловият етер (bio-ETBE) и биогазът възлизат на почти 0,1 % (18 PJ) от общото потребление на биогорива. Делът на всички останали биогорива е много по-малък (вж. </w:t>
      </w:r>
      <w:r>
        <w:rPr>
          <w:rFonts w:ascii="Times New Roman" w:hAnsi="Times New Roman"/>
          <w:i/>
          <w:noProof/>
          <w:color w:val="auto"/>
          <w:sz w:val="24"/>
          <w:szCs w:val="24"/>
        </w:rPr>
        <w:t>фигура 3</w:t>
      </w:r>
      <w:r>
        <w:rPr>
          <w:rFonts w:ascii="Times New Roman" w:hAnsi="Times New Roman"/>
          <w:noProof/>
          <w:color w:val="auto"/>
          <w:sz w:val="24"/>
          <w:szCs w:val="24"/>
        </w:rPr>
        <w:t xml:space="preserve">). </w:t>
      </w:r>
    </w:p>
    <w:p>
      <w:pPr>
        <w:pStyle w:val="EEATextbody"/>
        <w:rPr>
          <w:rFonts w:ascii="Times New Roman" w:eastAsia="Times New Roman" w:hAnsi="Times New Roman" w:cs="Times New Roman"/>
          <w:noProof/>
          <w:sz w:val="24"/>
          <w:szCs w:val="24"/>
        </w:rPr>
      </w:pPr>
      <w:r>
        <w:rPr>
          <w:rFonts w:ascii="Times New Roman" w:hAnsi="Times New Roman"/>
          <w:noProof/>
          <w:sz w:val="24"/>
          <w:szCs w:val="24"/>
        </w:rPr>
        <w:t xml:space="preserve">Подробна информация за всички биогорива и начините за производството им може да бъде намерена в Технически доклад на ЕАОС № </w:t>
      </w:r>
      <w:r>
        <w:rPr>
          <w:rFonts w:ascii="Times New Roman" w:hAnsi="Times New Roman"/>
          <w:noProof/>
          <w:sz w:val="24"/>
          <w:szCs w:val="24"/>
          <w:lang w:val="ru-RU"/>
        </w:rPr>
        <w:t>2</w:t>
      </w:r>
      <w:r>
        <w:rPr>
          <w:rFonts w:ascii="Times New Roman" w:hAnsi="Times New Roman"/>
          <w:noProof/>
          <w:sz w:val="24"/>
          <w:szCs w:val="24"/>
        </w:rPr>
        <w:t>/2020, озаглавен „Интензитет от транспортните горива в ЕС по отношение на парникови газове през 2018 г.“.</w:t>
      </w:r>
    </w:p>
    <w:p>
      <w:pPr>
        <w:pStyle w:val="EEATextbody"/>
        <w:rPr>
          <w:rFonts w:ascii="Times New Roman" w:eastAsia="Times New Roman" w:hAnsi="Times New Roman" w:cs="Times New Roman"/>
          <w:noProof/>
          <w:color w:val="auto"/>
          <w:sz w:val="24"/>
          <w:szCs w:val="24"/>
        </w:rPr>
      </w:pPr>
    </w:p>
    <w:p>
      <w:pPr>
        <w:pStyle w:val="EEABoxcaption"/>
        <w:jc w:val="center"/>
        <w:rPr>
          <w:rFonts w:ascii="Times New Roman" w:hAnsi="Times New Roman" w:cs="Times New Roman"/>
          <w:bCs w:val="0"/>
          <w:noProof/>
          <w:color w:val="000000" w:themeColor="text1"/>
          <w:sz w:val="24"/>
          <w:szCs w:val="24"/>
        </w:rPr>
      </w:pPr>
      <w:r>
        <w:rPr>
          <w:rFonts w:ascii="Times New Roman" w:hAnsi="Times New Roman" w:cs="Times New Roman"/>
          <w:bCs w:val="0"/>
          <w:noProof/>
          <w:color w:val="000000" w:themeColor="text1"/>
          <w:sz w:val="24"/>
          <w:szCs w:val="24"/>
          <w:lang w:val="en-GB" w:eastAsia="en-GB"/>
        </w:rPr>
        <w:drawing>
          <wp:inline distT="0" distB="0" distL="0" distR="0">
            <wp:extent cx="3087428" cy="2219325"/>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87428" cy="2219325"/>
                    </a:xfrm>
                    <a:prstGeom prst="rect">
                      <a:avLst/>
                    </a:prstGeom>
                    <a:noFill/>
                    <a:ln>
                      <a:noFill/>
                    </a:ln>
                  </pic:spPr>
                </pic:pic>
              </a:graphicData>
            </a:graphic>
          </wp:inline>
        </w:drawing>
      </w:r>
    </w:p>
    <w:p>
      <w:pPr>
        <w:pStyle w:val="EEATextbody"/>
        <w:keepNext/>
        <w:jc w:val="center"/>
        <w:rPr>
          <w:noProof/>
        </w:rPr>
      </w:pPr>
      <w:r>
        <w:rPr>
          <w:rFonts w:ascii="Times New Roman" w:hAnsi="Times New Roman"/>
          <w:b/>
          <w:noProof/>
          <w:color w:val="auto"/>
          <w:sz w:val="24"/>
          <w:szCs w:val="24"/>
        </w:rPr>
        <w:t>Фигура 3: Дялове на енергийните доставки от биогорива по видове гориво през 2018 г. (</w:t>
      </w:r>
      <w:r>
        <w:rPr>
          <w:rFonts w:ascii="Times New Roman" w:hAnsi="Times New Roman"/>
          <w:b/>
          <w:i/>
          <w:noProof/>
          <w:color w:val="auto"/>
          <w:sz w:val="24"/>
          <w:szCs w:val="24"/>
        </w:rPr>
        <w:t>източник: ЕАОС)</w:t>
      </w:r>
    </w:p>
    <w:p>
      <w:pPr>
        <w:pStyle w:val="EEABoxcaption"/>
        <w:spacing w:before="360" w:after="120"/>
        <w:ind w:left="0" w:firstLine="0"/>
        <w:jc w:val="both"/>
        <w:rPr>
          <w:rFonts w:ascii="Times New Roman" w:hAnsi="Times New Roman" w:cs="Times New Roman"/>
          <w:bCs w:val="0"/>
          <w:noProof/>
          <w:color w:val="000000" w:themeColor="text1"/>
          <w:sz w:val="24"/>
          <w:szCs w:val="24"/>
        </w:rPr>
      </w:pPr>
      <w:r>
        <w:rPr>
          <w:rFonts w:ascii="Times New Roman" w:hAnsi="Times New Roman"/>
          <w:bCs w:val="0"/>
          <w:noProof/>
          <w:color w:val="000000" w:themeColor="text1"/>
          <w:sz w:val="24"/>
          <w:szCs w:val="24"/>
        </w:rPr>
        <w:t>2.4</w:t>
      </w:r>
      <w:r>
        <w:rPr>
          <w:noProof/>
        </w:rPr>
        <w:tab/>
      </w:r>
      <w:r>
        <w:rPr>
          <w:rFonts w:ascii="Times New Roman" w:hAnsi="Times New Roman"/>
          <w:bCs w:val="0"/>
          <w:noProof/>
          <w:color w:val="000000" w:themeColor="text1"/>
          <w:sz w:val="24"/>
          <w:szCs w:val="24"/>
        </w:rPr>
        <w:t>Потребление на електроенергия</w:t>
      </w:r>
    </w:p>
    <w:p>
      <w:pPr>
        <w:pStyle w:val="EEATextbody"/>
        <w:rPr>
          <w:rFonts w:ascii="Times New Roman" w:eastAsia="Times New Roman" w:hAnsi="Times New Roman" w:cs="Times New Roman"/>
          <w:noProof/>
          <w:color w:val="auto"/>
          <w:sz w:val="24"/>
          <w:szCs w:val="24"/>
        </w:rPr>
      </w:pPr>
      <w:r>
        <w:rPr>
          <w:rFonts w:ascii="Times New Roman" w:hAnsi="Times New Roman"/>
          <w:noProof/>
          <w:color w:val="auto"/>
          <w:sz w:val="24"/>
          <w:szCs w:val="24"/>
        </w:rPr>
        <w:t xml:space="preserve">Докладването на потреблението на електроенергия от доставчиците на горива е доброволно, като десет държави членки, в сравнение със седем през 2017 г., са докладвали данни за потреблението на електроенергия от електрически автомобили и мотоциклети (вж. </w:t>
      </w:r>
      <w:r>
        <w:rPr>
          <w:rFonts w:ascii="Times New Roman" w:hAnsi="Times New Roman"/>
          <w:i/>
          <w:noProof/>
          <w:color w:val="auto"/>
          <w:sz w:val="24"/>
          <w:szCs w:val="24"/>
        </w:rPr>
        <w:t>таблица 1</w:t>
      </w:r>
      <w:r>
        <w:rPr>
          <w:rFonts w:ascii="Times New Roman" w:hAnsi="Times New Roman"/>
          <w:noProof/>
          <w:color w:val="auto"/>
          <w:sz w:val="24"/>
          <w:szCs w:val="24"/>
        </w:rPr>
        <w:t>).</w:t>
      </w:r>
    </w:p>
    <w:p>
      <w:pPr>
        <w:pStyle w:val="EEATextbody"/>
        <w:rPr>
          <w:rFonts w:ascii="Times New Roman" w:eastAsia="Times New Roman" w:hAnsi="Times New Roman" w:cs="Times New Roman"/>
          <w:noProof/>
          <w:color w:val="auto"/>
          <w:sz w:val="24"/>
          <w:szCs w:val="24"/>
        </w:rPr>
      </w:pPr>
    </w:p>
    <w:tbl>
      <w:tblPr>
        <w:tblpPr w:leftFromText="180" w:rightFromText="180" w:vertAnchor="text" w:tblpY="1"/>
        <w:tblOverlap w:val="never"/>
        <w:tblW w:w="0" w:type="auto"/>
        <w:tblBorders>
          <w:bottom w:val="single" w:sz="4" w:space="0" w:color="auto"/>
          <w:insideH w:val="single" w:sz="4" w:space="0" w:color="auto"/>
        </w:tblBorders>
        <w:tblCellMar>
          <w:left w:w="72" w:type="dxa"/>
          <w:right w:w="72" w:type="dxa"/>
        </w:tblCellMar>
        <w:tblLook w:val="04A0" w:firstRow="1" w:lastRow="0" w:firstColumn="1" w:lastColumn="0" w:noHBand="0" w:noVBand="1"/>
      </w:tblPr>
      <w:tblGrid>
        <w:gridCol w:w="1778"/>
        <w:gridCol w:w="1843"/>
        <w:gridCol w:w="1843"/>
        <w:gridCol w:w="1145"/>
        <w:gridCol w:w="86"/>
        <w:gridCol w:w="394"/>
        <w:gridCol w:w="284"/>
        <w:gridCol w:w="1842"/>
      </w:tblGrid>
      <w:tr>
        <w:trPr>
          <w:trHeight w:val="1011"/>
        </w:trPr>
        <w:tc>
          <w:tcPr>
            <w:tcW w:w="1778" w:type="dxa"/>
            <w:tcBorders>
              <w:top w:val="single" w:sz="4" w:space="0" w:color="auto"/>
            </w:tcBorders>
            <w:shd w:val="clear" w:color="auto" w:fill="D7E9E9"/>
            <w:hideMark/>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sz w:val="18"/>
                <w:szCs w:val="18"/>
              </w:rPr>
              <w:t>Държава членка</w:t>
            </w:r>
          </w:p>
        </w:tc>
        <w:tc>
          <w:tcPr>
            <w:tcW w:w="1843" w:type="dxa"/>
            <w:tcBorders>
              <w:top w:val="single" w:sz="4" w:space="0" w:color="auto"/>
            </w:tcBorders>
            <w:shd w:val="clear" w:color="auto" w:fill="D7E9E9"/>
            <w:hideMark/>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sz w:val="18"/>
                <w:szCs w:val="18"/>
              </w:rPr>
              <w:t>Количество енергия, с изключение на КПД на силовото предаване (GJ)</w:t>
            </w:r>
          </w:p>
        </w:tc>
        <w:tc>
          <w:tcPr>
            <w:tcW w:w="1843" w:type="dxa"/>
            <w:tcBorders>
              <w:top w:val="single" w:sz="4" w:space="0" w:color="auto"/>
            </w:tcBorders>
            <w:shd w:val="clear" w:color="auto" w:fill="D7E9E9"/>
            <w:hideMark/>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sz w:val="18"/>
                <w:szCs w:val="18"/>
              </w:rPr>
              <w:t>Количество енергия, включително КПД на силовото предаване (GJ)</w:t>
            </w:r>
          </w:p>
        </w:tc>
        <w:tc>
          <w:tcPr>
            <w:tcW w:w="1231" w:type="dxa"/>
            <w:gridSpan w:val="2"/>
            <w:tcBorders>
              <w:top w:val="single" w:sz="4" w:space="0" w:color="auto"/>
            </w:tcBorders>
            <w:shd w:val="clear" w:color="auto" w:fill="D7E9E9"/>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sz w:val="18"/>
                <w:szCs w:val="18"/>
              </w:rPr>
              <w:t>Интензитет на парникови газове, докладван от държавата членка (g CO</w:t>
            </w:r>
            <w:r>
              <w:rPr>
                <w:rFonts w:ascii="Times New Roman" w:hAnsi="Times New Roman"/>
                <w:b/>
                <w:bCs/>
                <w:noProof/>
                <w:sz w:val="18"/>
                <w:szCs w:val="18"/>
                <w:vertAlign w:val="subscript"/>
              </w:rPr>
              <w:t>2</w:t>
            </w:r>
            <w:r>
              <w:rPr>
                <w:rFonts w:ascii="Times New Roman" w:hAnsi="Times New Roman"/>
                <w:b/>
                <w:bCs/>
                <w:noProof/>
                <w:sz w:val="18"/>
                <w:szCs w:val="18"/>
              </w:rPr>
              <w:t>e/MJ)</w:t>
            </w:r>
          </w:p>
        </w:tc>
        <w:tc>
          <w:tcPr>
            <w:tcW w:w="678" w:type="dxa"/>
            <w:gridSpan w:val="2"/>
            <w:tcBorders>
              <w:top w:val="single" w:sz="4" w:space="0" w:color="auto"/>
            </w:tcBorders>
            <w:shd w:val="clear" w:color="auto" w:fill="D7E9E9"/>
          </w:tcPr>
          <w:p>
            <w:pPr>
              <w:spacing w:after="0" w:line="240" w:lineRule="auto"/>
              <w:jc w:val="center"/>
              <w:rPr>
                <w:rFonts w:ascii="Times New Roman" w:hAnsi="Times New Roman"/>
                <w:b/>
                <w:bCs/>
                <w:noProof/>
                <w:sz w:val="18"/>
                <w:szCs w:val="18"/>
              </w:rPr>
            </w:pPr>
          </w:p>
        </w:tc>
        <w:tc>
          <w:tcPr>
            <w:tcW w:w="1842" w:type="dxa"/>
            <w:tcBorders>
              <w:top w:val="single" w:sz="4" w:space="0" w:color="auto"/>
            </w:tcBorders>
            <w:shd w:val="clear" w:color="auto" w:fill="D7E9E9"/>
            <w:hideMark/>
          </w:tcPr>
          <w:p>
            <w:pPr>
              <w:spacing w:after="0" w:line="240" w:lineRule="auto"/>
              <w:jc w:val="center"/>
              <w:rPr>
                <w:rFonts w:ascii="Times New Roman" w:hAnsi="Times New Roman" w:cs="Times New Roman"/>
                <w:b/>
                <w:bCs/>
                <w:noProof/>
                <w:sz w:val="18"/>
                <w:szCs w:val="18"/>
              </w:rPr>
            </w:pPr>
            <w:r>
              <w:rPr>
                <w:rFonts w:ascii="Times New Roman" w:hAnsi="Times New Roman"/>
                <w:b/>
                <w:bCs/>
                <w:noProof/>
                <w:sz w:val="18"/>
                <w:szCs w:val="18"/>
              </w:rPr>
              <w:t>Интензитет на парникови газове,</w:t>
            </w:r>
          </w:p>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sz w:val="18"/>
                <w:szCs w:val="18"/>
              </w:rPr>
              <w:t>докладван от държавата членка (g CO</w:t>
            </w:r>
            <w:r>
              <w:rPr>
                <w:rFonts w:ascii="Times New Roman" w:hAnsi="Times New Roman"/>
                <w:b/>
                <w:bCs/>
                <w:noProof/>
                <w:sz w:val="18"/>
                <w:szCs w:val="18"/>
                <w:vertAlign w:val="subscript"/>
              </w:rPr>
              <w:t>2</w:t>
            </w:r>
            <w:r>
              <w:rPr>
                <w:rFonts w:ascii="Times New Roman" w:hAnsi="Times New Roman"/>
                <w:b/>
                <w:bCs/>
                <w:noProof/>
                <w:sz w:val="18"/>
                <w:szCs w:val="18"/>
              </w:rPr>
              <w:t>e/MJ)</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България</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189 652</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75 861</w:t>
            </w:r>
          </w:p>
        </w:tc>
        <w:tc>
          <w:tcPr>
            <w:tcW w:w="1145" w:type="dxa"/>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w:t>
            </w:r>
          </w:p>
        </w:tc>
        <w:tc>
          <w:tcPr>
            <w:tcW w:w="480" w:type="dxa"/>
            <w:gridSpan w:val="2"/>
          </w:tcPr>
          <w:p>
            <w:pPr>
              <w:spacing w:after="0" w:line="240" w:lineRule="auto"/>
              <w:jc w:val="center"/>
              <w:rPr>
                <w:rFonts w:ascii="Times New Roman" w:hAnsi="Times New Roman"/>
                <w:noProof/>
                <w:sz w:val="18"/>
                <w:szCs w:val="18"/>
              </w:rPr>
            </w:pP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Франция</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1 122 448</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448 979</w:t>
            </w:r>
          </w:p>
        </w:tc>
        <w:tc>
          <w:tcPr>
            <w:tcW w:w="1145" w:type="dxa"/>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20,4</w:t>
            </w:r>
          </w:p>
        </w:tc>
        <w:tc>
          <w:tcPr>
            <w:tcW w:w="480" w:type="dxa"/>
            <w:gridSpan w:val="2"/>
          </w:tcPr>
          <w:p>
            <w:pPr>
              <w:spacing w:after="0" w:line="240" w:lineRule="auto"/>
              <w:jc w:val="center"/>
              <w:rPr>
                <w:rFonts w:ascii="Times New Roman" w:hAnsi="Times New Roman"/>
                <w:noProof/>
                <w:sz w:val="18"/>
                <w:szCs w:val="18"/>
              </w:rPr>
            </w:pP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73</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Германия</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774 000</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309 600</w:t>
            </w:r>
          </w:p>
        </w:tc>
        <w:tc>
          <w:tcPr>
            <w:tcW w:w="1145" w:type="dxa"/>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153</w:t>
            </w:r>
          </w:p>
        </w:tc>
        <w:tc>
          <w:tcPr>
            <w:tcW w:w="480" w:type="dxa"/>
            <w:gridSpan w:val="2"/>
          </w:tcPr>
          <w:p>
            <w:pPr>
              <w:spacing w:after="0" w:line="240" w:lineRule="auto"/>
              <w:jc w:val="center"/>
              <w:rPr>
                <w:rFonts w:ascii="Times New Roman" w:hAnsi="Times New Roman"/>
                <w:noProof/>
                <w:sz w:val="18"/>
                <w:szCs w:val="18"/>
              </w:rPr>
            </w:pP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551</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Италия</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1 444 681</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577 872</w:t>
            </w:r>
          </w:p>
        </w:tc>
        <w:tc>
          <w:tcPr>
            <w:tcW w:w="1145" w:type="dxa"/>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110,3</w:t>
            </w:r>
          </w:p>
        </w:tc>
        <w:tc>
          <w:tcPr>
            <w:tcW w:w="480" w:type="dxa"/>
            <w:gridSpan w:val="2"/>
          </w:tcPr>
          <w:p>
            <w:pPr>
              <w:spacing w:after="0" w:line="240" w:lineRule="auto"/>
              <w:jc w:val="center"/>
              <w:rPr>
                <w:rFonts w:ascii="Times New Roman" w:hAnsi="Times New Roman"/>
                <w:noProof/>
                <w:sz w:val="18"/>
                <w:szCs w:val="18"/>
              </w:rPr>
            </w:pP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397</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Нидерландия</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236 081</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94 432</w:t>
            </w:r>
          </w:p>
        </w:tc>
        <w:tc>
          <w:tcPr>
            <w:tcW w:w="1145" w:type="dxa"/>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165</w:t>
            </w:r>
          </w:p>
        </w:tc>
        <w:tc>
          <w:tcPr>
            <w:tcW w:w="480" w:type="dxa"/>
            <w:gridSpan w:val="2"/>
          </w:tcPr>
          <w:p>
            <w:pPr>
              <w:spacing w:after="0" w:line="240" w:lineRule="auto"/>
              <w:jc w:val="center"/>
              <w:rPr>
                <w:rFonts w:ascii="Times New Roman" w:hAnsi="Times New Roman"/>
                <w:noProof/>
                <w:sz w:val="18"/>
                <w:szCs w:val="18"/>
              </w:rPr>
            </w:pP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594</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Португалия</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19 224</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7 690</w:t>
            </w:r>
          </w:p>
        </w:tc>
        <w:tc>
          <w:tcPr>
            <w:tcW w:w="1145" w:type="dxa"/>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74,7</w:t>
            </w:r>
          </w:p>
        </w:tc>
        <w:tc>
          <w:tcPr>
            <w:tcW w:w="480" w:type="dxa"/>
            <w:gridSpan w:val="2"/>
          </w:tcPr>
          <w:p>
            <w:pPr>
              <w:spacing w:after="0" w:line="240" w:lineRule="auto"/>
              <w:jc w:val="center"/>
              <w:rPr>
                <w:rFonts w:ascii="Times New Roman" w:hAnsi="Times New Roman"/>
                <w:noProof/>
                <w:sz w:val="18"/>
                <w:szCs w:val="18"/>
              </w:rPr>
            </w:pP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269</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Словакия</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1 407</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563</w:t>
            </w:r>
          </w:p>
        </w:tc>
        <w:tc>
          <w:tcPr>
            <w:tcW w:w="1145" w:type="dxa"/>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46,4</w:t>
            </w:r>
          </w:p>
        </w:tc>
        <w:tc>
          <w:tcPr>
            <w:tcW w:w="480" w:type="dxa"/>
            <w:gridSpan w:val="2"/>
          </w:tcPr>
          <w:p>
            <w:pPr>
              <w:spacing w:after="0" w:line="240" w:lineRule="auto"/>
              <w:jc w:val="center"/>
              <w:rPr>
                <w:rFonts w:ascii="Times New Roman" w:hAnsi="Times New Roman"/>
                <w:noProof/>
                <w:sz w:val="18"/>
                <w:szCs w:val="18"/>
              </w:rPr>
            </w:pP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167</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Словения</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318</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127</w:t>
            </w:r>
          </w:p>
        </w:tc>
        <w:tc>
          <w:tcPr>
            <w:tcW w:w="1145" w:type="dxa"/>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w:t>
            </w:r>
          </w:p>
        </w:tc>
        <w:tc>
          <w:tcPr>
            <w:tcW w:w="480" w:type="dxa"/>
            <w:gridSpan w:val="2"/>
          </w:tcPr>
          <w:p>
            <w:pPr>
              <w:spacing w:after="0" w:line="240" w:lineRule="auto"/>
              <w:jc w:val="center"/>
              <w:rPr>
                <w:rFonts w:ascii="Times New Roman" w:hAnsi="Times New Roman"/>
                <w:noProof/>
                <w:sz w:val="18"/>
                <w:szCs w:val="18"/>
              </w:rPr>
            </w:pP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Швеция</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52</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21</w:t>
            </w:r>
          </w:p>
        </w:tc>
        <w:tc>
          <w:tcPr>
            <w:tcW w:w="1145" w:type="dxa"/>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169,2</w:t>
            </w:r>
          </w:p>
        </w:tc>
        <w:tc>
          <w:tcPr>
            <w:tcW w:w="480" w:type="dxa"/>
            <w:gridSpan w:val="2"/>
          </w:tcPr>
          <w:p>
            <w:pPr>
              <w:spacing w:after="0" w:line="240" w:lineRule="auto"/>
              <w:jc w:val="center"/>
              <w:rPr>
                <w:rFonts w:ascii="Times New Roman" w:hAnsi="Times New Roman"/>
                <w:noProof/>
                <w:sz w:val="18"/>
                <w:szCs w:val="18"/>
              </w:rPr>
            </w:pP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609</w:t>
            </w:r>
          </w:p>
        </w:tc>
      </w:tr>
      <w:tr>
        <w:trPr>
          <w:trHeight w:val="288"/>
        </w:trPr>
        <w:tc>
          <w:tcPr>
            <w:tcW w:w="1778"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Обединено кралство</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867 996</w:t>
            </w:r>
          </w:p>
        </w:tc>
        <w:tc>
          <w:tcPr>
            <w:tcW w:w="1843" w:type="dxa"/>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347 198</w:t>
            </w:r>
          </w:p>
        </w:tc>
        <w:tc>
          <w:tcPr>
            <w:tcW w:w="1145" w:type="dxa"/>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85,3</w:t>
            </w:r>
          </w:p>
        </w:tc>
        <w:tc>
          <w:tcPr>
            <w:tcW w:w="480" w:type="dxa"/>
            <w:gridSpan w:val="2"/>
          </w:tcPr>
          <w:p>
            <w:pPr>
              <w:spacing w:after="0" w:line="240" w:lineRule="auto"/>
              <w:jc w:val="center"/>
              <w:rPr>
                <w:rFonts w:ascii="Times New Roman" w:hAnsi="Times New Roman"/>
                <w:noProof/>
                <w:sz w:val="18"/>
                <w:szCs w:val="18"/>
              </w:rPr>
            </w:pPr>
          </w:p>
        </w:tc>
        <w:tc>
          <w:tcPr>
            <w:tcW w:w="2126" w:type="dxa"/>
            <w:gridSpan w:val="2"/>
            <w:shd w:val="clear" w:color="auto" w:fill="auto"/>
            <w:noWrap/>
            <w:vAlign w:val="center"/>
          </w:tcPr>
          <w:p>
            <w:pPr>
              <w:spacing w:after="0" w:line="240" w:lineRule="auto"/>
              <w:jc w:val="center"/>
              <w:rPr>
                <w:rFonts w:ascii="Times New Roman" w:hAnsi="Times New Roman" w:cs="Times New Roman"/>
                <w:noProof/>
                <w:sz w:val="18"/>
                <w:szCs w:val="18"/>
              </w:rPr>
            </w:pPr>
            <w:r>
              <w:rPr>
                <w:rFonts w:ascii="Times New Roman" w:hAnsi="Times New Roman"/>
                <w:noProof/>
                <w:sz w:val="18"/>
                <w:szCs w:val="18"/>
              </w:rPr>
              <w:t>307</w:t>
            </w:r>
          </w:p>
        </w:tc>
      </w:tr>
    </w:tbl>
    <w:p>
      <w:pPr>
        <w:pStyle w:val="EEATextbody"/>
        <w:keepNext/>
        <w:spacing w:before="240"/>
        <w:jc w:val="center"/>
        <w:rPr>
          <w:rFonts w:ascii="Times New Roman" w:eastAsia="Times New Roman" w:hAnsi="Times New Roman" w:cs="Times New Roman"/>
          <w:b/>
          <w:noProof/>
          <w:color w:val="auto"/>
          <w:sz w:val="24"/>
          <w:szCs w:val="24"/>
        </w:rPr>
      </w:pPr>
      <w:r>
        <w:rPr>
          <w:rFonts w:ascii="Times New Roman" w:hAnsi="Times New Roman"/>
          <w:b/>
          <w:noProof/>
          <w:color w:val="auto"/>
          <w:sz w:val="24"/>
          <w:szCs w:val="24"/>
        </w:rPr>
        <w:t>Таблица 1: Електроенергия, потребена от електрически автомобили и мотоциклети през 2018 г. като докладван принос от доставчиците на горива към тяхната цел за намаляване на емисиите на ПГ (</w:t>
      </w:r>
      <w:r>
        <w:rPr>
          <w:rFonts w:ascii="Times New Roman" w:hAnsi="Times New Roman"/>
          <w:b/>
          <w:i/>
          <w:noProof/>
          <w:color w:val="auto"/>
          <w:sz w:val="24"/>
          <w:szCs w:val="24"/>
        </w:rPr>
        <w:t>източник: ЕАОС</w:t>
      </w:r>
      <w:r>
        <w:rPr>
          <w:rFonts w:ascii="Times New Roman" w:hAnsi="Times New Roman"/>
          <w:b/>
          <w:noProof/>
          <w:color w:val="auto"/>
          <w:sz w:val="24"/>
          <w:szCs w:val="24"/>
        </w:rPr>
        <w:t>)</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3" w:name="_Toc283899343"/>
      <w:bookmarkStart w:id="4" w:name="_Ref283900304"/>
      <w:bookmarkStart w:id="5" w:name="_Ref283900315"/>
      <w:r>
        <w:rPr>
          <w:rFonts w:ascii="Times New Roman" w:hAnsi="Times New Roman"/>
          <w:b/>
          <w:smallCaps/>
          <w:noProof/>
          <w:sz w:val="24"/>
          <w:szCs w:val="24"/>
        </w:rPr>
        <w:t>3.</w:t>
      </w:r>
      <w:r>
        <w:rPr>
          <w:noProof/>
        </w:rPr>
        <w:tab/>
      </w:r>
      <w:r>
        <w:rPr>
          <w:rFonts w:ascii="Times New Roman" w:hAnsi="Times New Roman"/>
          <w:b/>
          <w:smallCaps/>
          <w:noProof/>
          <w:sz w:val="24"/>
          <w:szCs w:val="24"/>
        </w:rPr>
        <w:t>Обзор на данните за качеството на горивата в ЕС през 2018 г.</w:t>
      </w:r>
      <w:bookmarkEnd w:id="3"/>
      <w:bookmarkEnd w:id="4"/>
      <w:bookmarkEnd w:id="5"/>
    </w:p>
    <w:p>
      <w:pPr>
        <w:pStyle w:val="EEATextbody"/>
        <w:rPr>
          <w:rFonts w:ascii="Times New Roman" w:hAnsi="Times New Roman" w:cs="Times New Roman"/>
          <w:noProof/>
          <w:sz w:val="24"/>
          <w:szCs w:val="24"/>
        </w:rPr>
      </w:pPr>
      <w:r>
        <w:rPr>
          <w:rFonts w:ascii="Times New Roman" w:hAnsi="Times New Roman"/>
          <w:noProof/>
          <w:sz w:val="24"/>
          <w:szCs w:val="24"/>
        </w:rPr>
        <w:t xml:space="preserve">В съответствие с член 8 от Директивата относно качеството на горивата всички държави членки, както и Исландия, са подали доклади с националните данни за качеството на горивата за 2018 г. </w:t>
      </w:r>
    </w:p>
    <w:p>
      <w:pPr>
        <w:pStyle w:val="EEATextbody"/>
        <w:rPr>
          <w:rFonts w:ascii="Times New Roman" w:hAnsi="Times New Roman" w:cs="Times New Roman"/>
          <w:noProof/>
          <w:sz w:val="24"/>
          <w:szCs w:val="24"/>
        </w:rPr>
      </w:pPr>
      <w:r>
        <w:rPr>
          <w:rFonts w:ascii="Times New Roman" w:hAnsi="Times New Roman"/>
          <w:noProof/>
          <w:sz w:val="24"/>
          <w:szCs w:val="24"/>
        </w:rPr>
        <w:t xml:space="preserve">В този раздел се предоставят докладваните от всички държави — членки на ЕС данни относно продажбите за автомобилен транспорт на бензинови и дизелови горива, както и включените в тях биокомпоненти. В него не са включени други изкопаеми горива, други биогорива и горива от небиологичен произход, както и горива, използвани за извънпътна подвижна техника. </w:t>
      </w:r>
    </w:p>
    <w:p>
      <w:pPr>
        <w:pStyle w:val="EEABoxcaption"/>
        <w:spacing w:before="360" w:after="120"/>
        <w:ind w:left="0" w:firstLine="0"/>
        <w:jc w:val="both"/>
        <w:rPr>
          <w:rFonts w:ascii="Times New Roman" w:hAnsi="Times New Roman" w:cs="Times New Roman"/>
          <w:noProof/>
          <w:sz w:val="24"/>
          <w:szCs w:val="24"/>
        </w:rPr>
      </w:pPr>
    </w:p>
    <w:p>
      <w:pPr>
        <w:pStyle w:val="EEABoxcaption"/>
        <w:spacing w:before="360" w:after="120"/>
        <w:ind w:left="0" w:firstLine="0"/>
        <w:jc w:val="both"/>
        <w:rPr>
          <w:rFonts w:ascii="Times New Roman" w:hAnsi="Times New Roman" w:cs="Times New Roman"/>
          <w:noProof/>
          <w:sz w:val="24"/>
          <w:szCs w:val="24"/>
        </w:rPr>
      </w:pPr>
      <w:r>
        <w:rPr>
          <w:rFonts w:ascii="Times New Roman" w:hAnsi="Times New Roman"/>
          <w:noProof/>
          <w:sz w:val="24"/>
          <w:szCs w:val="24"/>
        </w:rPr>
        <w:t>3.1</w:t>
      </w:r>
      <w:r>
        <w:rPr>
          <w:noProof/>
        </w:rPr>
        <w:tab/>
      </w:r>
      <w:r>
        <w:rPr>
          <w:rFonts w:ascii="Times New Roman" w:hAnsi="Times New Roman"/>
          <w:noProof/>
          <w:sz w:val="24"/>
          <w:szCs w:val="24"/>
        </w:rPr>
        <w:t xml:space="preserve">Бензинови горива, дизелови горива и съдържание на биокомпоненти </w:t>
      </w:r>
    </w:p>
    <w:p>
      <w:pPr>
        <w:pStyle w:val="EEATextbody"/>
        <w:rPr>
          <w:rFonts w:ascii="Times New Roman" w:hAnsi="Times New Roman" w:cs="Times New Roman"/>
          <w:noProof/>
          <w:sz w:val="24"/>
          <w:szCs w:val="24"/>
        </w:rPr>
      </w:pPr>
      <w:r>
        <w:rPr>
          <w:rFonts w:ascii="Times New Roman" w:hAnsi="Times New Roman"/>
          <w:noProof/>
          <w:sz w:val="24"/>
          <w:szCs w:val="24"/>
        </w:rPr>
        <w:t xml:space="preserve">При продажбите на горива в ЕС продължава да преобладават дизеловите горива: 72,3 % от продадените през 2018 г. горива са дизелови горива, а 27,7 % — бензинови горива, както и през 2017 г. (вж. </w:t>
      </w:r>
      <w:r>
        <w:rPr>
          <w:rFonts w:ascii="Times New Roman" w:hAnsi="Times New Roman"/>
          <w:i/>
          <w:noProof/>
          <w:sz w:val="24"/>
          <w:szCs w:val="24"/>
        </w:rPr>
        <w:t>таблица 2</w:t>
      </w:r>
      <w:r>
        <w:rPr>
          <w:rFonts w:ascii="Times New Roman" w:hAnsi="Times New Roman"/>
          <w:noProof/>
          <w:sz w:val="24"/>
          <w:szCs w:val="24"/>
        </w:rPr>
        <w:t xml:space="preserve">). </w:t>
      </w:r>
    </w:p>
    <w:p>
      <w:pPr>
        <w:pStyle w:val="EEATextbody"/>
        <w:rPr>
          <w:rFonts w:ascii="Times New Roman" w:hAnsi="Times New Roman" w:cs="Times New Roman"/>
          <w:noProof/>
          <w:sz w:val="24"/>
          <w:szCs w:val="24"/>
        </w:rPr>
      </w:pPr>
    </w:p>
    <w:tbl>
      <w:tblPr>
        <w:tblStyle w:val="TableGrid"/>
        <w:tblW w:w="0" w:type="auto"/>
        <w:jc w:val="center"/>
        <w:tblLook w:val="04A0" w:firstRow="1" w:lastRow="0" w:firstColumn="1" w:lastColumn="0" w:noHBand="0" w:noVBand="1"/>
      </w:tblPr>
      <w:tblGrid>
        <w:gridCol w:w="2007"/>
        <w:gridCol w:w="2410"/>
        <w:gridCol w:w="2126"/>
      </w:tblGrid>
      <w:tr>
        <w:trPr>
          <w:trHeight w:val="252"/>
          <w:jc w:val="center"/>
        </w:trPr>
        <w:tc>
          <w:tcPr>
            <w:tcW w:w="2007" w:type="dxa"/>
            <w:tcBorders>
              <w:right w:val="double" w:sz="4" w:space="0" w:color="auto"/>
            </w:tcBorders>
            <w:shd w:val="clear" w:color="auto" w:fill="BFBFBF" w:themeFill="background1" w:themeFillShade="BF"/>
          </w:tcPr>
          <w:p>
            <w:pPr>
              <w:pStyle w:val="EEATextbody"/>
              <w:spacing w:before="0" w:after="0" w:line="240" w:lineRule="auto"/>
              <w:jc w:val="center"/>
              <w:rPr>
                <w:rFonts w:ascii="Times New Roman" w:hAnsi="Times New Roman" w:cs="Times New Roman"/>
                <w:b/>
                <w:noProof/>
                <w:sz w:val="24"/>
                <w:szCs w:val="24"/>
              </w:rPr>
            </w:pPr>
          </w:p>
        </w:tc>
        <w:tc>
          <w:tcPr>
            <w:tcW w:w="2410" w:type="dxa"/>
            <w:tcBorders>
              <w:left w:val="double" w:sz="4" w:space="0" w:color="auto"/>
            </w:tcBorders>
            <w:shd w:val="clear" w:color="auto" w:fill="BFBFBF" w:themeFill="background1" w:themeFillShade="BF"/>
          </w:tcPr>
          <w:p>
            <w:pPr>
              <w:pStyle w:val="EEATextbody"/>
              <w:spacing w:before="0" w:after="0" w:line="240" w:lineRule="auto"/>
              <w:jc w:val="center"/>
              <w:rPr>
                <w:rFonts w:ascii="Times New Roman" w:hAnsi="Times New Roman" w:cs="Times New Roman"/>
                <w:b/>
                <w:noProof/>
                <w:sz w:val="24"/>
                <w:szCs w:val="24"/>
              </w:rPr>
            </w:pPr>
            <w:r>
              <w:rPr>
                <w:rFonts w:ascii="Times New Roman" w:hAnsi="Times New Roman"/>
                <w:b/>
                <w:noProof/>
                <w:sz w:val="24"/>
                <w:szCs w:val="24"/>
              </w:rPr>
              <w:t>2017 г.</w:t>
            </w:r>
          </w:p>
        </w:tc>
        <w:tc>
          <w:tcPr>
            <w:tcW w:w="2126" w:type="dxa"/>
            <w:shd w:val="clear" w:color="auto" w:fill="BFBFBF" w:themeFill="background1" w:themeFillShade="BF"/>
          </w:tcPr>
          <w:p>
            <w:pPr>
              <w:pStyle w:val="EEATextbody"/>
              <w:spacing w:before="0" w:after="0" w:line="240" w:lineRule="auto"/>
              <w:jc w:val="center"/>
              <w:rPr>
                <w:rFonts w:ascii="Times New Roman" w:hAnsi="Times New Roman" w:cs="Times New Roman"/>
                <w:b/>
                <w:noProof/>
                <w:sz w:val="24"/>
                <w:szCs w:val="24"/>
              </w:rPr>
            </w:pPr>
            <w:r>
              <w:rPr>
                <w:rFonts w:ascii="Times New Roman" w:hAnsi="Times New Roman"/>
                <w:b/>
                <w:noProof/>
                <w:sz w:val="24"/>
                <w:szCs w:val="24"/>
              </w:rPr>
              <w:t>2018 г.</w:t>
            </w:r>
          </w:p>
        </w:tc>
      </w:tr>
      <w:tr>
        <w:trPr>
          <w:trHeight w:val="492"/>
          <w:jc w:val="center"/>
        </w:trPr>
        <w:tc>
          <w:tcPr>
            <w:tcW w:w="2007" w:type="dxa"/>
            <w:tcBorders>
              <w:right w:val="double" w:sz="4" w:space="0" w:color="auto"/>
            </w:tcBorders>
            <w:shd w:val="clear" w:color="auto" w:fill="F2F2F2" w:themeFill="background1" w:themeFillShade="F2"/>
            <w:vAlign w:val="center"/>
          </w:tcPr>
          <w:p>
            <w:pPr>
              <w:pStyle w:val="EEATextbody"/>
              <w:spacing w:before="0" w:after="0" w:line="240" w:lineRule="auto"/>
              <w:ind w:left="0" w:firstLine="0"/>
              <w:jc w:val="left"/>
              <w:rPr>
                <w:rFonts w:ascii="Times New Roman" w:hAnsi="Times New Roman" w:cs="Times New Roman"/>
                <w:noProof/>
                <w:sz w:val="24"/>
                <w:szCs w:val="24"/>
              </w:rPr>
            </w:pPr>
            <w:r>
              <w:rPr>
                <w:rFonts w:ascii="Times New Roman" w:hAnsi="Times New Roman"/>
                <w:b/>
                <w:noProof/>
                <w:sz w:val="24"/>
                <w:szCs w:val="24"/>
              </w:rPr>
              <w:t>Продажби на дизелови горива</w:t>
            </w:r>
          </w:p>
        </w:tc>
        <w:tc>
          <w:tcPr>
            <w:tcW w:w="2410" w:type="dxa"/>
            <w:tcBorders>
              <w:left w:val="double" w:sz="4" w:space="0" w:color="auto"/>
            </w:tcBorders>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noProof/>
                <w:sz w:val="24"/>
                <w:szCs w:val="24"/>
              </w:rPr>
              <w:t>270 668 (72,3 %)</w:t>
            </w:r>
          </w:p>
        </w:tc>
        <w:tc>
          <w:tcPr>
            <w:tcW w:w="2126" w:type="dxa"/>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noProof/>
                <w:sz w:val="24"/>
                <w:szCs w:val="24"/>
              </w:rPr>
              <w:t>271 018 (72,3 %)</w:t>
            </w:r>
          </w:p>
        </w:tc>
      </w:tr>
      <w:tr>
        <w:trPr>
          <w:trHeight w:val="506"/>
          <w:jc w:val="center"/>
        </w:trPr>
        <w:tc>
          <w:tcPr>
            <w:tcW w:w="2007" w:type="dxa"/>
            <w:tcBorders>
              <w:right w:val="double" w:sz="4" w:space="0" w:color="auto"/>
            </w:tcBorders>
            <w:shd w:val="clear" w:color="auto" w:fill="F2F2F2" w:themeFill="background1" w:themeFillShade="F2"/>
            <w:vAlign w:val="center"/>
          </w:tcPr>
          <w:p>
            <w:pPr>
              <w:pStyle w:val="EEATextbody"/>
              <w:spacing w:before="0" w:after="0" w:line="240" w:lineRule="auto"/>
              <w:ind w:left="0" w:firstLine="0"/>
              <w:jc w:val="left"/>
              <w:rPr>
                <w:rFonts w:ascii="Times New Roman" w:hAnsi="Times New Roman" w:cs="Times New Roman"/>
                <w:noProof/>
                <w:sz w:val="24"/>
                <w:szCs w:val="24"/>
              </w:rPr>
            </w:pPr>
            <w:r>
              <w:rPr>
                <w:rFonts w:ascii="Times New Roman" w:hAnsi="Times New Roman"/>
                <w:b/>
                <w:noProof/>
                <w:sz w:val="24"/>
                <w:szCs w:val="24"/>
              </w:rPr>
              <w:t>Продажби на бензинови горива</w:t>
            </w:r>
          </w:p>
        </w:tc>
        <w:tc>
          <w:tcPr>
            <w:tcW w:w="2410" w:type="dxa"/>
            <w:tcBorders>
              <w:left w:val="double" w:sz="4" w:space="0" w:color="auto"/>
            </w:tcBorders>
            <w:vAlign w:val="center"/>
          </w:tcPr>
          <w:p>
            <w:pPr>
              <w:pStyle w:val="EEATextbody"/>
              <w:spacing w:before="0" w:after="0" w:line="240" w:lineRule="auto"/>
              <w:ind w:left="0" w:firstLine="0"/>
              <w:jc w:val="center"/>
              <w:rPr>
                <w:rFonts w:ascii="Times New Roman" w:hAnsi="Times New Roman" w:cs="Times New Roman"/>
                <w:noProof/>
                <w:sz w:val="24"/>
                <w:szCs w:val="24"/>
              </w:rPr>
            </w:pPr>
            <w:r>
              <w:rPr>
                <w:rFonts w:ascii="Times New Roman" w:hAnsi="Times New Roman"/>
                <w:noProof/>
                <w:sz w:val="24"/>
                <w:szCs w:val="24"/>
              </w:rPr>
              <w:t>103 766 (27,7 %)</w:t>
            </w:r>
          </w:p>
        </w:tc>
        <w:tc>
          <w:tcPr>
            <w:tcW w:w="2126" w:type="dxa"/>
            <w:vAlign w:val="center"/>
          </w:tcPr>
          <w:p>
            <w:pPr>
              <w:pStyle w:val="EEATextbody"/>
              <w:spacing w:before="0" w:after="0" w:line="240" w:lineRule="auto"/>
              <w:ind w:left="0" w:firstLine="0"/>
              <w:jc w:val="center"/>
              <w:rPr>
                <w:rFonts w:ascii="Times New Roman" w:hAnsi="Times New Roman" w:cs="Times New Roman"/>
                <w:noProof/>
                <w:sz w:val="24"/>
                <w:szCs w:val="24"/>
              </w:rPr>
            </w:pPr>
            <w:r>
              <w:rPr>
                <w:rFonts w:ascii="Times New Roman" w:hAnsi="Times New Roman"/>
                <w:noProof/>
                <w:sz w:val="24"/>
                <w:szCs w:val="24"/>
              </w:rPr>
              <w:t>103 766 (27,7 %)</w:t>
            </w:r>
          </w:p>
        </w:tc>
      </w:tr>
    </w:tbl>
    <w:p>
      <w:pPr>
        <w:pStyle w:val="EEATextbody"/>
        <w:spacing w:before="120" w:after="360"/>
        <w:jc w:val="center"/>
        <w:rPr>
          <w:rFonts w:ascii="Times New Roman" w:hAnsi="Times New Roman" w:cs="Times New Roman"/>
          <w:noProof/>
          <w:sz w:val="24"/>
          <w:szCs w:val="24"/>
        </w:rPr>
      </w:pPr>
      <w:r>
        <w:rPr>
          <w:rFonts w:ascii="Times New Roman" w:hAnsi="Times New Roman"/>
          <w:b/>
          <w:noProof/>
          <w:color w:val="auto"/>
          <w:sz w:val="24"/>
          <w:szCs w:val="24"/>
        </w:rPr>
        <w:t>Таблица 2: Продажби на дизелови и бензинови горива (в милиони литри и съответните им дялове) през 2017 г. и 2018 г.</w:t>
      </w:r>
    </w:p>
    <w:p>
      <w:pPr>
        <w:pStyle w:val="EEATextbody"/>
        <w:rPr>
          <w:rFonts w:ascii="Times New Roman" w:hAnsi="Times New Roman" w:cs="Times New Roman"/>
          <w:noProof/>
          <w:sz w:val="24"/>
          <w:szCs w:val="24"/>
        </w:rPr>
      </w:pPr>
      <w:r>
        <w:rPr>
          <w:rFonts w:ascii="Times New Roman" w:hAnsi="Times New Roman"/>
          <w:noProof/>
          <w:sz w:val="24"/>
          <w:szCs w:val="24"/>
        </w:rPr>
        <w:t xml:space="preserve">През годините делът от общите продажби на продажбите на дизелови горива в сравнение с тези на бензинови горива се е увеличил от 55,6 % през 2001 г. на 72,3 % през 2018 г. Това до голяма степен съответства на увеличаващия се дял на дизеловите автомобили в автомобилния парк в Европа през този период. </w:t>
      </w:r>
    </w:p>
    <w:p>
      <w:pPr>
        <w:pStyle w:val="EEATextbody"/>
        <w:rPr>
          <w:rFonts w:ascii="Times New Roman" w:hAnsi="Times New Roman" w:cs="Times New Roman"/>
          <w:noProof/>
          <w:sz w:val="24"/>
          <w:szCs w:val="24"/>
        </w:rPr>
      </w:pPr>
      <w:r>
        <w:rPr>
          <w:rFonts w:ascii="Times New Roman" w:hAnsi="Times New Roman"/>
          <w:noProof/>
          <w:sz w:val="24"/>
          <w:szCs w:val="24"/>
        </w:rPr>
        <w:t xml:space="preserve">Потреблението на дизелови горива е преобладаващо в повечето държави — членки на ЕС (като представлява над 60 % от общите продажби на горива), с изключение на Гърция, Кипър и Нидерландия; </w:t>
      </w:r>
    </w:p>
    <w:p>
      <w:pPr>
        <w:pStyle w:val="EEATextbody"/>
        <w:rPr>
          <w:rFonts w:ascii="Times New Roman" w:hAnsi="Times New Roman" w:cs="Times New Roman"/>
          <w:noProof/>
          <w:sz w:val="24"/>
          <w:szCs w:val="24"/>
        </w:rPr>
      </w:pPr>
      <w:r>
        <w:rPr>
          <w:rFonts w:ascii="Times New Roman" w:hAnsi="Times New Roman"/>
          <w:noProof/>
          <w:sz w:val="24"/>
          <w:szCs w:val="24"/>
        </w:rPr>
        <w:t xml:space="preserve">По-голямата част от продажбите на бензинови горива през 2018 г. са на горива с октаново число 95, определено по изследователския метод (RON), като техният дял леко е намалял в сравнение с 2017 г. Делът на продажбите на 95 ≤ RON &lt; 98 се е увеличил, докато делът на продажбите на RON ≥ 98 е намалял от 2017 г. насам (вж. </w:t>
      </w:r>
      <w:r>
        <w:rPr>
          <w:rFonts w:ascii="Times New Roman" w:hAnsi="Times New Roman"/>
          <w:i/>
          <w:noProof/>
          <w:sz w:val="24"/>
          <w:szCs w:val="24"/>
        </w:rPr>
        <w:t>таблица 3</w:t>
      </w:r>
      <w:r>
        <w:rPr>
          <w:rFonts w:ascii="Times New Roman" w:hAnsi="Times New Roman"/>
          <w:noProof/>
          <w:sz w:val="24"/>
          <w:szCs w:val="24"/>
        </w:rPr>
        <w:t>).</w:t>
      </w:r>
    </w:p>
    <w:p>
      <w:pPr>
        <w:pStyle w:val="EEATextbody"/>
        <w:rPr>
          <w:rFonts w:ascii="Times New Roman" w:hAnsi="Times New Roman" w:cs="Times New Roman"/>
          <w:noProof/>
          <w:sz w:val="24"/>
          <w:szCs w:val="24"/>
        </w:rPr>
      </w:pPr>
    </w:p>
    <w:tbl>
      <w:tblPr>
        <w:tblStyle w:val="TableGrid"/>
        <w:tblW w:w="0" w:type="auto"/>
        <w:jc w:val="center"/>
        <w:tblLook w:val="04A0" w:firstRow="1" w:lastRow="0" w:firstColumn="1" w:lastColumn="0" w:noHBand="0" w:noVBand="1"/>
      </w:tblPr>
      <w:tblGrid>
        <w:gridCol w:w="1930"/>
        <w:gridCol w:w="1871"/>
        <w:gridCol w:w="1843"/>
      </w:tblGrid>
      <w:tr>
        <w:trPr>
          <w:trHeight w:val="252"/>
          <w:jc w:val="center"/>
        </w:trPr>
        <w:tc>
          <w:tcPr>
            <w:tcW w:w="1930" w:type="dxa"/>
            <w:tcBorders>
              <w:right w:val="double" w:sz="4" w:space="0" w:color="auto"/>
            </w:tcBorders>
            <w:shd w:val="clear" w:color="auto" w:fill="BFBFBF" w:themeFill="background1" w:themeFillShade="BF"/>
          </w:tcPr>
          <w:p>
            <w:pPr>
              <w:pStyle w:val="EEATextbody"/>
              <w:spacing w:before="0" w:after="0" w:line="240" w:lineRule="auto"/>
              <w:jc w:val="center"/>
              <w:rPr>
                <w:rFonts w:ascii="Times New Roman" w:hAnsi="Times New Roman" w:cs="Times New Roman"/>
                <w:b/>
                <w:noProof/>
                <w:sz w:val="24"/>
                <w:szCs w:val="24"/>
              </w:rPr>
            </w:pPr>
          </w:p>
        </w:tc>
        <w:tc>
          <w:tcPr>
            <w:tcW w:w="1871" w:type="dxa"/>
            <w:tcBorders>
              <w:left w:val="double" w:sz="4" w:space="0" w:color="auto"/>
            </w:tcBorders>
            <w:shd w:val="clear" w:color="auto" w:fill="BFBFBF" w:themeFill="background1" w:themeFillShade="BF"/>
          </w:tcPr>
          <w:p>
            <w:pPr>
              <w:pStyle w:val="EEATextbody"/>
              <w:spacing w:before="0" w:after="0" w:line="240" w:lineRule="auto"/>
              <w:jc w:val="center"/>
              <w:rPr>
                <w:rFonts w:ascii="Times New Roman" w:hAnsi="Times New Roman" w:cs="Times New Roman"/>
                <w:b/>
                <w:noProof/>
                <w:sz w:val="24"/>
                <w:szCs w:val="24"/>
              </w:rPr>
            </w:pPr>
            <w:r>
              <w:rPr>
                <w:rFonts w:ascii="Times New Roman" w:hAnsi="Times New Roman"/>
                <w:b/>
                <w:noProof/>
                <w:sz w:val="24"/>
                <w:szCs w:val="24"/>
              </w:rPr>
              <w:t>2017 г.</w:t>
            </w:r>
          </w:p>
        </w:tc>
        <w:tc>
          <w:tcPr>
            <w:tcW w:w="1843" w:type="dxa"/>
            <w:shd w:val="clear" w:color="auto" w:fill="BFBFBF" w:themeFill="background1" w:themeFillShade="BF"/>
          </w:tcPr>
          <w:p>
            <w:pPr>
              <w:pStyle w:val="EEATextbody"/>
              <w:spacing w:before="0" w:after="0" w:line="240" w:lineRule="auto"/>
              <w:jc w:val="center"/>
              <w:rPr>
                <w:rFonts w:ascii="Times New Roman" w:hAnsi="Times New Roman" w:cs="Times New Roman"/>
                <w:b/>
                <w:noProof/>
                <w:sz w:val="24"/>
                <w:szCs w:val="24"/>
              </w:rPr>
            </w:pPr>
            <w:r>
              <w:rPr>
                <w:rFonts w:ascii="Times New Roman" w:hAnsi="Times New Roman"/>
                <w:b/>
                <w:noProof/>
                <w:sz w:val="24"/>
                <w:szCs w:val="24"/>
              </w:rPr>
              <w:t>2018 г.</w:t>
            </w:r>
          </w:p>
        </w:tc>
      </w:tr>
      <w:tr>
        <w:trPr>
          <w:trHeight w:val="492"/>
          <w:jc w:val="center"/>
        </w:trPr>
        <w:tc>
          <w:tcPr>
            <w:tcW w:w="1930" w:type="dxa"/>
            <w:tcBorders>
              <w:right w:val="double" w:sz="4" w:space="0" w:color="auto"/>
            </w:tcBorders>
            <w:shd w:val="clear" w:color="auto" w:fill="F2F2F2" w:themeFill="background1" w:themeFillShade="F2"/>
            <w:vAlign w:val="center"/>
          </w:tcPr>
          <w:p>
            <w:pPr>
              <w:pStyle w:val="EEATextbody"/>
              <w:spacing w:before="0" w:after="0" w:line="240" w:lineRule="auto"/>
              <w:ind w:left="0" w:firstLine="0"/>
              <w:jc w:val="left"/>
              <w:rPr>
                <w:rFonts w:ascii="Times New Roman" w:hAnsi="Times New Roman" w:cs="Times New Roman"/>
                <w:noProof/>
                <w:sz w:val="24"/>
                <w:szCs w:val="24"/>
              </w:rPr>
            </w:pPr>
            <w:r>
              <w:rPr>
                <w:rFonts w:ascii="Times New Roman" w:hAnsi="Times New Roman"/>
                <w:b/>
                <w:noProof/>
                <w:sz w:val="24"/>
                <w:szCs w:val="24"/>
              </w:rPr>
              <w:t>95 RON</w:t>
            </w:r>
          </w:p>
        </w:tc>
        <w:tc>
          <w:tcPr>
            <w:tcW w:w="1871" w:type="dxa"/>
            <w:tcBorders>
              <w:left w:val="double" w:sz="4" w:space="0" w:color="auto"/>
            </w:tcBorders>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noProof/>
                <w:sz w:val="24"/>
                <w:szCs w:val="24"/>
              </w:rPr>
              <w:t>85,7 %;</w:t>
            </w:r>
          </w:p>
        </w:tc>
        <w:tc>
          <w:tcPr>
            <w:tcW w:w="1843" w:type="dxa"/>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noProof/>
                <w:sz w:val="24"/>
                <w:szCs w:val="24"/>
              </w:rPr>
              <w:t>82 %;</w:t>
            </w:r>
          </w:p>
        </w:tc>
      </w:tr>
      <w:tr>
        <w:trPr>
          <w:trHeight w:val="506"/>
          <w:jc w:val="center"/>
        </w:trPr>
        <w:tc>
          <w:tcPr>
            <w:tcW w:w="1930" w:type="dxa"/>
            <w:tcBorders>
              <w:right w:val="double" w:sz="4" w:space="0" w:color="auto"/>
            </w:tcBorders>
            <w:shd w:val="clear" w:color="auto" w:fill="F2F2F2" w:themeFill="background1" w:themeFillShade="F2"/>
            <w:vAlign w:val="center"/>
          </w:tcPr>
          <w:p>
            <w:pPr>
              <w:pStyle w:val="EEATextbody"/>
              <w:spacing w:before="0" w:after="0" w:line="240" w:lineRule="auto"/>
              <w:ind w:left="0" w:firstLine="0"/>
              <w:jc w:val="left"/>
              <w:rPr>
                <w:rFonts w:ascii="Times New Roman" w:hAnsi="Times New Roman" w:cs="Times New Roman"/>
                <w:noProof/>
                <w:sz w:val="24"/>
                <w:szCs w:val="24"/>
              </w:rPr>
            </w:pPr>
            <w:r>
              <w:rPr>
                <w:rFonts w:ascii="Times New Roman" w:hAnsi="Times New Roman"/>
                <w:b/>
                <w:noProof/>
                <w:sz w:val="24"/>
                <w:szCs w:val="24"/>
              </w:rPr>
              <w:t>95 ≤ RON &lt; 98</w:t>
            </w:r>
          </w:p>
        </w:tc>
        <w:tc>
          <w:tcPr>
            <w:tcW w:w="1871" w:type="dxa"/>
            <w:tcBorders>
              <w:left w:val="double" w:sz="4" w:space="0" w:color="auto"/>
            </w:tcBorders>
            <w:vAlign w:val="center"/>
          </w:tcPr>
          <w:p>
            <w:pPr>
              <w:pStyle w:val="EEATextbody"/>
              <w:spacing w:before="0" w:after="0" w:line="240" w:lineRule="auto"/>
              <w:ind w:left="0" w:firstLine="0"/>
              <w:jc w:val="center"/>
              <w:rPr>
                <w:rFonts w:ascii="Times New Roman" w:hAnsi="Times New Roman" w:cs="Times New Roman"/>
                <w:noProof/>
                <w:sz w:val="24"/>
                <w:szCs w:val="24"/>
              </w:rPr>
            </w:pPr>
            <w:r>
              <w:rPr>
                <w:rFonts w:ascii="Times New Roman" w:hAnsi="Times New Roman"/>
                <w:noProof/>
                <w:sz w:val="24"/>
                <w:szCs w:val="24"/>
              </w:rPr>
              <w:t>8,3 %;</w:t>
            </w:r>
          </w:p>
        </w:tc>
        <w:tc>
          <w:tcPr>
            <w:tcW w:w="1843" w:type="dxa"/>
            <w:vAlign w:val="center"/>
          </w:tcPr>
          <w:p>
            <w:pPr>
              <w:pStyle w:val="EEATextbody"/>
              <w:spacing w:before="0" w:after="0" w:line="240" w:lineRule="auto"/>
              <w:ind w:left="0" w:firstLine="0"/>
              <w:jc w:val="center"/>
              <w:rPr>
                <w:rFonts w:ascii="Times New Roman" w:hAnsi="Times New Roman" w:cs="Times New Roman"/>
                <w:noProof/>
                <w:sz w:val="24"/>
                <w:szCs w:val="24"/>
              </w:rPr>
            </w:pPr>
            <w:r>
              <w:rPr>
                <w:rFonts w:ascii="Times New Roman" w:hAnsi="Times New Roman"/>
                <w:noProof/>
                <w:sz w:val="24"/>
                <w:szCs w:val="24"/>
              </w:rPr>
              <w:t>13,7 %;</w:t>
            </w:r>
          </w:p>
        </w:tc>
      </w:tr>
      <w:tr>
        <w:trPr>
          <w:trHeight w:val="506"/>
          <w:jc w:val="center"/>
        </w:trPr>
        <w:tc>
          <w:tcPr>
            <w:tcW w:w="1930" w:type="dxa"/>
            <w:tcBorders>
              <w:right w:val="double" w:sz="4" w:space="0" w:color="auto"/>
            </w:tcBorders>
            <w:shd w:val="clear" w:color="auto" w:fill="F2F2F2" w:themeFill="background1" w:themeFillShade="F2"/>
            <w:vAlign w:val="center"/>
          </w:tcPr>
          <w:p>
            <w:pPr>
              <w:pStyle w:val="EEATextbody"/>
              <w:spacing w:before="0" w:after="0" w:line="240" w:lineRule="auto"/>
              <w:jc w:val="left"/>
              <w:rPr>
                <w:rFonts w:ascii="Times New Roman" w:hAnsi="Times New Roman" w:cs="Times New Roman"/>
                <w:b/>
                <w:noProof/>
                <w:sz w:val="24"/>
                <w:szCs w:val="24"/>
              </w:rPr>
            </w:pPr>
            <w:r>
              <w:rPr>
                <w:rFonts w:ascii="Times New Roman" w:hAnsi="Times New Roman"/>
                <w:b/>
                <w:noProof/>
                <w:sz w:val="24"/>
                <w:szCs w:val="24"/>
              </w:rPr>
              <w:t>RON ≥ 98</w:t>
            </w:r>
          </w:p>
        </w:tc>
        <w:tc>
          <w:tcPr>
            <w:tcW w:w="1871" w:type="dxa"/>
            <w:tcBorders>
              <w:left w:val="double" w:sz="4" w:space="0" w:color="auto"/>
            </w:tcBorders>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noProof/>
                <w:sz w:val="24"/>
                <w:szCs w:val="24"/>
              </w:rPr>
              <w:t>5,8 %;</w:t>
            </w:r>
          </w:p>
        </w:tc>
        <w:tc>
          <w:tcPr>
            <w:tcW w:w="1843" w:type="dxa"/>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noProof/>
                <w:sz w:val="24"/>
                <w:szCs w:val="24"/>
              </w:rPr>
              <w:t>4,2 %;</w:t>
            </w:r>
          </w:p>
        </w:tc>
      </w:tr>
      <w:tr>
        <w:trPr>
          <w:trHeight w:val="506"/>
          <w:jc w:val="center"/>
        </w:trPr>
        <w:tc>
          <w:tcPr>
            <w:tcW w:w="1930" w:type="dxa"/>
            <w:tcBorders>
              <w:right w:val="double" w:sz="4" w:space="0" w:color="auto"/>
            </w:tcBorders>
            <w:shd w:val="clear" w:color="auto" w:fill="F2F2F2" w:themeFill="background1" w:themeFillShade="F2"/>
            <w:vAlign w:val="center"/>
          </w:tcPr>
          <w:p>
            <w:pPr>
              <w:pStyle w:val="EEATextbody"/>
              <w:spacing w:before="0" w:after="0" w:line="240" w:lineRule="auto"/>
              <w:jc w:val="left"/>
              <w:rPr>
                <w:rFonts w:ascii="Times New Roman" w:hAnsi="Times New Roman" w:cs="Times New Roman"/>
                <w:b/>
                <w:noProof/>
                <w:sz w:val="24"/>
                <w:szCs w:val="24"/>
              </w:rPr>
            </w:pPr>
            <w:r>
              <w:rPr>
                <w:rFonts w:ascii="Times New Roman" w:hAnsi="Times New Roman"/>
                <w:b/>
                <w:noProof/>
                <w:sz w:val="24"/>
                <w:szCs w:val="24"/>
              </w:rPr>
              <w:t>RON = 91</w:t>
            </w:r>
          </w:p>
        </w:tc>
        <w:tc>
          <w:tcPr>
            <w:tcW w:w="1871" w:type="dxa"/>
            <w:tcBorders>
              <w:left w:val="double" w:sz="4" w:space="0" w:color="auto"/>
            </w:tcBorders>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noProof/>
                <w:sz w:val="24"/>
                <w:szCs w:val="24"/>
              </w:rPr>
              <w:t>0,1 %;</w:t>
            </w:r>
          </w:p>
        </w:tc>
        <w:tc>
          <w:tcPr>
            <w:tcW w:w="1843" w:type="dxa"/>
            <w:vAlign w:val="center"/>
          </w:tcPr>
          <w:p>
            <w:pPr>
              <w:pStyle w:val="EEATextbody"/>
              <w:spacing w:before="0" w:after="0" w:line="240" w:lineRule="auto"/>
              <w:jc w:val="center"/>
              <w:rPr>
                <w:rFonts w:ascii="Times New Roman" w:hAnsi="Times New Roman" w:cs="Times New Roman"/>
                <w:noProof/>
                <w:sz w:val="24"/>
                <w:szCs w:val="24"/>
              </w:rPr>
            </w:pPr>
            <w:r>
              <w:rPr>
                <w:rFonts w:ascii="Times New Roman" w:hAnsi="Times New Roman"/>
                <w:noProof/>
                <w:sz w:val="24"/>
                <w:szCs w:val="24"/>
              </w:rPr>
              <w:t>0,1 %;</w:t>
            </w:r>
          </w:p>
        </w:tc>
      </w:tr>
    </w:tbl>
    <w:p>
      <w:pPr>
        <w:pStyle w:val="EEATextbody"/>
        <w:spacing w:before="120" w:after="360"/>
        <w:jc w:val="center"/>
        <w:rPr>
          <w:rFonts w:ascii="Times New Roman" w:hAnsi="Times New Roman" w:cs="Times New Roman"/>
          <w:noProof/>
          <w:sz w:val="24"/>
          <w:szCs w:val="24"/>
        </w:rPr>
      </w:pPr>
      <w:r>
        <w:rPr>
          <w:rFonts w:ascii="Times New Roman" w:hAnsi="Times New Roman"/>
          <w:b/>
          <w:noProof/>
          <w:color w:val="auto"/>
          <w:sz w:val="24"/>
          <w:szCs w:val="24"/>
        </w:rPr>
        <w:t xml:space="preserve">Таблица 3: </w:t>
      </w:r>
      <w:r>
        <w:rPr>
          <w:rFonts w:ascii="Times New Roman" w:hAnsi="Times New Roman"/>
          <w:b/>
          <w:noProof/>
          <w:sz w:val="24"/>
          <w:szCs w:val="24"/>
        </w:rPr>
        <w:t>Дял на продажбите на бензинови горива според RON.</w:t>
      </w:r>
    </w:p>
    <w:p>
      <w:pPr>
        <w:pStyle w:val="EEATextbody"/>
        <w:rPr>
          <w:rFonts w:ascii="Times New Roman" w:hAnsi="Times New Roman" w:cs="Times New Roman"/>
          <w:noProof/>
          <w:sz w:val="24"/>
          <w:szCs w:val="24"/>
        </w:rPr>
      </w:pPr>
      <w:r>
        <w:rPr>
          <w:rFonts w:ascii="Times New Roman" w:hAnsi="Times New Roman"/>
          <w:noProof/>
          <w:sz w:val="24"/>
          <w:szCs w:val="24"/>
        </w:rPr>
        <w:t>Всички дизелови горива, продадени в ЕС, са предлагани като съдържащо биодизел, а 96 % от бензиновите горива са предлагани като съдържащо биоетанол. През 2018 г. 84,3 % от продадените бензинови горива в ЕС са съдържали до 5 об. % етанол, а 11,4 % са съдържали до 10 об. % етанол. От продадените дизелови горива 99,2 % са съдържали до 7 % FAME, а 0,8 % са съдържали повече.</w:t>
      </w:r>
    </w:p>
    <w:p>
      <w:pPr>
        <w:pStyle w:val="EEABoxcaption"/>
        <w:spacing w:before="360" w:after="120"/>
        <w:ind w:left="0" w:firstLine="0"/>
        <w:jc w:val="both"/>
        <w:rPr>
          <w:rFonts w:ascii="Times New Roman" w:hAnsi="Times New Roman" w:cs="Times New Roman"/>
          <w:noProof/>
          <w:sz w:val="24"/>
          <w:szCs w:val="24"/>
        </w:rPr>
      </w:pPr>
      <w:r>
        <w:rPr>
          <w:rFonts w:ascii="Times New Roman" w:hAnsi="Times New Roman"/>
          <w:noProof/>
          <w:sz w:val="24"/>
          <w:szCs w:val="24"/>
        </w:rPr>
        <w:t>3.2</w:t>
      </w:r>
      <w:r>
        <w:rPr>
          <w:noProof/>
        </w:rPr>
        <w:tab/>
      </w:r>
      <w:r>
        <w:rPr>
          <w:rFonts w:ascii="Times New Roman" w:hAnsi="Times New Roman"/>
          <w:noProof/>
          <w:sz w:val="24"/>
          <w:szCs w:val="24"/>
        </w:rPr>
        <w:t>Съответствие на продадените горива с допустимите стойности за качеството</w:t>
      </w:r>
    </w:p>
    <w:p>
      <w:pPr>
        <w:pStyle w:val="EEATextbody"/>
        <w:rPr>
          <w:rFonts w:ascii="Times New Roman" w:hAnsi="Times New Roman" w:cs="Times New Roman"/>
          <w:noProof/>
          <w:sz w:val="24"/>
          <w:szCs w:val="24"/>
        </w:rPr>
      </w:pPr>
      <w:r>
        <w:rPr>
          <w:rFonts w:ascii="Times New Roman" w:hAnsi="Times New Roman"/>
          <w:noProof/>
          <w:sz w:val="24"/>
          <w:szCs w:val="24"/>
        </w:rPr>
        <w:t>Като цяло в ЕС се наблюдава високо съответствие с ограниченията за качеството. За огромната част от ключовите параметри на горивото в пробите, взети през 2018 г., е докладвано, че попадат в допустимите граници.</w:t>
      </w:r>
    </w:p>
    <w:p>
      <w:pPr>
        <w:pStyle w:val="EEATextbody"/>
        <w:rPr>
          <w:rFonts w:ascii="Times New Roman" w:hAnsi="Times New Roman" w:cs="Times New Roman"/>
          <w:noProof/>
          <w:sz w:val="24"/>
          <w:szCs w:val="24"/>
        </w:rPr>
      </w:pPr>
      <w:r>
        <w:rPr>
          <w:rFonts w:ascii="Times New Roman" w:hAnsi="Times New Roman"/>
          <w:noProof/>
          <w:sz w:val="24"/>
          <w:szCs w:val="24"/>
        </w:rPr>
        <w:t>Литва, Словения и Швеция са проверили и са докладвали пълно съответствие както за бензиновите, така и за дизеловите горива. Шест държави членки са проверили и са докладвали пълно съответствие за бензиновите горива (България, Гърция, Латвия, Литва, Словения и Швеция) и дванадесет за дизеловите горива (Австрия, Германия, Гърция Ирландия, Литва, Полша, Румъния, Словения, Унгария,, Финландия, Хърватия и Швеция). Една държава членка (Белгия) е докладвала повече от 100 случая на несъответствие за бензинови горива и 30 за дизелови горива през 2018 г., но това представлява малка част от общия брой проби, взети в Белгия.</w:t>
      </w:r>
    </w:p>
    <w:p>
      <w:pPr>
        <w:pStyle w:val="EEATextbody"/>
        <w:rPr>
          <w:rFonts w:ascii="Times New Roman" w:hAnsi="Times New Roman" w:cs="Times New Roman"/>
          <w:noProof/>
          <w:sz w:val="24"/>
          <w:szCs w:val="24"/>
        </w:rPr>
      </w:pPr>
      <w:r>
        <w:rPr>
          <w:rFonts w:ascii="Times New Roman" w:hAnsi="Times New Roman"/>
          <w:noProof/>
          <w:sz w:val="24"/>
          <w:szCs w:val="24"/>
        </w:rPr>
        <w:t>За 2018 г. държавите членки са докладвали за общо 410 случая на несъответствие при бензиновите горива и 114 случая на несъответствие при дизеловите горива. При бензиновите горива най-често извън спецификациите са били следните параметри: лятното налягане на парите (в 19 държави членки), октановото число, определено по изследователския метод (RON) (в 10 държави членки), октановото число, определено по моторния метод (MON) (в 8 държави членки) и съдържанието на сяра (в 5 държави членки). При дизеловите горива най-често извън спецификациите са били следните параметри: съдържанието на FAME (в 7 държави членки) и съдържанието на сяра (в 8 държави членки).</w:t>
      </w:r>
    </w:p>
    <w:p>
      <w:pPr>
        <w:pStyle w:val="EEATextbody"/>
        <w:rPr>
          <w:rFonts w:ascii="Times New Roman" w:hAnsi="Times New Roman" w:cs="Times New Roman"/>
          <w:noProof/>
          <w:sz w:val="24"/>
          <w:szCs w:val="24"/>
        </w:rPr>
      </w:pPr>
      <w:r>
        <w:rPr>
          <w:rFonts w:ascii="Times New Roman" w:hAnsi="Times New Roman"/>
          <w:noProof/>
          <w:sz w:val="24"/>
          <w:szCs w:val="24"/>
        </w:rPr>
        <w:t>Всички държави членки са описали действията, които са предприели при констатиране на несъответствие на пробите с изискванията. Тези действия са включвали информиране на компетентните органи, започване на разследване, налагане на санкции и глоби, както и повторно вземане на проби. В малко на брой случаи на несъответствие не са били предприети действия, тъй като измерените параметри са били много близки с допустимите отклонения.</w:t>
      </w:r>
    </w:p>
    <w:p>
      <w:pPr>
        <w:rPr>
          <w:rFonts w:ascii="Times New Roman" w:hAnsi="Times New Roman" w:cs="Times New Roman"/>
          <w:b/>
          <w:noProof/>
          <w:color w:val="000000" w:themeColor="text1"/>
          <w:sz w:val="24"/>
          <w:szCs w:val="24"/>
        </w:rPr>
      </w:pPr>
      <w:r>
        <w:rPr>
          <w:rFonts w:ascii="Times New Roman" w:hAnsi="Times New Roman"/>
          <w:noProof/>
          <w:sz w:val="24"/>
          <w:szCs w:val="24"/>
        </w:rPr>
        <w:t>Поради това не е имало нужда Комисията да започва нови разследвания в тази област.</w:t>
      </w:r>
      <w:bookmarkStart w:id="6" w:name="_Toc285007032"/>
      <w:bookmarkEnd w:id="2"/>
      <w:bookmarkEnd w:id="6"/>
    </w:p>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charset w:val="00"/>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Директива 98/70/ЕО на Европейския парламент и Съвета относно качеството на бензиновите и дизеловите горива и за изменение на Директива 93/12/ЕИО на Съвета (ОВ L 350, 28.12.1998 г., стр. 58).</w:t>
      </w:r>
    </w:p>
  </w:footnote>
  <w:footnote w:id="3">
    <w:p>
      <w:pPr>
        <w:pStyle w:val="FootnoteText"/>
        <w:jc w:val="both"/>
        <w:rPr>
          <w:rStyle w:val="FootnoteReference"/>
          <w:sz w:val="22"/>
          <w:szCs w:val="22"/>
        </w:rPr>
      </w:pPr>
      <w:r>
        <w:rPr>
          <w:rStyle w:val="FootnoteReference"/>
        </w:rPr>
        <w:footnoteRef/>
      </w:r>
      <w:r>
        <w:rPr>
          <w:rStyle w:val="FootnoteReference"/>
        </w:rPr>
        <w:t xml:space="preserve"> </w:t>
      </w:r>
      <w:r>
        <w:rPr>
          <w:rFonts w:ascii="Times New Roman" w:hAnsi="Times New Roman"/>
        </w:rPr>
        <w:t>Директива (EС) 2015/652 на Съвета от 20 април 2015 г. за установяване на методи за изчисляване и на изисквания за докладване съгласно Директива 98/70/ЕО на Европейския парламент и на Съвета относно качеството на бензиновите и дизеловите горива (ОВ L 107, 25.4.2015 г., стр. 26).</w:t>
      </w:r>
    </w:p>
  </w:footnote>
  <w:footnote w:id="4">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Директива (ЕС) 2015/1513 на Европейския парламент и на Съвета от 9 септември 2015 г. за изменение на Директива 98/70/ЕО относно качеството на бензиновите и дизеловите горива и за изменение на Директива 2009/28/ЕО за насърчаване използването на енергия от възобновяеми източници (ОВ L 239, 15.9.2015 г., стр. 8).</w:t>
      </w:r>
    </w:p>
  </w:footnote>
  <w:footnote w:id="5">
    <w:p>
      <w:pPr>
        <w:pStyle w:val="FootnoteText"/>
        <w:jc w:val="both"/>
      </w:pPr>
      <w:r>
        <w:t>Директива (EС) 2015/652 на Съвета от 20 април 2015 г. за установяване на методи за изчисляване и на изисквания за докладване съгласно Директива 98/70/ЕО на Европейския парламент и на Съвета относно качеството на бензиновите и дизеловите горива (ОВ L 107, 25.4.2015 г., стр. 26).</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„Емисии нагоре по веригата“ означава всички емисии на парникови газове, които възникват преди влизането на суровината в рафинерията или преработвателната инсталация, където се произвежда горивото.</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Style w:val="FootnoteReference"/>
          <w:rFonts w:ascii="Times New Roman" w:hAnsi="Times New Roman"/>
          <w:vertAlign w:val="baseline"/>
        </w:rPr>
        <w:t>За това изчисление са взети предвид предварителните предвиждания за количествата на емисиите от биогорива вследствие на непреки промени в земеползването, както са изброени в приложение V към Директивата относно качеството на горивата.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C0470A"/>
    <w:lvl w:ilvl="0">
      <w:start w:val="1"/>
      <w:numFmt w:val="decimal"/>
      <w:lvlText w:val="%1."/>
      <w:lvlJc w:val="left"/>
      <w:pPr>
        <w:tabs>
          <w:tab w:val="num" w:pos="1492"/>
        </w:tabs>
        <w:ind w:left="1492" w:hanging="360"/>
      </w:pPr>
    </w:lvl>
  </w:abstractNum>
  <w:abstractNum w:abstractNumId="1">
    <w:nsid w:val="FFFFFF7F"/>
    <w:multiLevelType w:val="singleLevel"/>
    <w:tmpl w:val="E0CC8650"/>
    <w:lvl w:ilvl="0">
      <w:start w:val="1"/>
      <w:numFmt w:val="decimal"/>
      <w:lvlText w:val="%1."/>
      <w:lvlJc w:val="left"/>
      <w:pPr>
        <w:tabs>
          <w:tab w:val="num" w:pos="643"/>
        </w:tabs>
        <w:ind w:left="643" w:hanging="360"/>
      </w:pPr>
    </w:lvl>
  </w:abstractNum>
  <w:abstractNum w:abstractNumId="2">
    <w:nsid w:val="00000001"/>
    <w:multiLevelType w:val="multilevel"/>
    <w:tmpl w:val="99D2A4F6"/>
    <w:lvl w:ilvl="0">
      <w:start w:val="1"/>
      <w:numFmt w:val="decimal"/>
      <w:pStyle w:val="Numberedtext"/>
      <w:isLgl/>
      <w:lvlText w:val="%1."/>
      <w:lvlJc w:val="left"/>
      <w:pPr>
        <w:tabs>
          <w:tab w:val="num" w:pos="348"/>
        </w:tabs>
        <w:ind w:left="348" w:firstLine="360"/>
      </w:pPr>
      <w:rPr>
        <w:rFonts w:hint="default"/>
        <w:color w:val="000000"/>
        <w:position w:val="0"/>
        <w:sz w:val="24"/>
      </w:rPr>
    </w:lvl>
    <w:lvl w:ilvl="1">
      <w:start w:val="1"/>
      <w:numFmt w:val="decimal"/>
      <w:isLgl/>
      <w:suff w:val="nothing"/>
      <w:lvlText w:val="%1.%2."/>
      <w:lvlJc w:val="left"/>
      <w:pPr>
        <w:ind w:left="0" w:firstLine="720"/>
      </w:pPr>
      <w:rPr>
        <w:rFonts w:hint="default"/>
        <w:color w:val="000000"/>
        <w:position w:val="0"/>
        <w:sz w:val="24"/>
      </w:rPr>
    </w:lvl>
    <w:lvl w:ilvl="2">
      <w:start w:val="1"/>
      <w:numFmt w:val="decimal"/>
      <w:isLgl/>
      <w:suff w:val="nothing"/>
      <w:lvlText w:val="%1.%2.%3."/>
      <w:lvlJc w:val="left"/>
      <w:pPr>
        <w:ind w:left="0" w:firstLine="1080"/>
      </w:pPr>
      <w:rPr>
        <w:rFonts w:hint="default"/>
        <w:color w:val="000000"/>
        <w:position w:val="0"/>
        <w:sz w:val="24"/>
      </w:rPr>
    </w:lvl>
    <w:lvl w:ilvl="3">
      <w:start w:val="1"/>
      <w:numFmt w:val="decimal"/>
      <w:isLgl/>
      <w:suff w:val="nothing"/>
      <w:lvlText w:val="%1.%2.%3.%4."/>
      <w:lvlJc w:val="left"/>
      <w:pPr>
        <w:ind w:left="0" w:firstLine="1080"/>
      </w:pPr>
      <w:rPr>
        <w:rFonts w:hint="default"/>
        <w:color w:val="000000"/>
        <w:position w:val="0"/>
        <w:sz w:val="24"/>
      </w:rPr>
    </w:lvl>
    <w:lvl w:ilvl="4">
      <w:start w:val="1"/>
      <w:numFmt w:val="decimal"/>
      <w:isLgl/>
      <w:suff w:val="nothing"/>
      <w:lvlText w:val="%1.%2.%3.%4.%5."/>
      <w:lvlJc w:val="left"/>
      <w:pPr>
        <w:ind w:left="0" w:firstLine="1440"/>
      </w:pPr>
      <w:rPr>
        <w:rFonts w:hint="default"/>
        <w:color w:val="000000"/>
        <w:position w:val="0"/>
        <w:sz w:val="24"/>
      </w:rPr>
    </w:lvl>
    <w:lvl w:ilvl="5">
      <w:start w:val="1"/>
      <w:numFmt w:val="decimal"/>
      <w:isLgl/>
      <w:suff w:val="nothing"/>
      <w:lvlText w:val="%1.%2.%3.%4.%5.%6."/>
      <w:lvlJc w:val="left"/>
      <w:pPr>
        <w:ind w:left="0" w:firstLine="1440"/>
      </w:pPr>
      <w:rPr>
        <w:rFonts w:hint="default"/>
        <w:color w:val="000000"/>
        <w:position w:val="0"/>
        <w:sz w:val="24"/>
      </w:rPr>
    </w:lvl>
    <w:lvl w:ilvl="6">
      <w:start w:val="1"/>
      <w:numFmt w:val="decimal"/>
      <w:isLgl/>
      <w:suff w:val="nothing"/>
      <w:lvlText w:val="%1.%2.%3.%4.%5.%6.%7."/>
      <w:lvlJc w:val="left"/>
      <w:pPr>
        <w:ind w:left="0" w:firstLine="1800"/>
      </w:pPr>
      <w:rPr>
        <w:rFonts w:hint="default"/>
        <w:color w:val="000000"/>
        <w:position w:val="0"/>
        <w:sz w:val="24"/>
      </w:rPr>
    </w:lvl>
    <w:lvl w:ilvl="7">
      <w:start w:val="1"/>
      <w:numFmt w:val="decimal"/>
      <w:isLgl/>
      <w:suff w:val="nothing"/>
      <w:lvlText w:val="%1.%2.%3.%4.%5.%6.%7.%8."/>
      <w:lvlJc w:val="left"/>
      <w:pPr>
        <w:ind w:left="0" w:firstLine="1800"/>
      </w:pPr>
      <w:rPr>
        <w:rFonts w:hint="default"/>
        <w:color w:val="000000"/>
        <w:position w:val="0"/>
        <w:sz w:val="24"/>
      </w:rPr>
    </w:lvl>
    <w:lvl w:ilvl="8">
      <w:start w:val="1"/>
      <w:numFmt w:val="decimal"/>
      <w:isLgl/>
      <w:suff w:val="nothing"/>
      <w:lvlText w:val="%1.%2.%3.%4.%5.%6.%7.%8.%9."/>
      <w:lvlJc w:val="left"/>
      <w:pPr>
        <w:ind w:left="0" w:firstLine="2160"/>
      </w:pPr>
      <w:rPr>
        <w:rFonts w:hint="default"/>
        <w:color w:val="000000"/>
        <w:position w:val="0"/>
        <w:sz w:val="24"/>
      </w:rPr>
    </w:lvl>
  </w:abstractNum>
  <w:abstractNum w:abstractNumId="3">
    <w:nsid w:val="042F2C11"/>
    <w:multiLevelType w:val="hybridMultilevel"/>
    <w:tmpl w:val="B220E3D8"/>
    <w:lvl w:ilvl="0" w:tplc="54BC3E0E">
      <w:start w:val="1"/>
      <w:numFmt w:val="bullet"/>
      <w:pStyle w:val="Bullettext"/>
      <w:lvlText w:val=""/>
      <w:lvlJc w:val="left"/>
      <w:pPr>
        <w:tabs>
          <w:tab w:val="num" w:pos="1770"/>
        </w:tabs>
        <w:ind w:left="1770" w:hanging="360"/>
      </w:pPr>
      <w:rPr>
        <w:rFonts w:ascii="Symbol" w:hAnsi="Symbol" w:hint="default"/>
      </w:rPr>
    </w:lvl>
    <w:lvl w:ilvl="1" w:tplc="08090003">
      <w:start w:val="1"/>
      <w:numFmt w:val="bullet"/>
      <w:lvlText w:val="o"/>
      <w:lvlJc w:val="left"/>
      <w:pPr>
        <w:tabs>
          <w:tab w:val="num" w:pos="2145"/>
        </w:tabs>
        <w:ind w:left="2145" w:hanging="360"/>
      </w:pPr>
      <w:rPr>
        <w:rFonts w:ascii="Courier New" w:hAnsi="Courier New" w:cs="Courier New" w:hint="default"/>
      </w:rPr>
    </w:lvl>
    <w:lvl w:ilvl="2" w:tplc="08090005" w:tentative="1">
      <w:start w:val="1"/>
      <w:numFmt w:val="bullet"/>
      <w:lvlText w:val=""/>
      <w:lvlJc w:val="left"/>
      <w:pPr>
        <w:tabs>
          <w:tab w:val="num" w:pos="2865"/>
        </w:tabs>
        <w:ind w:left="2865" w:hanging="360"/>
      </w:pPr>
      <w:rPr>
        <w:rFonts w:ascii="Wingdings" w:hAnsi="Wingdings" w:hint="default"/>
      </w:rPr>
    </w:lvl>
    <w:lvl w:ilvl="3" w:tplc="08090001" w:tentative="1">
      <w:start w:val="1"/>
      <w:numFmt w:val="bullet"/>
      <w:lvlText w:val=""/>
      <w:lvlJc w:val="left"/>
      <w:pPr>
        <w:tabs>
          <w:tab w:val="num" w:pos="3585"/>
        </w:tabs>
        <w:ind w:left="3585" w:hanging="360"/>
      </w:pPr>
      <w:rPr>
        <w:rFonts w:ascii="Symbol" w:hAnsi="Symbol" w:hint="default"/>
      </w:rPr>
    </w:lvl>
    <w:lvl w:ilvl="4" w:tplc="08090003" w:tentative="1">
      <w:start w:val="1"/>
      <w:numFmt w:val="bullet"/>
      <w:lvlText w:val="o"/>
      <w:lvlJc w:val="left"/>
      <w:pPr>
        <w:tabs>
          <w:tab w:val="num" w:pos="4305"/>
        </w:tabs>
        <w:ind w:left="4305" w:hanging="360"/>
      </w:pPr>
      <w:rPr>
        <w:rFonts w:ascii="Courier New" w:hAnsi="Courier New" w:cs="Courier New" w:hint="default"/>
      </w:rPr>
    </w:lvl>
    <w:lvl w:ilvl="5" w:tplc="08090005" w:tentative="1">
      <w:start w:val="1"/>
      <w:numFmt w:val="bullet"/>
      <w:lvlText w:val=""/>
      <w:lvlJc w:val="left"/>
      <w:pPr>
        <w:tabs>
          <w:tab w:val="num" w:pos="5025"/>
        </w:tabs>
        <w:ind w:left="5025" w:hanging="360"/>
      </w:pPr>
      <w:rPr>
        <w:rFonts w:ascii="Wingdings" w:hAnsi="Wingdings" w:hint="default"/>
      </w:rPr>
    </w:lvl>
    <w:lvl w:ilvl="6" w:tplc="08090001" w:tentative="1">
      <w:start w:val="1"/>
      <w:numFmt w:val="bullet"/>
      <w:lvlText w:val=""/>
      <w:lvlJc w:val="left"/>
      <w:pPr>
        <w:tabs>
          <w:tab w:val="num" w:pos="5745"/>
        </w:tabs>
        <w:ind w:left="5745" w:hanging="360"/>
      </w:pPr>
      <w:rPr>
        <w:rFonts w:ascii="Symbol" w:hAnsi="Symbol" w:hint="default"/>
      </w:rPr>
    </w:lvl>
    <w:lvl w:ilvl="7" w:tplc="08090003" w:tentative="1">
      <w:start w:val="1"/>
      <w:numFmt w:val="bullet"/>
      <w:lvlText w:val="o"/>
      <w:lvlJc w:val="left"/>
      <w:pPr>
        <w:tabs>
          <w:tab w:val="num" w:pos="6465"/>
        </w:tabs>
        <w:ind w:left="6465" w:hanging="360"/>
      </w:pPr>
      <w:rPr>
        <w:rFonts w:ascii="Courier New" w:hAnsi="Courier New" w:cs="Courier New" w:hint="default"/>
      </w:rPr>
    </w:lvl>
    <w:lvl w:ilvl="8" w:tplc="08090005" w:tentative="1">
      <w:start w:val="1"/>
      <w:numFmt w:val="bullet"/>
      <w:lvlText w:val=""/>
      <w:lvlJc w:val="left"/>
      <w:pPr>
        <w:tabs>
          <w:tab w:val="num" w:pos="7185"/>
        </w:tabs>
        <w:ind w:left="7185" w:hanging="360"/>
      </w:pPr>
      <w:rPr>
        <w:rFonts w:ascii="Wingdings" w:hAnsi="Wingdings" w:hint="default"/>
      </w:rPr>
    </w:lvl>
  </w:abstractNum>
  <w:abstractNum w:abstractNumId="4">
    <w:nsid w:val="066A3BF8"/>
    <w:multiLevelType w:val="hybridMultilevel"/>
    <w:tmpl w:val="9DD4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35E78"/>
    <w:multiLevelType w:val="hybridMultilevel"/>
    <w:tmpl w:val="D304E65C"/>
    <w:lvl w:ilvl="0" w:tplc="51766B24">
      <w:start w:val="10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2C0D67"/>
    <w:multiLevelType w:val="multilevel"/>
    <w:tmpl w:val="BAF4D506"/>
    <w:lvl w:ilvl="0">
      <w:start w:val="1"/>
      <w:numFmt w:val="decimal"/>
      <w:lvlText w:val="%1"/>
      <w:lvlJc w:val="left"/>
      <w:pPr>
        <w:ind w:left="644"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362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1202F41"/>
    <w:multiLevelType w:val="hybridMultilevel"/>
    <w:tmpl w:val="80F01D7E"/>
    <w:lvl w:ilvl="0" w:tplc="BE2AE494">
      <w:start w:val="1"/>
      <w:numFmt w:val="decimal"/>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633DF7"/>
    <w:multiLevelType w:val="hybridMultilevel"/>
    <w:tmpl w:val="BDA2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C1E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DF0C3F"/>
    <w:multiLevelType w:val="hybridMultilevel"/>
    <w:tmpl w:val="1E786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D059DF"/>
    <w:multiLevelType w:val="hybridMultilevel"/>
    <w:tmpl w:val="95AC7FE8"/>
    <w:lvl w:ilvl="0" w:tplc="219CE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911D6E"/>
    <w:multiLevelType w:val="hybridMultilevel"/>
    <w:tmpl w:val="08948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1B1850"/>
    <w:multiLevelType w:val="hybridMultilevel"/>
    <w:tmpl w:val="6B982762"/>
    <w:lvl w:ilvl="0" w:tplc="2FFC24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2C00FA"/>
    <w:multiLevelType w:val="hybridMultilevel"/>
    <w:tmpl w:val="543A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B03AAE"/>
    <w:multiLevelType w:val="hybridMultilevel"/>
    <w:tmpl w:val="D6E2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207E0"/>
    <w:multiLevelType w:val="hybridMultilevel"/>
    <w:tmpl w:val="7914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506DBE"/>
    <w:multiLevelType w:val="hybridMultilevel"/>
    <w:tmpl w:val="D49C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567188"/>
    <w:multiLevelType w:val="hybridMultilevel"/>
    <w:tmpl w:val="7C6E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815D60"/>
    <w:multiLevelType w:val="hybridMultilevel"/>
    <w:tmpl w:val="F836C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AE6EF8"/>
    <w:multiLevelType w:val="hybridMultilevel"/>
    <w:tmpl w:val="FCB8C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64C0631"/>
    <w:multiLevelType w:val="hybridMultilevel"/>
    <w:tmpl w:val="DFD80CBE"/>
    <w:lvl w:ilvl="0" w:tplc="A566D7B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401643"/>
    <w:multiLevelType w:val="hybridMultilevel"/>
    <w:tmpl w:val="7BC23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9632FB"/>
    <w:multiLevelType w:val="hybridMultilevel"/>
    <w:tmpl w:val="2A96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EC2312"/>
    <w:multiLevelType w:val="hybridMultilevel"/>
    <w:tmpl w:val="74F0A522"/>
    <w:lvl w:ilvl="0" w:tplc="BBFC4326">
      <w:start w:val="1"/>
      <w:numFmt w:val="bullet"/>
      <w:pStyle w:val="EEATextbullets"/>
      <w:lvlText w:val=""/>
      <w:lvlJc w:val="left"/>
      <w:pPr>
        <w:ind w:left="36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522A5BB8"/>
    <w:multiLevelType w:val="hybridMultilevel"/>
    <w:tmpl w:val="9A6A624C"/>
    <w:lvl w:ilvl="0" w:tplc="7EE8F16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3E064D"/>
    <w:multiLevelType w:val="multilevel"/>
    <w:tmpl w:val="C8FE3F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57D671A7"/>
    <w:multiLevelType w:val="hybridMultilevel"/>
    <w:tmpl w:val="D722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9E70A5"/>
    <w:multiLevelType w:val="hybridMultilevel"/>
    <w:tmpl w:val="504E24EA"/>
    <w:lvl w:ilvl="0" w:tplc="09C63818">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A3742AD"/>
    <w:multiLevelType w:val="hybridMultilevel"/>
    <w:tmpl w:val="6D165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F67FF1"/>
    <w:multiLevelType w:val="hybridMultilevel"/>
    <w:tmpl w:val="388A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842A7C"/>
    <w:multiLevelType w:val="hybridMultilevel"/>
    <w:tmpl w:val="AD80A852"/>
    <w:lvl w:ilvl="0" w:tplc="DC1CB9A6">
      <w:start w:val="10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5328F9"/>
    <w:multiLevelType w:val="hybridMultilevel"/>
    <w:tmpl w:val="32488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CB673E"/>
    <w:multiLevelType w:val="hybridMultilevel"/>
    <w:tmpl w:val="0B7858EC"/>
    <w:lvl w:ilvl="0" w:tplc="BF3A9702">
      <w:start w:val="1"/>
      <w:numFmt w:val="bullet"/>
      <w:pStyle w:val="EEAText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4041B2"/>
    <w:multiLevelType w:val="hybridMultilevel"/>
    <w:tmpl w:val="93B6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970297"/>
    <w:multiLevelType w:val="multilevel"/>
    <w:tmpl w:val="95AC7FE8"/>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45C40CD"/>
    <w:multiLevelType w:val="hybridMultilevel"/>
    <w:tmpl w:val="66289FE4"/>
    <w:lvl w:ilvl="0" w:tplc="7146104E">
      <w:start w:val="1"/>
      <w:numFmt w:val="bullet"/>
      <w:pStyle w:val="EEA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3F30E8"/>
    <w:multiLevelType w:val="hybridMultilevel"/>
    <w:tmpl w:val="FF52A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5B31494"/>
    <w:multiLevelType w:val="multilevel"/>
    <w:tmpl w:val="6B982762"/>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7490326"/>
    <w:multiLevelType w:val="multilevel"/>
    <w:tmpl w:val="50DC6090"/>
    <w:lvl w:ilvl="0">
      <w:start w:val="2"/>
      <w:numFmt w:val="decimal"/>
      <w:lvlText w:val="%1"/>
      <w:lvlJc w:val="left"/>
      <w:pPr>
        <w:ind w:left="360" w:hanging="360"/>
      </w:pPr>
      <w:rPr>
        <w:rFonts w:hint="default"/>
        <w:b/>
        <w:color w:val="000000" w:themeColor="text1"/>
      </w:rPr>
    </w:lvl>
    <w:lvl w:ilvl="1">
      <w:start w:val="3"/>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40">
    <w:nsid w:val="7ABD7FCB"/>
    <w:multiLevelType w:val="multilevel"/>
    <w:tmpl w:val="A05EAA34"/>
    <w:lvl w:ilvl="0">
      <w:start w:val="2"/>
      <w:numFmt w:val="decimal"/>
      <w:lvlText w:val="%1"/>
      <w:lvlJc w:val="left"/>
      <w:pPr>
        <w:ind w:left="360" w:hanging="360"/>
      </w:pPr>
      <w:rPr>
        <w:rFonts w:hint="default"/>
        <w:b/>
        <w:color w:val="000000" w:themeColor="text1"/>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num w:numId="1">
    <w:abstractNumId w:val="19"/>
  </w:num>
  <w:num w:numId="2">
    <w:abstractNumId w:val="28"/>
  </w:num>
  <w:num w:numId="3">
    <w:abstractNumId w:val="22"/>
  </w:num>
  <w:num w:numId="4">
    <w:abstractNumId w:val="2"/>
  </w:num>
  <w:num w:numId="5">
    <w:abstractNumId w:val="3"/>
  </w:num>
  <w:num w:numId="6">
    <w:abstractNumId w:val="7"/>
  </w:num>
  <w:num w:numId="7">
    <w:abstractNumId w:val="24"/>
  </w:num>
  <w:num w:numId="8">
    <w:abstractNumId w:val="36"/>
  </w:num>
  <w:num w:numId="9">
    <w:abstractNumId w:val="33"/>
  </w:num>
  <w:num w:numId="10">
    <w:abstractNumId w:val="2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4"/>
  </w:num>
  <w:num w:numId="14">
    <w:abstractNumId w:val="20"/>
  </w:num>
  <w:num w:numId="15">
    <w:abstractNumId w:val="18"/>
  </w:num>
  <w:num w:numId="16">
    <w:abstractNumId w:val="4"/>
  </w:num>
  <w:num w:numId="17">
    <w:abstractNumId w:val="34"/>
  </w:num>
  <w:num w:numId="18">
    <w:abstractNumId w:val="30"/>
  </w:num>
  <w:num w:numId="19">
    <w:abstractNumId w:val="10"/>
  </w:num>
  <w:num w:numId="20">
    <w:abstractNumId w:val="32"/>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
  </w:num>
  <w:num w:numId="31">
    <w:abstractNumId w:val="23"/>
  </w:num>
  <w:num w:numId="32">
    <w:abstractNumId w:val="11"/>
  </w:num>
  <w:num w:numId="33">
    <w:abstractNumId w:val="35"/>
  </w:num>
  <w:num w:numId="34">
    <w:abstractNumId w:val="8"/>
  </w:num>
  <w:num w:numId="35">
    <w:abstractNumId w:val="15"/>
  </w:num>
  <w:num w:numId="36">
    <w:abstractNumId w:val="13"/>
  </w:num>
  <w:num w:numId="37">
    <w:abstractNumId w:val="38"/>
  </w:num>
  <w:num w:numId="38">
    <w:abstractNumId w:val="16"/>
  </w:num>
  <w:num w:numId="39">
    <w:abstractNumId w:val="6"/>
  </w:num>
  <w:num w:numId="40">
    <w:abstractNumId w:val="37"/>
  </w:num>
  <w:num w:numId="41">
    <w:abstractNumId w:val="29"/>
  </w:num>
  <w:num w:numId="42">
    <w:abstractNumId w:val="9"/>
  </w:num>
  <w:num w:numId="43">
    <w:abstractNumId w:val="40"/>
  </w:num>
  <w:num w:numId="44">
    <w:abstractNumId w:val="39"/>
  </w:num>
  <w:num w:numId="45">
    <w:abstractNumId w:val="31"/>
  </w:num>
  <w:num w:numId="46">
    <w:abstractNumId w:val="5"/>
  </w:num>
  <w:num w:numId="47">
    <w:abstractNumId w:val="17"/>
  </w:num>
  <w:num w:numId="48">
    <w:abstractNumId w:val="12"/>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85035EE-EA46-4F0A-AC0B-46D322CE139C"/>
    <w:docVar w:name="LW_COVERPAGE_TYPE" w:val="1"/>
    <w:docVar w:name="LW_CROSSREFERENCE" w:val="&lt;UNUSED&gt;"/>
    <w:docVar w:name="LW_DocType" w:val="NORMAL"/>
    <w:docVar w:name="LW_EMISSION" w:val="19.11.2020"/>
    <w:docVar w:name="LW_EMISSION_ISODATE" w:val="2020-11-19"/>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u1050?\u1072?\u1095?\u1077?\u1089?\u1090?\u1074?\u1086? \u1085?\u1072? \u1073?\u1077?\u1085?\u1079?\u1080?\u1085?\u1086?\u1074?\u1080?\u1090?\u1077? \u1080? \u1076?\u1080?\u1079?\u1077?\u1083?\u1086?\u1074?\u1080?\u1090?\u1077? \u1075?\u1086?\u1088?\u1080?\u1074?\u1072?, \u1080?\u1079?\u1087?\u1086?\u1083?\u1079?\u1074?\u1072?\u1085?\u1080? \u1079?\u1072? \u1072?\u1074?\u1090?\u1086?\u1084?\u1086?\u1073?\u1080?\u1083?\u1077?\u1085? \u1090?\u1088?\u1072?\u1085?\u1089?\u1087?\u1086?\u1088?\u1090? \u1074? \u1045?\u1074?\u1088?\u1086?\u1087?\u1077?\u1081?\u1089?\u1082?\u1080?\u1103? \u1089?\u1098?\u1102?\u1079?&lt;/FMT&gt;&lt;FMT:Font=Calibri&gt; &lt;/FMT&gt;_x000d__x000d__x000b_&lt;FMT:Bold&gt;(\u1079?\u1072? \u1086?\u1090?\u1095?\u1077?\u1090?\u1085?\u1072?\u1090?\u1072? 2018 \u1075?\u1086?\u1076?\u1080?\u1085?\u1072?)&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EEA Heading 1"/>
    <w:basedOn w:val="Normal"/>
    <w:next w:val="Normal"/>
    <w:link w:val="Heading1Char"/>
    <w:uiPriority w:val="9"/>
    <w:qFormat/>
    <w:pPr>
      <w:keepNext/>
      <w:keepLines/>
      <w:numPr>
        <w:numId w:val="10"/>
      </w:numPr>
      <w:spacing w:before="480" w:after="120" w:line="240" w:lineRule="auto"/>
      <w:outlineLvl w:val="0"/>
    </w:pPr>
    <w:rPr>
      <w:rFonts w:ascii="Arial" w:eastAsiaTheme="majorEastAsia" w:hAnsi="Arial" w:cstheme="majorBidi"/>
      <w:b/>
      <w:bCs/>
      <w:color w:val="365F91" w:themeColor="accent1" w:themeShade="BF"/>
      <w:sz w:val="40"/>
      <w:szCs w:val="40"/>
    </w:rPr>
  </w:style>
  <w:style w:type="paragraph" w:styleId="Heading2">
    <w:name w:val="heading 2"/>
    <w:aliases w:val="EEA Heading 2"/>
    <w:basedOn w:val="Normal"/>
    <w:next w:val="Normal"/>
    <w:link w:val="Heading2Char"/>
    <w:uiPriority w:val="9"/>
    <w:unhideWhenUsed/>
    <w:qFormat/>
    <w:pPr>
      <w:keepNext/>
      <w:keepLines/>
      <w:numPr>
        <w:ilvl w:val="1"/>
        <w:numId w:val="10"/>
      </w:numPr>
      <w:spacing w:after="120" w:line="240" w:lineRule="auto"/>
      <w:outlineLvl w:val="1"/>
    </w:pPr>
    <w:rPr>
      <w:rFonts w:ascii="Arial Bold" w:eastAsiaTheme="majorEastAsia" w:hAnsi="Arial Bold" w:cstheme="majorBidi"/>
      <w:b/>
      <w:bCs/>
      <w:color w:val="4F81BD" w:themeColor="accent1"/>
      <w:sz w:val="24"/>
      <w:szCs w:val="24"/>
    </w:rPr>
  </w:style>
  <w:style w:type="paragraph" w:styleId="Heading3">
    <w:name w:val="heading 3"/>
    <w:aliases w:val="EEA Heading 3"/>
    <w:basedOn w:val="Normal"/>
    <w:next w:val="Normal"/>
    <w:link w:val="Heading3Char"/>
    <w:uiPriority w:val="9"/>
    <w:unhideWhenUsed/>
    <w:qFormat/>
    <w:pPr>
      <w:keepNext/>
      <w:keepLines/>
      <w:numPr>
        <w:ilvl w:val="2"/>
        <w:numId w:val="10"/>
      </w:numPr>
      <w:spacing w:before="200" w:after="80" w:line="240" w:lineRule="auto"/>
      <w:outlineLvl w:val="2"/>
    </w:pPr>
    <w:rPr>
      <w:rFonts w:ascii="Times New Roman" w:eastAsiaTheme="majorEastAsia" w:hAnsi="Times New Roman" w:cstheme="majorBidi"/>
      <w:b/>
      <w:bCs/>
      <w:i/>
      <w:iCs/>
      <w:color w:val="4F81BD" w:themeColor="accent1"/>
      <w:sz w:val="24"/>
      <w:szCs w:val="24"/>
    </w:rPr>
  </w:style>
  <w:style w:type="paragraph" w:styleId="Heading4">
    <w:name w:val="heading 4"/>
    <w:aliases w:val="EEA Heading 4"/>
    <w:basedOn w:val="Normal"/>
    <w:next w:val="Normal"/>
    <w:link w:val="Heading4Char"/>
    <w:uiPriority w:val="9"/>
    <w:unhideWhenUsed/>
    <w:qFormat/>
    <w:pPr>
      <w:keepNext/>
      <w:keepLines/>
      <w:numPr>
        <w:ilvl w:val="3"/>
        <w:numId w:val="10"/>
      </w:numPr>
      <w:spacing w:before="200" w:after="0" w:line="240" w:lineRule="auto"/>
      <w:outlineLvl w:val="3"/>
    </w:pPr>
    <w:rPr>
      <w:rFonts w:ascii="Times New Roman" w:eastAsiaTheme="majorEastAsia" w:hAnsi="Times New Roman" w:cstheme="majorBidi"/>
      <w:b/>
      <w:bCs/>
      <w:i/>
      <w:iCs/>
      <w:color w:val="4F81BD" w:themeColor="accent1"/>
      <w:sz w:val="24"/>
      <w:szCs w:val="24"/>
    </w:rPr>
  </w:style>
  <w:style w:type="paragraph" w:styleId="Heading5">
    <w:name w:val="heading 5"/>
    <w:basedOn w:val="Heading4"/>
    <w:next w:val="Normal"/>
    <w:link w:val="Heading5Char"/>
    <w:pPr>
      <w:numPr>
        <w:ilvl w:val="4"/>
      </w:numPr>
      <w:outlineLvl w:val="4"/>
    </w:pPr>
  </w:style>
  <w:style w:type="paragraph" w:styleId="Heading6">
    <w:name w:val="heading 6"/>
    <w:basedOn w:val="Heading5"/>
    <w:next w:val="Normal"/>
    <w:link w:val="Heading6Char"/>
    <w:pPr>
      <w:numPr>
        <w:ilvl w:val="5"/>
      </w:numPr>
      <w:outlineLvl w:val="5"/>
    </w:pPr>
    <w:rPr>
      <w:rFonts w:eastAsia="Times New Roman"/>
      <w:b w:val="0"/>
      <w:bCs w:val="0"/>
      <w:color w:val="auto"/>
      <w:lang w:eastAsia="da-DK"/>
    </w:rPr>
  </w:style>
  <w:style w:type="paragraph" w:styleId="Heading7">
    <w:name w:val="heading 7"/>
    <w:basedOn w:val="Heading6"/>
    <w:next w:val="Normal"/>
    <w:link w:val="Heading7Char"/>
    <w:pPr>
      <w:numPr>
        <w:ilvl w:val="6"/>
      </w:numPr>
      <w:outlineLvl w:val="6"/>
    </w:p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stylish,EN Footnote Reference,SUPERS,number,Footnote reference number,Footnote symbol,note TESI,ftref,Footnote Reference Superscript,Footnote number,Odwołanie przypisu,Times 10 Point,Exposant 3 Point,Voetnootverwijzing,Ref"/>
    <w:uiPriority w:val="99"/>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FollowedHyperlink">
    <w:name w:val="FollowedHyperlink"/>
    <w:basedOn w:val="DefaultParagraphFont"/>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EEATextbodyChar">
    <w:name w:val="EEA Text body Char"/>
    <w:basedOn w:val="DefaultParagraphFont"/>
    <w:link w:val="EEATextbody"/>
    <w:locked/>
    <w:rPr>
      <w:rFonts w:ascii="Cambria" w:hAnsi="Cambria"/>
      <w:color w:val="000000" w:themeColor="text1"/>
    </w:rPr>
  </w:style>
  <w:style w:type="paragraph" w:customStyle="1" w:styleId="EEATextbody">
    <w:name w:val="EEA Text body"/>
    <w:basedOn w:val="Normal"/>
    <w:link w:val="EEATextbodyChar"/>
    <w:qFormat/>
    <w:pPr>
      <w:autoSpaceDE w:val="0"/>
      <w:autoSpaceDN w:val="0"/>
      <w:adjustRightInd w:val="0"/>
      <w:spacing w:after="120" w:line="260" w:lineRule="exact"/>
      <w:jc w:val="both"/>
    </w:pPr>
    <w:rPr>
      <w:rFonts w:ascii="Cambria" w:hAnsi="Cambria"/>
      <w:color w:val="000000" w:themeColor="text1"/>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rPr>
  </w:style>
  <w:style w:type="paragraph" w:customStyle="1" w:styleId="EEABoxcaption">
    <w:name w:val="EEA Box caption"/>
    <w:basedOn w:val="Normal"/>
    <w:qFormat/>
    <w:pPr>
      <w:autoSpaceDE w:val="0"/>
      <w:autoSpaceDN w:val="0"/>
      <w:adjustRightInd w:val="0"/>
      <w:spacing w:before="120" w:after="60" w:line="240" w:lineRule="auto"/>
      <w:ind w:left="357" w:hanging="357"/>
    </w:pPr>
    <w:rPr>
      <w:rFonts w:ascii="Arial Bold" w:hAnsi="Arial Bold"/>
      <w:b/>
      <w:bCs/>
    </w:rPr>
  </w:style>
  <w:style w:type="paragraph" w:customStyle="1" w:styleId="EEAFigurecaption">
    <w:name w:val="EEA Figure caption"/>
    <w:basedOn w:val="Caption"/>
    <w:link w:val="EEAFigurecaptionChar"/>
    <w:qFormat/>
    <w:pPr>
      <w:keepNext/>
      <w:autoSpaceDE w:val="0"/>
      <w:autoSpaceDN w:val="0"/>
      <w:adjustRightInd w:val="0"/>
      <w:spacing w:before="120" w:after="60"/>
    </w:pPr>
    <w:rPr>
      <w:rFonts w:ascii="Arial Bold" w:eastAsia="Arial Unicode MS" w:hAnsi="Arial Bold" w:cs="Tahoma"/>
      <w:b/>
      <w:bCs/>
      <w:i w:val="0"/>
      <w:iCs w:val="0"/>
      <w:color w:val="auto"/>
      <w:sz w:val="22"/>
      <w:szCs w:val="22"/>
    </w:rPr>
  </w:style>
  <w:style w:type="character" w:customStyle="1" w:styleId="EEAFigurecaptionChar">
    <w:name w:val="EEA Figure caption Char"/>
    <w:basedOn w:val="DefaultParagraphFont"/>
    <w:link w:val="EEAFigurecaption"/>
    <w:rPr>
      <w:rFonts w:ascii="Arial Bold" w:eastAsia="Arial Unicode MS" w:hAnsi="Arial Bold" w:cs="Tahoma"/>
      <w:b/>
      <w:bCs/>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Heading1Char">
    <w:name w:val="Heading 1 Char"/>
    <w:aliases w:val="EEA Heading 1 Char"/>
    <w:basedOn w:val="DefaultParagraphFont"/>
    <w:link w:val="Heading1"/>
    <w:uiPriority w:val="9"/>
    <w:rPr>
      <w:rFonts w:ascii="Arial" w:eastAsiaTheme="majorEastAsia" w:hAnsi="Arial" w:cstheme="majorBidi"/>
      <w:b/>
      <w:bCs/>
      <w:color w:val="365F91" w:themeColor="accent1" w:themeShade="BF"/>
      <w:sz w:val="40"/>
      <w:szCs w:val="40"/>
    </w:rPr>
  </w:style>
  <w:style w:type="character" w:customStyle="1" w:styleId="Heading2Char">
    <w:name w:val="Heading 2 Char"/>
    <w:aliases w:val="EEA Heading 2 Char"/>
    <w:basedOn w:val="DefaultParagraphFont"/>
    <w:link w:val="Heading2"/>
    <w:uiPriority w:val="9"/>
    <w:rPr>
      <w:rFonts w:ascii="Arial Bold" w:eastAsiaTheme="majorEastAsia" w:hAnsi="Arial Bold" w:cstheme="majorBidi"/>
      <w:b/>
      <w:bCs/>
      <w:color w:val="4F81BD" w:themeColor="accent1"/>
      <w:sz w:val="24"/>
      <w:szCs w:val="24"/>
    </w:rPr>
  </w:style>
  <w:style w:type="character" w:customStyle="1" w:styleId="Heading3Char">
    <w:name w:val="Heading 3 Char"/>
    <w:aliases w:val="EEA Heading 3 Char"/>
    <w:basedOn w:val="DefaultParagraphFont"/>
    <w:link w:val="Heading3"/>
    <w:uiPriority w:val="9"/>
    <w:rPr>
      <w:rFonts w:ascii="Times New Roman" w:eastAsiaTheme="majorEastAsia" w:hAnsi="Times New Roman" w:cstheme="majorBidi"/>
      <w:b/>
      <w:bCs/>
      <w:i/>
      <w:iCs/>
      <w:color w:val="4F81BD" w:themeColor="accent1"/>
      <w:sz w:val="24"/>
      <w:szCs w:val="24"/>
    </w:rPr>
  </w:style>
  <w:style w:type="character" w:customStyle="1" w:styleId="Heading4Char">
    <w:name w:val="Heading 4 Char"/>
    <w:aliases w:val="EEA Heading 4 Char"/>
    <w:basedOn w:val="DefaultParagraphFont"/>
    <w:link w:val="Heading4"/>
    <w:uiPriority w:val="9"/>
    <w:rPr>
      <w:rFonts w:ascii="Times New Roman" w:eastAsiaTheme="majorEastAsia" w:hAnsi="Times New Roman" w:cstheme="majorBidi"/>
      <w:b/>
      <w:bCs/>
      <w:i/>
      <w:iCs/>
      <w:color w:val="4F81BD" w:themeColor="accent1"/>
      <w:sz w:val="24"/>
      <w:szCs w:val="24"/>
    </w:rPr>
  </w:style>
  <w:style w:type="character" w:customStyle="1" w:styleId="Heading5Char">
    <w:name w:val="Heading 5 Char"/>
    <w:basedOn w:val="DefaultParagraphFont"/>
    <w:link w:val="Heading5"/>
    <w:rPr>
      <w:rFonts w:ascii="Times New Roman" w:eastAsiaTheme="majorEastAsia" w:hAnsi="Times New Roman" w:cstheme="majorBidi"/>
      <w:b/>
      <w:bCs/>
      <w:i/>
      <w:iCs/>
      <w:color w:val="4F81BD" w:themeColor="accent1"/>
      <w:sz w:val="24"/>
      <w:szCs w:val="24"/>
    </w:rPr>
  </w:style>
  <w:style w:type="character" w:customStyle="1" w:styleId="Heading6Char">
    <w:name w:val="Heading 6 Char"/>
    <w:basedOn w:val="DefaultParagraphFont"/>
    <w:link w:val="Heading6"/>
    <w:rPr>
      <w:rFonts w:ascii="Times New Roman" w:eastAsia="Times New Roman" w:hAnsi="Times New Roman" w:cstheme="majorBidi"/>
      <w:i/>
      <w:iCs/>
      <w:sz w:val="24"/>
      <w:szCs w:val="24"/>
      <w:lang w:eastAsia="da-DK"/>
    </w:rPr>
  </w:style>
  <w:style w:type="character" w:customStyle="1" w:styleId="Heading7Char">
    <w:name w:val="Heading 7 Char"/>
    <w:basedOn w:val="DefaultParagraphFont"/>
    <w:link w:val="Heading7"/>
    <w:rPr>
      <w:rFonts w:ascii="Times New Roman" w:eastAsia="Times New Roman" w:hAnsi="Times New Roman" w:cstheme="majorBidi"/>
      <w:i/>
      <w:iCs/>
      <w:sz w:val="24"/>
      <w:szCs w:val="24"/>
      <w:lang w:eastAsia="da-DK"/>
    </w:rPr>
  </w:style>
  <w:style w:type="character" w:customStyle="1" w:styleId="Heading8Char">
    <w:name w:val="Heading 8 Char"/>
    <w:basedOn w:val="DefaultParagraphFont"/>
    <w:link w:val="Heading8"/>
    <w:rPr>
      <w:rFonts w:ascii="Times New Roman" w:eastAsia="Times New Roman" w:hAnsi="Times New Roman" w:cstheme="majorBidi"/>
      <w:i/>
      <w:iCs/>
      <w:sz w:val="24"/>
      <w:szCs w:val="24"/>
      <w:lang w:eastAsia="da-DK"/>
    </w:rPr>
  </w:style>
  <w:style w:type="character" w:customStyle="1" w:styleId="Heading9Char">
    <w:name w:val="Heading 9 Char"/>
    <w:basedOn w:val="DefaultParagraphFont"/>
    <w:link w:val="Heading9"/>
    <w:rPr>
      <w:rFonts w:ascii="Times New Roman" w:eastAsia="Times New Roman" w:hAnsi="Times New Roman" w:cstheme="majorBidi"/>
      <w:i/>
      <w:iCs/>
      <w:sz w:val="24"/>
      <w:szCs w:val="24"/>
      <w:lang w:eastAsia="da-DK"/>
    </w:rPr>
  </w:style>
  <w:style w:type="paragraph" w:customStyle="1" w:styleId="Default">
    <w:name w:val="Default"/>
    <w:pPr>
      <w:autoSpaceDE w:val="0"/>
      <w:autoSpaceDN w:val="0"/>
      <w:adjustRightInd w:val="0"/>
      <w:spacing w:after="80" w:line="240" w:lineRule="auto"/>
    </w:pPr>
    <w:rPr>
      <w:rFonts w:ascii="Times New Roman" w:eastAsia="Batang" w:hAnsi="Times New Roman" w:cs="Times New Roman"/>
      <w:color w:val="000000"/>
      <w:sz w:val="24"/>
      <w:szCs w:val="24"/>
      <w:lang w:eastAsia="en-GB"/>
    </w:rPr>
  </w:style>
  <w:style w:type="paragraph" w:customStyle="1" w:styleId="Bullettext">
    <w:name w:val="Bullet text"/>
    <w:basedOn w:val="Normal"/>
    <w:pPr>
      <w:numPr>
        <w:numId w:val="5"/>
      </w:numPr>
      <w:spacing w:after="120" w:line="240" w:lineRule="auto"/>
    </w:pPr>
  </w:style>
  <w:style w:type="paragraph" w:customStyle="1" w:styleId="Numberedtext">
    <w:name w:val="Numbered text"/>
    <w:basedOn w:val="Normal"/>
    <w:pPr>
      <w:numPr>
        <w:numId w:val="4"/>
      </w:numPr>
      <w:tabs>
        <w:tab w:val="clear" w:pos="348"/>
      </w:tabs>
      <w:spacing w:after="240" w:line="240" w:lineRule="auto"/>
      <w:ind w:left="284" w:hanging="284"/>
    </w:pPr>
  </w:style>
  <w:style w:type="paragraph" w:customStyle="1" w:styleId="Footnote">
    <w:name w:val="Footnote"/>
    <w:basedOn w:val="Normal"/>
    <w:pPr>
      <w:spacing w:after="60" w:line="240" w:lineRule="auto"/>
      <w:ind w:left="357" w:hanging="357"/>
    </w:pPr>
    <w:rPr>
      <w:sz w:val="18"/>
      <w:szCs w:val="18"/>
    </w:rPr>
  </w:style>
  <w:style w:type="character" w:customStyle="1" w:styleId="Unknown0">
    <w:name w:val="Unknown 0"/>
    <w:basedOn w:val="DefaultParagraphFont"/>
    <w:semiHidden/>
  </w:style>
  <w:style w:type="character" w:customStyle="1" w:styleId="Unknown1">
    <w:name w:val="Unknown 1"/>
    <w:basedOn w:val="DefaultParagraphFont"/>
    <w:autoRedefine/>
    <w:semiHidden/>
  </w:style>
  <w:style w:type="paragraph" w:styleId="TOC1">
    <w:name w:val="toc 1"/>
    <w:basedOn w:val="Normal"/>
    <w:next w:val="Normal"/>
    <w:autoRedefine/>
    <w:uiPriority w:val="39"/>
    <w:pPr>
      <w:tabs>
        <w:tab w:val="right" w:leader="dot" w:pos="9010"/>
      </w:tabs>
      <w:spacing w:before="180" w:after="80" w:line="240" w:lineRule="auto"/>
      <w:ind w:left="567" w:hanging="567"/>
    </w:pPr>
    <w:rPr>
      <w:rFonts w:ascii="Arial" w:hAnsi="Arial"/>
      <w:b/>
      <w:noProof/>
    </w:rPr>
  </w:style>
  <w:style w:type="paragraph" w:styleId="TOC2">
    <w:name w:val="toc 2"/>
    <w:basedOn w:val="Normal"/>
    <w:next w:val="Normal"/>
    <w:autoRedefine/>
    <w:uiPriority w:val="39"/>
    <w:pPr>
      <w:tabs>
        <w:tab w:val="left" w:pos="1320"/>
        <w:tab w:val="right" w:leader="dot" w:pos="9010"/>
      </w:tabs>
      <w:spacing w:before="80" w:after="80" w:line="240" w:lineRule="auto"/>
      <w:ind w:left="1276" w:hanging="709"/>
    </w:pPr>
    <w:rPr>
      <w:rFonts w:ascii="Arial" w:hAnsi="Arial"/>
      <w:b/>
      <w:noProof/>
    </w:rPr>
  </w:style>
  <w:style w:type="paragraph" w:styleId="TOC3">
    <w:name w:val="toc 3"/>
    <w:basedOn w:val="Normal"/>
    <w:next w:val="Normal"/>
    <w:autoRedefine/>
    <w:uiPriority w:val="39"/>
    <w:pPr>
      <w:spacing w:before="80" w:after="80" w:line="240" w:lineRule="auto"/>
      <w:ind w:left="1276" w:hanging="709"/>
    </w:pPr>
    <w:rPr>
      <w:rFonts w:ascii="Arial" w:hAnsi="Arial"/>
    </w:rPr>
  </w:style>
  <w:style w:type="paragraph" w:customStyle="1" w:styleId="Cover-title1">
    <w:name w:val="Cover - title 1"/>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44"/>
      <w:szCs w:val="44"/>
      <w:lang w:eastAsia="da-DK"/>
    </w:rPr>
  </w:style>
  <w:style w:type="paragraph" w:customStyle="1" w:styleId="Cover-title3">
    <w:name w:val="Cover - title 3"/>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Cs w:val="20"/>
      <w:lang w:eastAsia="da-DK"/>
    </w:rPr>
  </w:style>
  <w:style w:type="paragraph" w:customStyle="1" w:styleId="Notetoedpub">
    <w:name w:val="Note to ed/pub"/>
    <w:basedOn w:val="Normal"/>
    <w:link w:val="NotetoedpubChar"/>
    <w:qFormat/>
    <w:pPr>
      <w:spacing w:after="240" w:line="240" w:lineRule="auto"/>
      <w:ind w:left="357" w:hanging="357"/>
    </w:pPr>
    <w:rPr>
      <w:b/>
      <w:i/>
    </w:rPr>
  </w:style>
  <w:style w:type="character" w:customStyle="1" w:styleId="NotetoedpubChar">
    <w:name w:val="Note to ed/pub Char"/>
    <w:link w:val="Notetoedpub"/>
    <w:rPr>
      <w:b/>
      <w:i/>
    </w:rPr>
  </w:style>
  <w:style w:type="paragraph" w:customStyle="1" w:styleId="Graphicsourcenotes">
    <w:name w:val="Graphic source/notes"/>
    <w:basedOn w:val="Normal"/>
    <w:next w:val="Normal"/>
    <w:pPr>
      <w:overflowPunct w:val="0"/>
      <w:autoSpaceDE w:val="0"/>
      <w:autoSpaceDN w:val="0"/>
      <w:adjustRightInd w:val="0"/>
      <w:spacing w:after="120" w:line="240" w:lineRule="auto"/>
      <w:ind w:left="357" w:hanging="357"/>
      <w:textAlignment w:val="baseline"/>
    </w:pPr>
    <w:rPr>
      <w:rFonts w:ascii="Arial" w:eastAsia="Times New Roman" w:hAnsi="Arial"/>
      <w:sz w:val="18"/>
      <w:szCs w:val="20"/>
      <w:lang w:eastAsia="da-DK"/>
    </w:rPr>
  </w:style>
  <w:style w:type="paragraph" w:customStyle="1" w:styleId="Cover-title2">
    <w:name w:val="Cover - title 2"/>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32"/>
      <w:szCs w:val="20"/>
      <w:lang w:eastAsia="da-DK"/>
    </w:rPr>
  </w:style>
  <w:style w:type="paragraph" w:styleId="BodyText">
    <w:name w:val="Body Text"/>
    <w:aliases w:val="EEA - Body Text"/>
    <w:basedOn w:val="Normal"/>
    <w:link w:val="BodyTextChar"/>
    <w:qFormat/>
    <w:pPr>
      <w:overflowPunct w:val="0"/>
      <w:autoSpaceDE w:val="0"/>
      <w:autoSpaceDN w:val="0"/>
      <w:adjustRightInd w:val="0"/>
      <w:spacing w:after="240" w:line="240" w:lineRule="auto"/>
      <w:ind w:left="357" w:hanging="357"/>
      <w:textAlignment w:val="baseline"/>
    </w:pPr>
    <w:rPr>
      <w:rFonts w:eastAsia="Times New Roman"/>
      <w:lang w:eastAsia="da-DK"/>
    </w:rPr>
  </w:style>
  <w:style w:type="character" w:customStyle="1" w:styleId="BodyTextChar">
    <w:name w:val="Body Text Char"/>
    <w:aliases w:val="EEA - Body Text Char"/>
    <w:basedOn w:val="DefaultParagraphFont"/>
    <w:link w:val="BodyText"/>
    <w:rPr>
      <w:rFonts w:eastAsia="Times New Roman"/>
      <w:lang w:eastAsia="da-DK"/>
    </w:rPr>
  </w:style>
  <w:style w:type="character" w:styleId="PageNumber">
    <w:name w:val="page number"/>
    <w:basedOn w:val="DefaultParagraphFont"/>
  </w:style>
  <w:style w:type="table" w:styleId="TableGrid">
    <w:name w:val="Table Grid"/>
    <w:basedOn w:val="TableNormal"/>
    <w:uiPriority w:val="39"/>
    <w:pPr>
      <w:spacing w:before="240" w:after="8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pPr>
      <w:spacing w:before="180" w:after="80" w:line="240" w:lineRule="auto"/>
      <w:ind w:left="567" w:hanging="567"/>
    </w:pPr>
    <w:rPr>
      <w:rFonts w:ascii="Arial" w:hAnsi="Arial"/>
      <w:b/>
    </w:rPr>
  </w:style>
  <w:style w:type="paragraph" w:styleId="TOC5">
    <w:name w:val="toc 5"/>
    <w:basedOn w:val="Normal"/>
    <w:next w:val="Normal"/>
    <w:autoRedefine/>
    <w:uiPriority w:val="39"/>
    <w:pPr>
      <w:spacing w:before="180" w:after="80" w:line="240" w:lineRule="auto"/>
      <w:ind w:left="357" w:hanging="357"/>
    </w:pPr>
    <w:rPr>
      <w:rFonts w:ascii="Arial" w:hAnsi="Arial"/>
      <w:b/>
    </w:rPr>
  </w:style>
  <w:style w:type="paragraph" w:customStyle="1" w:styleId="Subheading">
    <w:name w:val="Subheading"/>
    <w:basedOn w:val="BodyText"/>
    <w:rPr>
      <w:b/>
      <w:i/>
    </w:rPr>
  </w:style>
  <w:style w:type="paragraph" w:styleId="TOC8">
    <w:name w:val="toc 8"/>
    <w:basedOn w:val="Normal"/>
    <w:next w:val="Normal"/>
    <w:autoRedefine/>
    <w:uiPriority w:val="39"/>
    <w:pPr>
      <w:spacing w:after="80" w:line="240" w:lineRule="auto"/>
      <w:ind w:left="1680" w:hanging="357"/>
    </w:pPr>
  </w:style>
  <w:style w:type="paragraph" w:styleId="TOC9">
    <w:name w:val="toc 9"/>
    <w:basedOn w:val="Normal"/>
    <w:next w:val="Normal"/>
    <w:autoRedefine/>
    <w:uiPriority w:val="39"/>
    <w:pPr>
      <w:spacing w:after="80" w:line="240" w:lineRule="auto"/>
      <w:ind w:left="1920" w:hanging="357"/>
    </w:pPr>
  </w:style>
  <w:style w:type="paragraph" w:styleId="DocumentMap">
    <w:name w:val="Document Map"/>
    <w:basedOn w:val="Normal"/>
    <w:link w:val="DocumentMapChar"/>
    <w:pPr>
      <w:spacing w:after="80" w:line="240" w:lineRule="auto"/>
      <w:ind w:left="357" w:hanging="357"/>
    </w:pPr>
    <w:rPr>
      <w:rFonts w:ascii="Tahoma" w:hAnsi="Tahoma"/>
      <w:sz w:val="16"/>
      <w:szCs w:val="16"/>
    </w:rPr>
  </w:style>
  <w:style w:type="character" w:customStyle="1" w:styleId="DocumentMapChar">
    <w:name w:val="Document Map Char"/>
    <w:basedOn w:val="DefaultParagraphFont"/>
    <w:link w:val="DocumentMap"/>
    <w:rPr>
      <w:rFonts w:ascii="Tahoma" w:hAnsi="Tahoma"/>
      <w:sz w:val="16"/>
      <w:szCs w:val="16"/>
    </w:rPr>
  </w:style>
  <w:style w:type="paragraph" w:styleId="TOC6">
    <w:name w:val="toc 6"/>
    <w:basedOn w:val="Normal"/>
    <w:next w:val="Normal"/>
    <w:autoRedefine/>
    <w:uiPriority w:val="39"/>
    <w:unhideWhenUsed/>
    <w:pPr>
      <w:spacing w:after="100"/>
      <w:ind w:left="1100" w:hanging="357"/>
    </w:pPr>
    <w:rPr>
      <w:rFonts w:ascii="Calibri" w:eastAsia="Times New Roman" w:hAnsi="Calibri" w:cs="Times New Roman"/>
    </w:rPr>
  </w:style>
  <w:style w:type="paragraph" w:styleId="TOC7">
    <w:name w:val="toc 7"/>
    <w:basedOn w:val="Normal"/>
    <w:next w:val="Normal"/>
    <w:autoRedefine/>
    <w:uiPriority w:val="39"/>
    <w:unhideWhenUsed/>
    <w:pPr>
      <w:spacing w:after="100"/>
      <w:ind w:left="1320" w:hanging="357"/>
    </w:pPr>
    <w:rPr>
      <w:rFonts w:ascii="Calibri" w:eastAsia="Times New Roman" w:hAnsi="Calibri" w:cs="Times New Roman"/>
    </w:rPr>
  </w:style>
  <w:style w:type="paragraph" w:styleId="Bibliography">
    <w:name w:val="Bibliography"/>
    <w:basedOn w:val="Normal"/>
    <w:next w:val="Normal"/>
    <w:uiPriority w:val="37"/>
    <w:unhideWhenUsed/>
    <w:pPr>
      <w:spacing w:after="80" w:line="240" w:lineRule="auto"/>
      <w:ind w:left="357" w:hanging="357"/>
    </w:pPr>
  </w:style>
  <w:style w:type="paragraph" w:customStyle="1" w:styleId="EEATextbullets">
    <w:name w:val="EEA Text bullets"/>
    <w:basedOn w:val="EEATextbody"/>
    <w:link w:val="EEATextbulletsChar"/>
    <w:qFormat/>
    <w:pPr>
      <w:numPr>
        <w:numId w:val="7"/>
      </w:numPr>
      <w:spacing w:after="0"/>
    </w:pPr>
    <w:rPr>
      <w:rFonts w:ascii="Times New Roman" w:hAnsi="Times New Roman" w:cs="Times New Roman"/>
    </w:rPr>
  </w:style>
  <w:style w:type="character" w:customStyle="1" w:styleId="EEATextbulletsChar">
    <w:name w:val="EEA Text bullets Char"/>
    <w:basedOn w:val="DefaultParagraphFont"/>
    <w:link w:val="EEATextbullets"/>
    <w:rPr>
      <w:rFonts w:ascii="Times New Roman" w:hAnsi="Times New Roman" w:cs="Times New Roman"/>
      <w:color w:val="000000" w:themeColor="text1"/>
    </w:rPr>
  </w:style>
  <w:style w:type="paragraph" w:customStyle="1" w:styleId="EEABoxbullets">
    <w:name w:val="EEA Box bullets"/>
    <w:basedOn w:val="EEATextbullets"/>
    <w:link w:val="EEABoxbulletsChar"/>
    <w:qFormat/>
    <w:pPr>
      <w:numPr>
        <w:numId w:val="8"/>
      </w:numPr>
    </w:pPr>
  </w:style>
  <w:style w:type="character" w:customStyle="1" w:styleId="EEABoxbulletsChar">
    <w:name w:val="EEA Box bullets Char"/>
    <w:basedOn w:val="DefaultParagraphFont"/>
    <w:link w:val="EEABoxbullets"/>
    <w:rPr>
      <w:rFonts w:ascii="Times New Roman" w:hAnsi="Times New Roman" w:cs="Times New Roman"/>
      <w:color w:val="000000" w:themeColor="text1"/>
    </w:rPr>
  </w:style>
  <w:style w:type="paragraph" w:customStyle="1" w:styleId="EEABoxtext">
    <w:name w:val="EEA Box text"/>
    <w:basedOn w:val="EEATextbody"/>
    <w:qFormat/>
    <w:rPr>
      <w:rFonts w:ascii="Times New Roman" w:hAnsi="Times New Roman" w:cs="Times New Roman"/>
    </w:rPr>
  </w:style>
  <w:style w:type="paragraph" w:customStyle="1" w:styleId="EEABoxheading">
    <w:name w:val="EEA Box heading"/>
    <w:basedOn w:val="EEABoxtext"/>
    <w:qFormat/>
    <w:rPr>
      <w:b/>
      <w:bCs/>
      <w:i/>
      <w:iCs/>
    </w:rPr>
  </w:style>
  <w:style w:type="paragraph" w:customStyle="1" w:styleId="EEABoxsource">
    <w:name w:val="EEA Box source"/>
    <w:basedOn w:val="Normal"/>
    <w:link w:val="EEABoxsourceChar"/>
    <w:qFormat/>
    <w:pPr>
      <w:autoSpaceDE w:val="0"/>
      <w:autoSpaceDN w:val="0"/>
      <w:adjustRightInd w:val="0"/>
      <w:spacing w:after="120" w:line="260" w:lineRule="exact"/>
      <w:ind w:left="357" w:hanging="357"/>
    </w:pPr>
    <w:rPr>
      <w:i/>
      <w:iCs/>
      <w:color w:val="000000" w:themeColor="text1"/>
    </w:rPr>
  </w:style>
  <w:style w:type="character" w:customStyle="1" w:styleId="EEABoxsourceChar">
    <w:name w:val="EEA Box source Char"/>
    <w:basedOn w:val="DefaultParagraphFont"/>
    <w:link w:val="EEABoxsource"/>
    <w:rPr>
      <w:i/>
      <w:iCs/>
      <w:color w:val="000000" w:themeColor="text1"/>
    </w:rPr>
  </w:style>
  <w:style w:type="paragraph" w:customStyle="1" w:styleId="EEAFiguresource">
    <w:name w:val="EEA Figure source"/>
    <w:basedOn w:val="Normal"/>
    <w:link w:val="EEAFiguresourceChar"/>
    <w:qFormat/>
    <w:pPr>
      <w:autoSpaceDE w:val="0"/>
      <w:autoSpaceDN w:val="0"/>
      <w:adjustRightInd w:val="0"/>
      <w:spacing w:before="120" w:after="120" w:line="260" w:lineRule="exact"/>
      <w:ind w:left="357" w:hanging="357"/>
    </w:pPr>
    <w:rPr>
      <w:i/>
      <w:iCs/>
      <w:color w:val="000000" w:themeColor="text1"/>
    </w:rPr>
  </w:style>
  <w:style w:type="character" w:customStyle="1" w:styleId="EEAFiguresourceChar">
    <w:name w:val="EEA Figure source Char"/>
    <w:basedOn w:val="DefaultParagraphFont"/>
    <w:link w:val="EEAFiguresource"/>
    <w:rPr>
      <w:i/>
      <w:iCs/>
      <w:color w:val="000000" w:themeColor="text1"/>
    </w:rPr>
  </w:style>
  <w:style w:type="paragraph" w:customStyle="1" w:styleId="EEAFigurenote">
    <w:name w:val="EEA Figure note"/>
    <w:basedOn w:val="EEAFiguresource"/>
    <w:link w:val="EEAFigurenoteChar"/>
    <w:qFormat/>
    <w:pPr>
      <w:ind w:left="0" w:firstLine="0"/>
      <w:jc w:val="both"/>
    </w:pPr>
    <w:rPr>
      <w:rFonts w:ascii="Times New Roman" w:hAnsi="Times New Roman" w:cs="Times New Roman"/>
    </w:rPr>
  </w:style>
  <w:style w:type="character" w:customStyle="1" w:styleId="EEAFigurenoteChar">
    <w:name w:val="EEA Figure note Char"/>
    <w:basedOn w:val="EEAFiguresourceChar"/>
    <w:link w:val="EEAFigurenote"/>
    <w:rPr>
      <w:rFonts w:ascii="Times New Roman" w:hAnsi="Times New Roman" w:cs="Times New Roman"/>
      <w:i/>
      <w:iCs/>
      <w:color w:val="000000" w:themeColor="text1"/>
    </w:rPr>
  </w:style>
  <w:style w:type="paragraph" w:customStyle="1" w:styleId="EEAFootnotetext">
    <w:name w:val="EEA Footnote text"/>
    <w:basedOn w:val="Normal"/>
    <w:qFormat/>
    <w:pPr>
      <w:autoSpaceDE w:val="0"/>
      <w:autoSpaceDN w:val="0"/>
      <w:adjustRightInd w:val="0"/>
      <w:spacing w:after="120" w:line="240" w:lineRule="exact"/>
      <w:ind w:left="357" w:hanging="357"/>
    </w:pPr>
    <w:rPr>
      <w:sz w:val="18"/>
      <w:szCs w:val="18"/>
    </w:rPr>
  </w:style>
  <w:style w:type="paragraph" w:customStyle="1" w:styleId="EEAMapcaption">
    <w:name w:val="EEA Map caption"/>
    <w:basedOn w:val="EEAFigurecaption"/>
    <w:link w:val="EEAMapcaptionChar"/>
    <w:qFormat/>
  </w:style>
  <w:style w:type="character" w:customStyle="1" w:styleId="EEAMapcaptionChar">
    <w:name w:val="EEA Map caption Char"/>
    <w:basedOn w:val="EEAFigurecaptionChar"/>
    <w:link w:val="EEAMapcaption"/>
    <w:rPr>
      <w:rFonts w:ascii="Arial Bold" w:eastAsia="Arial Unicode MS" w:hAnsi="Arial Bold" w:cs="Tahoma"/>
      <w:b/>
      <w:bCs/>
    </w:rPr>
  </w:style>
  <w:style w:type="paragraph" w:customStyle="1" w:styleId="EEAMapnote">
    <w:name w:val="EEA Map note"/>
    <w:basedOn w:val="EEAFigurenote"/>
    <w:link w:val="EEAMapnoteChar"/>
    <w:qFormat/>
    <w:rPr>
      <w:rFonts w:eastAsia="Times New Roman" w:cs="Arial"/>
      <w:lang w:eastAsia="da-DK"/>
    </w:rPr>
  </w:style>
  <w:style w:type="character" w:customStyle="1" w:styleId="EEAMapnoteChar">
    <w:name w:val="EEA Map note Char"/>
    <w:basedOn w:val="BodyTextChar"/>
    <w:link w:val="EEAMapnote"/>
    <w:rPr>
      <w:rFonts w:ascii="Times New Roman" w:eastAsia="Times New Roman" w:hAnsi="Times New Roman" w:cs="Arial"/>
      <w:i/>
      <w:iCs/>
      <w:color w:val="000000" w:themeColor="text1"/>
      <w:lang w:eastAsia="da-DK"/>
    </w:rPr>
  </w:style>
  <w:style w:type="paragraph" w:customStyle="1" w:styleId="EEAMapsource">
    <w:name w:val="EEA Map source"/>
    <w:basedOn w:val="EEAFiguresource"/>
    <w:link w:val="EEAMapsourceChar"/>
    <w:qFormat/>
    <w:rPr>
      <w:rFonts w:ascii="Times New Roman" w:eastAsia="Times New Roman" w:hAnsi="Times New Roman" w:cs="Arial"/>
      <w:lang w:eastAsia="da-DK"/>
    </w:rPr>
  </w:style>
  <w:style w:type="character" w:customStyle="1" w:styleId="EEAMapsourceChar">
    <w:name w:val="EEA Map source Char"/>
    <w:basedOn w:val="EEAMapnoteChar"/>
    <w:link w:val="EEAMapsource"/>
    <w:rPr>
      <w:rFonts w:ascii="Times New Roman" w:eastAsia="Times New Roman" w:hAnsi="Times New Roman" w:cs="Arial"/>
      <w:i/>
      <w:iCs/>
      <w:color w:val="000000" w:themeColor="text1"/>
      <w:lang w:eastAsia="da-DK"/>
    </w:rPr>
  </w:style>
  <w:style w:type="paragraph" w:customStyle="1" w:styleId="EEAReferences">
    <w:name w:val="EEA References"/>
    <w:basedOn w:val="EEATextbody"/>
    <w:qFormat/>
    <w:rPr>
      <w:rFonts w:ascii="Times New Roman" w:hAnsi="Times New Roman" w:cs="Times New Roman"/>
    </w:rPr>
  </w:style>
  <w:style w:type="paragraph" w:customStyle="1" w:styleId="EEATablecaption">
    <w:name w:val="EEA Table caption"/>
    <w:basedOn w:val="EEABoxcaption"/>
    <w:qFormat/>
    <w:pPr>
      <w:keepNext/>
      <w:ind w:left="0" w:firstLine="0"/>
    </w:pPr>
  </w:style>
  <w:style w:type="paragraph" w:customStyle="1" w:styleId="EEATabletext">
    <w:name w:val="EEA Table text"/>
    <w:basedOn w:val="Normal"/>
    <w:qFormat/>
    <w:pPr>
      <w:autoSpaceDE w:val="0"/>
      <w:autoSpaceDN w:val="0"/>
      <w:adjustRightInd w:val="0"/>
      <w:spacing w:before="20" w:after="20" w:line="240" w:lineRule="exact"/>
    </w:pPr>
    <w:rPr>
      <w:rFonts w:ascii="Times New Roman" w:hAnsi="Times New Roman" w:cs="Times New Roman"/>
      <w:color w:val="000000"/>
      <w:sz w:val="20"/>
      <w:szCs w:val="20"/>
    </w:rPr>
  </w:style>
  <w:style w:type="paragraph" w:customStyle="1" w:styleId="EEATablecolumnhead">
    <w:name w:val="EEA Table column head"/>
    <w:basedOn w:val="EEATabletext"/>
    <w:qFormat/>
    <w:rPr>
      <w:b/>
    </w:rPr>
  </w:style>
  <w:style w:type="paragraph" w:customStyle="1" w:styleId="EEATablesource">
    <w:name w:val="EEA Table source"/>
    <w:basedOn w:val="EEAFiguresource"/>
    <w:qFormat/>
  </w:style>
  <w:style w:type="paragraph" w:customStyle="1" w:styleId="EEATablenote">
    <w:name w:val="EEA Table note"/>
    <w:basedOn w:val="EEATablesource"/>
    <w:qFormat/>
    <w:pPr>
      <w:ind w:left="0" w:firstLine="0"/>
      <w:jc w:val="both"/>
    </w:pPr>
    <w:rPr>
      <w:rFonts w:ascii="Times New Roman" w:hAnsi="Times New Roman" w:cs="Times New Roman"/>
    </w:rPr>
  </w:style>
  <w:style w:type="paragraph" w:customStyle="1" w:styleId="EEATextbulletlast">
    <w:name w:val="EEA Text bullet last"/>
    <w:basedOn w:val="EEATextbullets"/>
    <w:link w:val="EEATextbulletlastChar"/>
    <w:qFormat/>
    <w:pPr>
      <w:numPr>
        <w:numId w:val="9"/>
      </w:numPr>
      <w:spacing w:after="120"/>
    </w:pPr>
  </w:style>
  <w:style w:type="character" w:customStyle="1" w:styleId="EEATextbulletlastChar">
    <w:name w:val="EEA Text bullet last Char"/>
    <w:basedOn w:val="EEATextbulletsChar"/>
    <w:link w:val="EEATextbulletlast"/>
    <w:rPr>
      <w:rFonts w:ascii="Times New Roman" w:hAnsi="Times New Roman" w:cs="Times New Roman"/>
      <w:color w:val="000000" w:themeColor="text1"/>
    </w:rPr>
  </w:style>
  <w:style w:type="paragraph" w:customStyle="1" w:styleId="EEATextnumlist">
    <w:name w:val="EEA Text numlist"/>
    <w:basedOn w:val="EEABoxbullets"/>
    <w:qFormat/>
    <w:pPr>
      <w:numPr>
        <w:numId w:val="0"/>
      </w:numPr>
      <w:ind w:left="357" w:hanging="357"/>
    </w:pPr>
  </w:style>
  <w:style w:type="paragraph" w:customStyle="1" w:styleId="EEATextnumlistlast">
    <w:name w:val="EEA Text numlist last"/>
    <w:basedOn w:val="EEATextnumlist"/>
    <w:qFormat/>
    <w:pPr>
      <w:spacing w:after="120"/>
    </w:pPr>
  </w:style>
  <w:style w:type="paragraph" w:customStyle="1" w:styleId="EEATextquote">
    <w:name w:val="EEA Text quote"/>
    <w:basedOn w:val="EEATextbody"/>
    <w:link w:val="EEATextquoteChar"/>
    <w:qFormat/>
    <w:pPr>
      <w:ind w:right="357"/>
    </w:pPr>
    <w:rPr>
      <w:rFonts w:ascii="Times New Roman" w:hAnsi="Times New Roman" w:cs="Times New Roman"/>
      <w:i/>
      <w:iCs/>
    </w:rPr>
  </w:style>
  <w:style w:type="character" w:customStyle="1" w:styleId="EEATextquoteChar">
    <w:name w:val="EEA Text quote Char"/>
    <w:basedOn w:val="EEATextbodyChar"/>
    <w:link w:val="EEATextquote"/>
    <w:rPr>
      <w:rFonts w:ascii="Times New Roman" w:hAnsi="Times New Roman" w:cs="Times New Roman"/>
      <w:i/>
      <w:iCs/>
      <w:color w:val="000000" w:themeColor="text1"/>
    </w:rPr>
  </w:style>
  <w:style w:type="paragraph" w:styleId="Title">
    <w:name w:val="Title"/>
    <w:basedOn w:val="Normal"/>
    <w:next w:val="Normal"/>
    <w:link w:val="TitleChar"/>
    <w:qFormat/>
    <w:pPr>
      <w:pBdr>
        <w:bottom w:val="single" w:sz="8" w:space="4" w:color="4F81BD" w:themeColor="accent1"/>
      </w:pBdr>
      <w:spacing w:after="300" w:line="240" w:lineRule="auto"/>
      <w:ind w:left="357" w:hanging="357"/>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pPr>
      <w:numPr>
        <w:ilvl w:val="1"/>
      </w:numPr>
      <w:spacing w:after="80" w:line="240" w:lineRule="auto"/>
      <w:ind w:left="357" w:hanging="35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71"/>
    <w:pPr>
      <w:spacing w:after="80" w:line="240" w:lineRule="auto"/>
    </w:pPr>
  </w:style>
  <w:style w:type="paragraph" w:customStyle="1" w:styleId="EEATextequation">
    <w:name w:val="EEA Text equation"/>
    <w:basedOn w:val="EEATextbody"/>
    <w:link w:val="EEATextequationChar"/>
    <w:qFormat/>
    <w:pPr>
      <w:spacing w:before="120" w:after="240"/>
      <w:ind w:left="720"/>
    </w:pPr>
    <w:rPr>
      <w:rFonts w:ascii="Times New Roman" w:hAnsi="Times New Roman" w:cs="Times New Roman"/>
      <w:i/>
    </w:rPr>
  </w:style>
  <w:style w:type="character" w:customStyle="1" w:styleId="EEATextequationChar">
    <w:name w:val="EEA Text equation Char"/>
    <w:basedOn w:val="EEATextbodyChar"/>
    <w:link w:val="EEATextequation"/>
    <w:rPr>
      <w:rFonts w:ascii="Times New Roman" w:hAnsi="Times New Roman" w:cs="Times New Roman"/>
      <w:i/>
      <w:color w:val="000000" w:themeColor="text1"/>
    </w:rPr>
  </w:style>
  <w:style w:type="paragraph" w:customStyle="1" w:styleId="EEAHeading5">
    <w:name w:val="EEA Heading 5"/>
    <w:basedOn w:val="Heading4"/>
    <w:link w:val="EEAHeading5Char"/>
    <w:qFormat/>
    <w:pPr>
      <w:numPr>
        <w:ilvl w:val="0"/>
        <w:numId w:val="0"/>
      </w:numPr>
      <w:spacing w:after="80"/>
      <w:ind w:left="357" w:hanging="357"/>
    </w:pPr>
    <w:rPr>
      <w:b w:val="0"/>
      <w:bCs w:val="0"/>
    </w:rPr>
  </w:style>
  <w:style w:type="character" w:customStyle="1" w:styleId="EEAHeading5Char">
    <w:name w:val="EEA Heading 5 Char"/>
    <w:basedOn w:val="Heading4Char"/>
    <w:link w:val="EEAHeading5"/>
    <w:rPr>
      <w:rFonts w:ascii="Times New Roman" w:eastAsiaTheme="majorEastAsia" w:hAnsi="Times New Roman" w:cstheme="majorBidi"/>
      <w:b w:val="0"/>
      <w:bCs w:val="0"/>
      <w:i/>
      <w:iCs/>
      <w:color w:val="4F81BD" w:themeColor="accent1"/>
      <w:sz w:val="24"/>
      <w:szCs w:val="24"/>
    </w:rPr>
  </w:style>
  <w:style w:type="paragraph" w:customStyle="1" w:styleId="Standard">
    <w:name w:val="Standard"/>
    <w:pPr>
      <w:widowControl w:val="0"/>
      <w:suppressAutoHyphens/>
      <w:autoSpaceDN w:val="0"/>
      <w:spacing w:after="80" w:line="240" w:lineRule="auto"/>
    </w:pPr>
    <w:rPr>
      <w:rFonts w:ascii="Liberation Sans" w:eastAsia="SimSun" w:hAnsi="Liberation Sans" w:cs="Mangal"/>
      <w:kern w:val="3"/>
      <w:sz w:val="24"/>
      <w:szCs w:val="24"/>
      <w:lang w:eastAsia="zh-CN" w:bidi="hi-IN"/>
    </w:rPr>
  </w:style>
  <w:style w:type="paragraph" w:styleId="PlainText">
    <w:name w:val="Plain Text"/>
    <w:basedOn w:val="Normal"/>
    <w:link w:val="PlainTextChar"/>
    <w:uiPriority w:val="99"/>
    <w:semiHidden/>
    <w:unhideWhenUsed/>
    <w:pPr>
      <w:spacing w:after="80" w:line="240" w:lineRule="auto"/>
    </w:pPr>
    <w:rPr>
      <w:rFonts w:ascii="Calibri" w:hAnsi="Calibri" w:cs="Times New Roman"/>
    </w:rPr>
  </w:style>
  <w:style w:type="character" w:customStyle="1" w:styleId="PlainTextChar">
    <w:name w:val="Plain Text Char"/>
    <w:basedOn w:val="DefaultParagraphFont"/>
    <w:link w:val="PlainText"/>
    <w:uiPriority w:val="99"/>
    <w:semiHidden/>
    <w:rPr>
      <w:rFonts w:ascii="Calibri" w:hAnsi="Calibri" w:cs="Times New Roman"/>
    </w:rPr>
  </w:style>
  <w:style w:type="character" w:styleId="PlaceholderText">
    <w:name w:val="Placeholder Text"/>
    <w:basedOn w:val="DefaultParagraphFont"/>
    <w:uiPriority w:val="67"/>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table" w:customStyle="1" w:styleId="TableGrid1">
    <w:name w:val="Table Grid1"/>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b w:val="0"/>
      <w:bCs w:val="0"/>
      <w:sz w:val="32"/>
      <w:szCs w:val="32"/>
    </w:rPr>
  </w:style>
  <w:style w:type="table" w:customStyle="1" w:styleId="TableGrid5">
    <w:name w:val="Table Grid5"/>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EEA Heading 1"/>
    <w:basedOn w:val="Normal"/>
    <w:next w:val="Normal"/>
    <w:link w:val="Heading1Char"/>
    <w:uiPriority w:val="9"/>
    <w:qFormat/>
    <w:pPr>
      <w:keepNext/>
      <w:keepLines/>
      <w:numPr>
        <w:numId w:val="10"/>
      </w:numPr>
      <w:spacing w:before="480" w:after="120" w:line="240" w:lineRule="auto"/>
      <w:outlineLvl w:val="0"/>
    </w:pPr>
    <w:rPr>
      <w:rFonts w:ascii="Arial" w:eastAsiaTheme="majorEastAsia" w:hAnsi="Arial" w:cstheme="majorBidi"/>
      <w:b/>
      <w:bCs/>
      <w:color w:val="365F91" w:themeColor="accent1" w:themeShade="BF"/>
      <w:sz w:val="40"/>
      <w:szCs w:val="40"/>
    </w:rPr>
  </w:style>
  <w:style w:type="paragraph" w:styleId="Heading2">
    <w:name w:val="heading 2"/>
    <w:aliases w:val="EEA Heading 2"/>
    <w:basedOn w:val="Normal"/>
    <w:next w:val="Normal"/>
    <w:link w:val="Heading2Char"/>
    <w:uiPriority w:val="9"/>
    <w:unhideWhenUsed/>
    <w:qFormat/>
    <w:pPr>
      <w:keepNext/>
      <w:keepLines/>
      <w:numPr>
        <w:ilvl w:val="1"/>
        <w:numId w:val="10"/>
      </w:numPr>
      <w:spacing w:after="120" w:line="240" w:lineRule="auto"/>
      <w:outlineLvl w:val="1"/>
    </w:pPr>
    <w:rPr>
      <w:rFonts w:ascii="Arial Bold" w:eastAsiaTheme="majorEastAsia" w:hAnsi="Arial Bold" w:cstheme="majorBidi"/>
      <w:b/>
      <w:bCs/>
      <w:color w:val="4F81BD" w:themeColor="accent1"/>
      <w:sz w:val="24"/>
      <w:szCs w:val="24"/>
    </w:rPr>
  </w:style>
  <w:style w:type="paragraph" w:styleId="Heading3">
    <w:name w:val="heading 3"/>
    <w:aliases w:val="EEA Heading 3"/>
    <w:basedOn w:val="Normal"/>
    <w:next w:val="Normal"/>
    <w:link w:val="Heading3Char"/>
    <w:uiPriority w:val="9"/>
    <w:unhideWhenUsed/>
    <w:qFormat/>
    <w:pPr>
      <w:keepNext/>
      <w:keepLines/>
      <w:numPr>
        <w:ilvl w:val="2"/>
        <w:numId w:val="10"/>
      </w:numPr>
      <w:spacing w:before="200" w:after="80" w:line="240" w:lineRule="auto"/>
      <w:outlineLvl w:val="2"/>
    </w:pPr>
    <w:rPr>
      <w:rFonts w:ascii="Times New Roman" w:eastAsiaTheme="majorEastAsia" w:hAnsi="Times New Roman" w:cstheme="majorBidi"/>
      <w:b/>
      <w:bCs/>
      <w:i/>
      <w:iCs/>
      <w:color w:val="4F81BD" w:themeColor="accent1"/>
      <w:sz w:val="24"/>
      <w:szCs w:val="24"/>
    </w:rPr>
  </w:style>
  <w:style w:type="paragraph" w:styleId="Heading4">
    <w:name w:val="heading 4"/>
    <w:aliases w:val="EEA Heading 4"/>
    <w:basedOn w:val="Normal"/>
    <w:next w:val="Normal"/>
    <w:link w:val="Heading4Char"/>
    <w:uiPriority w:val="9"/>
    <w:unhideWhenUsed/>
    <w:qFormat/>
    <w:pPr>
      <w:keepNext/>
      <w:keepLines/>
      <w:numPr>
        <w:ilvl w:val="3"/>
        <w:numId w:val="10"/>
      </w:numPr>
      <w:spacing w:before="200" w:after="0" w:line="240" w:lineRule="auto"/>
      <w:outlineLvl w:val="3"/>
    </w:pPr>
    <w:rPr>
      <w:rFonts w:ascii="Times New Roman" w:eastAsiaTheme="majorEastAsia" w:hAnsi="Times New Roman" w:cstheme="majorBidi"/>
      <w:b/>
      <w:bCs/>
      <w:i/>
      <w:iCs/>
      <w:color w:val="4F81BD" w:themeColor="accent1"/>
      <w:sz w:val="24"/>
      <w:szCs w:val="24"/>
    </w:rPr>
  </w:style>
  <w:style w:type="paragraph" w:styleId="Heading5">
    <w:name w:val="heading 5"/>
    <w:basedOn w:val="Heading4"/>
    <w:next w:val="Normal"/>
    <w:link w:val="Heading5Char"/>
    <w:pPr>
      <w:numPr>
        <w:ilvl w:val="4"/>
      </w:numPr>
      <w:outlineLvl w:val="4"/>
    </w:pPr>
  </w:style>
  <w:style w:type="paragraph" w:styleId="Heading6">
    <w:name w:val="heading 6"/>
    <w:basedOn w:val="Heading5"/>
    <w:next w:val="Normal"/>
    <w:link w:val="Heading6Char"/>
    <w:pPr>
      <w:numPr>
        <w:ilvl w:val="5"/>
      </w:numPr>
      <w:outlineLvl w:val="5"/>
    </w:pPr>
    <w:rPr>
      <w:rFonts w:eastAsia="Times New Roman"/>
      <w:b w:val="0"/>
      <w:bCs w:val="0"/>
      <w:color w:val="auto"/>
      <w:lang w:eastAsia="da-DK"/>
    </w:rPr>
  </w:style>
  <w:style w:type="paragraph" w:styleId="Heading7">
    <w:name w:val="heading 7"/>
    <w:basedOn w:val="Heading6"/>
    <w:next w:val="Normal"/>
    <w:link w:val="Heading7Char"/>
    <w:pPr>
      <w:numPr>
        <w:ilvl w:val="6"/>
      </w:numPr>
      <w:outlineLvl w:val="6"/>
    </w:p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stylish,EN Footnote Reference,SUPERS,number,Footnote reference number,Footnote symbol,note TESI,ftref,Footnote Reference Superscript,Footnote number,Odwołanie przypisu,Times 10 Point,Exposant 3 Point,Voetnootverwijzing,Ref"/>
    <w:uiPriority w:val="99"/>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FollowedHyperlink">
    <w:name w:val="FollowedHyperlink"/>
    <w:basedOn w:val="DefaultParagraphFont"/>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EEATextbodyChar">
    <w:name w:val="EEA Text body Char"/>
    <w:basedOn w:val="DefaultParagraphFont"/>
    <w:link w:val="EEATextbody"/>
    <w:locked/>
    <w:rPr>
      <w:rFonts w:ascii="Cambria" w:hAnsi="Cambria"/>
      <w:color w:val="000000" w:themeColor="text1"/>
    </w:rPr>
  </w:style>
  <w:style w:type="paragraph" w:customStyle="1" w:styleId="EEATextbody">
    <w:name w:val="EEA Text body"/>
    <w:basedOn w:val="Normal"/>
    <w:link w:val="EEATextbodyChar"/>
    <w:qFormat/>
    <w:pPr>
      <w:autoSpaceDE w:val="0"/>
      <w:autoSpaceDN w:val="0"/>
      <w:adjustRightInd w:val="0"/>
      <w:spacing w:after="120" w:line="260" w:lineRule="exact"/>
      <w:jc w:val="both"/>
    </w:pPr>
    <w:rPr>
      <w:rFonts w:ascii="Cambria" w:hAnsi="Cambria"/>
      <w:color w:val="000000" w:themeColor="text1"/>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rPr>
  </w:style>
  <w:style w:type="paragraph" w:customStyle="1" w:styleId="EEABoxcaption">
    <w:name w:val="EEA Box caption"/>
    <w:basedOn w:val="Normal"/>
    <w:qFormat/>
    <w:pPr>
      <w:autoSpaceDE w:val="0"/>
      <w:autoSpaceDN w:val="0"/>
      <w:adjustRightInd w:val="0"/>
      <w:spacing w:before="120" w:after="60" w:line="240" w:lineRule="auto"/>
      <w:ind w:left="357" w:hanging="357"/>
    </w:pPr>
    <w:rPr>
      <w:rFonts w:ascii="Arial Bold" w:hAnsi="Arial Bold"/>
      <w:b/>
      <w:bCs/>
    </w:rPr>
  </w:style>
  <w:style w:type="paragraph" w:customStyle="1" w:styleId="EEAFigurecaption">
    <w:name w:val="EEA Figure caption"/>
    <w:basedOn w:val="Caption"/>
    <w:link w:val="EEAFigurecaptionChar"/>
    <w:qFormat/>
    <w:pPr>
      <w:keepNext/>
      <w:autoSpaceDE w:val="0"/>
      <w:autoSpaceDN w:val="0"/>
      <w:adjustRightInd w:val="0"/>
      <w:spacing w:before="120" w:after="60"/>
    </w:pPr>
    <w:rPr>
      <w:rFonts w:ascii="Arial Bold" w:eastAsia="Arial Unicode MS" w:hAnsi="Arial Bold" w:cs="Tahoma"/>
      <w:b/>
      <w:bCs/>
      <w:i w:val="0"/>
      <w:iCs w:val="0"/>
      <w:color w:val="auto"/>
      <w:sz w:val="22"/>
      <w:szCs w:val="22"/>
    </w:rPr>
  </w:style>
  <w:style w:type="character" w:customStyle="1" w:styleId="EEAFigurecaptionChar">
    <w:name w:val="EEA Figure caption Char"/>
    <w:basedOn w:val="DefaultParagraphFont"/>
    <w:link w:val="EEAFigurecaption"/>
    <w:rPr>
      <w:rFonts w:ascii="Arial Bold" w:eastAsia="Arial Unicode MS" w:hAnsi="Arial Bold" w:cs="Tahoma"/>
      <w:b/>
      <w:bCs/>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Heading1Char">
    <w:name w:val="Heading 1 Char"/>
    <w:aliases w:val="EEA Heading 1 Char"/>
    <w:basedOn w:val="DefaultParagraphFont"/>
    <w:link w:val="Heading1"/>
    <w:uiPriority w:val="9"/>
    <w:rPr>
      <w:rFonts w:ascii="Arial" w:eastAsiaTheme="majorEastAsia" w:hAnsi="Arial" w:cstheme="majorBidi"/>
      <w:b/>
      <w:bCs/>
      <w:color w:val="365F91" w:themeColor="accent1" w:themeShade="BF"/>
      <w:sz w:val="40"/>
      <w:szCs w:val="40"/>
    </w:rPr>
  </w:style>
  <w:style w:type="character" w:customStyle="1" w:styleId="Heading2Char">
    <w:name w:val="Heading 2 Char"/>
    <w:aliases w:val="EEA Heading 2 Char"/>
    <w:basedOn w:val="DefaultParagraphFont"/>
    <w:link w:val="Heading2"/>
    <w:uiPriority w:val="9"/>
    <w:rPr>
      <w:rFonts w:ascii="Arial Bold" w:eastAsiaTheme="majorEastAsia" w:hAnsi="Arial Bold" w:cstheme="majorBidi"/>
      <w:b/>
      <w:bCs/>
      <w:color w:val="4F81BD" w:themeColor="accent1"/>
      <w:sz w:val="24"/>
      <w:szCs w:val="24"/>
    </w:rPr>
  </w:style>
  <w:style w:type="character" w:customStyle="1" w:styleId="Heading3Char">
    <w:name w:val="Heading 3 Char"/>
    <w:aliases w:val="EEA Heading 3 Char"/>
    <w:basedOn w:val="DefaultParagraphFont"/>
    <w:link w:val="Heading3"/>
    <w:uiPriority w:val="9"/>
    <w:rPr>
      <w:rFonts w:ascii="Times New Roman" w:eastAsiaTheme="majorEastAsia" w:hAnsi="Times New Roman" w:cstheme="majorBidi"/>
      <w:b/>
      <w:bCs/>
      <w:i/>
      <w:iCs/>
      <w:color w:val="4F81BD" w:themeColor="accent1"/>
      <w:sz w:val="24"/>
      <w:szCs w:val="24"/>
    </w:rPr>
  </w:style>
  <w:style w:type="character" w:customStyle="1" w:styleId="Heading4Char">
    <w:name w:val="Heading 4 Char"/>
    <w:aliases w:val="EEA Heading 4 Char"/>
    <w:basedOn w:val="DefaultParagraphFont"/>
    <w:link w:val="Heading4"/>
    <w:uiPriority w:val="9"/>
    <w:rPr>
      <w:rFonts w:ascii="Times New Roman" w:eastAsiaTheme="majorEastAsia" w:hAnsi="Times New Roman" w:cstheme="majorBidi"/>
      <w:b/>
      <w:bCs/>
      <w:i/>
      <w:iCs/>
      <w:color w:val="4F81BD" w:themeColor="accent1"/>
      <w:sz w:val="24"/>
      <w:szCs w:val="24"/>
    </w:rPr>
  </w:style>
  <w:style w:type="character" w:customStyle="1" w:styleId="Heading5Char">
    <w:name w:val="Heading 5 Char"/>
    <w:basedOn w:val="DefaultParagraphFont"/>
    <w:link w:val="Heading5"/>
    <w:rPr>
      <w:rFonts w:ascii="Times New Roman" w:eastAsiaTheme="majorEastAsia" w:hAnsi="Times New Roman" w:cstheme="majorBidi"/>
      <w:b/>
      <w:bCs/>
      <w:i/>
      <w:iCs/>
      <w:color w:val="4F81BD" w:themeColor="accent1"/>
      <w:sz w:val="24"/>
      <w:szCs w:val="24"/>
    </w:rPr>
  </w:style>
  <w:style w:type="character" w:customStyle="1" w:styleId="Heading6Char">
    <w:name w:val="Heading 6 Char"/>
    <w:basedOn w:val="DefaultParagraphFont"/>
    <w:link w:val="Heading6"/>
    <w:rPr>
      <w:rFonts w:ascii="Times New Roman" w:eastAsia="Times New Roman" w:hAnsi="Times New Roman" w:cstheme="majorBidi"/>
      <w:i/>
      <w:iCs/>
      <w:sz w:val="24"/>
      <w:szCs w:val="24"/>
      <w:lang w:eastAsia="da-DK"/>
    </w:rPr>
  </w:style>
  <w:style w:type="character" w:customStyle="1" w:styleId="Heading7Char">
    <w:name w:val="Heading 7 Char"/>
    <w:basedOn w:val="DefaultParagraphFont"/>
    <w:link w:val="Heading7"/>
    <w:rPr>
      <w:rFonts w:ascii="Times New Roman" w:eastAsia="Times New Roman" w:hAnsi="Times New Roman" w:cstheme="majorBidi"/>
      <w:i/>
      <w:iCs/>
      <w:sz w:val="24"/>
      <w:szCs w:val="24"/>
      <w:lang w:eastAsia="da-DK"/>
    </w:rPr>
  </w:style>
  <w:style w:type="character" w:customStyle="1" w:styleId="Heading8Char">
    <w:name w:val="Heading 8 Char"/>
    <w:basedOn w:val="DefaultParagraphFont"/>
    <w:link w:val="Heading8"/>
    <w:rPr>
      <w:rFonts w:ascii="Times New Roman" w:eastAsia="Times New Roman" w:hAnsi="Times New Roman" w:cstheme="majorBidi"/>
      <w:i/>
      <w:iCs/>
      <w:sz w:val="24"/>
      <w:szCs w:val="24"/>
      <w:lang w:eastAsia="da-DK"/>
    </w:rPr>
  </w:style>
  <w:style w:type="character" w:customStyle="1" w:styleId="Heading9Char">
    <w:name w:val="Heading 9 Char"/>
    <w:basedOn w:val="DefaultParagraphFont"/>
    <w:link w:val="Heading9"/>
    <w:rPr>
      <w:rFonts w:ascii="Times New Roman" w:eastAsia="Times New Roman" w:hAnsi="Times New Roman" w:cstheme="majorBidi"/>
      <w:i/>
      <w:iCs/>
      <w:sz w:val="24"/>
      <w:szCs w:val="24"/>
      <w:lang w:eastAsia="da-DK"/>
    </w:rPr>
  </w:style>
  <w:style w:type="paragraph" w:customStyle="1" w:styleId="Default">
    <w:name w:val="Default"/>
    <w:pPr>
      <w:autoSpaceDE w:val="0"/>
      <w:autoSpaceDN w:val="0"/>
      <w:adjustRightInd w:val="0"/>
      <w:spacing w:after="80" w:line="240" w:lineRule="auto"/>
    </w:pPr>
    <w:rPr>
      <w:rFonts w:ascii="Times New Roman" w:eastAsia="Batang" w:hAnsi="Times New Roman" w:cs="Times New Roman"/>
      <w:color w:val="000000"/>
      <w:sz w:val="24"/>
      <w:szCs w:val="24"/>
      <w:lang w:eastAsia="en-GB"/>
    </w:rPr>
  </w:style>
  <w:style w:type="paragraph" w:customStyle="1" w:styleId="Bullettext">
    <w:name w:val="Bullet text"/>
    <w:basedOn w:val="Normal"/>
    <w:pPr>
      <w:numPr>
        <w:numId w:val="5"/>
      </w:numPr>
      <w:spacing w:after="120" w:line="240" w:lineRule="auto"/>
    </w:pPr>
  </w:style>
  <w:style w:type="paragraph" w:customStyle="1" w:styleId="Numberedtext">
    <w:name w:val="Numbered text"/>
    <w:basedOn w:val="Normal"/>
    <w:pPr>
      <w:numPr>
        <w:numId w:val="4"/>
      </w:numPr>
      <w:tabs>
        <w:tab w:val="clear" w:pos="348"/>
      </w:tabs>
      <w:spacing w:after="240" w:line="240" w:lineRule="auto"/>
      <w:ind w:left="284" w:hanging="284"/>
    </w:pPr>
  </w:style>
  <w:style w:type="paragraph" w:customStyle="1" w:styleId="Footnote">
    <w:name w:val="Footnote"/>
    <w:basedOn w:val="Normal"/>
    <w:pPr>
      <w:spacing w:after="60" w:line="240" w:lineRule="auto"/>
      <w:ind w:left="357" w:hanging="357"/>
    </w:pPr>
    <w:rPr>
      <w:sz w:val="18"/>
      <w:szCs w:val="18"/>
    </w:rPr>
  </w:style>
  <w:style w:type="character" w:customStyle="1" w:styleId="Unknown0">
    <w:name w:val="Unknown 0"/>
    <w:basedOn w:val="DefaultParagraphFont"/>
    <w:semiHidden/>
  </w:style>
  <w:style w:type="character" w:customStyle="1" w:styleId="Unknown1">
    <w:name w:val="Unknown 1"/>
    <w:basedOn w:val="DefaultParagraphFont"/>
    <w:autoRedefine/>
    <w:semiHidden/>
  </w:style>
  <w:style w:type="paragraph" w:styleId="TOC1">
    <w:name w:val="toc 1"/>
    <w:basedOn w:val="Normal"/>
    <w:next w:val="Normal"/>
    <w:autoRedefine/>
    <w:uiPriority w:val="39"/>
    <w:pPr>
      <w:tabs>
        <w:tab w:val="right" w:leader="dot" w:pos="9010"/>
      </w:tabs>
      <w:spacing w:before="180" w:after="80" w:line="240" w:lineRule="auto"/>
      <w:ind w:left="567" w:hanging="567"/>
    </w:pPr>
    <w:rPr>
      <w:rFonts w:ascii="Arial" w:hAnsi="Arial"/>
      <w:b/>
      <w:noProof/>
    </w:rPr>
  </w:style>
  <w:style w:type="paragraph" w:styleId="TOC2">
    <w:name w:val="toc 2"/>
    <w:basedOn w:val="Normal"/>
    <w:next w:val="Normal"/>
    <w:autoRedefine/>
    <w:uiPriority w:val="39"/>
    <w:pPr>
      <w:tabs>
        <w:tab w:val="left" w:pos="1320"/>
        <w:tab w:val="right" w:leader="dot" w:pos="9010"/>
      </w:tabs>
      <w:spacing w:before="80" w:after="80" w:line="240" w:lineRule="auto"/>
      <w:ind w:left="1276" w:hanging="709"/>
    </w:pPr>
    <w:rPr>
      <w:rFonts w:ascii="Arial" w:hAnsi="Arial"/>
      <w:b/>
      <w:noProof/>
    </w:rPr>
  </w:style>
  <w:style w:type="paragraph" w:styleId="TOC3">
    <w:name w:val="toc 3"/>
    <w:basedOn w:val="Normal"/>
    <w:next w:val="Normal"/>
    <w:autoRedefine/>
    <w:uiPriority w:val="39"/>
    <w:pPr>
      <w:spacing w:before="80" w:after="80" w:line="240" w:lineRule="auto"/>
      <w:ind w:left="1276" w:hanging="709"/>
    </w:pPr>
    <w:rPr>
      <w:rFonts w:ascii="Arial" w:hAnsi="Arial"/>
    </w:rPr>
  </w:style>
  <w:style w:type="paragraph" w:customStyle="1" w:styleId="Cover-title1">
    <w:name w:val="Cover - title 1"/>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44"/>
      <w:szCs w:val="44"/>
      <w:lang w:eastAsia="da-DK"/>
    </w:rPr>
  </w:style>
  <w:style w:type="paragraph" w:customStyle="1" w:styleId="Cover-title3">
    <w:name w:val="Cover - title 3"/>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Cs w:val="20"/>
      <w:lang w:eastAsia="da-DK"/>
    </w:rPr>
  </w:style>
  <w:style w:type="paragraph" w:customStyle="1" w:styleId="Notetoedpub">
    <w:name w:val="Note to ed/pub"/>
    <w:basedOn w:val="Normal"/>
    <w:link w:val="NotetoedpubChar"/>
    <w:qFormat/>
    <w:pPr>
      <w:spacing w:after="240" w:line="240" w:lineRule="auto"/>
      <w:ind w:left="357" w:hanging="357"/>
    </w:pPr>
    <w:rPr>
      <w:b/>
      <w:i/>
    </w:rPr>
  </w:style>
  <w:style w:type="character" w:customStyle="1" w:styleId="NotetoedpubChar">
    <w:name w:val="Note to ed/pub Char"/>
    <w:link w:val="Notetoedpub"/>
    <w:rPr>
      <w:b/>
      <w:i/>
    </w:rPr>
  </w:style>
  <w:style w:type="paragraph" w:customStyle="1" w:styleId="Graphicsourcenotes">
    <w:name w:val="Graphic source/notes"/>
    <w:basedOn w:val="Normal"/>
    <w:next w:val="Normal"/>
    <w:pPr>
      <w:overflowPunct w:val="0"/>
      <w:autoSpaceDE w:val="0"/>
      <w:autoSpaceDN w:val="0"/>
      <w:adjustRightInd w:val="0"/>
      <w:spacing w:after="120" w:line="240" w:lineRule="auto"/>
      <w:ind w:left="357" w:hanging="357"/>
      <w:textAlignment w:val="baseline"/>
    </w:pPr>
    <w:rPr>
      <w:rFonts w:ascii="Arial" w:eastAsia="Times New Roman" w:hAnsi="Arial"/>
      <w:sz w:val="18"/>
      <w:szCs w:val="20"/>
      <w:lang w:eastAsia="da-DK"/>
    </w:rPr>
  </w:style>
  <w:style w:type="paragraph" w:customStyle="1" w:styleId="Cover-title2">
    <w:name w:val="Cover - title 2"/>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32"/>
      <w:szCs w:val="20"/>
      <w:lang w:eastAsia="da-DK"/>
    </w:rPr>
  </w:style>
  <w:style w:type="paragraph" w:styleId="BodyText">
    <w:name w:val="Body Text"/>
    <w:aliases w:val="EEA - Body Text"/>
    <w:basedOn w:val="Normal"/>
    <w:link w:val="BodyTextChar"/>
    <w:qFormat/>
    <w:pPr>
      <w:overflowPunct w:val="0"/>
      <w:autoSpaceDE w:val="0"/>
      <w:autoSpaceDN w:val="0"/>
      <w:adjustRightInd w:val="0"/>
      <w:spacing w:after="240" w:line="240" w:lineRule="auto"/>
      <w:ind w:left="357" w:hanging="357"/>
      <w:textAlignment w:val="baseline"/>
    </w:pPr>
    <w:rPr>
      <w:rFonts w:eastAsia="Times New Roman"/>
      <w:lang w:eastAsia="da-DK"/>
    </w:rPr>
  </w:style>
  <w:style w:type="character" w:customStyle="1" w:styleId="BodyTextChar">
    <w:name w:val="Body Text Char"/>
    <w:aliases w:val="EEA - Body Text Char"/>
    <w:basedOn w:val="DefaultParagraphFont"/>
    <w:link w:val="BodyText"/>
    <w:rPr>
      <w:rFonts w:eastAsia="Times New Roman"/>
      <w:lang w:eastAsia="da-DK"/>
    </w:rPr>
  </w:style>
  <w:style w:type="character" w:styleId="PageNumber">
    <w:name w:val="page number"/>
    <w:basedOn w:val="DefaultParagraphFont"/>
  </w:style>
  <w:style w:type="table" w:styleId="TableGrid">
    <w:name w:val="Table Grid"/>
    <w:basedOn w:val="TableNormal"/>
    <w:uiPriority w:val="39"/>
    <w:pPr>
      <w:spacing w:before="240" w:after="8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pPr>
      <w:spacing w:before="180" w:after="80" w:line="240" w:lineRule="auto"/>
      <w:ind w:left="567" w:hanging="567"/>
    </w:pPr>
    <w:rPr>
      <w:rFonts w:ascii="Arial" w:hAnsi="Arial"/>
      <w:b/>
    </w:rPr>
  </w:style>
  <w:style w:type="paragraph" w:styleId="TOC5">
    <w:name w:val="toc 5"/>
    <w:basedOn w:val="Normal"/>
    <w:next w:val="Normal"/>
    <w:autoRedefine/>
    <w:uiPriority w:val="39"/>
    <w:pPr>
      <w:spacing w:before="180" w:after="80" w:line="240" w:lineRule="auto"/>
      <w:ind w:left="357" w:hanging="357"/>
    </w:pPr>
    <w:rPr>
      <w:rFonts w:ascii="Arial" w:hAnsi="Arial"/>
      <w:b/>
    </w:rPr>
  </w:style>
  <w:style w:type="paragraph" w:customStyle="1" w:styleId="Subheading">
    <w:name w:val="Subheading"/>
    <w:basedOn w:val="BodyText"/>
    <w:rPr>
      <w:b/>
      <w:i/>
    </w:rPr>
  </w:style>
  <w:style w:type="paragraph" w:styleId="TOC8">
    <w:name w:val="toc 8"/>
    <w:basedOn w:val="Normal"/>
    <w:next w:val="Normal"/>
    <w:autoRedefine/>
    <w:uiPriority w:val="39"/>
    <w:pPr>
      <w:spacing w:after="80" w:line="240" w:lineRule="auto"/>
      <w:ind w:left="1680" w:hanging="357"/>
    </w:pPr>
  </w:style>
  <w:style w:type="paragraph" w:styleId="TOC9">
    <w:name w:val="toc 9"/>
    <w:basedOn w:val="Normal"/>
    <w:next w:val="Normal"/>
    <w:autoRedefine/>
    <w:uiPriority w:val="39"/>
    <w:pPr>
      <w:spacing w:after="80" w:line="240" w:lineRule="auto"/>
      <w:ind w:left="1920" w:hanging="357"/>
    </w:pPr>
  </w:style>
  <w:style w:type="paragraph" w:styleId="DocumentMap">
    <w:name w:val="Document Map"/>
    <w:basedOn w:val="Normal"/>
    <w:link w:val="DocumentMapChar"/>
    <w:pPr>
      <w:spacing w:after="80" w:line="240" w:lineRule="auto"/>
      <w:ind w:left="357" w:hanging="357"/>
    </w:pPr>
    <w:rPr>
      <w:rFonts w:ascii="Tahoma" w:hAnsi="Tahoma"/>
      <w:sz w:val="16"/>
      <w:szCs w:val="16"/>
    </w:rPr>
  </w:style>
  <w:style w:type="character" w:customStyle="1" w:styleId="DocumentMapChar">
    <w:name w:val="Document Map Char"/>
    <w:basedOn w:val="DefaultParagraphFont"/>
    <w:link w:val="DocumentMap"/>
    <w:rPr>
      <w:rFonts w:ascii="Tahoma" w:hAnsi="Tahoma"/>
      <w:sz w:val="16"/>
      <w:szCs w:val="16"/>
    </w:rPr>
  </w:style>
  <w:style w:type="paragraph" w:styleId="TOC6">
    <w:name w:val="toc 6"/>
    <w:basedOn w:val="Normal"/>
    <w:next w:val="Normal"/>
    <w:autoRedefine/>
    <w:uiPriority w:val="39"/>
    <w:unhideWhenUsed/>
    <w:pPr>
      <w:spacing w:after="100"/>
      <w:ind w:left="1100" w:hanging="357"/>
    </w:pPr>
    <w:rPr>
      <w:rFonts w:ascii="Calibri" w:eastAsia="Times New Roman" w:hAnsi="Calibri" w:cs="Times New Roman"/>
    </w:rPr>
  </w:style>
  <w:style w:type="paragraph" w:styleId="TOC7">
    <w:name w:val="toc 7"/>
    <w:basedOn w:val="Normal"/>
    <w:next w:val="Normal"/>
    <w:autoRedefine/>
    <w:uiPriority w:val="39"/>
    <w:unhideWhenUsed/>
    <w:pPr>
      <w:spacing w:after="100"/>
      <w:ind w:left="1320" w:hanging="357"/>
    </w:pPr>
    <w:rPr>
      <w:rFonts w:ascii="Calibri" w:eastAsia="Times New Roman" w:hAnsi="Calibri" w:cs="Times New Roman"/>
    </w:rPr>
  </w:style>
  <w:style w:type="paragraph" w:styleId="Bibliography">
    <w:name w:val="Bibliography"/>
    <w:basedOn w:val="Normal"/>
    <w:next w:val="Normal"/>
    <w:uiPriority w:val="37"/>
    <w:unhideWhenUsed/>
    <w:pPr>
      <w:spacing w:after="80" w:line="240" w:lineRule="auto"/>
      <w:ind w:left="357" w:hanging="357"/>
    </w:pPr>
  </w:style>
  <w:style w:type="paragraph" w:customStyle="1" w:styleId="EEATextbullets">
    <w:name w:val="EEA Text bullets"/>
    <w:basedOn w:val="EEATextbody"/>
    <w:link w:val="EEATextbulletsChar"/>
    <w:qFormat/>
    <w:pPr>
      <w:numPr>
        <w:numId w:val="7"/>
      </w:numPr>
      <w:spacing w:after="0"/>
    </w:pPr>
    <w:rPr>
      <w:rFonts w:ascii="Times New Roman" w:hAnsi="Times New Roman" w:cs="Times New Roman"/>
    </w:rPr>
  </w:style>
  <w:style w:type="character" w:customStyle="1" w:styleId="EEATextbulletsChar">
    <w:name w:val="EEA Text bullets Char"/>
    <w:basedOn w:val="DefaultParagraphFont"/>
    <w:link w:val="EEATextbullets"/>
    <w:rPr>
      <w:rFonts w:ascii="Times New Roman" w:hAnsi="Times New Roman" w:cs="Times New Roman"/>
      <w:color w:val="000000" w:themeColor="text1"/>
    </w:rPr>
  </w:style>
  <w:style w:type="paragraph" w:customStyle="1" w:styleId="EEABoxbullets">
    <w:name w:val="EEA Box bullets"/>
    <w:basedOn w:val="EEATextbullets"/>
    <w:link w:val="EEABoxbulletsChar"/>
    <w:qFormat/>
    <w:pPr>
      <w:numPr>
        <w:numId w:val="8"/>
      </w:numPr>
    </w:pPr>
  </w:style>
  <w:style w:type="character" w:customStyle="1" w:styleId="EEABoxbulletsChar">
    <w:name w:val="EEA Box bullets Char"/>
    <w:basedOn w:val="DefaultParagraphFont"/>
    <w:link w:val="EEABoxbullets"/>
    <w:rPr>
      <w:rFonts w:ascii="Times New Roman" w:hAnsi="Times New Roman" w:cs="Times New Roman"/>
      <w:color w:val="000000" w:themeColor="text1"/>
    </w:rPr>
  </w:style>
  <w:style w:type="paragraph" w:customStyle="1" w:styleId="EEABoxtext">
    <w:name w:val="EEA Box text"/>
    <w:basedOn w:val="EEATextbody"/>
    <w:qFormat/>
    <w:rPr>
      <w:rFonts w:ascii="Times New Roman" w:hAnsi="Times New Roman" w:cs="Times New Roman"/>
    </w:rPr>
  </w:style>
  <w:style w:type="paragraph" w:customStyle="1" w:styleId="EEABoxheading">
    <w:name w:val="EEA Box heading"/>
    <w:basedOn w:val="EEABoxtext"/>
    <w:qFormat/>
    <w:rPr>
      <w:b/>
      <w:bCs/>
      <w:i/>
      <w:iCs/>
    </w:rPr>
  </w:style>
  <w:style w:type="paragraph" w:customStyle="1" w:styleId="EEABoxsource">
    <w:name w:val="EEA Box source"/>
    <w:basedOn w:val="Normal"/>
    <w:link w:val="EEABoxsourceChar"/>
    <w:qFormat/>
    <w:pPr>
      <w:autoSpaceDE w:val="0"/>
      <w:autoSpaceDN w:val="0"/>
      <w:adjustRightInd w:val="0"/>
      <w:spacing w:after="120" w:line="260" w:lineRule="exact"/>
      <w:ind w:left="357" w:hanging="357"/>
    </w:pPr>
    <w:rPr>
      <w:i/>
      <w:iCs/>
      <w:color w:val="000000" w:themeColor="text1"/>
    </w:rPr>
  </w:style>
  <w:style w:type="character" w:customStyle="1" w:styleId="EEABoxsourceChar">
    <w:name w:val="EEA Box source Char"/>
    <w:basedOn w:val="DefaultParagraphFont"/>
    <w:link w:val="EEABoxsource"/>
    <w:rPr>
      <w:i/>
      <w:iCs/>
      <w:color w:val="000000" w:themeColor="text1"/>
    </w:rPr>
  </w:style>
  <w:style w:type="paragraph" w:customStyle="1" w:styleId="EEAFiguresource">
    <w:name w:val="EEA Figure source"/>
    <w:basedOn w:val="Normal"/>
    <w:link w:val="EEAFiguresourceChar"/>
    <w:qFormat/>
    <w:pPr>
      <w:autoSpaceDE w:val="0"/>
      <w:autoSpaceDN w:val="0"/>
      <w:adjustRightInd w:val="0"/>
      <w:spacing w:before="120" w:after="120" w:line="260" w:lineRule="exact"/>
      <w:ind w:left="357" w:hanging="357"/>
    </w:pPr>
    <w:rPr>
      <w:i/>
      <w:iCs/>
      <w:color w:val="000000" w:themeColor="text1"/>
    </w:rPr>
  </w:style>
  <w:style w:type="character" w:customStyle="1" w:styleId="EEAFiguresourceChar">
    <w:name w:val="EEA Figure source Char"/>
    <w:basedOn w:val="DefaultParagraphFont"/>
    <w:link w:val="EEAFiguresource"/>
    <w:rPr>
      <w:i/>
      <w:iCs/>
      <w:color w:val="000000" w:themeColor="text1"/>
    </w:rPr>
  </w:style>
  <w:style w:type="paragraph" w:customStyle="1" w:styleId="EEAFigurenote">
    <w:name w:val="EEA Figure note"/>
    <w:basedOn w:val="EEAFiguresource"/>
    <w:link w:val="EEAFigurenoteChar"/>
    <w:qFormat/>
    <w:pPr>
      <w:ind w:left="0" w:firstLine="0"/>
      <w:jc w:val="both"/>
    </w:pPr>
    <w:rPr>
      <w:rFonts w:ascii="Times New Roman" w:hAnsi="Times New Roman" w:cs="Times New Roman"/>
    </w:rPr>
  </w:style>
  <w:style w:type="character" w:customStyle="1" w:styleId="EEAFigurenoteChar">
    <w:name w:val="EEA Figure note Char"/>
    <w:basedOn w:val="EEAFiguresourceChar"/>
    <w:link w:val="EEAFigurenote"/>
    <w:rPr>
      <w:rFonts w:ascii="Times New Roman" w:hAnsi="Times New Roman" w:cs="Times New Roman"/>
      <w:i/>
      <w:iCs/>
      <w:color w:val="000000" w:themeColor="text1"/>
    </w:rPr>
  </w:style>
  <w:style w:type="paragraph" w:customStyle="1" w:styleId="EEAFootnotetext">
    <w:name w:val="EEA Footnote text"/>
    <w:basedOn w:val="Normal"/>
    <w:qFormat/>
    <w:pPr>
      <w:autoSpaceDE w:val="0"/>
      <w:autoSpaceDN w:val="0"/>
      <w:adjustRightInd w:val="0"/>
      <w:spacing w:after="120" w:line="240" w:lineRule="exact"/>
      <w:ind w:left="357" w:hanging="357"/>
    </w:pPr>
    <w:rPr>
      <w:sz w:val="18"/>
      <w:szCs w:val="18"/>
    </w:rPr>
  </w:style>
  <w:style w:type="paragraph" w:customStyle="1" w:styleId="EEAMapcaption">
    <w:name w:val="EEA Map caption"/>
    <w:basedOn w:val="EEAFigurecaption"/>
    <w:link w:val="EEAMapcaptionChar"/>
    <w:qFormat/>
  </w:style>
  <w:style w:type="character" w:customStyle="1" w:styleId="EEAMapcaptionChar">
    <w:name w:val="EEA Map caption Char"/>
    <w:basedOn w:val="EEAFigurecaptionChar"/>
    <w:link w:val="EEAMapcaption"/>
    <w:rPr>
      <w:rFonts w:ascii="Arial Bold" w:eastAsia="Arial Unicode MS" w:hAnsi="Arial Bold" w:cs="Tahoma"/>
      <w:b/>
      <w:bCs/>
    </w:rPr>
  </w:style>
  <w:style w:type="paragraph" w:customStyle="1" w:styleId="EEAMapnote">
    <w:name w:val="EEA Map note"/>
    <w:basedOn w:val="EEAFigurenote"/>
    <w:link w:val="EEAMapnoteChar"/>
    <w:qFormat/>
    <w:rPr>
      <w:rFonts w:eastAsia="Times New Roman" w:cs="Arial"/>
      <w:lang w:eastAsia="da-DK"/>
    </w:rPr>
  </w:style>
  <w:style w:type="character" w:customStyle="1" w:styleId="EEAMapnoteChar">
    <w:name w:val="EEA Map note Char"/>
    <w:basedOn w:val="BodyTextChar"/>
    <w:link w:val="EEAMapnote"/>
    <w:rPr>
      <w:rFonts w:ascii="Times New Roman" w:eastAsia="Times New Roman" w:hAnsi="Times New Roman" w:cs="Arial"/>
      <w:i/>
      <w:iCs/>
      <w:color w:val="000000" w:themeColor="text1"/>
      <w:lang w:eastAsia="da-DK"/>
    </w:rPr>
  </w:style>
  <w:style w:type="paragraph" w:customStyle="1" w:styleId="EEAMapsource">
    <w:name w:val="EEA Map source"/>
    <w:basedOn w:val="EEAFiguresource"/>
    <w:link w:val="EEAMapsourceChar"/>
    <w:qFormat/>
    <w:rPr>
      <w:rFonts w:ascii="Times New Roman" w:eastAsia="Times New Roman" w:hAnsi="Times New Roman" w:cs="Arial"/>
      <w:lang w:eastAsia="da-DK"/>
    </w:rPr>
  </w:style>
  <w:style w:type="character" w:customStyle="1" w:styleId="EEAMapsourceChar">
    <w:name w:val="EEA Map source Char"/>
    <w:basedOn w:val="EEAMapnoteChar"/>
    <w:link w:val="EEAMapsource"/>
    <w:rPr>
      <w:rFonts w:ascii="Times New Roman" w:eastAsia="Times New Roman" w:hAnsi="Times New Roman" w:cs="Arial"/>
      <w:i/>
      <w:iCs/>
      <w:color w:val="000000" w:themeColor="text1"/>
      <w:lang w:eastAsia="da-DK"/>
    </w:rPr>
  </w:style>
  <w:style w:type="paragraph" w:customStyle="1" w:styleId="EEAReferences">
    <w:name w:val="EEA References"/>
    <w:basedOn w:val="EEATextbody"/>
    <w:qFormat/>
    <w:rPr>
      <w:rFonts w:ascii="Times New Roman" w:hAnsi="Times New Roman" w:cs="Times New Roman"/>
    </w:rPr>
  </w:style>
  <w:style w:type="paragraph" w:customStyle="1" w:styleId="EEATablecaption">
    <w:name w:val="EEA Table caption"/>
    <w:basedOn w:val="EEABoxcaption"/>
    <w:qFormat/>
    <w:pPr>
      <w:keepNext/>
      <w:ind w:left="0" w:firstLine="0"/>
    </w:pPr>
  </w:style>
  <w:style w:type="paragraph" w:customStyle="1" w:styleId="EEATabletext">
    <w:name w:val="EEA Table text"/>
    <w:basedOn w:val="Normal"/>
    <w:qFormat/>
    <w:pPr>
      <w:autoSpaceDE w:val="0"/>
      <w:autoSpaceDN w:val="0"/>
      <w:adjustRightInd w:val="0"/>
      <w:spacing w:before="20" w:after="20" w:line="240" w:lineRule="exact"/>
    </w:pPr>
    <w:rPr>
      <w:rFonts w:ascii="Times New Roman" w:hAnsi="Times New Roman" w:cs="Times New Roman"/>
      <w:color w:val="000000"/>
      <w:sz w:val="20"/>
      <w:szCs w:val="20"/>
    </w:rPr>
  </w:style>
  <w:style w:type="paragraph" w:customStyle="1" w:styleId="EEATablecolumnhead">
    <w:name w:val="EEA Table column head"/>
    <w:basedOn w:val="EEATabletext"/>
    <w:qFormat/>
    <w:rPr>
      <w:b/>
    </w:rPr>
  </w:style>
  <w:style w:type="paragraph" w:customStyle="1" w:styleId="EEATablesource">
    <w:name w:val="EEA Table source"/>
    <w:basedOn w:val="EEAFiguresource"/>
    <w:qFormat/>
  </w:style>
  <w:style w:type="paragraph" w:customStyle="1" w:styleId="EEATablenote">
    <w:name w:val="EEA Table note"/>
    <w:basedOn w:val="EEATablesource"/>
    <w:qFormat/>
    <w:pPr>
      <w:ind w:left="0" w:firstLine="0"/>
      <w:jc w:val="both"/>
    </w:pPr>
    <w:rPr>
      <w:rFonts w:ascii="Times New Roman" w:hAnsi="Times New Roman" w:cs="Times New Roman"/>
    </w:rPr>
  </w:style>
  <w:style w:type="paragraph" w:customStyle="1" w:styleId="EEATextbulletlast">
    <w:name w:val="EEA Text bullet last"/>
    <w:basedOn w:val="EEATextbullets"/>
    <w:link w:val="EEATextbulletlastChar"/>
    <w:qFormat/>
    <w:pPr>
      <w:numPr>
        <w:numId w:val="9"/>
      </w:numPr>
      <w:spacing w:after="120"/>
    </w:pPr>
  </w:style>
  <w:style w:type="character" w:customStyle="1" w:styleId="EEATextbulletlastChar">
    <w:name w:val="EEA Text bullet last Char"/>
    <w:basedOn w:val="EEATextbulletsChar"/>
    <w:link w:val="EEATextbulletlast"/>
    <w:rPr>
      <w:rFonts w:ascii="Times New Roman" w:hAnsi="Times New Roman" w:cs="Times New Roman"/>
      <w:color w:val="000000" w:themeColor="text1"/>
    </w:rPr>
  </w:style>
  <w:style w:type="paragraph" w:customStyle="1" w:styleId="EEATextnumlist">
    <w:name w:val="EEA Text numlist"/>
    <w:basedOn w:val="EEABoxbullets"/>
    <w:qFormat/>
    <w:pPr>
      <w:numPr>
        <w:numId w:val="0"/>
      </w:numPr>
      <w:ind w:left="357" w:hanging="357"/>
    </w:pPr>
  </w:style>
  <w:style w:type="paragraph" w:customStyle="1" w:styleId="EEATextnumlistlast">
    <w:name w:val="EEA Text numlist last"/>
    <w:basedOn w:val="EEATextnumlist"/>
    <w:qFormat/>
    <w:pPr>
      <w:spacing w:after="120"/>
    </w:pPr>
  </w:style>
  <w:style w:type="paragraph" w:customStyle="1" w:styleId="EEATextquote">
    <w:name w:val="EEA Text quote"/>
    <w:basedOn w:val="EEATextbody"/>
    <w:link w:val="EEATextquoteChar"/>
    <w:qFormat/>
    <w:pPr>
      <w:ind w:right="357"/>
    </w:pPr>
    <w:rPr>
      <w:rFonts w:ascii="Times New Roman" w:hAnsi="Times New Roman" w:cs="Times New Roman"/>
      <w:i/>
      <w:iCs/>
    </w:rPr>
  </w:style>
  <w:style w:type="character" w:customStyle="1" w:styleId="EEATextquoteChar">
    <w:name w:val="EEA Text quote Char"/>
    <w:basedOn w:val="EEATextbodyChar"/>
    <w:link w:val="EEATextquote"/>
    <w:rPr>
      <w:rFonts w:ascii="Times New Roman" w:hAnsi="Times New Roman" w:cs="Times New Roman"/>
      <w:i/>
      <w:iCs/>
      <w:color w:val="000000" w:themeColor="text1"/>
    </w:rPr>
  </w:style>
  <w:style w:type="paragraph" w:styleId="Title">
    <w:name w:val="Title"/>
    <w:basedOn w:val="Normal"/>
    <w:next w:val="Normal"/>
    <w:link w:val="TitleChar"/>
    <w:qFormat/>
    <w:pPr>
      <w:pBdr>
        <w:bottom w:val="single" w:sz="8" w:space="4" w:color="4F81BD" w:themeColor="accent1"/>
      </w:pBdr>
      <w:spacing w:after="300" w:line="240" w:lineRule="auto"/>
      <w:ind w:left="357" w:hanging="357"/>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pPr>
      <w:numPr>
        <w:ilvl w:val="1"/>
      </w:numPr>
      <w:spacing w:after="80" w:line="240" w:lineRule="auto"/>
      <w:ind w:left="357" w:hanging="35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71"/>
    <w:pPr>
      <w:spacing w:after="80" w:line="240" w:lineRule="auto"/>
    </w:pPr>
  </w:style>
  <w:style w:type="paragraph" w:customStyle="1" w:styleId="EEATextequation">
    <w:name w:val="EEA Text equation"/>
    <w:basedOn w:val="EEATextbody"/>
    <w:link w:val="EEATextequationChar"/>
    <w:qFormat/>
    <w:pPr>
      <w:spacing w:before="120" w:after="240"/>
      <w:ind w:left="720"/>
    </w:pPr>
    <w:rPr>
      <w:rFonts w:ascii="Times New Roman" w:hAnsi="Times New Roman" w:cs="Times New Roman"/>
      <w:i/>
    </w:rPr>
  </w:style>
  <w:style w:type="character" w:customStyle="1" w:styleId="EEATextequationChar">
    <w:name w:val="EEA Text equation Char"/>
    <w:basedOn w:val="EEATextbodyChar"/>
    <w:link w:val="EEATextequation"/>
    <w:rPr>
      <w:rFonts w:ascii="Times New Roman" w:hAnsi="Times New Roman" w:cs="Times New Roman"/>
      <w:i/>
      <w:color w:val="000000" w:themeColor="text1"/>
    </w:rPr>
  </w:style>
  <w:style w:type="paragraph" w:customStyle="1" w:styleId="EEAHeading5">
    <w:name w:val="EEA Heading 5"/>
    <w:basedOn w:val="Heading4"/>
    <w:link w:val="EEAHeading5Char"/>
    <w:qFormat/>
    <w:pPr>
      <w:numPr>
        <w:ilvl w:val="0"/>
        <w:numId w:val="0"/>
      </w:numPr>
      <w:spacing w:after="80"/>
      <w:ind w:left="357" w:hanging="357"/>
    </w:pPr>
    <w:rPr>
      <w:b w:val="0"/>
      <w:bCs w:val="0"/>
    </w:rPr>
  </w:style>
  <w:style w:type="character" w:customStyle="1" w:styleId="EEAHeading5Char">
    <w:name w:val="EEA Heading 5 Char"/>
    <w:basedOn w:val="Heading4Char"/>
    <w:link w:val="EEAHeading5"/>
    <w:rPr>
      <w:rFonts w:ascii="Times New Roman" w:eastAsiaTheme="majorEastAsia" w:hAnsi="Times New Roman" w:cstheme="majorBidi"/>
      <w:b w:val="0"/>
      <w:bCs w:val="0"/>
      <w:i/>
      <w:iCs/>
      <w:color w:val="4F81BD" w:themeColor="accent1"/>
      <w:sz w:val="24"/>
      <w:szCs w:val="24"/>
    </w:rPr>
  </w:style>
  <w:style w:type="paragraph" w:customStyle="1" w:styleId="Standard">
    <w:name w:val="Standard"/>
    <w:pPr>
      <w:widowControl w:val="0"/>
      <w:suppressAutoHyphens/>
      <w:autoSpaceDN w:val="0"/>
      <w:spacing w:after="80" w:line="240" w:lineRule="auto"/>
    </w:pPr>
    <w:rPr>
      <w:rFonts w:ascii="Liberation Sans" w:eastAsia="SimSun" w:hAnsi="Liberation Sans" w:cs="Mangal"/>
      <w:kern w:val="3"/>
      <w:sz w:val="24"/>
      <w:szCs w:val="24"/>
      <w:lang w:eastAsia="zh-CN" w:bidi="hi-IN"/>
    </w:rPr>
  </w:style>
  <w:style w:type="paragraph" w:styleId="PlainText">
    <w:name w:val="Plain Text"/>
    <w:basedOn w:val="Normal"/>
    <w:link w:val="PlainTextChar"/>
    <w:uiPriority w:val="99"/>
    <w:semiHidden/>
    <w:unhideWhenUsed/>
    <w:pPr>
      <w:spacing w:after="80" w:line="240" w:lineRule="auto"/>
    </w:pPr>
    <w:rPr>
      <w:rFonts w:ascii="Calibri" w:hAnsi="Calibri" w:cs="Times New Roman"/>
    </w:rPr>
  </w:style>
  <w:style w:type="character" w:customStyle="1" w:styleId="PlainTextChar">
    <w:name w:val="Plain Text Char"/>
    <w:basedOn w:val="DefaultParagraphFont"/>
    <w:link w:val="PlainText"/>
    <w:uiPriority w:val="99"/>
    <w:semiHidden/>
    <w:rPr>
      <w:rFonts w:ascii="Calibri" w:hAnsi="Calibri" w:cs="Times New Roman"/>
    </w:rPr>
  </w:style>
  <w:style w:type="character" w:styleId="PlaceholderText">
    <w:name w:val="Placeholder Text"/>
    <w:basedOn w:val="DefaultParagraphFont"/>
    <w:uiPriority w:val="67"/>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table" w:customStyle="1" w:styleId="TableGrid1">
    <w:name w:val="Table Grid1"/>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b w:val="0"/>
      <w:bCs w:val="0"/>
      <w:sz w:val="32"/>
      <w:szCs w:val="32"/>
    </w:rPr>
  </w:style>
  <w:style w:type="table" w:customStyle="1" w:styleId="TableGrid5">
    <w:name w:val="Table Grid5"/>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2445">
      <w:bodyDiv w:val="1"/>
      <w:marLeft w:val="0"/>
      <w:marRight w:val="0"/>
      <w:marTop w:val="0"/>
      <w:marBottom w:val="0"/>
      <w:divBdr>
        <w:top w:val="none" w:sz="0" w:space="0" w:color="auto"/>
        <w:left w:val="none" w:sz="0" w:space="0" w:color="auto"/>
        <w:bottom w:val="none" w:sz="0" w:space="0" w:color="auto"/>
        <w:right w:val="none" w:sz="0" w:space="0" w:color="auto"/>
      </w:divBdr>
    </w:div>
    <w:div w:id="563033233">
      <w:bodyDiv w:val="1"/>
      <w:marLeft w:val="0"/>
      <w:marRight w:val="0"/>
      <w:marTop w:val="0"/>
      <w:marBottom w:val="0"/>
      <w:divBdr>
        <w:top w:val="none" w:sz="0" w:space="0" w:color="auto"/>
        <w:left w:val="none" w:sz="0" w:space="0" w:color="auto"/>
        <w:bottom w:val="none" w:sz="0" w:space="0" w:color="auto"/>
        <w:right w:val="none" w:sz="0" w:space="0" w:color="auto"/>
      </w:divBdr>
    </w:div>
    <w:div w:id="1912544757">
      <w:bodyDiv w:val="1"/>
      <w:marLeft w:val="0"/>
      <w:marRight w:val="0"/>
      <w:marTop w:val="0"/>
      <w:marBottom w:val="0"/>
      <w:divBdr>
        <w:top w:val="none" w:sz="0" w:space="0" w:color="auto"/>
        <w:left w:val="none" w:sz="0" w:space="0" w:color="auto"/>
        <w:bottom w:val="none" w:sz="0" w:space="0" w:color="auto"/>
        <w:right w:val="none" w:sz="0" w:space="0" w:color="auto"/>
      </w:divBdr>
    </w:div>
    <w:div w:id="194387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ilievvl\AppData\Local\CATE\DGT\Dossiers\CLIMA\CLIMA-2020-80106\CLIMA-2020-80106-01-00-BG-SRC-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lievvl\AppData\Local\CATE\DGT\Dossiers\CLIMA\CLIMA-2020-80106\CLIMA-2020-80106-01-00-BG-SRC-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1'!$C$2</c:f>
              <c:strCache>
                <c:ptCount val="1"/>
                <c:pt idx="0">
                  <c:v>Намаляване на интензитета на ПГ (с изкл. на НПЗ) за 2010-2018 г.</c:v>
                </c:pt>
              </c:strCache>
            </c:strRef>
          </c:tx>
          <c:spPr>
            <a:solidFill>
              <a:schemeClr val="accent1"/>
            </a:solidFill>
            <a:ln>
              <a:noFill/>
            </a:ln>
            <a:effectLst/>
          </c:spPr>
          <c:invertIfNegative val="0"/>
          <c:cat>
            <c:strRef>
              <c:f>'Figure 1'!$B$3:$B$32</c:f>
              <c:strCache>
                <c:ptCount val="30"/>
                <c:pt idx="0">
                  <c:v>Австрия</c:v>
                </c:pt>
                <c:pt idx="1">
                  <c:v>Белгия</c:v>
                </c:pt>
                <c:pt idx="2">
                  <c:v>България</c:v>
                </c:pt>
                <c:pt idx="3">
                  <c:v>Хърватия</c:v>
                </c:pt>
                <c:pt idx="4">
                  <c:v>Кипър</c:v>
                </c:pt>
                <c:pt idx="5">
                  <c:v>Чехия</c:v>
                </c:pt>
                <c:pt idx="6">
                  <c:v>Дания</c:v>
                </c:pt>
                <c:pt idx="7">
                  <c:v>Естония</c:v>
                </c:pt>
                <c:pt idx="8">
                  <c:v>Финландия</c:v>
                </c:pt>
                <c:pt idx="9">
                  <c:v>Франция</c:v>
                </c:pt>
                <c:pt idx="10">
                  <c:v>Германия</c:v>
                </c:pt>
                <c:pt idx="11">
                  <c:v>Гърция</c:v>
                </c:pt>
                <c:pt idx="12">
                  <c:v>Унгария</c:v>
                </c:pt>
                <c:pt idx="13">
                  <c:v>Ирландия</c:v>
                </c:pt>
                <c:pt idx="14">
                  <c:v>Италия</c:v>
                </c:pt>
                <c:pt idx="15">
                  <c:v>Латвия</c:v>
                </c:pt>
                <c:pt idx="16">
                  <c:v>Литва</c:v>
                </c:pt>
                <c:pt idx="17">
                  <c:v>Люксембург</c:v>
                </c:pt>
                <c:pt idx="18">
                  <c:v>Малта</c:v>
                </c:pt>
                <c:pt idx="19">
                  <c:v>Нидерландия</c:v>
                </c:pt>
                <c:pt idx="20">
                  <c:v>Полша</c:v>
                </c:pt>
                <c:pt idx="21">
                  <c:v>Португалия</c:v>
                </c:pt>
                <c:pt idx="22">
                  <c:v>Румъния</c:v>
                </c:pt>
                <c:pt idx="23">
                  <c:v>Словакия</c:v>
                </c:pt>
                <c:pt idx="24">
                  <c:v>Словения</c:v>
                </c:pt>
                <c:pt idx="25">
                  <c:v>Испания</c:v>
                </c:pt>
                <c:pt idx="26">
                  <c:v>Швеция</c:v>
                </c:pt>
                <c:pt idx="27">
                  <c:v>Обединено кралство</c:v>
                </c:pt>
                <c:pt idx="28">
                  <c:v>ЕС28</c:v>
                </c:pt>
                <c:pt idx="29">
                  <c:v>ЕС27</c:v>
                </c:pt>
              </c:strCache>
            </c:strRef>
          </c:cat>
          <c:val>
            <c:numRef>
              <c:f>'Figure 1'!$C$3:$C$32</c:f>
              <c:numCache>
                <c:formatCode>0.0%</c:formatCode>
                <c:ptCount val="30"/>
                <c:pt idx="0">
                  <c:v>3.3392498049602981E-2</c:v>
                </c:pt>
                <c:pt idx="1">
                  <c:v>2.9066119522338285E-2</c:v>
                </c:pt>
                <c:pt idx="2">
                  <c:v>3.5120347137972407E-2</c:v>
                </c:pt>
                <c:pt idx="3">
                  <c:v>6.379528925402056E-4</c:v>
                </c:pt>
                <c:pt idx="4">
                  <c:v>1.0630919144712814E-2</c:v>
                </c:pt>
                <c:pt idx="5">
                  <c:v>3.7023213797311438E-2</c:v>
                </c:pt>
                <c:pt idx="6">
                  <c:v>2.5440428170483531E-2</c:v>
                </c:pt>
                <c:pt idx="7">
                  <c:v>8.7464344369521108E-3</c:v>
                </c:pt>
                <c:pt idx="8">
                  <c:v>6.3665999155737896E-2</c:v>
                </c:pt>
                <c:pt idx="9">
                  <c:v>4.0036237795177287E-2</c:v>
                </c:pt>
                <c:pt idx="10">
                  <c:v>3.6914744879023242E-2</c:v>
                </c:pt>
                <c:pt idx="11">
                  <c:v>2.9729399916877952E-2</c:v>
                </c:pt>
                <c:pt idx="12">
                  <c:v>2.7410542312561348E-2</c:v>
                </c:pt>
                <c:pt idx="13">
                  <c:v>2.7311107385764255E-2</c:v>
                </c:pt>
                <c:pt idx="14">
                  <c:v>3.4571518148656555E-2</c:v>
                </c:pt>
                <c:pt idx="15">
                  <c:v>1.4888927338316149E-2</c:v>
                </c:pt>
                <c:pt idx="16">
                  <c:v>2.0086484144513972E-2</c:v>
                </c:pt>
                <c:pt idx="17">
                  <c:v>3.0083953584703838E-2</c:v>
                </c:pt>
                <c:pt idx="18">
                  <c:v>2.9432923658094023E-2</c:v>
                </c:pt>
                <c:pt idx="19">
                  <c:v>4.0714584418584887E-2</c:v>
                </c:pt>
                <c:pt idx="20">
                  <c:v>4.5622056441644854E-2</c:v>
                </c:pt>
                <c:pt idx="21">
                  <c:v>2.931208834494714E-2</c:v>
                </c:pt>
                <c:pt idx="22">
                  <c:v>1.9075812982010665E-2</c:v>
                </c:pt>
                <c:pt idx="23">
                  <c:v>3.653575629555128E-2</c:v>
                </c:pt>
                <c:pt idx="24">
                  <c:v>1.885400831310502E-2</c:v>
                </c:pt>
                <c:pt idx="25">
                  <c:v>3.3069164768287473E-2</c:v>
                </c:pt>
                <c:pt idx="26">
                  <c:v>0.19196789015491267</c:v>
                </c:pt>
                <c:pt idx="27">
                  <c:v>2.1079667989848838E-2</c:v>
                </c:pt>
                <c:pt idx="28">
                  <c:v>3.7468835814557067E-2</c:v>
                </c:pt>
                <c:pt idx="29">
                  <c:v>3.9912382030379945E-2</c:v>
                </c:pt>
              </c:numCache>
            </c:numRef>
          </c:val>
          <c:extLst xmlns:c16r2="http://schemas.microsoft.com/office/drawing/2015/06/chart">
            <c:ext xmlns:c16="http://schemas.microsoft.com/office/drawing/2014/chart" uri="{C3380CC4-5D6E-409C-BE32-E72D297353CC}">
              <c16:uniqueId val="{00000000-1CD2-4A89-80F8-C5E04096CD29}"/>
            </c:ext>
          </c:extLst>
        </c:ser>
        <c:dLbls>
          <c:showLegendKey val="0"/>
          <c:showVal val="0"/>
          <c:showCatName val="0"/>
          <c:showSerName val="0"/>
          <c:showPercent val="0"/>
          <c:showBubbleSize val="0"/>
        </c:dLbls>
        <c:gapWidth val="219"/>
        <c:axId val="43943808"/>
        <c:axId val="43945344"/>
      </c:barChart>
      <c:lineChart>
        <c:grouping val="standard"/>
        <c:varyColors val="0"/>
        <c:ser>
          <c:idx val="1"/>
          <c:order val="1"/>
          <c:tx>
            <c:strRef>
              <c:f>'Figure 1'!$D$2</c:f>
              <c:strCache>
                <c:ptCount val="1"/>
                <c:pt idx="0">
                  <c:v>Цел за 2020 г.</c:v>
                </c:pt>
              </c:strCache>
            </c:strRef>
          </c:tx>
          <c:spPr>
            <a:ln w="28575" cap="rnd">
              <a:solidFill>
                <a:schemeClr val="accent2"/>
              </a:solidFill>
              <a:round/>
            </a:ln>
            <a:effectLst/>
          </c:spPr>
          <c:marker>
            <c:symbol val="none"/>
          </c:marker>
          <c:val>
            <c:numRef>
              <c:f>'Figure 1'!$D$3:$D$32</c:f>
              <c:numCache>
                <c:formatCode>0%</c:formatCode>
                <c:ptCount val="30"/>
                <c:pt idx="0">
                  <c:v>0.06</c:v>
                </c:pt>
                <c:pt idx="1">
                  <c:v>0.06</c:v>
                </c:pt>
                <c:pt idx="2">
                  <c:v>0.06</c:v>
                </c:pt>
                <c:pt idx="3">
                  <c:v>0.06</c:v>
                </c:pt>
                <c:pt idx="4">
                  <c:v>0.06</c:v>
                </c:pt>
                <c:pt idx="5">
                  <c:v>0.06</c:v>
                </c:pt>
                <c:pt idx="6">
                  <c:v>0.06</c:v>
                </c:pt>
                <c:pt idx="7">
                  <c:v>0.06</c:v>
                </c:pt>
                <c:pt idx="8">
                  <c:v>0.06</c:v>
                </c:pt>
                <c:pt idx="9">
                  <c:v>0.06</c:v>
                </c:pt>
                <c:pt idx="10">
                  <c:v>0.06</c:v>
                </c:pt>
                <c:pt idx="11">
                  <c:v>0.06</c:v>
                </c:pt>
                <c:pt idx="12">
                  <c:v>0.06</c:v>
                </c:pt>
                <c:pt idx="13">
                  <c:v>0.06</c:v>
                </c:pt>
                <c:pt idx="14">
                  <c:v>0.06</c:v>
                </c:pt>
                <c:pt idx="15">
                  <c:v>0.06</c:v>
                </c:pt>
                <c:pt idx="16">
                  <c:v>0.06</c:v>
                </c:pt>
                <c:pt idx="17">
                  <c:v>0.06</c:v>
                </c:pt>
                <c:pt idx="18">
                  <c:v>0.06</c:v>
                </c:pt>
                <c:pt idx="19">
                  <c:v>0.06</c:v>
                </c:pt>
                <c:pt idx="20">
                  <c:v>0.06</c:v>
                </c:pt>
                <c:pt idx="21">
                  <c:v>0.06</c:v>
                </c:pt>
                <c:pt idx="22">
                  <c:v>0.06</c:v>
                </c:pt>
                <c:pt idx="23">
                  <c:v>0.06</c:v>
                </c:pt>
                <c:pt idx="24">
                  <c:v>0.06</c:v>
                </c:pt>
                <c:pt idx="25">
                  <c:v>0.06</c:v>
                </c:pt>
                <c:pt idx="26">
                  <c:v>0.06</c:v>
                </c:pt>
                <c:pt idx="27">
                  <c:v>0.06</c:v>
                </c:pt>
                <c:pt idx="28">
                  <c:v>0.06</c:v>
                </c:pt>
                <c:pt idx="29">
                  <c:v>0.06</c:v>
                </c:pt>
              </c:numCache>
            </c:numRef>
          </c:val>
          <c:smooth val="0"/>
          <c:extLst xmlns:c16r2="http://schemas.microsoft.com/office/drawing/2015/06/chart">
            <c:ext xmlns:c16="http://schemas.microsoft.com/office/drawing/2014/chart" uri="{C3380CC4-5D6E-409C-BE32-E72D297353CC}">
              <c16:uniqueId val="{00000001-1CD2-4A89-80F8-C5E04096CD29}"/>
            </c:ext>
          </c:extLst>
        </c:ser>
        <c:ser>
          <c:idx val="2"/>
          <c:order val="2"/>
          <c:tx>
            <c:strRef>
              <c:f>'Figure 1'!$E$2</c:f>
              <c:strCache>
                <c:ptCount val="1"/>
                <c:pt idx="0">
                  <c:v>Индикативна междинна цел за 2017 г.</c:v>
                </c:pt>
              </c:strCache>
            </c:strRef>
          </c:tx>
          <c:spPr>
            <a:ln w="28575" cap="rnd">
              <a:solidFill>
                <a:schemeClr val="accent3"/>
              </a:solidFill>
              <a:round/>
            </a:ln>
            <a:effectLst/>
          </c:spPr>
          <c:marker>
            <c:symbol val="none"/>
          </c:marker>
          <c:val>
            <c:numRef>
              <c:f>'Figure 1'!$E$3:$E$32</c:f>
              <c:numCache>
                <c:formatCode>0%</c:formatCode>
                <c:ptCount val="30"/>
                <c:pt idx="0">
                  <c:v>0.04</c:v>
                </c:pt>
                <c:pt idx="1">
                  <c:v>0.04</c:v>
                </c:pt>
                <c:pt idx="2">
                  <c:v>0.04</c:v>
                </c:pt>
                <c:pt idx="3">
                  <c:v>0.04</c:v>
                </c:pt>
                <c:pt idx="4">
                  <c:v>0.04</c:v>
                </c:pt>
                <c:pt idx="5">
                  <c:v>0.04</c:v>
                </c:pt>
                <c:pt idx="6">
                  <c:v>0.04</c:v>
                </c:pt>
                <c:pt idx="7">
                  <c:v>0.04</c:v>
                </c:pt>
                <c:pt idx="8">
                  <c:v>0.04</c:v>
                </c:pt>
                <c:pt idx="9">
                  <c:v>0.04</c:v>
                </c:pt>
                <c:pt idx="10">
                  <c:v>0.04</c:v>
                </c:pt>
                <c:pt idx="11">
                  <c:v>0.04</c:v>
                </c:pt>
                <c:pt idx="12">
                  <c:v>0.04</c:v>
                </c:pt>
                <c:pt idx="13">
                  <c:v>0.04</c:v>
                </c:pt>
                <c:pt idx="14">
                  <c:v>0.04</c:v>
                </c:pt>
                <c:pt idx="15">
                  <c:v>0.04</c:v>
                </c:pt>
                <c:pt idx="16">
                  <c:v>0.04</c:v>
                </c:pt>
                <c:pt idx="17">
                  <c:v>0.04</c:v>
                </c:pt>
                <c:pt idx="18">
                  <c:v>0.04</c:v>
                </c:pt>
                <c:pt idx="19">
                  <c:v>0.04</c:v>
                </c:pt>
                <c:pt idx="20">
                  <c:v>0.04</c:v>
                </c:pt>
                <c:pt idx="21">
                  <c:v>0.04</c:v>
                </c:pt>
                <c:pt idx="22">
                  <c:v>0.04</c:v>
                </c:pt>
                <c:pt idx="23">
                  <c:v>0.04</c:v>
                </c:pt>
                <c:pt idx="24">
                  <c:v>0.04</c:v>
                </c:pt>
                <c:pt idx="25">
                  <c:v>0.04</c:v>
                </c:pt>
                <c:pt idx="26">
                  <c:v>0.04</c:v>
                </c:pt>
                <c:pt idx="27">
                  <c:v>0.04</c:v>
                </c:pt>
                <c:pt idx="28">
                  <c:v>0.04</c:v>
                </c:pt>
                <c:pt idx="29">
                  <c:v>0.04</c:v>
                </c:pt>
              </c:numCache>
            </c:numRef>
          </c:val>
          <c:smooth val="0"/>
          <c:extLst xmlns:c16r2="http://schemas.microsoft.com/office/drawing/2015/06/chart">
            <c:ext xmlns:c16="http://schemas.microsoft.com/office/drawing/2014/chart" uri="{C3380CC4-5D6E-409C-BE32-E72D297353CC}">
              <c16:uniqueId val="{00000002-1CD2-4A89-80F8-C5E04096CD29}"/>
            </c:ext>
          </c:extLst>
        </c:ser>
        <c:dLbls>
          <c:showLegendKey val="0"/>
          <c:showVal val="0"/>
          <c:showCatName val="0"/>
          <c:showSerName val="0"/>
          <c:showPercent val="0"/>
          <c:showBubbleSize val="0"/>
        </c:dLbls>
        <c:marker val="1"/>
        <c:smooth val="0"/>
        <c:axId val="43943808"/>
        <c:axId val="43945344"/>
      </c:lineChart>
      <c:catAx>
        <c:axId val="43943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45344"/>
        <c:crosses val="autoZero"/>
        <c:auto val="1"/>
        <c:lblAlgn val="ctr"/>
        <c:lblOffset val="100"/>
        <c:noMultiLvlLbl val="0"/>
      </c:catAx>
      <c:valAx>
        <c:axId val="43945344"/>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43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977358343664473E-2"/>
          <c:y val="0.13945235264658742"/>
          <c:w val="0.84853719607995814"/>
          <c:h val="0.70497647846150957"/>
        </c:manualLayout>
      </c:layout>
      <c:ofPieChart>
        <c:ofPieType val="pie"/>
        <c:varyColors val="1"/>
        <c:ser>
          <c:idx val="0"/>
          <c:order val="0"/>
          <c:spPr>
            <a:ln>
              <a:solidFill>
                <a:schemeClr val="bg1"/>
              </a:solidFill>
            </a:ln>
          </c:spPr>
          <c:dPt>
            <c:idx val="11"/>
            <c:bubble3D val="0"/>
            <c:spPr>
              <a:solidFill>
                <a:schemeClr val="accent6">
                  <a:lumMod val="60000"/>
                </a:schemeClr>
              </a:solidFill>
              <a:ln>
                <a:solidFill>
                  <a:schemeClr val="bg1"/>
                </a:solidFill>
              </a:ln>
              <a:effectLst/>
            </c:spPr>
            <c:extLst xmlns:c16r2="http://schemas.microsoft.com/office/drawing/2015/06/chart">
              <c:ext xmlns:c16="http://schemas.microsoft.com/office/drawing/2014/chart" uri="{C3380CC4-5D6E-409C-BE32-E72D297353CC}">
                <c16:uniqueId val="{00000001-5960-4CAD-84D7-482611DB6A9D}"/>
              </c:ext>
            </c:extLst>
          </c:dPt>
          <c:dLbls>
            <c:dLbl>
              <c:idx val="0"/>
              <c:layout>
                <c:manualLayout>
                  <c:x val="-1.7765820743148478E-3"/>
                  <c:y val="4.5139848225850057E-2"/>
                </c:manualLayout>
              </c:layout>
              <c:tx>
                <c:rich>
                  <a:bodyPr/>
                  <a:lstStyle/>
                  <a:p>
                    <a:r>
                      <a:rPr lang="bg-BG" baseline="0"/>
                      <a:t>Дизел </a:t>
                    </a:r>
                    <a:fld id="{B39E8D0D-8397-42BC-A154-F6A6C19284AD}" type="PERCENTAGE">
                      <a:rPr lang="en-US" baseline="0"/>
                      <a:pPr/>
                      <a:t>[PERCENTAGE]</a:t>
                    </a:fld>
                    <a:endParaRPr lang="bg-BG" baseline="0"/>
                  </a:p>
                </c:rich>
              </c:tx>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2-5960-4CAD-84D7-482611DB6A9D}"/>
                </c:ext>
              </c:extLst>
            </c:dLbl>
            <c:dLbl>
              <c:idx val="1"/>
              <c:layout>
                <c:manualLayout>
                  <c:x val="-8.8829103715742392E-3"/>
                  <c:y val="-2.4074585720453304E-2"/>
                </c:manualLayout>
              </c:layout>
              <c:tx>
                <c:rich>
                  <a:bodyPr/>
                  <a:lstStyle/>
                  <a:p>
                    <a:r>
                      <a:rPr lang="bg-BG" baseline="0"/>
                      <a:t>Бензин </a:t>
                    </a:r>
                    <a:fld id="{311C494C-6DFA-4DED-AFB5-1F3E21E108E5}" type="PERCENTAGE">
                      <a:rPr lang="en-US" baseline="0"/>
                      <a:pPr/>
                      <a:t>[PERCENTAGE]</a:t>
                    </a:fld>
                    <a:endParaRPr lang="bg-BG" baseline="0"/>
                  </a:p>
                </c:rich>
              </c:tx>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3-5960-4CAD-84D7-482611DB6A9D}"/>
                </c:ext>
              </c:extLst>
            </c:dLbl>
            <c:dLbl>
              <c:idx val="2"/>
              <c:layout>
                <c:manualLayout>
                  <c:x val="7.106328297259391E-3"/>
                  <c:y val="-3.9121201795736645E-2"/>
                </c:manualLayout>
              </c:layout>
              <c:tx>
                <c:rich>
                  <a:bodyPr/>
                  <a:lstStyle/>
                  <a:p>
                    <a:r>
                      <a:rPr lang="bg-BG" baseline="0"/>
                      <a:t>Газьол </a:t>
                    </a:r>
                    <a:fld id="{55DF1F6C-31FC-4379-BAD0-A513506E0ECE}" type="PERCENTAGE">
                      <a:rPr lang="en-US" baseline="0"/>
                      <a:pPr/>
                      <a:t>[PERCENTAGE]</a:t>
                    </a:fld>
                    <a:endParaRPr lang="bg-BG" baseline="0"/>
                  </a:p>
                </c:rich>
              </c:tx>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4-5960-4CAD-84D7-482611DB6A9D}"/>
                </c:ext>
              </c:extLst>
            </c:dLbl>
            <c:dLbl>
              <c:idx val="3"/>
              <c:layout>
                <c:manualLayout>
                  <c:x val="7.2939761390644134E-3"/>
                  <c:y val="-8.8967866286183112E-2"/>
                </c:manualLayout>
              </c:layout>
              <c:tx>
                <c:rich>
                  <a:bodyPr/>
                  <a:lstStyle/>
                  <a:p>
                    <a:r>
                      <a:rPr lang="bg-BG"/>
                      <a:t>ЛНГ, ЛПГ, КПГ</a:t>
                    </a:r>
                    <a:r>
                      <a:rPr lang="bg-BG" baseline="0"/>
                      <a:t> </a:t>
                    </a:r>
                    <a:fld id="{EB114146-38D5-4409-8450-644EBC0214A0}" type="PERCENTAGE">
                      <a:rPr lang="en-US" baseline="0"/>
                      <a:pPr/>
                      <a:t>[PERCENTAGE]</a:t>
                    </a:fld>
                    <a:endParaRPr lang="bg-BG" baseline="0"/>
                  </a:p>
                </c:rich>
              </c:tx>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5-5960-4CAD-84D7-482611DB6A9D}"/>
                </c:ext>
              </c:extLst>
            </c:dLbl>
            <c:dLbl>
              <c:idx val="4"/>
              <c:layout>
                <c:manualLayout>
                  <c:x val="1.2436074520203936E-2"/>
                  <c:y val="4.8149171440906663E-2"/>
                </c:manualLayout>
              </c:layout>
              <c:tx>
                <c:rich>
                  <a:bodyPr wrap="square" lIns="38100" tIns="19050" rIns="38100" bIns="19050" anchor="ctr">
                    <a:spAutoFit/>
                  </a:bodyPr>
                  <a:lstStyle/>
                  <a:p>
                    <a:pPr>
                      <a:defRPr/>
                    </a:pPr>
                    <a:r>
                      <a:rPr lang="bg-BG" baseline="0"/>
                      <a:t>Др. изкопаеми </a:t>
                    </a:r>
                    <a:fld id="{64829D29-430A-4271-A7D0-E5382068A6A4}" type="PERCENTAGE">
                      <a:rPr lang="en-US" baseline="0"/>
                      <a:pPr>
                        <a:defRPr/>
                      </a:pPr>
                      <a:t>[PERCENTAGE]</a:t>
                    </a:fld>
                    <a:endParaRPr lang="bg-BG" baseline="0"/>
                  </a:p>
                </c:rich>
              </c:tx>
              <c:numFmt formatCode="0.00\ %" sourceLinked="0"/>
              <c:spPr>
                <a:noFill/>
                <a:ln>
                  <a:noFill/>
                </a:ln>
                <a:effectLst/>
              </c:spPr>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6-5960-4CAD-84D7-482611DB6A9D}"/>
                </c:ext>
              </c:extLst>
            </c:dLbl>
            <c:dLbl>
              <c:idx val="5"/>
              <c:layout>
                <c:manualLayout>
                  <c:x val="8.4010708766611292E-2"/>
                  <c:y val="0.12296694168538792"/>
                </c:manualLayout>
              </c:layout>
              <c:tx>
                <c:rich>
                  <a:bodyPr/>
                  <a:lstStyle/>
                  <a:p>
                    <a:r>
                      <a:rPr lang="bg-BG" baseline="0"/>
                      <a:t>Биодизел (</a:t>
                    </a:r>
                    <a:r>
                      <a:rPr lang="en-US" baseline="0"/>
                      <a:t>FAME) </a:t>
                    </a:r>
                    <a:fld id="{5EAB7FB3-71F5-45B3-83D5-7C7F70CACE74}" type="PERCENTAGE">
                      <a:rPr lang="en-US" baseline="0"/>
                      <a:pPr/>
                      <a:t>[PERCENTAGE]</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7-5960-4CAD-84D7-482611DB6A9D}"/>
                </c:ext>
              </c:extLst>
            </c:dLbl>
            <c:dLbl>
              <c:idx val="6"/>
              <c:layout>
                <c:manualLayout>
                  <c:x val="-3.197847733766726E-2"/>
                  <c:y val="-6.3195787516189927E-2"/>
                </c:manualLayout>
              </c:layout>
              <c:tx>
                <c:rich>
                  <a:bodyPr/>
                  <a:lstStyle/>
                  <a:p>
                    <a:r>
                      <a:rPr lang="bg-BG" baseline="0"/>
                      <a:t>Биоетанол </a:t>
                    </a:r>
                    <a:fld id="{2EC7C9BA-42A5-48CF-8BAC-FB90464974A5}" type="PERCENTAGE">
                      <a:rPr lang="en-US" baseline="0"/>
                      <a:pPr/>
                      <a:t>[PERCENTAGE]</a:t>
                    </a:fld>
                    <a:endParaRPr lang="bg-BG" baseline="0"/>
                  </a:p>
                </c:rich>
              </c:tx>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8-5960-4CAD-84D7-482611DB6A9D}"/>
                </c:ext>
              </c:extLst>
            </c:dLbl>
            <c:dLbl>
              <c:idx val="7"/>
              <c:layout>
                <c:manualLayout>
                  <c:x val="-1.2420030863789271E-4"/>
                  <c:y val="-9.2557561521187312E-2"/>
                </c:manualLayout>
              </c:layout>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5960-4CAD-84D7-482611DB6A9D}"/>
                </c:ext>
              </c:extLst>
            </c:dLbl>
            <c:dLbl>
              <c:idx val="8"/>
              <c:layout>
                <c:manualLayout>
                  <c:x val="-8.4137203319397205E-5"/>
                  <c:y val="-7.5638358101582176E-2"/>
                </c:manualLayout>
              </c:layout>
              <c:tx>
                <c:rich>
                  <a:bodyPr wrap="square" lIns="38100" tIns="19050" rIns="38100" bIns="19050" anchor="ctr">
                    <a:noAutofit/>
                  </a:bodyPr>
                  <a:lstStyle/>
                  <a:p>
                    <a:pPr>
                      <a:defRPr/>
                    </a:pPr>
                    <a:fld id="{540633C3-D3FD-47F7-B546-7565F7D942E5}" type="CATEGORYNAME">
                      <a:rPr lang="en-US" sz="900"/>
                      <a:pPr>
                        <a:defRPr/>
                      </a:pPr>
                      <a:t>[CATEGORY NAME]</a:t>
                    </a:fld>
                    <a:r>
                      <a:rPr lang="en-US" baseline="0"/>
                      <a:t> </a:t>
                    </a:r>
                    <a:fld id="{A1E5B5E4-7301-4F79-BBC5-7F8D35EBFCAF}" type="PERCENTAGE">
                      <a:rPr lang="en-US" baseline="0"/>
                      <a:pPr>
                        <a:defRPr/>
                      </a:pPr>
                      <a:t>[PERCENTAGE]</a:t>
                    </a:fld>
                    <a:endParaRPr lang="en-US" baseline="0"/>
                  </a:p>
                </c:rich>
              </c:tx>
              <c:numFmt formatCode="0.0\ %" sourceLinked="0"/>
              <c:spPr>
                <a:noFill/>
                <a:ln>
                  <a:noFill/>
                </a:ln>
                <a:effectLst/>
              </c:spPr>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manualLayout>
                      <c:w val="6.3482364404295458E-2"/>
                      <c:h val="0.14345629595807538"/>
                    </c:manualLayout>
                  </c15:layout>
                  <c15:dlblFieldTable/>
                  <c15:showDataLabelsRange val="0"/>
                </c:ext>
                <c:ext xmlns:c16="http://schemas.microsoft.com/office/drawing/2014/chart" uri="{C3380CC4-5D6E-409C-BE32-E72D297353CC}">
                  <c16:uniqueId val="{0000000A-5960-4CAD-84D7-482611DB6A9D}"/>
                </c:ext>
              </c:extLst>
            </c:dLbl>
            <c:dLbl>
              <c:idx val="9"/>
              <c:layout>
                <c:manualLayout>
                  <c:x val="1.5889107541358222E-3"/>
                  <c:y val="9.7674821880776794E-2"/>
                </c:manualLayout>
              </c:layout>
              <c:tx>
                <c:rich>
                  <a:bodyPr wrap="square" lIns="38100" tIns="19050" rIns="38100" bIns="19050" anchor="ctr">
                    <a:noAutofit/>
                  </a:bodyPr>
                  <a:lstStyle/>
                  <a:p>
                    <a:pPr>
                      <a:defRPr/>
                    </a:pPr>
                    <a:r>
                      <a:rPr lang="bg-BG" sz="900" baseline="0"/>
                      <a:t>Биогаз </a:t>
                    </a:r>
                    <a:fld id="{6E189131-FE69-4321-9420-B36E9D61C215}" type="PERCENTAGE">
                      <a:rPr lang="en-US" sz="900" baseline="0"/>
                      <a:pPr>
                        <a:defRPr/>
                      </a:pPr>
                      <a:t>[PERCENTAGE]</a:t>
                    </a:fld>
                    <a:endParaRPr lang="bg-BG" sz="900" baseline="0"/>
                  </a:p>
                </c:rich>
              </c:tx>
              <c:numFmt formatCode="0.0\ %" sourceLinked="0"/>
              <c:spPr>
                <a:noFill/>
                <a:ln>
                  <a:noFill/>
                </a:ln>
                <a:effectLst/>
              </c:spPr>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manualLayout>
                      <c:w val="6.4406434863354289E-2"/>
                      <c:h val="0.1229329017980066"/>
                    </c:manualLayout>
                  </c15:layout>
                  <c15:dlblFieldTable/>
                  <c15:showDataLabelsRange val="0"/>
                </c:ext>
                <c:ext xmlns:c16="http://schemas.microsoft.com/office/drawing/2014/chart" uri="{C3380CC4-5D6E-409C-BE32-E72D297353CC}">
                  <c16:uniqueId val="{0000000B-5960-4CAD-84D7-482611DB6A9D}"/>
                </c:ext>
              </c:extLst>
            </c:dLbl>
            <c:dLbl>
              <c:idx val="10"/>
              <c:layout>
                <c:manualLayout>
                  <c:x val="-9.5612391852417135E-3"/>
                  <c:y val="0.27024138092499445"/>
                </c:manualLayout>
              </c:layout>
              <c:tx>
                <c:rich>
                  <a:bodyPr wrap="square" lIns="38100" tIns="19050" rIns="38100" bIns="19050" anchor="ctr">
                    <a:noAutofit/>
                  </a:bodyPr>
                  <a:lstStyle/>
                  <a:p>
                    <a:pPr>
                      <a:defRPr/>
                    </a:pPr>
                    <a:r>
                      <a:rPr lang="bg-BG" baseline="0"/>
                      <a:t>Друго биогориво </a:t>
                    </a:r>
                    <a:fld id="{65B12162-6625-414D-9E5E-CCE526EDAE64}" type="PERCENTAGE">
                      <a:rPr lang="en-US" baseline="0"/>
                      <a:pPr>
                        <a:defRPr/>
                      </a:pPr>
                      <a:t>[PERCENTAGE]</a:t>
                    </a:fld>
                    <a:endParaRPr lang="bg-BG" baseline="0"/>
                  </a:p>
                </c:rich>
              </c:tx>
              <c:numFmt formatCode="0.00\ %" sourceLinked="0"/>
              <c:spPr>
                <a:noFill/>
                <a:ln>
                  <a:noFill/>
                </a:ln>
                <a:effectLst/>
              </c:spPr>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manualLayout>
                      <c:w val="0.11787216791233726"/>
                      <c:h val="9.7816025152717909E-2"/>
                    </c:manualLayout>
                  </c15:layout>
                  <c15:dlblFieldTable/>
                  <c15:showDataLabelsRange val="0"/>
                </c:ext>
                <c:ext xmlns:c16="http://schemas.microsoft.com/office/drawing/2014/chart" uri="{C3380CC4-5D6E-409C-BE32-E72D297353CC}">
                  <c16:uniqueId val="{0000000C-5960-4CAD-84D7-482611DB6A9D}"/>
                </c:ext>
              </c:extLst>
            </c:dLbl>
            <c:dLbl>
              <c:idx val="11"/>
              <c:layout>
                <c:manualLayout>
                  <c:x val="3.5531641486296305E-3"/>
                  <c:y val="0.18055939290339978"/>
                </c:manualLayout>
              </c:layout>
              <c:tx>
                <c:rich>
                  <a:bodyPr/>
                  <a:lstStyle/>
                  <a:p>
                    <a:r>
                      <a:rPr lang="bg-BG" baseline="0"/>
                      <a:t>Други </a:t>
                    </a:r>
                    <a:fld id="{31F0BFBD-5843-4B31-9F90-5D01B2FFA0C3}" type="PERCENTAGE">
                      <a:rPr lang="en-US" baseline="0"/>
                      <a:pPr/>
                      <a:t>[PERCENTAGE]</a:t>
                    </a:fld>
                    <a:endParaRPr lang="bg-BG" baseline="0"/>
                  </a:p>
                </c:rich>
              </c:tx>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1-5960-4CAD-84D7-482611DB6A9D}"/>
                </c:ext>
              </c:extLst>
            </c:dLbl>
            <c:numFmt formatCode="0.0\ %" sourceLinked="0"/>
            <c:spPr>
              <a:noFill/>
              <a:ln>
                <a:noFill/>
              </a:ln>
              <a:effectLst/>
            </c:spPr>
            <c:dLblPos val="outEnd"/>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[1]Overview!$BH$5:$BH$15</c:f>
              <c:strCache>
                <c:ptCount val="11"/>
                <c:pt idx="0">
                  <c:v>Diesel</c:v>
                </c:pt>
                <c:pt idx="1">
                  <c:v>Petrol</c:v>
                </c:pt>
                <c:pt idx="2">
                  <c:v>Gas oil</c:v>
                </c:pt>
                <c:pt idx="3">
                  <c:v>LPG, LNG, CNG</c:v>
                </c:pt>
                <c:pt idx="4">
                  <c:v>Other fossil</c:v>
                </c:pt>
                <c:pt idx="5">
                  <c:v>Biodiesel (FAME)</c:v>
                </c:pt>
                <c:pt idx="6">
                  <c:v>Bioethanol</c:v>
                </c:pt>
                <c:pt idx="7">
                  <c:v>HVO</c:v>
                </c:pt>
                <c:pt idx="8">
                  <c:v>Bio-ETBE</c:v>
                </c:pt>
                <c:pt idx="9">
                  <c:v>Biogas</c:v>
                </c:pt>
                <c:pt idx="10">
                  <c:v>Other biofuel</c:v>
                </c:pt>
              </c:strCache>
            </c:strRef>
          </c:cat>
          <c:val>
            <c:numRef>
              <c:f>[1]Overview!$BI$5:$BI$15</c:f>
              <c:numCache>
                <c:formatCode>General</c:formatCode>
                <c:ptCount val="11"/>
                <c:pt idx="0">
                  <c:v>8386495605.4940729</c:v>
                </c:pt>
                <c:pt idx="1">
                  <c:v>3270759294.5093918</c:v>
                </c:pt>
                <c:pt idx="2">
                  <c:v>1362586451.2009804</c:v>
                </c:pt>
                <c:pt idx="3">
                  <c:v>275182813.2479043</c:v>
                </c:pt>
                <c:pt idx="4">
                  <c:v>1444453.6122363394</c:v>
                </c:pt>
                <c:pt idx="5">
                  <c:v>504122048.62533289</c:v>
                </c:pt>
                <c:pt idx="6">
                  <c:v>110523188.2838681</c:v>
                </c:pt>
                <c:pt idx="7">
                  <c:v>92899135.254794359</c:v>
                </c:pt>
                <c:pt idx="8">
                  <c:v>9028830.0522555336</c:v>
                </c:pt>
                <c:pt idx="9">
                  <c:v>8471449.3298367988</c:v>
                </c:pt>
                <c:pt idx="10">
                  <c:v>6966380.0457742438</c:v>
                </c:pt>
              </c:numCache>
            </c:numRef>
          </c:val>
          <c:extLst xmlns:c16r2="http://schemas.microsoft.com/office/drawing/2015/06/chart">
            <c:ext xmlns:c16="http://schemas.microsoft.com/office/drawing/2014/chart" uri="{C3380CC4-5D6E-409C-BE32-E72D297353CC}">
              <c16:uniqueId val="{0000000D-5960-4CAD-84D7-482611DB6A9D}"/>
            </c:ext>
          </c:extLst>
        </c:ser>
        <c:dLbls>
          <c:showLegendKey val="0"/>
          <c:showVal val="0"/>
          <c:showCatName val="0"/>
          <c:showSerName val="0"/>
          <c:showPercent val="0"/>
          <c:showBubbleSize val="0"/>
          <c:showLeaderLines val="1"/>
        </c:dLbls>
        <c:gapWidth val="100"/>
        <c:splitType val="pos"/>
        <c:splitPos val="6"/>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a:solidFill>
        <a:schemeClr val="tx1">
          <a:lumMod val="15000"/>
          <a:lumOff val="85000"/>
        </a:schemeClr>
      </a:solidFill>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98290-9501-451A-A52D-5E3D08EF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2055</Words>
  <Characters>10874</Characters>
  <Application>Microsoft Office Word</Application>
  <DocSecurity>0</DocSecurity>
  <Lines>302</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2019-10-02T16:55:00Z</cp:lastPrinted>
  <dcterms:created xsi:type="dcterms:W3CDTF">2020-10-21T09:40:00Z</dcterms:created>
  <dcterms:modified xsi:type="dcterms:W3CDTF">2020-11-11T14:01:00Z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