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5DAB9294-57C9-40CE-B010-CFF1F395804A" style="width:450.4pt;height:361.6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0"/>
        <w:rPr>
          <w:rFonts w:ascii="Times New Roman" w:hAnsi="Times New Roman"/>
          <w:noProof/>
          <w:sz w:val="24"/>
          <w:szCs w:val="24"/>
        </w:rPr>
      </w:pPr>
      <w:bookmarkStart w:id="1" w:name="_GoBack"/>
      <w:bookmarkEnd w:id="1"/>
    </w:p>
    <w:sdt>
      <w:sdtPr>
        <w:rPr>
          <w:rFonts w:ascii="Calibri" w:eastAsia="Calibri" w:hAnsi="Calibri" w:cstheme="minorBidi"/>
          <w:b w:val="0"/>
          <w:noProof/>
          <w:sz w:val="22"/>
          <w:szCs w:val="22"/>
        </w:rPr>
        <w:id w:val="1409118759"/>
        <w:docPartObj>
          <w:docPartGallery w:val="Table of Contents"/>
          <w:docPartUnique/>
        </w:docPartObj>
      </w:sdtPr>
      <w:sdtEndPr>
        <w:rPr>
          <w:rFonts w:asciiTheme="minorHAnsi" w:eastAsiaTheme="minorHAnsi" w:hAnsiTheme="minorHAnsi"/>
          <w:bCs/>
        </w:rPr>
      </w:sdtEndPr>
      <w:sdtContent>
        <w:p>
          <w:pPr>
            <w:pStyle w:val="TOCHeading"/>
            <w:rPr>
              <w:noProof/>
            </w:rPr>
          </w:pPr>
          <w:r>
            <w:rPr>
              <w:noProof/>
            </w:rPr>
            <w:t>Съдържание</w:t>
          </w:r>
        </w:p>
        <w:p>
          <w:pPr>
            <w:pStyle w:val="TOC1"/>
            <w:rPr>
              <w:rFonts w:asciiTheme="minorHAnsi" w:eastAsiaTheme="minorEastAsia" w:hAnsiTheme="minorHAnsi" w:cstheme="minorBidi"/>
              <w:noProof/>
              <w:sz w:val="22"/>
              <w:szCs w:val="22"/>
              <w:lang w:val="en-US"/>
            </w:rPr>
          </w:pPr>
          <w:r>
            <w:rPr>
              <w:noProof/>
            </w:rPr>
            <w:fldChar w:fldCharType="begin"/>
          </w:r>
          <w:r>
            <w:rPr>
              <w:noProof/>
            </w:rPr>
            <w:instrText xml:space="preserve"> TOC \o "1-3" \h \z \u </w:instrText>
          </w:r>
          <w:r>
            <w:rPr>
              <w:noProof/>
            </w:rPr>
            <w:fldChar w:fldCharType="separate"/>
          </w:r>
          <w:hyperlink w:anchor="_Toc56503932" w:history="1">
            <w:r>
              <w:rPr>
                <w:rStyle w:val="Hyperlink"/>
                <w:bCs/>
                <w:smallCaps/>
                <w:noProof/>
              </w:rPr>
              <w:t>1.</w:t>
            </w:r>
            <w:r>
              <w:rPr>
                <w:rFonts w:asciiTheme="minorHAnsi" w:eastAsiaTheme="minorEastAsia" w:hAnsiTheme="minorHAnsi" w:cstheme="minorBidi"/>
                <w:noProof/>
                <w:sz w:val="22"/>
                <w:szCs w:val="22"/>
                <w:lang w:val="en-US"/>
              </w:rPr>
              <w:tab/>
            </w:r>
            <w:r>
              <w:rPr>
                <w:rStyle w:val="Hyperlink"/>
                <w:bCs/>
                <w:smallCaps/>
                <w:noProof/>
              </w:rPr>
              <w:t>Бюджетна процедура за ЕФГЗ за 2020 г.</w:t>
            </w:r>
            <w:r>
              <w:rPr>
                <w:noProof/>
                <w:webHidden/>
              </w:rPr>
              <w:tab/>
            </w:r>
            <w:r>
              <w:rPr>
                <w:noProof/>
                <w:webHidden/>
              </w:rPr>
              <w:fldChar w:fldCharType="begin"/>
            </w:r>
            <w:r>
              <w:rPr>
                <w:noProof/>
                <w:webHidden/>
              </w:rPr>
              <w:instrText xml:space="preserve"> PAGEREF _Toc56503932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56503933" w:history="1">
            <w:r>
              <w:rPr>
                <w:rStyle w:val="Hyperlink"/>
                <w:bCs/>
                <w:smallCaps/>
                <w:noProof/>
              </w:rPr>
              <w:t>2.</w:t>
            </w:r>
            <w:r>
              <w:rPr>
                <w:rFonts w:asciiTheme="minorHAnsi" w:eastAsiaTheme="minorEastAsia" w:hAnsiTheme="minorHAnsi" w:cstheme="minorBidi"/>
                <w:noProof/>
                <w:sz w:val="22"/>
                <w:szCs w:val="22"/>
                <w:lang w:val="en-US"/>
              </w:rPr>
              <w:tab/>
            </w:r>
            <w:r>
              <w:rPr>
                <w:rStyle w:val="Hyperlink"/>
                <w:bCs/>
                <w:smallCaps/>
                <w:noProof/>
              </w:rPr>
              <w:t>Целеви приходи за ЕФГЗ</w:t>
            </w:r>
            <w:r>
              <w:rPr>
                <w:noProof/>
                <w:webHidden/>
              </w:rPr>
              <w:tab/>
            </w:r>
            <w:r>
              <w:rPr>
                <w:noProof/>
                <w:webHidden/>
              </w:rPr>
              <w:fldChar w:fldCharType="begin"/>
            </w:r>
            <w:r>
              <w:rPr>
                <w:noProof/>
                <w:webHidden/>
              </w:rPr>
              <w:instrText xml:space="preserve"> PAGEREF _Toc56503933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56503934" w:history="1">
            <w:r>
              <w:rPr>
                <w:rStyle w:val="Hyperlink"/>
                <w:bCs/>
                <w:smallCaps/>
                <w:noProof/>
              </w:rPr>
              <w:t>3.</w:t>
            </w:r>
            <w:r>
              <w:rPr>
                <w:rFonts w:asciiTheme="minorHAnsi" w:eastAsiaTheme="minorEastAsia" w:hAnsiTheme="minorHAnsi" w:cstheme="minorBidi"/>
                <w:noProof/>
                <w:sz w:val="22"/>
                <w:szCs w:val="22"/>
                <w:lang w:val="en-US"/>
              </w:rPr>
              <w:tab/>
            </w:r>
            <w:r>
              <w:rPr>
                <w:rStyle w:val="Hyperlink"/>
                <w:bCs/>
                <w:smallCaps/>
                <w:noProof/>
              </w:rPr>
              <w:t>Бележки по предварителните данни за изпълнението на бюджета на ЕФГЗ за 2020 г.</w:t>
            </w:r>
            <w:r>
              <w:rPr>
                <w:noProof/>
                <w:webHidden/>
              </w:rPr>
              <w:tab/>
            </w:r>
            <w:r>
              <w:rPr>
                <w:noProof/>
                <w:webHidden/>
              </w:rPr>
              <w:fldChar w:fldCharType="begin"/>
            </w:r>
            <w:r>
              <w:rPr>
                <w:noProof/>
                <w:webHidden/>
              </w:rPr>
              <w:instrText xml:space="preserve"> PAGEREF _Toc56503934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50"/>
              <w:tab w:val="right" w:leader="dot" w:pos="9062"/>
            </w:tabs>
            <w:rPr>
              <w:rFonts w:asciiTheme="minorHAnsi" w:eastAsiaTheme="minorEastAsia" w:hAnsiTheme="minorHAnsi" w:cstheme="minorBidi"/>
              <w:noProof/>
              <w:lang w:val="en-US"/>
            </w:rPr>
          </w:pPr>
          <w:hyperlink w:anchor="_Toc56503935" w:history="1">
            <w:r>
              <w:rPr>
                <w:rStyle w:val="Hyperlink"/>
                <w:rFonts w:ascii="Times New Roman" w:eastAsia="Times New Roman" w:hAnsi="Times New Roman"/>
                <w:bCs/>
                <w:iCs/>
                <w:noProof/>
              </w:rPr>
              <w:t>3.1.</w:t>
            </w:r>
            <w:r>
              <w:rPr>
                <w:rFonts w:asciiTheme="minorHAnsi" w:eastAsiaTheme="minorEastAsia" w:hAnsiTheme="minorHAnsi" w:cstheme="minorBidi"/>
                <w:noProof/>
                <w:lang w:val="en-US"/>
              </w:rPr>
              <w:tab/>
            </w:r>
            <w:r>
              <w:rPr>
                <w:rStyle w:val="Hyperlink"/>
                <w:rFonts w:ascii="Times New Roman" w:hAnsi="Times New Roman"/>
                <w:bCs/>
                <w:iCs/>
                <w:noProof/>
              </w:rPr>
              <w:t>Пазарни мерки</w:t>
            </w:r>
            <w:r>
              <w:rPr>
                <w:noProof/>
                <w:webHidden/>
              </w:rPr>
              <w:tab/>
            </w:r>
            <w:r>
              <w:rPr>
                <w:noProof/>
                <w:webHidden/>
              </w:rPr>
              <w:fldChar w:fldCharType="begin"/>
            </w:r>
            <w:r>
              <w:rPr>
                <w:noProof/>
                <w:webHidden/>
              </w:rPr>
              <w:instrText xml:space="preserve"> PAGEREF _Toc56503935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50"/>
              <w:tab w:val="right" w:leader="dot" w:pos="9062"/>
            </w:tabs>
            <w:rPr>
              <w:rFonts w:asciiTheme="minorHAnsi" w:eastAsiaTheme="minorEastAsia" w:hAnsiTheme="minorHAnsi" w:cstheme="minorBidi"/>
              <w:noProof/>
              <w:lang w:val="en-US"/>
            </w:rPr>
          </w:pPr>
          <w:hyperlink w:anchor="_Toc56503936" w:history="1">
            <w:r>
              <w:rPr>
                <w:rStyle w:val="Hyperlink"/>
                <w:rFonts w:ascii="Times New Roman" w:eastAsia="Times New Roman" w:hAnsi="Times New Roman"/>
                <w:bCs/>
                <w:iCs/>
                <w:noProof/>
              </w:rPr>
              <w:t>3.2.</w:t>
            </w:r>
            <w:r>
              <w:rPr>
                <w:rFonts w:asciiTheme="minorHAnsi" w:eastAsiaTheme="minorEastAsia" w:hAnsiTheme="minorHAnsi" w:cstheme="minorBidi"/>
                <w:noProof/>
                <w:lang w:val="en-US"/>
              </w:rPr>
              <w:tab/>
            </w:r>
            <w:r>
              <w:rPr>
                <w:rStyle w:val="Hyperlink"/>
                <w:rFonts w:ascii="Times New Roman" w:hAnsi="Times New Roman"/>
                <w:bCs/>
                <w:iCs/>
                <w:noProof/>
              </w:rPr>
              <w:t>Директни плащания</w:t>
            </w:r>
            <w:r>
              <w:rPr>
                <w:noProof/>
                <w:webHidden/>
              </w:rPr>
              <w:tab/>
            </w:r>
            <w:r>
              <w:rPr>
                <w:noProof/>
                <w:webHidden/>
              </w:rPr>
              <w:fldChar w:fldCharType="begin"/>
            </w:r>
            <w:r>
              <w:rPr>
                <w:noProof/>
                <w:webHidden/>
              </w:rPr>
              <w:instrText xml:space="preserve"> PAGEREF _Toc56503936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56503937" w:history="1">
            <w:r>
              <w:rPr>
                <w:rStyle w:val="Hyperlink"/>
                <w:bCs/>
                <w:smallCaps/>
                <w:noProof/>
              </w:rPr>
              <w:t>4.</w:t>
            </w:r>
            <w:r>
              <w:rPr>
                <w:rFonts w:asciiTheme="minorHAnsi" w:eastAsiaTheme="minorEastAsia" w:hAnsiTheme="minorHAnsi" w:cstheme="minorBidi"/>
                <w:noProof/>
                <w:sz w:val="22"/>
                <w:szCs w:val="22"/>
                <w:lang w:val="en-US"/>
              </w:rPr>
              <w:tab/>
            </w:r>
            <w:r>
              <w:rPr>
                <w:rStyle w:val="Hyperlink"/>
                <w:bCs/>
                <w:smallCaps/>
                <w:noProof/>
              </w:rPr>
              <w:t>Изпълнение на целевите приходи по линия на ЕФГЗ</w:t>
            </w:r>
            <w:r>
              <w:rPr>
                <w:noProof/>
                <w:webHidden/>
              </w:rPr>
              <w:tab/>
            </w:r>
            <w:r>
              <w:rPr>
                <w:noProof/>
                <w:webHidden/>
              </w:rPr>
              <w:fldChar w:fldCharType="begin"/>
            </w:r>
            <w:r>
              <w:rPr>
                <w:noProof/>
                <w:webHidden/>
              </w:rPr>
              <w:instrText xml:space="preserve"> PAGEREF _Toc56503937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56503938" w:history="1">
            <w:r>
              <w:rPr>
                <w:rStyle w:val="Hyperlink"/>
                <w:bCs/>
                <w:smallCaps/>
                <w:noProof/>
              </w:rPr>
              <w:t>5.</w:t>
            </w:r>
            <w:r>
              <w:rPr>
                <w:rFonts w:asciiTheme="minorHAnsi" w:eastAsiaTheme="minorEastAsia" w:hAnsiTheme="minorHAnsi" w:cstheme="minorBidi"/>
                <w:noProof/>
                <w:sz w:val="22"/>
                <w:szCs w:val="22"/>
                <w:lang w:val="en-US"/>
              </w:rPr>
              <w:tab/>
            </w:r>
            <w:r>
              <w:rPr>
                <w:rStyle w:val="Hyperlink"/>
                <w:bCs/>
                <w:smallCaps/>
                <w:noProof/>
              </w:rPr>
              <w:t>Заключения</w:t>
            </w:r>
            <w:r>
              <w:rPr>
                <w:noProof/>
                <w:webHidden/>
              </w:rPr>
              <w:tab/>
            </w:r>
            <w:r>
              <w:rPr>
                <w:noProof/>
                <w:webHidden/>
              </w:rPr>
              <w:fldChar w:fldCharType="begin"/>
            </w:r>
            <w:r>
              <w:rPr>
                <w:noProof/>
                <w:webHidden/>
              </w:rPr>
              <w:instrText xml:space="preserve"> PAGEREF _Toc56503938 \h </w:instrText>
            </w:r>
            <w:r>
              <w:rPr>
                <w:noProof/>
                <w:webHidden/>
              </w:rPr>
            </w:r>
            <w:r>
              <w:rPr>
                <w:noProof/>
                <w:webHidden/>
              </w:rPr>
              <w:fldChar w:fldCharType="separate"/>
            </w:r>
            <w:r>
              <w:rPr>
                <w:noProof/>
                <w:webHidden/>
              </w:rPr>
              <w:t>5</w:t>
            </w:r>
            <w:r>
              <w:rPr>
                <w:noProof/>
                <w:webHidden/>
              </w:rPr>
              <w:fldChar w:fldCharType="end"/>
            </w:r>
          </w:hyperlink>
        </w:p>
        <w:p>
          <w:pPr>
            <w:rPr>
              <w:noProof/>
            </w:rPr>
          </w:pPr>
          <w:r>
            <w:rPr>
              <w:b/>
              <w:bCs/>
              <w:noProof/>
            </w:rPr>
            <w:fldChar w:fldCharType="end"/>
          </w:r>
        </w:p>
      </w:sdtContent>
    </w:sdt>
    <w:p>
      <w:pPr>
        <w:spacing w:after="0"/>
        <w:rPr>
          <w:rFonts w:ascii="Times New Roman" w:hAnsi="Times New Roman"/>
          <w:noProof/>
          <w:sz w:val="24"/>
          <w:szCs w:val="24"/>
        </w:rPr>
      </w:pPr>
    </w:p>
    <w:tbl>
      <w:tblPr>
        <w:tblW w:w="0" w:type="auto"/>
        <w:tblLook w:val="01E0" w:firstRow="1" w:lastRow="1" w:firstColumn="1" w:lastColumn="1" w:noHBand="0" w:noVBand="0"/>
      </w:tblPr>
      <w:tblGrid>
        <w:gridCol w:w="2111"/>
        <w:gridCol w:w="7177"/>
      </w:tblGrid>
      <w:tr>
        <w:tc>
          <w:tcPr>
            <w:tcW w:w="1908" w:type="dxa"/>
            <w:hideMark/>
          </w:tcPr>
          <w:p>
            <w:pPr>
              <w:spacing w:before="120" w:after="120"/>
              <w:ind w:right="612"/>
              <w:rPr>
                <w:rFonts w:ascii="Times New Roman" w:hAnsi="Times New Roman"/>
                <w:smallCaps/>
                <w:noProof/>
              </w:rPr>
            </w:pPr>
            <w:r>
              <w:rPr>
                <w:rFonts w:ascii="Times New Roman" w:hAnsi="Times New Roman"/>
                <w:smallCaps/>
                <w:noProof/>
              </w:rPr>
              <w:t>Приложение 1:</w:t>
            </w:r>
          </w:p>
          <w:p>
            <w:pPr>
              <w:spacing w:before="120" w:after="120"/>
              <w:ind w:right="612"/>
              <w:rPr>
                <w:rFonts w:ascii="Times New Roman" w:hAnsi="Times New Roman"/>
                <w:smallCaps/>
                <w:noProof/>
                <w:sz w:val="24"/>
                <w:szCs w:val="24"/>
              </w:rPr>
            </w:pPr>
          </w:p>
        </w:tc>
        <w:tc>
          <w:tcPr>
            <w:tcW w:w="7320" w:type="dxa"/>
            <w:hideMark/>
          </w:tcPr>
          <w:p>
            <w:pPr>
              <w:spacing w:before="120" w:after="120"/>
              <w:rPr>
                <w:rFonts w:ascii="Times New Roman" w:hAnsi="Times New Roman"/>
                <w:smallCaps/>
                <w:noProof/>
                <w:sz w:val="24"/>
                <w:szCs w:val="24"/>
              </w:rPr>
            </w:pPr>
            <w:r>
              <w:rPr>
                <w:rFonts w:ascii="Times New Roman" w:hAnsi="Times New Roman"/>
                <w:smallCaps/>
                <w:noProof/>
              </w:rPr>
              <w:t>Предварителни данни за усвояването на бюджетни кредити на ЕФГЗ до 31.8.2020 г.</w:t>
            </w:r>
          </w:p>
        </w:tc>
      </w:tr>
    </w:tbl>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keepNext/>
        <w:spacing w:before="360" w:after="120" w:line="240" w:lineRule="auto"/>
        <w:jc w:val="both"/>
        <w:outlineLvl w:val="0"/>
        <w:rPr>
          <w:noProof/>
        </w:rPr>
      </w:pP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bookmarkStart w:id="2" w:name="_Toc229306111"/>
      <w:bookmarkStart w:id="3" w:name="_Toc413145207"/>
      <w:bookmarkStart w:id="4" w:name="_Toc56503932"/>
      <w:bookmarkStart w:id="5" w:name="_Toc244054012"/>
      <w:bookmarkStart w:id="6" w:name="_Toc244054013"/>
      <w:r>
        <w:rPr>
          <w:rFonts w:ascii="Times New Roman" w:hAnsi="Times New Roman"/>
          <w:b/>
          <w:bCs/>
          <w:smallCaps/>
          <w:noProof/>
          <w:sz w:val="24"/>
          <w:szCs w:val="32"/>
        </w:rPr>
        <w:t>Бюджетна процедура за ЕФГЗ за 2020 г.</w:t>
      </w:r>
      <w:bookmarkEnd w:id="2"/>
      <w:bookmarkEnd w:id="3"/>
      <w:bookmarkEnd w:id="4"/>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На 27 ноември 2019 г. Европейският парламент прие общия бюджет на Европейския съюз за 2020 г. По линия на Европейския фонд за гарантиране на земеделието (ЕФГЗ) той включва бюджетни кредити за поети задължения и бюджетни кредити за плащания съответно в размер на 43 410 млн. евро и 43 380 млн. евро, за директни плащания и за разходи, свързани с пазара.</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 xml:space="preserve">Разликата между размера на бюджетните кредити за поети задължения и бюджетните кредити за плащания се дължи на факта, че за някои мерки, </w:t>
      </w:r>
      <w:r>
        <w:rPr>
          <w:rFonts w:ascii="Times New Roman" w:hAnsi="Times New Roman"/>
          <w:noProof/>
          <w:sz w:val="24"/>
          <w:szCs w:val="24"/>
        </w:rPr>
        <w:lastRenderedPageBreak/>
        <w:t>прилагани пряко от Комисията, се използват многогодишни бюджетни кредити. Те са свързани главно с мерките за промотиране на селскостопански продукти и с мерките за стратегическо планиране и координиране на политиките.</w:t>
      </w:r>
    </w:p>
    <w:p>
      <w:pPr>
        <w:pStyle w:val="ListParagraph"/>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bookmarkStart w:id="7" w:name="_Toc413145208"/>
      <w:bookmarkStart w:id="8" w:name="_Toc56503933"/>
      <w:bookmarkEnd w:id="5"/>
      <w:r>
        <w:rPr>
          <w:rFonts w:ascii="Times New Roman" w:hAnsi="Times New Roman"/>
          <w:b/>
          <w:bCs/>
          <w:smallCaps/>
          <w:noProof/>
          <w:sz w:val="24"/>
          <w:szCs w:val="32"/>
        </w:rPr>
        <w:t>Целеви приходи за ЕФГЗ</w:t>
      </w:r>
      <w:bookmarkEnd w:id="6"/>
      <w:bookmarkEnd w:id="7"/>
      <w:bookmarkEnd w:id="8"/>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 xml:space="preserve">На основание на разпоредбите на член 43 от Регламент (ЕС) № 1306/2013 приходите от финансови корекции по силата на решения за счетоводно уравняване и уравняване по съответствие и вследствие на нередности представляват целеви приходи за финансирането на разходите по линия на ЕФГЗ.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В съответствие с посочените разпоредби целевите приходи могат да се използват за финансиране на всякакви разходи по линия на ЕФГЗ. Всяка част от тези приходи, която не е усвоена в рамките на бюджетната година, се пренася автоматично за следващата бюджетна година</w:t>
      </w:r>
      <w:r>
        <w:rPr>
          <w:rFonts w:ascii="Times New Roman" w:eastAsia="Times New Roman" w:hAnsi="Times New Roman" w:cs="Times New Roman"/>
          <w:noProof/>
          <w:sz w:val="24"/>
          <w:szCs w:val="24"/>
          <w:vertAlign w:val="superscript"/>
        </w:rPr>
        <w:footnoteReference w:id="1"/>
      </w:r>
      <w:r>
        <w:rPr>
          <w:rFonts w:ascii="Times New Roman" w:hAnsi="Times New Roman"/>
          <w:noProof/>
          <w:sz w:val="24"/>
          <w:szCs w:val="24"/>
        </w:rPr>
        <w:t>.</w:t>
      </w:r>
    </w:p>
    <w:p>
      <w:pPr>
        <w:spacing w:before="120" w:after="0" w:line="240" w:lineRule="auto"/>
        <w:ind w:left="851"/>
        <w:jc w:val="both"/>
        <w:rPr>
          <w:rFonts w:ascii="Times New Roman" w:eastAsia="Times New Roman" w:hAnsi="Times New Roman" w:cs="Times New Roman"/>
          <w:noProof/>
          <w:sz w:val="24"/>
          <w:szCs w:val="24"/>
        </w:rPr>
      </w:pPr>
      <w:r>
        <w:rPr>
          <w:rFonts w:ascii="Times New Roman" w:hAnsi="Times New Roman"/>
          <w:noProof/>
          <w:sz w:val="24"/>
          <w:szCs w:val="24"/>
        </w:rPr>
        <w:t>Бюджетът на ЕФГЗ за 2020 г. включва:</w:t>
      </w:r>
    </w:p>
    <w:p>
      <w:pPr>
        <w:numPr>
          <w:ilvl w:val="0"/>
          <w:numId w:val="3"/>
        </w:num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най-актуалните разчети на Комисията относно потребностите от финансиране за пазарни мерки и за директни плащания,</w:t>
      </w:r>
    </w:p>
    <w:p>
      <w:pPr>
        <w:numPr>
          <w:ilvl w:val="0"/>
          <w:numId w:val="3"/>
        </w:num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разчетите относно целевите приходи, които се очаква да бъдат събрани през съответната бюджетна година,</w:t>
      </w:r>
    </w:p>
    <w:p>
      <w:pPr>
        <w:numPr>
          <w:ilvl w:val="0"/>
          <w:numId w:val="3"/>
        </w:num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пренесените неусвоени целеви приходи от предходната бюджетна година.</w:t>
      </w:r>
    </w:p>
    <w:p>
      <w:pPr>
        <w:spacing w:before="120" w:after="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 xml:space="preserve">В предложението си относно бюджетните кредити за ЕФГЗ за 2020 г. Комисията взе предвид общия размер на очакваните целеви приходи и поиска в бюджета за 2020 г. кредити, чийто размер възлиза на разликата между очакваните потребности и очакваните целеви приходи. Бюджетният орган прие бюджета на ЕФГЗ, като взе предвид очакваните целеви приходи.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 xml:space="preserve">Според разчетите на Комисията наличните целеви приходи към момента на съставяне на бюджета за 2020 г. възлизат на 1 071 млн. евро и включват: </w:t>
      </w:r>
    </w:p>
    <w:p>
      <w:pPr>
        <w:numPr>
          <w:ilvl w:val="0"/>
          <w:numId w:val="4"/>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целевите приходи, които се очаква да се генерират през бюджетната 2020 година и чийто разчетен размер е 719 млн. евро (592 млн. евро от корекции от уравняване по съответствие и 127 млн. евро вследствие на нередности);</w:t>
      </w:r>
    </w:p>
    <w:p>
      <w:pPr>
        <w:numPr>
          <w:ilvl w:val="0"/>
          <w:numId w:val="4"/>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целевите приходи, които ще бъдат пренесени от 2019 г. и чийто разчетен размер е 352 млн. евро.</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 xml:space="preserve">Комисията разпредели тези разчетни приходи в размер на 1 071 млн. евро за следните схеми: </w:t>
      </w:r>
    </w:p>
    <w:p>
      <w:pPr>
        <w:numPr>
          <w:ilvl w:val="0"/>
          <w:numId w:val="5"/>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150 млн. евро за оперативните фондове за организациите на производителите на плодове и зеленчуци, и</w:t>
      </w:r>
    </w:p>
    <w:p>
      <w:pPr>
        <w:numPr>
          <w:ilvl w:val="0"/>
          <w:numId w:val="5"/>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lastRenderedPageBreak/>
        <w:t xml:space="preserve">921 млн. евро за схемата за основно плащане.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Сборът на одобрените бюджетни кредити и целевите приходи за тези схеми съответства на:</w:t>
      </w:r>
    </w:p>
    <w:p>
      <w:pPr>
        <w:numPr>
          <w:ilvl w:val="0"/>
          <w:numId w:val="6"/>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849 млн. евро за оперативните фондове за организациите на производители на плодове и зеленчуци, и</w:t>
      </w:r>
    </w:p>
    <w:p>
      <w:pPr>
        <w:numPr>
          <w:ilvl w:val="0"/>
          <w:numId w:val="6"/>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17 038 млн. евро за схемата за основно плащане.</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 xml:space="preserve">В приложението, в което се представят предварителните данни за изпълнението на бюджета за 2020 г., гореспоменатите целеви приходи не са отчетени в данните за бюджетните кредити по статиите за плодовете и зеленчуците и за отделените от производството директни плащания. Данните представляват одобрените бюджетни кредити по тези статии, възлизащи съответно на 700,5 млн. евро и 34 574 млн. евро.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 xml:space="preserve">С включването на целевите приходи по тези статии общият размер на средствата, предвидени в бюджета за 2020 г., е 850,5 млн. евро за сектора на плодовете и зеленчуците и 35 495 млн. евро за отделените от производството директни плащания. </w:t>
      </w:r>
    </w:p>
    <w:p>
      <w:pPr>
        <w:pStyle w:val="ListParagraph"/>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bookmarkStart w:id="9" w:name="_Toc244054015"/>
      <w:bookmarkStart w:id="10" w:name="_Toc413145209"/>
      <w:bookmarkStart w:id="11" w:name="_Toc56503934"/>
      <w:r>
        <w:rPr>
          <w:rFonts w:ascii="Times New Roman" w:hAnsi="Times New Roman"/>
          <w:b/>
          <w:bCs/>
          <w:smallCaps/>
          <w:noProof/>
          <w:sz w:val="24"/>
          <w:szCs w:val="32"/>
        </w:rPr>
        <w:t>Бележки по предварителните данни за изпълнението на бюджета на ЕФГЗ за 2020 г.</w:t>
      </w:r>
      <w:bookmarkEnd w:id="9"/>
      <w:bookmarkEnd w:id="10"/>
      <w:bookmarkEnd w:id="11"/>
    </w:p>
    <w:p>
      <w:pPr>
        <w:spacing w:before="120" w:after="120" w:line="240" w:lineRule="auto"/>
        <w:ind w:left="850"/>
        <w:jc w:val="both"/>
        <w:rPr>
          <w:rFonts w:ascii="Times New Roman" w:eastAsia="Times New Roman" w:hAnsi="Times New Roman" w:cs="Times New Roman"/>
          <w:noProof/>
          <w:sz w:val="24"/>
          <w:szCs w:val="24"/>
        </w:rPr>
      </w:pPr>
      <w:bookmarkStart w:id="12" w:name="_Toc244054016"/>
      <w:r>
        <w:rPr>
          <w:rFonts w:ascii="Times New Roman" w:hAnsi="Times New Roman"/>
          <w:noProof/>
          <w:sz w:val="24"/>
          <w:szCs w:val="24"/>
        </w:rPr>
        <w:t>В приложението към настоящия доклад са представени предварителните данни за изпълнението на бюджета за периода от 16 октомври 2019 г. до 31 август 2020 г. Това изпълнение е съпоставено с профила на разходите на Системата за ранно предупреждение и мониторинг, въведена съгласно член 28 от Регламент (ЕС) № 1306/2013.</w:t>
      </w:r>
    </w:p>
    <w:p>
      <w:pPr>
        <w:spacing w:before="120" w:after="120" w:line="240" w:lineRule="auto"/>
        <w:ind w:left="850"/>
        <w:jc w:val="both"/>
        <w:rPr>
          <w:rFonts w:ascii="Times New Roman" w:eastAsia="Times New Roman" w:hAnsi="Times New Roman" w:cs="Times New Roman"/>
          <w:noProof/>
          <w:sz w:val="24"/>
          <w:szCs w:val="24"/>
        </w:rPr>
      </w:pPr>
    </w:p>
    <w:p>
      <w:pPr>
        <w:pStyle w:val="ListParagraph"/>
        <w:keepNext/>
        <w:numPr>
          <w:ilvl w:val="1"/>
          <w:numId w:val="2"/>
        </w:numPr>
        <w:spacing w:before="120" w:after="120" w:line="240" w:lineRule="auto"/>
        <w:jc w:val="both"/>
        <w:outlineLvl w:val="1"/>
        <w:rPr>
          <w:rFonts w:ascii="Times New Roman" w:eastAsia="Times New Roman" w:hAnsi="Times New Roman" w:cs="Times New Roman"/>
          <w:b/>
          <w:bCs/>
          <w:iCs/>
          <w:noProof/>
          <w:sz w:val="24"/>
          <w:szCs w:val="28"/>
        </w:rPr>
      </w:pPr>
      <w:bookmarkStart w:id="13" w:name="_Toc56503935"/>
      <w:r>
        <w:rPr>
          <w:rFonts w:ascii="Times New Roman" w:hAnsi="Times New Roman"/>
          <w:b/>
          <w:bCs/>
          <w:iCs/>
          <w:noProof/>
          <w:sz w:val="24"/>
          <w:szCs w:val="28"/>
        </w:rPr>
        <w:t>Пазарни мерки</w:t>
      </w:r>
      <w:bookmarkEnd w:id="12"/>
      <w:bookmarkEnd w:id="13"/>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 xml:space="preserve">Усвоените бюджетни кредити за интервенции на селскостопанските пазари бяха общо със 110 млн. евро по-малко от разчетените според профила на усвояване.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 xml:space="preserve">За бюджетна статия 05 02 08 — Плодове и зеленчуци, изпълнението на бюджета, най-вече по отношение на оперативните фондове за организациите на производители, надвишава профила на разходите с почти 110 млн. евро. Заедно с целевите приходи в размер на 150 млн. евро, взети предвид за тази статия при приемането на бюджета за 2020 г., моделът на изпълнение почти съответства на историческия профил. </w:t>
      </w:r>
    </w:p>
    <w:p>
      <w:pPr>
        <w:spacing w:before="120" w:after="120" w:line="240" w:lineRule="auto"/>
        <w:ind w:left="850"/>
        <w:jc w:val="both"/>
        <w:rPr>
          <w:rFonts w:ascii="Times New Roman" w:eastAsia="Times New Roman" w:hAnsi="Times New Roman" w:cs="Times New Roman"/>
          <w:noProof/>
          <w:sz w:val="24"/>
          <w:szCs w:val="24"/>
        </w:rPr>
      </w:pPr>
      <w:bookmarkStart w:id="14" w:name="_Toc525722902"/>
      <w:bookmarkStart w:id="15" w:name="_Toc525734906"/>
      <w:bookmarkStart w:id="16" w:name="_Toc525736637"/>
      <w:bookmarkStart w:id="17" w:name="_Toc526175165"/>
      <w:bookmarkEnd w:id="14"/>
      <w:bookmarkEnd w:id="15"/>
      <w:bookmarkEnd w:id="16"/>
      <w:bookmarkEnd w:id="17"/>
      <w:r>
        <w:rPr>
          <w:rFonts w:ascii="Times New Roman" w:hAnsi="Times New Roman"/>
          <w:noProof/>
          <w:sz w:val="24"/>
          <w:szCs w:val="24"/>
        </w:rPr>
        <w:t>За бюджетна статия 05 02 09 — Продукти от лозаро-винарския сектор, в профила на разходите вече е взето предвид, че разходите се концентрират към края на финансовата година. Декларираните до момента разходи са в размер на 150 млн. евро под профила. Отклонението се счита за временно и се очаква, че окончателните разходи ще бъдат близки до предвидената в бюджета сума, въпреки че все още има неяснота, до каква степен са използвани гъвкавите правила, предоставени в отговор на пандемията от COVID-19</w:t>
      </w:r>
      <w:r>
        <w:rPr>
          <w:rFonts w:ascii="Times New Roman" w:eastAsia="Times New Roman" w:hAnsi="Times New Roman" w:cs="Times New Roman"/>
          <w:noProof/>
          <w:sz w:val="24"/>
          <w:szCs w:val="24"/>
          <w:vertAlign w:val="superscript"/>
        </w:rPr>
        <w:footnoteReference w:id="2"/>
      </w:r>
      <w:r>
        <w:rPr>
          <w:rFonts w:ascii="Times New Roman" w:hAnsi="Times New Roman"/>
          <w:noProof/>
          <w:sz w:val="24"/>
          <w:szCs w:val="24"/>
        </w:rPr>
        <w:t xml:space="preserve">.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За бюджетна статия 05 02 18 — Схеми за училищата, изпълнението в края на август 2020 г. изоставаше с около 34 млн. евро спрямо профила. Очаква се окончателните разходи до края на финансовата година да останат малко под заложената в бюджета сума, което отразява преди всичко практическите последици от пандемията от COVID-19 върху прилагането на тази схема.</w:t>
      </w:r>
    </w:p>
    <w:p>
      <w:pPr>
        <w:spacing w:before="120" w:after="120" w:line="240" w:lineRule="auto"/>
        <w:ind w:left="850"/>
        <w:jc w:val="both"/>
        <w:rPr>
          <w:rFonts w:ascii="Times New Roman" w:eastAsia="Times New Roman" w:hAnsi="Times New Roman" w:cs="Times New Roman"/>
          <w:noProof/>
          <w:sz w:val="24"/>
          <w:szCs w:val="24"/>
        </w:rPr>
      </w:pPr>
    </w:p>
    <w:p>
      <w:pPr>
        <w:keepNext/>
        <w:numPr>
          <w:ilvl w:val="1"/>
          <w:numId w:val="2"/>
        </w:numPr>
        <w:spacing w:before="120" w:after="120" w:line="240" w:lineRule="auto"/>
        <w:jc w:val="both"/>
        <w:outlineLvl w:val="1"/>
        <w:rPr>
          <w:rFonts w:ascii="Times New Roman" w:eastAsia="Times New Roman" w:hAnsi="Times New Roman" w:cs="Times New Roman"/>
          <w:b/>
          <w:bCs/>
          <w:iCs/>
          <w:noProof/>
          <w:sz w:val="24"/>
          <w:szCs w:val="28"/>
        </w:rPr>
      </w:pPr>
      <w:bookmarkStart w:id="18" w:name="_Toc56503936"/>
      <w:bookmarkStart w:id="19" w:name="_Toc244054022"/>
      <w:r>
        <w:rPr>
          <w:rFonts w:ascii="Times New Roman" w:hAnsi="Times New Roman"/>
          <w:b/>
          <w:bCs/>
          <w:iCs/>
          <w:noProof/>
          <w:sz w:val="24"/>
          <w:szCs w:val="28"/>
        </w:rPr>
        <w:t>Директни плащания</w:t>
      </w:r>
      <w:bookmarkEnd w:id="18"/>
      <w:r>
        <w:rPr>
          <w:rFonts w:ascii="Times New Roman" w:hAnsi="Times New Roman"/>
          <w:b/>
          <w:bCs/>
          <w:iCs/>
          <w:noProof/>
          <w:sz w:val="24"/>
          <w:szCs w:val="28"/>
        </w:rPr>
        <w:t xml:space="preserve"> </w:t>
      </w:r>
      <w:bookmarkEnd w:id="19"/>
    </w:p>
    <w:p>
      <w:pPr>
        <w:spacing w:before="120" w:after="120" w:line="240" w:lineRule="auto"/>
        <w:ind w:left="850"/>
        <w:jc w:val="both"/>
        <w:rPr>
          <w:rFonts w:ascii="Times New Roman" w:eastAsia="Times New Roman" w:hAnsi="Times New Roman" w:cs="Times New Roman"/>
          <w:noProof/>
          <w:sz w:val="24"/>
          <w:szCs w:val="24"/>
        </w:rPr>
      </w:pPr>
      <w:bookmarkStart w:id="20" w:name="_Toc244054023"/>
      <w:r>
        <w:rPr>
          <w:rFonts w:ascii="Times New Roman" w:hAnsi="Times New Roman"/>
          <w:noProof/>
          <w:sz w:val="24"/>
          <w:szCs w:val="24"/>
        </w:rPr>
        <w:t>До края на август 2020 г. усвояването на бюджетните кредити за директни плащания е малко по-високо от прогнозираното в профила на разходите.</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За бюджетна статия 05 03 01 — Отделени от производството директни плащания, декларираните разходи превишават профила с 829 млн. евро. Като се вземат предвид обаче прогнозираните целеви приходи, налични по статията, т.е. 921 млн. евро, моделът на изпълнение съответства на историческия профил.</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Разходите по схемата за основно плащане бяха малко по-високи от очакваното според профила на усвояване, а разходите за схемата за единно плащане на площ и за плащанията за селскостопански практики, благоприятни за климата и околната среда, бяха малко под профила.</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За бюджетна статия 05 03 02 — Други директни плащания,</w:t>
      </w:r>
      <w:bookmarkStart w:id="21" w:name="_Toc525734915"/>
      <w:bookmarkStart w:id="22" w:name="_Toc525736646"/>
      <w:bookmarkStart w:id="23" w:name="_Toc526175174"/>
      <w:bookmarkStart w:id="24" w:name="_Toc525734916"/>
      <w:bookmarkStart w:id="25" w:name="_Toc525736647"/>
      <w:bookmarkStart w:id="26" w:name="_Toc526175175"/>
      <w:bookmarkStart w:id="27" w:name="_Toc525734917"/>
      <w:bookmarkStart w:id="28" w:name="_Toc525736648"/>
      <w:bookmarkStart w:id="29" w:name="_Toc526175176"/>
      <w:bookmarkStart w:id="30" w:name="_Toc244054027"/>
      <w:bookmarkEnd w:id="20"/>
      <w:bookmarkEnd w:id="21"/>
      <w:bookmarkEnd w:id="22"/>
      <w:bookmarkEnd w:id="23"/>
      <w:bookmarkEnd w:id="24"/>
      <w:bookmarkEnd w:id="25"/>
      <w:bookmarkEnd w:id="26"/>
      <w:bookmarkEnd w:id="27"/>
      <w:bookmarkEnd w:id="28"/>
      <w:bookmarkEnd w:id="29"/>
      <w:r>
        <w:rPr>
          <w:rFonts w:ascii="Times New Roman" w:hAnsi="Times New Roman"/>
          <w:noProof/>
          <w:sz w:val="24"/>
          <w:szCs w:val="24"/>
        </w:rPr>
        <w:t xml:space="preserve"> декларираните разходи отговарят на профила.</w:t>
      </w:r>
      <w:r>
        <w:rPr>
          <w:noProof/>
        </w:rPr>
        <w:t xml:space="preserve"> </w:t>
      </w:r>
      <w:r>
        <w:rPr>
          <w:rFonts w:ascii="Times New Roman" w:hAnsi="Times New Roman"/>
          <w:noProof/>
          <w:sz w:val="24"/>
          <w:szCs w:val="24"/>
        </w:rPr>
        <w:t xml:space="preserve"> </w:t>
      </w: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bookmarkStart w:id="31" w:name="_Toc413145210"/>
      <w:bookmarkStart w:id="32" w:name="_Toc56503937"/>
      <w:r>
        <w:rPr>
          <w:rFonts w:ascii="Times New Roman" w:hAnsi="Times New Roman"/>
          <w:b/>
          <w:bCs/>
          <w:smallCaps/>
          <w:noProof/>
          <w:sz w:val="24"/>
          <w:szCs w:val="32"/>
        </w:rPr>
        <w:t>Изпълнение на целевите приходи по линия на ЕФГЗ</w:t>
      </w:r>
      <w:bookmarkEnd w:id="30"/>
      <w:bookmarkEnd w:id="31"/>
      <w:bookmarkEnd w:id="32"/>
    </w:p>
    <w:p>
      <w:pPr>
        <w:spacing w:after="0" w:line="240" w:lineRule="auto"/>
        <w:ind w:left="850"/>
        <w:jc w:val="both"/>
        <w:rPr>
          <w:rFonts w:ascii="Calibri" w:eastAsia="Times New Roman" w:hAnsi="Calibri" w:cs="Calibri"/>
          <w:noProof/>
          <w:color w:val="000000"/>
        </w:rPr>
      </w:pPr>
      <w:bookmarkStart w:id="33" w:name="_Toc244054028"/>
      <w:r>
        <w:rPr>
          <w:rFonts w:ascii="Times New Roman" w:hAnsi="Times New Roman"/>
          <w:noProof/>
          <w:sz w:val="24"/>
          <w:szCs w:val="24"/>
        </w:rPr>
        <w:t>От таблицата в приложението се вижда, че събраните към края на август 2020 г. целеви приходи възлизат на 460,9 млн. евро, които по-специално представляват:</w:t>
      </w:r>
    </w:p>
    <w:p>
      <w:pPr>
        <w:numPr>
          <w:ilvl w:val="0"/>
          <w:numId w:val="3"/>
        </w:num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приходи от корекции по силата на решения за счетоводно уравняване и за уравняване по съответствие — в размер на 343,2 млн. евро, като до края на бюджетната година се очаква да бъдат събрани допълнителни суми;</w:t>
      </w:r>
    </w:p>
    <w:p>
      <w:pPr>
        <w:numPr>
          <w:ilvl w:val="0"/>
          <w:numId w:val="3"/>
        </w:num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приходи от финансови корекции вследствие на нередности — в размер на 115,8 млн. евро, като до края на бюджетната година се очакват допълнителни суми; както и </w:t>
      </w:r>
    </w:p>
    <w:p>
      <w:pPr>
        <w:numPr>
          <w:ilvl w:val="0"/>
          <w:numId w:val="3"/>
        </w:num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остатъчни приходи от налога в сектора на млякото и млечните продукти — в размер на 1,9 млн. евро.</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 xml:space="preserve">Накрая, целевите приходи, пренесени от 2019 към 2020 г., възлизат на 348,2 млн. евро, което е близо с 4 млн. евро по-малко от очакваното при приемането на бюджета за 2020 г.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Така общият размер на наличните целеви приходи за финансиране на разходите по линия на ЕФГЗ към 31 август 2020 г. възлиза на 809,1 млн. евро, като в течение на бюджетната година се очаква да бъдат събрани допълнителни суми.</w:t>
      </w: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bookmarkStart w:id="34" w:name="_Toc244054030"/>
      <w:bookmarkStart w:id="35" w:name="_Toc413145211"/>
      <w:bookmarkStart w:id="36" w:name="_Toc56503938"/>
      <w:bookmarkEnd w:id="33"/>
      <w:r>
        <w:rPr>
          <w:rFonts w:ascii="Times New Roman" w:hAnsi="Times New Roman"/>
          <w:b/>
          <w:bCs/>
          <w:smallCaps/>
          <w:noProof/>
          <w:sz w:val="24"/>
          <w:szCs w:val="32"/>
        </w:rPr>
        <w:t>Заключения</w:t>
      </w:r>
      <w:bookmarkEnd w:id="34"/>
      <w:bookmarkEnd w:id="35"/>
      <w:bookmarkEnd w:id="36"/>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 xml:space="preserve">Съгласно предварителните данни за усвояването на бюджетните кредити по линия на ЕФГЗ за 2020 г., в периода до 31 август 2020 г. месечните възстановявания в полза на държавите членки надхвърлят изчисления профил на усвояване с 682,2 млн. евро. </w:t>
      </w:r>
    </w:p>
    <w:p>
      <w:pPr>
        <w:spacing w:before="120" w:after="0" w:line="240" w:lineRule="auto"/>
        <w:ind w:left="850"/>
        <w:jc w:val="both"/>
        <w:rPr>
          <w:rFonts w:ascii="Times New Roman" w:eastAsia="Times New Roman" w:hAnsi="Times New Roman" w:cs="Times New Roman"/>
          <w:noProof/>
          <w:sz w:val="24"/>
          <w:szCs w:val="24"/>
        </w:rPr>
      </w:pPr>
      <w:r>
        <w:rPr>
          <w:rFonts w:ascii="Times New Roman" w:hAnsi="Times New Roman"/>
          <w:noProof/>
          <w:sz w:val="24"/>
          <w:szCs w:val="24"/>
        </w:rPr>
        <w:t xml:space="preserve">Вече са налице целеви приходи в размер на 809,1 млн. евро, като в течение на бюджетната година се очаква да бъдат събрани допълнителни суми. </w:t>
      </w:r>
    </w:p>
    <w:p>
      <w:pPr>
        <w:spacing w:before="120" w:after="120"/>
        <w:ind w:left="850"/>
        <w:jc w:val="both"/>
        <w:rPr>
          <w:rFonts w:ascii="Calibri" w:eastAsia="Calibri" w:hAnsi="Calibri" w:cs="Times New Roman"/>
          <w:noProof/>
        </w:rPr>
      </w:pPr>
      <w:r>
        <w:rPr>
          <w:rFonts w:ascii="Times New Roman" w:hAnsi="Times New Roman"/>
          <w:noProof/>
          <w:sz w:val="24"/>
          <w:szCs w:val="24"/>
        </w:rPr>
        <w:t>Към настоящия момент Комисията очаква, че одобрените бюджетни кредити и целевите приходи, които ще бъдат налични към края на бюджетната година, ще бъдат напълно използвани. С проект на коригиращ бюджет № 10/2020 Комисията предложи увеличение за ЕФГЗ в размер на 48,7 млн. евро. Предложеното увеличение се основава на изпълнението до края на август и на прогнозите до края на финансовата 2020 година на ЕФГЗ. Поради това Комисията счита, че няма да има налични целеви приходи, които да бъдат пренесени от бюджета за 2020 г. към бюджета за 2021 г.</w:t>
      </w:r>
    </w:p>
    <w:p>
      <w:pPr>
        <w:spacing w:before="120" w:after="120" w:line="240" w:lineRule="auto"/>
        <w:ind w:left="850"/>
        <w:jc w:val="both"/>
        <w:rPr>
          <w:rFonts w:ascii="Calibri" w:eastAsia="Calibri" w:hAnsi="Calibri" w:cs="Times New Roman"/>
          <w:noProof/>
        </w:rPr>
      </w:pPr>
    </w:p>
    <w:p>
      <w:pPr>
        <w:keepNext/>
        <w:spacing w:before="360" w:after="120" w:line="240" w:lineRule="auto"/>
        <w:jc w:val="both"/>
        <w:outlineLvl w:val="0"/>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ind w:left="851" w:hanging="851"/>
        <w:jc w:val="both"/>
        <w:rPr>
          <w:rFonts w:ascii="Times New Roman" w:hAnsi="Times New Roman"/>
        </w:rPr>
      </w:pPr>
      <w:r>
        <w:rPr>
          <w:rStyle w:val="FootnoteReference"/>
          <w:rFonts w:ascii="Times New Roman" w:hAnsi="Times New Roman"/>
        </w:rPr>
        <w:footnoteRef/>
      </w:r>
      <w:r>
        <w:tab/>
      </w:r>
      <w:r>
        <w:rPr>
          <w:rFonts w:ascii="Times New Roman" w:hAnsi="Times New Roman"/>
        </w:rPr>
        <w:t>В член 12, параграф 4, буква б) от Регламент (ЕС, Евратом) 2018/1046 на Европейския парламент и на Съвета за финансовите правила, приложими за общия бюджет на Съюза, се определя, че бюджетните кредити, съответстващи на вътрешни целеви приходи, може да бъдат пренасяни само за следващата финансова година.</w:t>
      </w:r>
      <w:r>
        <w:t xml:space="preserve"> </w:t>
      </w:r>
      <w:r>
        <w:rPr>
          <w:rFonts w:ascii="Times New Roman" w:hAnsi="Times New Roman"/>
        </w:rPr>
        <w:t xml:space="preserve">Поради това и в интерес на доброто бюджетно управление тези целеви приходи по принцип се използват преди всички одобрени бюджетни кредити по съответната бюджетна статия. </w:t>
      </w:r>
    </w:p>
  </w:footnote>
  <w:footnote w:id="2">
    <w:p>
      <w:pPr>
        <w:pStyle w:val="FootnoteText"/>
        <w:spacing w:after="60"/>
        <w:ind w:left="851" w:hanging="851"/>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Pr>
        <w:t xml:space="preserve"> </w:t>
      </w:r>
      <w:r>
        <w:t xml:space="preserve">  </w:t>
      </w:r>
      <w:r>
        <w:rPr>
          <w:rFonts w:ascii="Times New Roman" w:hAnsi="Times New Roman"/>
        </w:rPr>
        <w:t>Делегирани регламенти (ЕС) 2020/592 и (ЕС) 2020/884 на Комисията и Регламент за изпълнение (ЕС) 2020/600 на Комисията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871E7"/>
    <w:multiLevelType w:val="hybridMultilevel"/>
    <w:tmpl w:val="FE3E400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nsid w:val="51043F95"/>
    <w:multiLevelType w:val="hybridMultilevel"/>
    <w:tmpl w:val="EC6A6122"/>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
    <w:nsid w:val="53FE1147"/>
    <w:multiLevelType w:val="hybridMultilevel"/>
    <w:tmpl w:val="1778D2B2"/>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3">
    <w:nsid w:val="55EA2AD9"/>
    <w:multiLevelType w:val="hybridMultilevel"/>
    <w:tmpl w:val="FB28C2BA"/>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
    <w:nsid w:val="64A12FA4"/>
    <w:multiLevelType w:val="multilevel"/>
    <w:tmpl w:val="428ECF3E"/>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C827C2A"/>
    <w:multiLevelType w:val="hybridMultilevel"/>
    <w:tmpl w:val="253E2B00"/>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6">
    <w:nsid w:val="70B81573"/>
    <w:multiLevelType w:val="hybridMultilevel"/>
    <w:tmpl w:val="0A64E06A"/>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5DAB9294-57C9-40CE-B010-CFF1F395804A"/>
    <w:docVar w:name="LW_COVERPAGE_TYPE" w:val="1"/>
    <w:docVar w:name="LW_CROSSREFERENCE" w:val="&lt;UNUSED&gt;"/>
    <w:docVar w:name="LW_DATE.ADOPT.CP_ISODATE" w:val="&lt;EMPTY&gt;"/>
    <w:docVar w:name="LW_DocType" w:val="NORMAL"/>
    <w:docVar w:name="LW_EMISSION" w:val="20.11.2020"/>
    <w:docVar w:name="LW_EMISSION_ISODATE" w:val="2020-11-20"/>
    <w:docVar w:name="LW_EMISSION_LOCATION" w:val="BRX"/>
    <w:docVar w:name="LW_EMISSION_PREFIX" w:val="Брюксел, "/>
    <w:docVar w:name="LW_EMISSION_SUFFIX" w:val=" \u1075?."/>
    <w:docVar w:name="LW_ID_DOCTYPE_NONLW" w:val="CP-006"/>
    <w:docVar w:name="LW_INTERETEEE.CP" w:val="&lt;UNUSED&gt;"/>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7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79?\u1072? \u1088?\u1072?\u1079?\u1093?\u1086?\u1076?\u1080?\u1090?\u1077? \u1087?\u1086? \u1083?\u1080?\u1085?\u1080?\u1103? \u1085?\u1072? \u1045?\u1060?\u1043?\u1047?_x000d__x000d__x000b__x000d__x000d__x000b__x000d__x000d__x000b__x000d__x000d__x000b_\u1057?\u1080?\u1089?\u1090?\u1077?\u1084?\u1072? \u1079?\u1072? \u1088?\u1072?\u1085?\u1085?\u1086? \u1087?\u1088?\u1077?\u1076?\u1091?\u1087?\u1088?\u1077?\u1078?\u1076?\u1077?\u1085?\u1080?\u1077? \u8470? 7-10/2020_x000d__x000d__x000d__x000d__x000d__x000d__x000d_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tabs>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unhideWhenUsed/>
    <w:qFormat/>
    <w:pPr>
      <w:keepNext/>
      <w:tabs>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TOC1">
    <w:name w:val="toc 1"/>
    <w:basedOn w:val="Normal"/>
    <w:next w:val="Normal"/>
    <w:autoRedefine/>
    <w:uiPriority w:val="39"/>
    <w:unhideWhenUsed/>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szCs w:val="24"/>
    </w:rPr>
  </w:style>
  <w:style w:type="paragraph" w:styleId="TOC2">
    <w:name w:val="toc 2"/>
    <w:basedOn w:val="Normal"/>
    <w:next w:val="Normal"/>
    <w:autoRedefine/>
    <w:uiPriority w:val="39"/>
    <w:unhideWhenUsed/>
    <w:qFormat/>
    <w:pPr>
      <w:ind w:left="220"/>
    </w:pPr>
    <w:rPr>
      <w:rFonts w:ascii="Calibri" w:eastAsia="Calibri" w:hAnsi="Calibri" w:cs="Times New Roman"/>
    </w:rPr>
  </w:style>
  <w:style w:type="character" w:styleId="Hyperlink">
    <w:name w:val="Hyperlink"/>
    <w:uiPriority w:val="99"/>
    <w:unhideWhenUsed/>
    <w:rPr>
      <w:color w:val="0000FF"/>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styleId="FootnoteReference">
    <w:name w:val="footnote reference"/>
    <w:semiHidden/>
    <w:unhideWhenUsed/>
    <w:rPr>
      <w:vertAlign w:val="superscript"/>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tabs>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unhideWhenUsed/>
    <w:qFormat/>
    <w:pPr>
      <w:keepNext/>
      <w:tabs>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TOC1">
    <w:name w:val="toc 1"/>
    <w:basedOn w:val="Normal"/>
    <w:next w:val="Normal"/>
    <w:autoRedefine/>
    <w:uiPriority w:val="39"/>
    <w:unhideWhenUsed/>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szCs w:val="24"/>
    </w:rPr>
  </w:style>
  <w:style w:type="paragraph" w:styleId="TOC2">
    <w:name w:val="toc 2"/>
    <w:basedOn w:val="Normal"/>
    <w:next w:val="Normal"/>
    <w:autoRedefine/>
    <w:uiPriority w:val="39"/>
    <w:unhideWhenUsed/>
    <w:qFormat/>
    <w:pPr>
      <w:ind w:left="220"/>
    </w:pPr>
    <w:rPr>
      <w:rFonts w:ascii="Calibri" w:eastAsia="Calibri" w:hAnsi="Calibri" w:cs="Times New Roman"/>
    </w:rPr>
  </w:style>
  <w:style w:type="character" w:styleId="Hyperlink">
    <w:name w:val="Hyperlink"/>
    <w:uiPriority w:val="99"/>
    <w:unhideWhenUsed/>
    <w:rPr>
      <w:color w:val="0000FF"/>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styleId="FootnoteReference">
    <w:name w:val="footnote reference"/>
    <w:semiHidden/>
    <w:unhideWhenUsed/>
    <w:rPr>
      <w:vertAlign w:val="superscript"/>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1431</Words>
  <Characters>7614</Characters>
  <Application>Microsoft Office Word</Application>
  <DocSecurity>0</DocSecurity>
  <Lines>185</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dcterms:created xsi:type="dcterms:W3CDTF">2020-11-06T13:24:00Z</dcterms:created>
  <dcterms:modified xsi:type="dcterms:W3CDTF">2020-11-23T08:02:00Z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