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embeddings/oleObject1.bin" ContentType="application/vnd.openxmlformats-officedocument.oleObject"/>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eastAsia="en-GB"/>
        </w:rPr>
      </w:pPr>
      <w:bookmarkStart w:id="0" w:name="LW_BM_COVERPAGE"/>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960B7AB5-9FC7-4694-B260-86AF35445446" style="width:450.8pt;height:428.8pt">
            <v:imagedata r:id="rId10" o:title=""/>
          </v:shape>
        </w:pict>
      </w:r>
    </w:p>
    <w:bookmarkEnd w:id="0"/>
    <w:p>
      <w:pPr>
        <w:rPr>
          <w:rFonts w:eastAsia="Times New Roman"/>
          <w:noProof/>
          <w:lang w:eastAsia="en-GB"/>
        </w:rPr>
        <w:sectPr>
          <w:headerReference w:type="even" r:id="rId11"/>
          <w:headerReference w:type="default" r:id="rId12"/>
          <w:footerReference w:type="even" r:id="rId13"/>
          <w:footerReference w:type="default" r:id="rId14"/>
          <w:headerReference w:type="first" r:id="rId15"/>
          <w:footerReference w:type="first" r:id="rId16"/>
          <w:footnotePr>
            <w:pos w:val="beneathText"/>
          </w:footnotePr>
          <w:pgSz w:w="11906" w:h="16838" w:code="9"/>
          <w:pgMar w:top="1134" w:right="1417" w:bottom="1134" w:left="1417" w:header="709" w:footer="709" w:gutter="0"/>
          <w:pgNumType w:start="111"/>
          <w:cols w:space="720"/>
          <w:docGrid w:linePitch="326"/>
        </w:sectPr>
      </w:pPr>
    </w:p>
    <w:p>
      <w:pPr>
        <w:spacing w:after="0" w:line="240" w:lineRule="auto"/>
        <w:rPr>
          <w:rFonts w:ascii="Calibri" w:eastAsia="Times New Roman" w:hAnsi="Calibri" w:cs="Times New Roman"/>
          <w:b/>
          <w:noProof/>
          <w:color w:val="0099FF"/>
          <w:sz w:val="36"/>
          <w:szCs w:val="32"/>
          <w:lang w:eastAsia="en-GB"/>
        </w:rPr>
      </w:pPr>
      <w:bookmarkStart w:id="1" w:name="_GoBack"/>
      <w:bookmarkEnd w:id="1"/>
      <w:r>
        <w:rPr>
          <w:rFonts w:ascii="Calibri" w:eastAsia="Times New Roman" w:hAnsi="Calibri" w:cs="Times New Roman"/>
          <w:b/>
          <w:noProof/>
          <w:color w:val="0099FF"/>
          <w:sz w:val="36"/>
          <w:szCs w:val="32"/>
          <w:lang w:eastAsia="en-GB"/>
        </w:rPr>
        <w:lastRenderedPageBreak/>
        <w:t>APPENDIX 4 – Task 3 Workshop on 12 March 2020</w:t>
      </w:r>
    </w:p>
    <w:p>
      <w:pPr>
        <w:spacing w:after="0" w:line="240" w:lineRule="auto"/>
        <w:rPr>
          <w:rFonts w:ascii="Calibri" w:eastAsia="Times New Roman" w:hAnsi="Calibri" w:cs="Times New Roman"/>
          <w:b/>
          <w:noProof/>
          <w:color w:val="222F64"/>
          <w:sz w:val="32"/>
          <w:szCs w:val="32"/>
          <w:highlight w:val="yellow"/>
          <w:lang w:eastAsia="en-GB"/>
        </w:rPr>
      </w:pPr>
    </w:p>
    <w:p>
      <w:pPr>
        <w:jc w:val="center"/>
        <w:rPr>
          <w:rFonts w:ascii="Calibri" w:eastAsia="Times New Roman" w:hAnsi="Calibri" w:cs="Times New Roman"/>
          <w:noProof/>
          <w:highlight w:val="yellow"/>
          <w:lang w:eastAsia="en-GB"/>
        </w:rPr>
      </w:pPr>
      <w:r>
        <w:rPr>
          <w:noProof/>
          <w:lang w:eastAsia="en-GB"/>
        </w:rPr>
        <w:drawing>
          <wp:inline distT="0" distB="0" distL="0" distR="0">
            <wp:extent cx="7896225" cy="538783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7899757" cy="5390243"/>
                    </a:xfrm>
                    <a:prstGeom prst="rect">
                      <a:avLst/>
                    </a:prstGeom>
                  </pic:spPr>
                </pic:pic>
              </a:graphicData>
            </a:graphic>
          </wp:inline>
        </w:drawing>
      </w:r>
    </w:p>
    <w:p>
      <w:pPr>
        <w:jc w:val="center"/>
        <w:rPr>
          <w:rFonts w:ascii="Calibri" w:eastAsia="Times New Roman" w:hAnsi="Calibri" w:cs="Times New Roman"/>
          <w:b/>
          <w:noProof/>
          <w:highlight w:val="yellow"/>
          <w:lang w:eastAsia="en-GB"/>
        </w:rPr>
      </w:pPr>
      <w:r>
        <w:rPr>
          <w:noProof/>
          <w:lang w:eastAsia="en-GB"/>
        </w:rPr>
        <w:lastRenderedPageBreak/>
        <w:drawing>
          <wp:inline distT="0" distB="0" distL="0" distR="0">
            <wp:extent cx="8229600" cy="55670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8229600" cy="5567045"/>
                    </a:xfrm>
                    <a:prstGeom prst="rect">
                      <a:avLst/>
                    </a:prstGeom>
                  </pic:spPr>
                </pic:pic>
              </a:graphicData>
            </a:graphic>
          </wp:inline>
        </w:drawing>
      </w:r>
    </w:p>
    <w:p>
      <w:pPr>
        <w:jc w:val="center"/>
        <w:rPr>
          <w:rFonts w:ascii="Calibri" w:eastAsia="Times New Roman" w:hAnsi="Calibri" w:cs="Times New Roman"/>
          <w:b/>
          <w:noProof/>
          <w:highlight w:val="yellow"/>
          <w:lang w:eastAsia="en-GB"/>
        </w:rPr>
      </w:pPr>
    </w:p>
    <w:p>
      <w:pPr>
        <w:jc w:val="center"/>
        <w:rPr>
          <w:rFonts w:ascii="Calibri" w:eastAsia="Times New Roman" w:hAnsi="Calibri" w:cs="Times New Roman"/>
          <w:b/>
          <w:noProof/>
          <w:highlight w:val="yellow"/>
          <w:lang w:eastAsia="en-GB"/>
        </w:rPr>
      </w:pPr>
      <w:r>
        <w:rPr>
          <w:noProof/>
          <w:lang w:eastAsia="en-GB"/>
        </w:rPr>
        <w:drawing>
          <wp:inline distT="0" distB="0" distL="0" distR="0">
            <wp:extent cx="7574915" cy="59436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7574915" cy="5943600"/>
                    </a:xfrm>
                    <a:prstGeom prst="rect">
                      <a:avLst/>
                    </a:prstGeom>
                  </pic:spPr>
                </pic:pic>
              </a:graphicData>
            </a:graphic>
          </wp:inline>
        </w:drawing>
      </w:r>
    </w:p>
    <w:p>
      <w:pPr>
        <w:jc w:val="center"/>
        <w:rPr>
          <w:rFonts w:ascii="Calibri" w:eastAsia="Times New Roman" w:hAnsi="Calibri" w:cs="Times New Roman"/>
          <w:b/>
          <w:noProof/>
          <w:highlight w:val="yellow"/>
          <w:lang w:eastAsia="en-GB"/>
        </w:rPr>
      </w:pPr>
      <w:r>
        <w:rPr>
          <w:noProof/>
          <w:lang w:eastAsia="en-GB"/>
        </w:rPr>
        <w:drawing>
          <wp:inline distT="0" distB="0" distL="0" distR="0">
            <wp:extent cx="7618730" cy="59436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7618730" cy="5943600"/>
                    </a:xfrm>
                    <a:prstGeom prst="rect">
                      <a:avLst/>
                    </a:prstGeom>
                  </pic:spPr>
                </pic:pic>
              </a:graphicData>
            </a:graphic>
          </wp:inline>
        </w:drawing>
      </w:r>
    </w:p>
    <w:p>
      <w:pPr>
        <w:jc w:val="center"/>
        <w:rPr>
          <w:rFonts w:ascii="Calibri" w:eastAsia="Times New Roman" w:hAnsi="Calibri" w:cs="Times New Roman"/>
          <w:b/>
          <w:noProof/>
          <w:highlight w:val="yellow"/>
          <w:lang w:eastAsia="en-GB"/>
        </w:rPr>
      </w:pPr>
      <w:r>
        <w:rPr>
          <w:noProof/>
          <w:lang w:eastAsia="en-GB"/>
        </w:rPr>
        <w:drawing>
          <wp:inline distT="0" distB="0" distL="0" distR="0">
            <wp:extent cx="7621905"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7621905" cy="5943600"/>
                    </a:xfrm>
                    <a:prstGeom prst="rect">
                      <a:avLst/>
                    </a:prstGeom>
                  </pic:spPr>
                </pic:pic>
              </a:graphicData>
            </a:graphic>
          </wp:inline>
        </w:drawing>
      </w:r>
    </w:p>
    <w:p>
      <w:pPr>
        <w:jc w:val="center"/>
        <w:rPr>
          <w:rFonts w:ascii="Calibri" w:eastAsia="Times New Roman" w:hAnsi="Calibri" w:cs="Times New Roman"/>
          <w:b/>
          <w:noProof/>
          <w:highlight w:val="yellow"/>
          <w:lang w:eastAsia="en-GB"/>
        </w:rPr>
      </w:pPr>
      <w:r>
        <w:rPr>
          <w:noProof/>
          <w:lang w:eastAsia="en-GB"/>
        </w:rPr>
        <w:drawing>
          <wp:inline distT="0" distB="0" distL="0" distR="0">
            <wp:extent cx="7663815" cy="5943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7663815" cy="5943600"/>
                    </a:xfrm>
                    <a:prstGeom prst="rect">
                      <a:avLst/>
                    </a:prstGeom>
                  </pic:spPr>
                </pic:pic>
              </a:graphicData>
            </a:graphic>
          </wp:inline>
        </w:drawing>
      </w:r>
    </w:p>
    <w:p>
      <w:pPr>
        <w:jc w:val="center"/>
        <w:rPr>
          <w:rFonts w:ascii="Calibri" w:eastAsia="Times New Roman" w:hAnsi="Calibri" w:cs="Times New Roman"/>
          <w:b/>
          <w:noProof/>
          <w:highlight w:val="yellow"/>
          <w:lang w:eastAsia="en-GB"/>
        </w:rPr>
      </w:pPr>
      <w:r>
        <w:rPr>
          <w:noProof/>
          <w:lang w:eastAsia="en-GB"/>
        </w:rPr>
        <w:drawing>
          <wp:inline distT="0" distB="0" distL="0" distR="0">
            <wp:extent cx="7583805" cy="5943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7583805" cy="5943600"/>
                    </a:xfrm>
                    <a:prstGeom prst="rect">
                      <a:avLst/>
                    </a:prstGeom>
                  </pic:spPr>
                </pic:pic>
              </a:graphicData>
            </a:graphic>
          </wp:inline>
        </w:drawing>
      </w:r>
    </w:p>
    <w:p>
      <w:pPr>
        <w:jc w:val="center"/>
        <w:rPr>
          <w:rFonts w:ascii="Calibri" w:eastAsia="Times New Roman" w:hAnsi="Calibri" w:cs="Times New Roman"/>
          <w:b/>
          <w:noProof/>
          <w:highlight w:val="yellow"/>
          <w:lang w:eastAsia="en-GB"/>
        </w:rPr>
      </w:pPr>
      <w:r>
        <w:rPr>
          <w:noProof/>
          <w:lang w:eastAsia="en-GB"/>
        </w:rPr>
        <w:drawing>
          <wp:inline distT="0" distB="0" distL="0" distR="0">
            <wp:extent cx="7623810" cy="594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7623810" cy="5943600"/>
                    </a:xfrm>
                    <a:prstGeom prst="rect">
                      <a:avLst/>
                    </a:prstGeom>
                  </pic:spPr>
                </pic:pic>
              </a:graphicData>
            </a:graphic>
          </wp:inline>
        </w:drawing>
      </w:r>
      <w:r>
        <w:rPr>
          <w:rFonts w:ascii="Calibri" w:eastAsia="Times New Roman" w:hAnsi="Calibri" w:cs="Times New Roman"/>
          <w:b/>
          <w:noProof/>
          <w:highlight w:val="yellow"/>
          <w:lang w:eastAsia="en-GB"/>
        </w:rPr>
        <w:br w:type="page"/>
      </w:r>
    </w:p>
    <w:p>
      <w:pPr>
        <w:rPr>
          <w:rFonts w:ascii="Calibri" w:eastAsia="Times New Roman" w:hAnsi="Calibri" w:cs="Times New Roman"/>
          <w:b/>
          <w:noProof/>
          <w:highlight w:val="yellow"/>
          <w:lang w:eastAsia="en-GB"/>
        </w:rPr>
        <w:sectPr>
          <w:headerReference w:type="even" r:id="rId25"/>
          <w:headerReference w:type="default" r:id="rId26"/>
          <w:footerReference w:type="even" r:id="rId27"/>
          <w:footerReference w:type="default" r:id="rId28"/>
          <w:headerReference w:type="first" r:id="rId29"/>
          <w:footerReference w:type="first" r:id="rId30"/>
          <w:pgSz w:w="15840" w:h="12240" w:orient="landscape"/>
          <w:pgMar w:top="1440" w:right="1440" w:bottom="1440" w:left="1440" w:header="720" w:footer="720" w:gutter="0"/>
          <w:pgNumType w:start="153"/>
          <w:cols w:space="720"/>
          <w:docGrid w:linePitch="360"/>
        </w:sectPr>
      </w:pPr>
    </w:p>
    <w:p>
      <w:pPr>
        <w:spacing w:after="0" w:line="240" w:lineRule="auto"/>
        <w:jc w:val="center"/>
        <w:rPr>
          <w:rFonts w:eastAsiaTheme="minorHAnsi"/>
          <w:b/>
          <w:noProof/>
          <w:sz w:val="28"/>
        </w:rPr>
      </w:pPr>
    </w:p>
    <w:p>
      <w:pPr>
        <w:spacing w:after="0" w:line="240" w:lineRule="auto"/>
        <w:jc w:val="center"/>
        <w:rPr>
          <w:rFonts w:eastAsiaTheme="minorHAnsi"/>
          <w:b/>
          <w:noProof/>
          <w:sz w:val="28"/>
        </w:rPr>
      </w:pPr>
      <w:r>
        <w:rPr>
          <w:rFonts w:eastAsiaTheme="minorHAnsi"/>
          <w:b/>
          <w:noProof/>
          <w:sz w:val="28"/>
        </w:rPr>
        <w:t>DG MOVE-DG CLIMA study on the effects of</w:t>
      </w:r>
    </w:p>
    <w:p>
      <w:pPr>
        <w:spacing w:after="0" w:line="240" w:lineRule="auto"/>
        <w:jc w:val="center"/>
        <w:rPr>
          <w:rFonts w:eastAsiaTheme="minorHAnsi"/>
          <w:b/>
          <w:noProof/>
          <w:sz w:val="28"/>
        </w:rPr>
      </w:pPr>
      <w:r>
        <w:rPr>
          <w:rFonts w:eastAsiaTheme="minorHAnsi"/>
          <w:b/>
          <w:noProof/>
          <w:sz w:val="28"/>
        </w:rPr>
        <w:t>non-CO</w:t>
      </w:r>
      <w:r>
        <w:rPr>
          <w:rFonts w:eastAsiaTheme="minorHAnsi"/>
          <w:b/>
          <w:noProof/>
          <w:sz w:val="28"/>
          <w:vertAlign w:val="subscript"/>
        </w:rPr>
        <w:t>2</w:t>
      </w:r>
      <w:r>
        <w:rPr>
          <w:rFonts w:eastAsiaTheme="minorHAnsi"/>
          <w:b/>
          <w:noProof/>
          <w:sz w:val="28"/>
        </w:rPr>
        <w:t xml:space="preserve"> aviation emissions on climate change </w:t>
      </w:r>
    </w:p>
    <w:p>
      <w:pPr>
        <w:spacing w:after="0" w:line="240" w:lineRule="auto"/>
        <w:jc w:val="center"/>
        <w:rPr>
          <w:rFonts w:eastAsiaTheme="minorHAnsi"/>
          <w:b/>
          <w:noProof/>
          <w:sz w:val="28"/>
        </w:rPr>
      </w:pPr>
    </w:p>
    <w:p>
      <w:pPr>
        <w:spacing w:after="0" w:line="240" w:lineRule="auto"/>
        <w:jc w:val="center"/>
        <w:rPr>
          <w:rFonts w:eastAsiaTheme="minorHAnsi"/>
          <w:b/>
          <w:noProof/>
          <w:sz w:val="28"/>
        </w:rPr>
      </w:pPr>
      <w:r>
        <w:rPr>
          <w:rFonts w:eastAsiaTheme="minorHAnsi"/>
          <w:b/>
          <w:noProof/>
          <w:sz w:val="28"/>
        </w:rPr>
        <w:t>EASA, Brussels</w:t>
      </w:r>
    </w:p>
    <w:p>
      <w:pPr>
        <w:spacing w:after="0" w:line="240" w:lineRule="auto"/>
        <w:jc w:val="center"/>
        <w:rPr>
          <w:rFonts w:eastAsiaTheme="minorHAnsi"/>
          <w:b/>
          <w:noProof/>
          <w:sz w:val="28"/>
        </w:rPr>
      </w:pPr>
      <w:r>
        <w:rPr>
          <w:rFonts w:eastAsiaTheme="minorHAnsi"/>
          <w:b/>
          <w:noProof/>
          <w:sz w:val="28"/>
        </w:rPr>
        <w:t>12 March 2020</w:t>
      </w:r>
    </w:p>
    <w:p>
      <w:pPr>
        <w:spacing w:after="0" w:line="240" w:lineRule="auto"/>
        <w:jc w:val="center"/>
        <w:rPr>
          <w:rFonts w:eastAsiaTheme="minorHAnsi"/>
          <w:b/>
          <w:noProof/>
          <w:sz w:val="28"/>
        </w:rPr>
      </w:pPr>
    </w:p>
    <w:p>
      <w:pPr>
        <w:spacing w:after="0" w:line="240" w:lineRule="auto"/>
        <w:jc w:val="center"/>
        <w:rPr>
          <w:rFonts w:eastAsiaTheme="minorHAnsi"/>
          <w:b/>
          <w:noProof/>
          <w:sz w:val="28"/>
        </w:rPr>
      </w:pPr>
      <w:r>
        <w:rPr>
          <w:rFonts w:eastAsiaTheme="minorHAnsi"/>
          <w:b/>
          <w:noProof/>
          <w:sz w:val="28"/>
        </w:rPr>
        <w:t>Summary Record of Meeting</w:t>
      </w:r>
    </w:p>
    <w:p>
      <w:pPr>
        <w:spacing w:after="0" w:line="240" w:lineRule="auto"/>
        <w:rPr>
          <w:rFonts w:eastAsiaTheme="minorHAnsi"/>
          <w:noProof/>
        </w:rPr>
      </w:pPr>
    </w:p>
    <w:p>
      <w:pPr>
        <w:spacing w:after="0" w:line="240" w:lineRule="auto"/>
        <w:rPr>
          <w:rFonts w:eastAsiaTheme="minorHAnsi"/>
          <w:noProof/>
        </w:rPr>
      </w:pPr>
    </w:p>
    <w:p>
      <w:pPr>
        <w:spacing w:after="0" w:line="240" w:lineRule="auto"/>
        <w:rPr>
          <w:rFonts w:eastAsiaTheme="minorHAnsi"/>
          <w:b/>
          <w:noProof/>
          <w:sz w:val="24"/>
          <w:szCs w:val="24"/>
        </w:rPr>
      </w:pPr>
      <w:r>
        <w:rPr>
          <w:rFonts w:eastAsiaTheme="minorHAnsi"/>
          <w:b/>
          <w:noProof/>
          <w:sz w:val="24"/>
          <w:szCs w:val="24"/>
        </w:rPr>
        <w:t>1. Welcome and Introductions</w:t>
      </w:r>
    </w:p>
    <w:p>
      <w:pPr>
        <w:spacing w:after="0" w:line="240" w:lineRule="auto"/>
        <w:rPr>
          <w:rFonts w:eastAsiaTheme="minorHAnsi"/>
          <w:noProof/>
          <w:sz w:val="24"/>
          <w:szCs w:val="24"/>
        </w:rPr>
      </w:pPr>
    </w:p>
    <w:p>
      <w:pPr>
        <w:spacing w:after="0" w:line="240" w:lineRule="auto"/>
        <w:rPr>
          <w:rFonts w:eastAsiaTheme="minorHAnsi"/>
          <w:noProof/>
          <w:sz w:val="24"/>
          <w:szCs w:val="24"/>
        </w:rPr>
      </w:pPr>
      <w:r>
        <w:rPr>
          <w:rFonts w:eastAsiaTheme="minorHAnsi"/>
          <w:noProof/>
          <w:sz w:val="24"/>
          <w:szCs w:val="24"/>
        </w:rPr>
        <w:t>Participation: Rob Gemmill, Jarlath Molloy, Lisanne van Wijngaarden, Jasper Faber, Philippe Lenne, Rik Brouwer, Peter Vis, Chris Lewis, Stephen Arrowsmith, Joonas Laukia.</w:t>
      </w:r>
    </w:p>
    <w:p>
      <w:pPr>
        <w:spacing w:after="0" w:line="240" w:lineRule="auto"/>
        <w:rPr>
          <w:rFonts w:eastAsiaTheme="minorHAnsi"/>
          <w:noProof/>
          <w:sz w:val="24"/>
          <w:szCs w:val="24"/>
        </w:rPr>
      </w:pPr>
    </w:p>
    <w:p>
      <w:pPr>
        <w:spacing w:after="0" w:line="240" w:lineRule="auto"/>
        <w:rPr>
          <w:rFonts w:eastAsiaTheme="minorHAnsi"/>
          <w:noProof/>
          <w:sz w:val="24"/>
          <w:szCs w:val="24"/>
        </w:rPr>
      </w:pPr>
      <w:r>
        <w:rPr>
          <w:rFonts w:eastAsiaTheme="minorHAnsi"/>
          <w:noProof/>
          <w:sz w:val="24"/>
          <w:szCs w:val="24"/>
        </w:rPr>
        <w:t xml:space="preserve">Remotely: David Lee, Andreas Busa, Stefan Ebert, Cheryl Micallef-Borg. </w:t>
      </w:r>
    </w:p>
    <w:p>
      <w:pPr>
        <w:spacing w:after="0" w:line="240" w:lineRule="auto"/>
        <w:rPr>
          <w:rFonts w:eastAsiaTheme="minorHAnsi"/>
          <w:noProof/>
          <w:sz w:val="24"/>
          <w:szCs w:val="24"/>
        </w:rPr>
      </w:pPr>
    </w:p>
    <w:p>
      <w:pPr>
        <w:spacing w:after="0" w:line="240" w:lineRule="auto"/>
        <w:rPr>
          <w:rFonts w:eastAsiaTheme="minorHAnsi"/>
          <w:b/>
          <w:noProof/>
          <w:sz w:val="24"/>
          <w:szCs w:val="24"/>
        </w:rPr>
      </w:pPr>
      <w:r>
        <w:rPr>
          <w:rFonts w:eastAsiaTheme="minorHAnsi"/>
          <w:b/>
          <w:noProof/>
          <w:sz w:val="24"/>
          <w:szCs w:val="24"/>
        </w:rPr>
        <w:t xml:space="preserve">2.  Summary of study ToR and confidentiality </w:t>
      </w:r>
    </w:p>
    <w:p>
      <w:pPr>
        <w:spacing w:after="0" w:line="240" w:lineRule="auto"/>
        <w:rPr>
          <w:rFonts w:eastAsiaTheme="minorHAnsi"/>
          <w:noProof/>
          <w:sz w:val="24"/>
          <w:szCs w:val="24"/>
        </w:rPr>
      </w:pPr>
    </w:p>
    <w:p>
      <w:pPr>
        <w:spacing w:after="0" w:line="240" w:lineRule="auto"/>
        <w:jc w:val="both"/>
        <w:rPr>
          <w:rFonts w:eastAsiaTheme="minorHAnsi"/>
          <w:noProof/>
          <w:sz w:val="24"/>
          <w:szCs w:val="24"/>
        </w:rPr>
      </w:pPr>
      <w:r>
        <w:rPr>
          <w:rFonts w:eastAsiaTheme="minorHAnsi"/>
          <w:noProof/>
          <w:sz w:val="24"/>
          <w:szCs w:val="24"/>
        </w:rPr>
        <w:t>Stephen provided some background to the project, and the meeting objectives. EASA is currently managing the project on behalf of the European Commission to examine the most recent knowledge on the climate change effects of non-CO</w:t>
      </w:r>
      <w:r>
        <w:rPr>
          <w:rFonts w:eastAsiaTheme="minorHAnsi"/>
          <w:noProof/>
          <w:sz w:val="24"/>
          <w:szCs w:val="24"/>
          <w:vertAlign w:val="subscript"/>
        </w:rPr>
        <w:t>2</w:t>
      </w:r>
      <w:r>
        <w:rPr>
          <w:rFonts w:eastAsiaTheme="minorHAnsi"/>
          <w:noProof/>
          <w:sz w:val="24"/>
          <w:szCs w:val="24"/>
        </w:rPr>
        <w:t xml:space="preserve"> emissions from aviation, and potential policy options to reduce these impacts. The project arises from the EU ETS Directive Article 30(4), which requests for an analysis on the effects of non-CO</w:t>
      </w:r>
      <w:r>
        <w:rPr>
          <w:rFonts w:eastAsiaTheme="minorHAnsi"/>
          <w:noProof/>
          <w:sz w:val="24"/>
          <w:szCs w:val="24"/>
          <w:vertAlign w:val="subscript"/>
        </w:rPr>
        <w:t>2</w:t>
      </w:r>
      <w:r>
        <w:rPr>
          <w:rFonts w:eastAsiaTheme="minorHAnsi"/>
          <w:noProof/>
          <w:sz w:val="24"/>
          <w:szCs w:val="24"/>
        </w:rPr>
        <w:t xml:space="preserve"> aviation emissions on climate change. </w:t>
      </w:r>
    </w:p>
    <w:p>
      <w:pPr>
        <w:spacing w:after="0" w:line="240" w:lineRule="auto"/>
        <w:jc w:val="both"/>
        <w:rPr>
          <w:rFonts w:eastAsiaTheme="minorHAnsi"/>
          <w:noProof/>
          <w:sz w:val="24"/>
          <w:szCs w:val="24"/>
        </w:rPr>
      </w:pPr>
      <w:r>
        <w:rPr>
          <w:rFonts w:eastAsiaTheme="minorHAnsi"/>
          <w:noProof/>
          <w:sz w:val="24"/>
          <w:szCs w:val="24"/>
        </w:rPr>
        <w:t xml:space="preserve"> </w:t>
      </w:r>
    </w:p>
    <w:p>
      <w:pPr>
        <w:spacing w:after="0" w:line="240" w:lineRule="auto"/>
        <w:jc w:val="both"/>
        <w:rPr>
          <w:rFonts w:eastAsiaTheme="minorHAnsi"/>
          <w:noProof/>
          <w:sz w:val="24"/>
          <w:szCs w:val="24"/>
        </w:rPr>
      </w:pPr>
      <w:r>
        <w:rPr>
          <w:rFonts w:eastAsiaTheme="minorHAnsi"/>
          <w:noProof/>
          <w:sz w:val="24"/>
          <w:szCs w:val="24"/>
        </w:rPr>
        <w:t>The project team contains task focal points for science, existing mitigation measures and trade-offs, and further potential policy action. Stephen clarified that the purpose of the workshop was to discuss the initial findings on the potential policy options to reduce the impact of non-CO</w:t>
      </w:r>
      <w:r>
        <w:rPr>
          <w:rFonts w:eastAsiaTheme="minorHAnsi"/>
          <w:noProof/>
          <w:sz w:val="24"/>
          <w:szCs w:val="24"/>
          <w:vertAlign w:val="subscript"/>
        </w:rPr>
        <w:t>2</w:t>
      </w:r>
      <w:r>
        <w:rPr>
          <w:rFonts w:eastAsiaTheme="minorHAnsi"/>
          <w:noProof/>
          <w:sz w:val="24"/>
          <w:szCs w:val="24"/>
        </w:rPr>
        <w:t xml:space="preserve"> emissions. He also highlighted that the report, and recommendations included therein, is still work in progress, and should be treated on a confidential basis.</w:t>
      </w:r>
    </w:p>
    <w:p>
      <w:pPr>
        <w:spacing w:after="0" w:line="240" w:lineRule="auto"/>
        <w:rPr>
          <w:rFonts w:eastAsiaTheme="minorHAnsi"/>
          <w:noProof/>
          <w:sz w:val="24"/>
          <w:szCs w:val="24"/>
        </w:rPr>
      </w:pPr>
    </w:p>
    <w:p>
      <w:pPr>
        <w:spacing w:after="0" w:line="240" w:lineRule="auto"/>
        <w:rPr>
          <w:rFonts w:eastAsiaTheme="minorHAnsi"/>
          <w:b/>
          <w:noProof/>
          <w:sz w:val="24"/>
          <w:szCs w:val="24"/>
        </w:rPr>
      </w:pPr>
      <w:r>
        <w:rPr>
          <w:rFonts w:eastAsiaTheme="minorHAnsi"/>
          <w:b/>
          <w:noProof/>
          <w:sz w:val="24"/>
          <w:szCs w:val="24"/>
        </w:rPr>
        <w:t>3.  Summary of most recent knowledge on the climate change effects of non-CO</w:t>
      </w:r>
      <w:r>
        <w:rPr>
          <w:rFonts w:eastAsiaTheme="minorHAnsi"/>
          <w:b/>
          <w:noProof/>
          <w:sz w:val="24"/>
          <w:szCs w:val="24"/>
          <w:vertAlign w:val="subscript"/>
        </w:rPr>
        <w:t>2</w:t>
      </w:r>
      <w:r>
        <w:rPr>
          <w:rFonts w:eastAsiaTheme="minorHAnsi"/>
          <w:b/>
          <w:noProof/>
          <w:sz w:val="24"/>
          <w:szCs w:val="24"/>
        </w:rPr>
        <w:t xml:space="preserve"> from aviation activities</w:t>
      </w:r>
    </w:p>
    <w:p>
      <w:pPr>
        <w:spacing w:after="0" w:line="240" w:lineRule="auto"/>
        <w:rPr>
          <w:rFonts w:eastAsiaTheme="minorHAnsi"/>
          <w:b/>
          <w:noProof/>
          <w:color w:val="0070C0"/>
          <w:sz w:val="24"/>
          <w:szCs w:val="24"/>
        </w:rPr>
      </w:pPr>
    </w:p>
    <w:p>
      <w:pPr>
        <w:spacing w:after="0" w:line="240" w:lineRule="auto"/>
        <w:jc w:val="both"/>
        <w:rPr>
          <w:rFonts w:eastAsiaTheme="minorHAnsi"/>
          <w:noProof/>
          <w:color w:val="000000" w:themeColor="text1"/>
        </w:rPr>
      </w:pPr>
      <w:r>
        <w:rPr>
          <w:rFonts w:eastAsiaTheme="minorHAnsi"/>
          <w:noProof/>
          <w:color w:val="000000" w:themeColor="text1"/>
        </w:rPr>
        <w:t>David presented the summary of most recent knowledge on the climate change effects of non-CO</w:t>
      </w:r>
      <w:r>
        <w:rPr>
          <w:rFonts w:eastAsiaTheme="minorHAnsi"/>
          <w:noProof/>
          <w:color w:val="000000" w:themeColor="text1"/>
          <w:vertAlign w:val="subscript"/>
        </w:rPr>
        <w:t>2</w:t>
      </w:r>
      <w:r>
        <w:rPr>
          <w:rFonts w:eastAsiaTheme="minorHAnsi"/>
          <w:noProof/>
          <w:color w:val="000000" w:themeColor="text1"/>
        </w:rPr>
        <w:t xml:space="preserve"> from aviation activities. He summarised that:</w:t>
      </w:r>
    </w:p>
    <w:p>
      <w:pPr>
        <w:numPr>
          <w:ilvl w:val="0"/>
          <w:numId w:val="5"/>
        </w:numPr>
        <w:spacing w:after="0" w:line="240" w:lineRule="auto"/>
        <w:contextualSpacing/>
        <w:rPr>
          <w:rFonts w:eastAsiaTheme="minorHAnsi"/>
          <w:noProof/>
          <w:color w:val="000000" w:themeColor="text1"/>
        </w:rPr>
      </w:pPr>
      <w:r>
        <w:rPr>
          <w:rFonts w:eastAsiaTheme="minorHAnsi"/>
          <w:noProof/>
          <w:color w:val="000000" w:themeColor="text1"/>
        </w:rPr>
        <w:t>Significant uncertainties still remain on non-CO</w:t>
      </w:r>
      <w:r>
        <w:rPr>
          <w:rFonts w:eastAsiaTheme="minorHAnsi"/>
          <w:noProof/>
          <w:color w:val="000000" w:themeColor="text1"/>
          <w:vertAlign w:val="subscript"/>
        </w:rPr>
        <w:t>2</w:t>
      </w:r>
      <w:r>
        <w:rPr>
          <w:rFonts w:eastAsiaTheme="minorHAnsi"/>
          <w:noProof/>
          <w:color w:val="000000" w:themeColor="text1"/>
        </w:rPr>
        <w:t xml:space="preserve"> issues; </w:t>
      </w:r>
    </w:p>
    <w:p>
      <w:pPr>
        <w:numPr>
          <w:ilvl w:val="0"/>
          <w:numId w:val="5"/>
        </w:numPr>
        <w:spacing w:after="0" w:line="240" w:lineRule="auto"/>
        <w:contextualSpacing/>
        <w:rPr>
          <w:rFonts w:eastAsiaTheme="minorHAnsi"/>
          <w:noProof/>
          <w:color w:val="000000" w:themeColor="text1"/>
        </w:rPr>
      </w:pPr>
      <w:r>
        <w:rPr>
          <w:rFonts w:eastAsiaTheme="minorHAnsi"/>
          <w:noProof/>
          <w:color w:val="000000" w:themeColor="text1"/>
        </w:rPr>
        <w:t>The main quantifiable non-CO</w:t>
      </w:r>
      <w:r>
        <w:rPr>
          <w:rFonts w:eastAsiaTheme="minorHAnsi"/>
          <w:noProof/>
          <w:color w:val="000000" w:themeColor="text1"/>
          <w:vertAlign w:val="subscript"/>
        </w:rPr>
        <w:t>2</w:t>
      </w:r>
      <w:r>
        <w:rPr>
          <w:rFonts w:eastAsiaTheme="minorHAnsi"/>
          <w:noProof/>
          <w:color w:val="000000" w:themeColor="text1"/>
        </w:rPr>
        <w:t xml:space="preserve"> effects are from NOx and contrail cirrus;</w:t>
      </w:r>
    </w:p>
    <w:p>
      <w:pPr>
        <w:numPr>
          <w:ilvl w:val="0"/>
          <w:numId w:val="5"/>
        </w:numPr>
        <w:spacing w:after="0" w:line="240" w:lineRule="auto"/>
        <w:contextualSpacing/>
        <w:rPr>
          <w:rFonts w:eastAsiaTheme="minorHAnsi"/>
          <w:noProof/>
          <w:color w:val="000000" w:themeColor="text1"/>
        </w:rPr>
      </w:pPr>
      <w:r>
        <w:rPr>
          <w:rFonts w:eastAsiaTheme="minorHAnsi"/>
          <w:noProof/>
          <w:color w:val="000000" w:themeColor="text1"/>
        </w:rPr>
        <w:t>The general climate science move from RF to ERF affects both the above terms significantly</w:t>
      </w:r>
    </w:p>
    <w:p>
      <w:pPr>
        <w:numPr>
          <w:ilvl w:val="0"/>
          <w:numId w:val="5"/>
        </w:numPr>
        <w:spacing w:after="0" w:line="240" w:lineRule="auto"/>
        <w:contextualSpacing/>
        <w:jc w:val="both"/>
        <w:rPr>
          <w:rFonts w:eastAsiaTheme="minorHAnsi"/>
          <w:noProof/>
          <w:color w:val="000000" w:themeColor="text1"/>
        </w:rPr>
      </w:pPr>
      <w:r>
        <w:rPr>
          <w:rFonts w:eastAsiaTheme="minorHAnsi"/>
          <w:noProof/>
          <w:color w:val="000000" w:themeColor="text1"/>
        </w:rPr>
        <w:t>There are large uncertainties on aerosol-cloud interactions, and a best estimate</w:t>
      </w:r>
      <w:r>
        <w:rPr>
          <w:rFonts w:eastAsiaTheme="minorHAnsi"/>
          <w:noProof/>
          <w:color w:val="000000" w:themeColor="text1"/>
          <w:vertAlign w:val="superscript"/>
        </w:rPr>
        <w:footnoteReference w:id="1"/>
      </w:r>
      <w:r>
        <w:rPr>
          <w:rFonts w:eastAsiaTheme="minorHAnsi"/>
          <w:noProof/>
          <w:color w:val="000000" w:themeColor="text1"/>
        </w:rPr>
        <w:t xml:space="preserve"> for these is not available;</w:t>
      </w:r>
    </w:p>
    <w:p>
      <w:pPr>
        <w:numPr>
          <w:ilvl w:val="0"/>
          <w:numId w:val="5"/>
        </w:numPr>
        <w:spacing w:after="0" w:line="240" w:lineRule="auto"/>
        <w:contextualSpacing/>
        <w:jc w:val="both"/>
        <w:rPr>
          <w:rFonts w:eastAsiaTheme="minorHAnsi"/>
          <w:noProof/>
          <w:color w:val="000000" w:themeColor="text1"/>
        </w:rPr>
      </w:pPr>
      <w:r>
        <w:rPr>
          <w:rFonts w:eastAsiaTheme="minorHAnsi"/>
          <w:noProof/>
          <w:color w:val="000000" w:themeColor="text1"/>
        </w:rPr>
        <w:t>A number of emission equivalence metrics exist, e.g. GWP, GTP, GWP*, ATR with a range of time horizons (TH) - none can be recommended over the other, since usage depends on concern and user choices such as TH;</w:t>
      </w:r>
    </w:p>
    <w:p>
      <w:pPr>
        <w:numPr>
          <w:ilvl w:val="0"/>
          <w:numId w:val="5"/>
        </w:numPr>
        <w:spacing w:after="0" w:line="240" w:lineRule="auto"/>
        <w:contextualSpacing/>
        <w:jc w:val="both"/>
        <w:rPr>
          <w:rFonts w:eastAsiaTheme="minorHAnsi"/>
          <w:noProof/>
          <w:color w:val="000000" w:themeColor="text1"/>
        </w:rPr>
      </w:pPr>
      <w:r>
        <w:rPr>
          <w:rFonts w:eastAsiaTheme="minorHAnsi"/>
          <w:noProof/>
          <w:color w:val="000000" w:themeColor="text1"/>
        </w:rPr>
        <w:t>‘Trades’ of non-CO</w:t>
      </w:r>
      <w:r>
        <w:rPr>
          <w:rFonts w:eastAsiaTheme="minorHAnsi"/>
          <w:noProof/>
          <w:color w:val="000000" w:themeColor="text1"/>
          <w:vertAlign w:val="subscript"/>
        </w:rPr>
        <w:t>2</w:t>
      </w:r>
      <w:r>
        <w:rPr>
          <w:rFonts w:eastAsiaTheme="minorHAnsi"/>
          <w:noProof/>
          <w:color w:val="000000" w:themeColor="text1"/>
        </w:rPr>
        <w:t xml:space="preserve"> against CO</w:t>
      </w:r>
      <w:r>
        <w:rPr>
          <w:rFonts w:eastAsiaTheme="minorHAnsi"/>
          <w:noProof/>
          <w:color w:val="000000" w:themeColor="text1"/>
          <w:vertAlign w:val="subscript"/>
        </w:rPr>
        <w:t>2</w:t>
      </w:r>
      <w:r>
        <w:rPr>
          <w:rFonts w:eastAsiaTheme="minorHAnsi"/>
          <w:noProof/>
          <w:color w:val="000000" w:themeColor="text1"/>
        </w:rPr>
        <w:t xml:space="preserve"> need to be considered carefully to ensure no-regrets policies;</w:t>
      </w:r>
    </w:p>
    <w:p>
      <w:pPr>
        <w:numPr>
          <w:ilvl w:val="0"/>
          <w:numId w:val="5"/>
        </w:numPr>
        <w:spacing w:after="0" w:line="240" w:lineRule="auto"/>
        <w:contextualSpacing/>
        <w:jc w:val="both"/>
        <w:rPr>
          <w:rFonts w:eastAsiaTheme="minorHAnsi"/>
          <w:noProof/>
          <w:color w:val="000000" w:themeColor="text1"/>
        </w:rPr>
      </w:pPr>
      <w:r>
        <w:rPr>
          <w:rFonts w:eastAsiaTheme="minorHAnsi"/>
          <w:noProof/>
          <w:color w:val="000000" w:themeColor="text1"/>
        </w:rPr>
        <w:t>Future impacts of NOx effects may change in sign, depending on background conditions for the same emission (non-linear chemistry);</w:t>
      </w:r>
    </w:p>
    <w:p>
      <w:pPr>
        <w:numPr>
          <w:ilvl w:val="0"/>
          <w:numId w:val="5"/>
        </w:numPr>
        <w:spacing w:after="0" w:line="240" w:lineRule="auto"/>
        <w:contextualSpacing/>
        <w:jc w:val="both"/>
        <w:rPr>
          <w:rFonts w:eastAsiaTheme="minorHAnsi"/>
          <w:noProof/>
          <w:color w:val="000000" w:themeColor="text1"/>
        </w:rPr>
      </w:pPr>
      <w:r>
        <w:rPr>
          <w:rFonts w:eastAsiaTheme="minorHAnsi"/>
          <w:noProof/>
          <w:color w:val="000000" w:themeColor="text1"/>
        </w:rPr>
        <w:t>Reducing NOx by technological means needs careful consideration:</w:t>
      </w:r>
    </w:p>
    <w:p>
      <w:pPr>
        <w:numPr>
          <w:ilvl w:val="1"/>
          <w:numId w:val="5"/>
        </w:numPr>
        <w:spacing w:after="0" w:line="240" w:lineRule="auto"/>
        <w:contextualSpacing/>
        <w:jc w:val="both"/>
        <w:rPr>
          <w:rFonts w:eastAsiaTheme="minorHAnsi"/>
          <w:noProof/>
          <w:color w:val="000000" w:themeColor="text1"/>
        </w:rPr>
      </w:pPr>
      <w:r>
        <w:rPr>
          <w:rFonts w:eastAsiaTheme="minorHAnsi"/>
          <w:noProof/>
          <w:color w:val="000000" w:themeColor="text1"/>
        </w:rPr>
        <w:t>Tradeoffs vs CO</w:t>
      </w:r>
      <w:r>
        <w:rPr>
          <w:rFonts w:eastAsiaTheme="minorHAnsi"/>
          <w:noProof/>
          <w:color w:val="000000" w:themeColor="text1"/>
          <w:vertAlign w:val="subscript"/>
        </w:rPr>
        <w:t>2</w:t>
      </w:r>
    </w:p>
    <w:p>
      <w:pPr>
        <w:numPr>
          <w:ilvl w:val="1"/>
          <w:numId w:val="5"/>
        </w:numPr>
        <w:spacing w:after="0" w:line="240" w:lineRule="auto"/>
        <w:contextualSpacing/>
        <w:jc w:val="both"/>
        <w:rPr>
          <w:rFonts w:eastAsiaTheme="minorHAnsi"/>
          <w:noProof/>
          <w:color w:val="000000" w:themeColor="text1"/>
        </w:rPr>
      </w:pPr>
      <w:r>
        <w:rPr>
          <w:rFonts w:eastAsiaTheme="minorHAnsi"/>
          <w:noProof/>
          <w:color w:val="000000" w:themeColor="text1"/>
        </w:rPr>
        <w:t>Technology lock-in</w:t>
      </w:r>
    </w:p>
    <w:p>
      <w:pPr>
        <w:numPr>
          <w:ilvl w:val="1"/>
          <w:numId w:val="5"/>
        </w:numPr>
        <w:spacing w:after="0" w:line="240" w:lineRule="auto"/>
        <w:contextualSpacing/>
        <w:jc w:val="both"/>
        <w:rPr>
          <w:rFonts w:eastAsiaTheme="minorHAnsi"/>
          <w:noProof/>
          <w:color w:val="000000" w:themeColor="text1"/>
        </w:rPr>
      </w:pPr>
      <w:r>
        <w:rPr>
          <w:rFonts w:eastAsiaTheme="minorHAnsi"/>
          <w:noProof/>
          <w:color w:val="000000" w:themeColor="text1"/>
        </w:rPr>
        <w:t>Uncertain future outcomes</w:t>
      </w:r>
    </w:p>
    <w:p>
      <w:pPr>
        <w:numPr>
          <w:ilvl w:val="0"/>
          <w:numId w:val="5"/>
        </w:numPr>
        <w:spacing w:after="0" w:line="240" w:lineRule="auto"/>
        <w:contextualSpacing/>
        <w:jc w:val="both"/>
        <w:rPr>
          <w:rFonts w:eastAsiaTheme="minorHAnsi"/>
          <w:noProof/>
          <w:color w:val="000000" w:themeColor="text1"/>
        </w:rPr>
      </w:pPr>
      <w:r>
        <w:rPr>
          <w:rFonts w:eastAsiaTheme="minorHAnsi"/>
          <w:noProof/>
          <w:color w:val="000000" w:themeColor="text1"/>
        </w:rPr>
        <w:t>Operational mitigation of contrail cirrus could be possible and may be beneficial;</w:t>
      </w:r>
    </w:p>
    <w:p>
      <w:pPr>
        <w:numPr>
          <w:ilvl w:val="0"/>
          <w:numId w:val="5"/>
        </w:numPr>
        <w:spacing w:after="0" w:line="240" w:lineRule="auto"/>
        <w:contextualSpacing/>
        <w:jc w:val="both"/>
        <w:rPr>
          <w:rFonts w:eastAsiaTheme="minorHAnsi"/>
          <w:noProof/>
          <w:color w:val="000000" w:themeColor="text1"/>
        </w:rPr>
      </w:pPr>
      <w:r>
        <w:rPr>
          <w:rFonts w:eastAsiaTheme="minorHAnsi"/>
          <w:noProof/>
          <w:color w:val="000000" w:themeColor="text1"/>
        </w:rPr>
        <w:t>Tradeoffs vs CO</w:t>
      </w:r>
      <w:r>
        <w:rPr>
          <w:rFonts w:eastAsiaTheme="minorHAnsi"/>
          <w:noProof/>
          <w:color w:val="000000" w:themeColor="text1"/>
          <w:vertAlign w:val="subscript"/>
        </w:rPr>
        <w:t>2</w:t>
      </w:r>
      <w:r>
        <w:rPr>
          <w:rFonts w:eastAsiaTheme="minorHAnsi"/>
          <w:noProof/>
          <w:color w:val="000000" w:themeColor="text1"/>
        </w:rPr>
        <w:t xml:space="preserve"> (metrics, assumptions):</w:t>
      </w:r>
    </w:p>
    <w:p>
      <w:pPr>
        <w:numPr>
          <w:ilvl w:val="1"/>
          <w:numId w:val="5"/>
        </w:numPr>
        <w:spacing w:after="0" w:line="240" w:lineRule="auto"/>
        <w:contextualSpacing/>
        <w:jc w:val="both"/>
        <w:rPr>
          <w:rFonts w:eastAsiaTheme="minorHAnsi"/>
          <w:noProof/>
          <w:color w:val="000000" w:themeColor="text1"/>
        </w:rPr>
      </w:pPr>
      <w:r>
        <w:rPr>
          <w:rFonts w:eastAsiaTheme="minorHAnsi"/>
          <w:noProof/>
          <w:color w:val="000000" w:themeColor="text1"/>
        </w:rPr>
        <w:t>Only in oceanic airspace</w:t>
      </w:r>
    </w:p>
    <w:p>
      <w:pPr>
        <w:numPr>
          <w:ilvl w:val="1"/>
          <w:numId w:val="5"/>
        </w:numPr>
        <w:spacing w:after="0" w:line="240" w:lineRule="auto"/>
        <w:contextualSpacing/>
        <w:jc w:val="both"/>
        <w:rPr>
          <w:rFonts w:eastAsiaTheme="minorHAnsi"/>
          <w:noProof/>
          <w:color w:val="000000" w:themeColor="text1"/>
        </w:rPr>
      </w:pPr>
      <w:r>
        <w:rPr>
          <w:rFonts w:eastAsiaTheme="minorHAnsi"/>
          <w:noProof/>
          <w:color w:val="000000" w:themeColor="text1"/>
        </w:rPr>
        <w:t>Better quantification of uncertainties</w:t>
      </w:r>
    </w:p>
    <w:p>
      <w:pPr>
        <w:numPr>
          <w:ilvl w:val="1"/>
          <w:numId w:val="5"/>
        </w:numPr>
        <w:spacing w:after="0" w:line="240" w:lineRule="auto"/>
        <w:contextualSpacing/>
        <w:jc w:val="both"/>
        <w:rPr>
          <w:rFonts w:eastAsiaTheme="minorHAnsi"/>
          <w:noProof/>
          <w:color w:val="000000" w:themeColor="text1"/>
        </w:rPr>
      </w:pPr>
      <w:r>
        <w:rPr>
          <w:rFonts w:eastAsiaTheme="minorHAnsi"/>
          <w:noProof/>
          <w:color w:val="000000" w:themeColor="text1"/>
        </w:rPr>
        <w:t>Fit for purpose meteorological forecasting</w:t>
      </w:r>
    </w:p>
    <w:p>
      <w:pPr>
        <w:spacing w:after="0" w:line="240" w:lineRule="auto"/>
        <w:jc w:val="both"/>
        <w:rPr>
          <w:rFonts w:eastAsiaTheme="minorHAnsi"/>
          <w:noProof/>
          <w:color w:val="000000" w:themeColor="text1"/>
        </w:rPr>
      </w:pPr>
    </w:p>
    <w:p>
      <w:pPr>
        <w:spacing w:after="0" w:line="240" w:lineRule="auto"/>
        <w:jc w:val="both"/>
        <w:rPr>
          <w:rFonts w:eastAsiaTheme="minorHAnsi"/>
          <w:noProof/>
          <w:color w:val="000000" w:themeColor="text1"/>
        </w:rPr>
      </w:pPr>
      <w:r>
        <w:rPr>
          <w:rFonts w:eastAsiaTheme="minorHAnsi"/>
          <w:noProof/>
          <w:color w:val="000000" w:themeColor="text1"/>
        </w:rPr>
        <w:t xml:space="preserve">The presentation was welcomed by the group. Questions were raised on the relationship between NOx emissions and formation of ice crystals. It was noted that the reduction of aromatics contained in jet fuel is a potential mitigation measure as it would reduce nvPM (mass and number) leading to a reduction in the formation of ice-crystals. On the other hand, it was noted that producing cleaner fuels would incur additional costs (including increased use of energy, hydrogen and consequential impact on price/yield of final fuel) for the fuel producer and operators. </w:t>
      </w:r>
    </w:p>
    <w:p>
      <w:pPr>
        <w:spacing w:after="0" w:line="240" w:lineRule="auto"/>
        <w:rPr>
          <w:rFonts w:eastAsiaTheme="minorHAnsi"/>
          <w:b/>
          <w:noProof/>
          <w:color w:val="0070C0"/>
          <w:sz w:val="24"/>
          <w:szCs w:val="24"/>
        </w:rPr>
      </w:pPr>
    </w:p>
    <w:p>
      <w:pPr>
        <w:spacing w:after="0" w:line="240" w:lineRule="auto"/>
        <w:rPr>
          <w:rFonts w:eastAsiaTheme="minorHAnsi"/>
          <w:b/>
          <w:noProof/>
          <w:sz w:val="24"/>
          <w:szCs w:val="24"/>
        </w:rPr>
      </w:pPr>
      <w:r>
        <w:rPr>
          <w:rFonts w:eastAsiaTheme="minorHAnsi"/>
          <w:b/>
          <w:noProof/>
          <w:sz w:val="24"/>
          <w:szCs w:val="24"/>
        </w:rPr>
        <w:t>4.  Overview of potential policy options to reduce non-CO2 emissions and their feasibility of implementation</w:t>
      </w:r>
    </w:p>
    <w:p>
      <w:pPr>
        <w:spacing w:after="0" w:line="240" w:lineRule="auto"/>
        <w:rPr>
          <w:rFonts w:eastAsiaTheme="minorHAnsi"/>
          <w:noProof/>
          <w:sz w:val="24"/>
          <w:szCs w:val="24"/>
        </w:rPr>
      </w:pPr>
    </w:p>
    <w:p>
      <w:pPr>
        <w:spacing w:after="0" w:line="240" w:lineRule="auto"/>
        <w:jc w:val="both"/>
        <w:rPr>
          <w:rFonts w:eastAsiaTheme="minorHAnsi"/>
          <w:noProof/>
          <w:sz w:val="24"/>
          <w:szCs w:val="24"/>
        </w:rPr>
      </w:pPr>
      <w:r>
        <w:rPr>
          <w:rFonts w:eastAsiaTheme="minorHAnsi"/>
          <w:noProof/>
          <w:sz w:val="24"/>
          <w:szCs w:val="24"/>
        </w:rPr>
        <w:t>Jasper presented the potential policy options to reduce non-CO</w:t>
      </w:r>
      <w:r>
        <w:rPr>
          <w:rFonts w:eastAsiaTheme="minorHAnsi"/>
          <w:noProof/>
          <w:sz w:val="24"/>
          <w:szCs w:val="24"/>
          <w:vertAlign w:val="subscript"/>
        </w:rPr>
        <w:t>2</w:t>
      </w:r>
      <w:r>
        <w:rPr>
          <w:rFonts w:eastAsiaTheme="minorHAnsi"/>
          <w:noProof/>
          <w:sz w:val="24"/>
          <w:szCs w:val="24"/>
        </w:rPr>
        <w:t xml:space="preserve"> emissions and their feasibility of implementation as included in the initial draft report. Regarding the scope of the study, it was noted that this study was limited to subsonic aircraft only. </w:t>
      </w:r>
    </w:p>
    <w:p>
      <w:pPr>
        <w:spacing w:after="0" w:line="240" w:lineRule="auto"/>
        <w:jc w:val="both"/>
        <w:rPr>
          <w:rFonts w:eastAsiaTheme="minorHAnsi"/>
          <w:noProof/>
          <w:sz w:val="24"/>
          <w:szCs w:val="24"/>
        </w:rPr>
      </w:pPr>
    </w:p>
    <w:p>
      <w:pPr>
        <w:spacing w:after="0" w:line="240" w:lineRule="auto"/>
        <w:jc w:val="both"/>
        <w:rPr>
          <w:rFonts w:eastAsiaTheme="minorHAnsi"/>
          <w:noProof/>
          <w:sz w:val="24"/>
          <w:szCs w:val="24"/>
        </w:rPr>
      </w:pPr>
      <w:r>
        <w:rPr>
          <w:rFonts w:eastAsiaTheme="minorHAnsi"/>
          <w:noProof/>
          <w:sz w:val="24"/>
          <w:szCs w:val="24"/>
        </w:rPr>
        <w:t>The group reviewed each policy option contained in the draft report, and concluded the following:</w:t>
      </w:r>
    </w:p>
    <w:p>
      <w:pPr>
        <w:spacing w:after="0" w:line="240" w:lineRule="auto"/>
        <w:jc w:val="both"/>
        <w:rPr>
          <w:rFonts w:eastAsiaTheme="minorHAnsi"/>
          <w:noProof/>
          <w:sz w:val="24"/>
          <w:szCs w:val="24"/>
        </w:rPr>
      </w:pPr>
    </w:p>
    <w:p>
      <w:pPr>
        <w:numPr>
          <w:ilvl w:val="0"/>
          <w:numId w:val="3"/>
        </w:numPr>
        <w:spacing w:after="0" w:line="240" w:lineRule="auto"/>
        <w:contextualSpacing/>
        <w:rPr>
          <w:rFonts w:eastAsiaTheme="minorHAnsi"/>
          <w:i/>
          <w:noProof/>
          <w:sz w:val="24"/>
          <w:szCs w:val="24"/>
        </w:rPr>
      </w:pPr>
      <w:r>
        <w:rPr>
          <w:rFonts w:eastAsiaTheme="minorHAnsi"/>
          <w:i/>
          <w:noProof/>
          <w:sz w:val="24"/>
          <w:szCs w:val="24"/>
        </w:rPr>
        <w:t>NOx charge</w:t>
      </w:r>
    </w:p>
    <w:p>
      <w:pPr>
        <w:numPr>
          <w:ilvl w:val="0"/>
          <w:numId w:val="4"/>
        </w:numPr>
        <w:spacing w:after="0" w:line="240" w:lineRule="auto"/>
        <w:contextualSpacing/>
        <w:jc w:val="both"/>
        <w:rPr>
          <w:rFonts w:eastAsiaTheme="minorHAnsi"/>
          <w:noProof/>
          <w:sz w:val="24"/>
          <w:szCs w:val="24"/>
        </w:rPr>
      </w:pPr>
      <w:r>
        <w:rPr>
          <w:rFonts w:eastAsiaTheme="minorHAnsi"/>
          <w:noProof/>
          <w:sz w:val="24"/>
          <w:szCs w:val="24"/>
        </w:rPr>
        <w:t>A question was raised on the impact of N</w:t>
      </w:r>
      <w:r>
        <w:rPr>
          <w:rFonts w:eastAsiaTheme="minorHAnsi"/>
          <w:noProof/>
          <w:sz w:val="24"/>
          <w:szCs w:val="24"/>
          <w:vertAlign w:val="subscript"/>
        </w:rPr>
        <w:t>2</w:t>
      </w:r>
      <w:r>
        <w:rPr>
          <w:rFonts w:eastAsiaTheme="minorHAnsi"/>
          <w:noProof/>
          <w:sz w:val="24"/>
          <w:szCs w:val="24"/>
        </w:rPr>
        <w:t xml:space="preserve">O emissions from aviation.  </w:t>
      </w:r>
      <w:r>
        <w:rPr>
          <w:rFonts w:eastAsiaTheme="minorHAnsi"/>
          <w:i/>
          <w:noProof/>
          <w:sz w:val="24"/>
          <w:szCs w:val="24"/>
        </w:rPr>
        <w:t>Post Meeting Note: Aviation emissions contain NO and NO</w:t>
      </w:r>
      <w:r>
        <w:rPr>
          <w:rFonts w:eastAsiaTheme="minorHAnsi"/>
          <w:i/>
          <w:noProof/>
          <w:sz w:val="24"/>
          <w:szCs w:val="24"/>
          <w:vertAlign w:val="subscript"/>
        </w:rPr>
        <w:t>2</w:t>
      </w:r>
      <w:r>
        <w:rPr>
          <w:rFonts w:eastAsiaTheme="minorHAnsi"/>
          <w:i/>
          <w:noProof/>
          <w:sz w:val="24"/>
          <w:szCs w:val="24"/>
        </w:rPr>
        <w:t xml:space="preserve"> , and it is these species that are regulated within ICAO Annex 16 Volume II engine emissions certification requirements.</w:t>
      </w:r>
      <w:r>
        <w:rPr>
          <w:rFonts w:eastAsiaTheme="minorHAnsi"/>
          <w:noProof/>
        </w:rPr>
        <w:t xml:space="preserve"> </w:t>
      </w:r>
      <w:r>
        <w:rPr>
          <w:rFonts w:eastAsiaTheme="minorHAnsi"/>
          <w:i/>
          <w:noProof/>
          <w:sz w:val="24"/>
          <w:szCs w:val="24"/>
        </w:rPr>
        <w:t>N</w:t>
      </w:r>
      <w:r>
        <w:rPr>
          <w:rFonts w:eastAsiaTheme="minorHAnsi"/>
          <w:i/>
          <w:noProof/>
          <w:sz w:val="24"/>
          <w:szCs w:val="24"/>
          <w:vertAlign w:val="subscript"/>
        </w:rPr>
        <w:t>2</w:t>
      </w:r>
      <w:r>
        <w:rPr>
          <w:rFonts w:eastAsiaTheme="minorHAnsi"/>
          <w:i/>
          <w:noProof/>
          <w:sz w:val="24"/>
          <w:szCs w:val="24"/>
        </w:rPr>
        <w:t>O is a potent long-lived GHG with GWP100 of around 300 arising principally from agricultural emissions, but also from fossil fuel combustion and industrial processes. However, the emission factor is very small for aviation and usually ignored.</w:t>
      </w:r>
    </w:p>
    <w:p>
      <w:pPr>
        <w:numPr>
          <w:ilvl w:val="0"/>
          <w:numId w:val="4"/>
        </w:numPr>
        <w:spacing w:after="0" w:line="240" w:lineRule="auto"/>
        <w:contextualSpacing/>
        <w:jc w:val="both"/>
        <w:rPr>
          <w:rFonts w:eastAsiaTheme="minorHAnsi"/>
          <w:noProof/>
          <w:sz w:val="24"/>
          <w:szCs w:val="24"/>
        </w:rPr>
      </w:pPr>
      <w:r>
        <w:rPr>
          <w:rFonts w:eastAsiaTheme="minorHAnsi"/>
          <w:noProof/>
          <w:sz w:val="24"/>
          <w:szCs w:val="24"/>
        </w:rPr>
        <w:t>Regarding Article 24 of the Chicago Convention, it was noted that previous research and experience suggests that</w:t>
      </w:r>
      <w:r>
        <w:rPr>
          <w:rFonts w:eastAsiaTheme="minorHAnsi"/>
          <w:noProof/>
        </w:rPr>
        <w:t xml:space="preserve"> </w:t>
      </w:r>
      <w:r>
        <w:rPr>
          <w:rFonts w:eastAsiaTheme="minorHAnsi"/>
          <w:noProof/>
          <w:sz w:val="24"/>
          <w:szCs w:val="24"/>
        </w:rPr>
        <w:t xml:space="preserve">internalization of environmental cost would be allowed under ICAO rules. </w:t>
      </w:r>
    </w:p>
    <w:p>
      <w:pPr>
        <w:numPr>
          <w:ilvl w:val="0"/>
          <w:numId w:val="4"/>
        </w:numPr>
        <w:spacing w:after="0" w:line="240" w:lineRule="auto"/>
        <w:contextualSpacing/>
        <w:jc w:val="both"/>
        <w:rPr>
          <w:rFonts w:eastAsiaTheme="minorHAnsi"/>
          <w:noProof/>
          <w:sz w:val="24"/>
          <w:szCs w:val="24"/>
        </w:rPr>
      </w:pPr>
      <w:r>
        <w:rPr>
          <w:rFonts w:eastAsiaTheme="minorHAnsi"/>
          <w:noProof/>
          <w:sz w:val="24"/>
          <w:szCs w:val="24"/>
        </w:rPr>
        <w:t>The geographical scope could be a sensitive issue in a similar manner to the EU ETS.</w:t>
      </w:r>
    </w:p>
    <w:p>
      <w:pPr>
        <w:numPr>
          <w:ilvl w:val="0"/>
          <w:numId w:val="4"/>
        </w:numPr>
        <w:spacing w:after="0" w:line="240" w:lineRule="auto"/>
        <w:contextualSpacing/>
        <w:jc w:val="both"/>
        <w:rPr>
          <w:rFonts w:eastAsiaTheme="minorHAnsi"/>
          <w:noProof/>
          <w:sz w:val="24"/>
          <w:szCs w:val="24"/>
        </w:rPr>
      </w:pPr>
      <w:r>
        <w:rPr>
          <w:rFonts w:eastAsiaTheme="minorHAnsi"/>
          <w:noProof/>
          <w:sz w:val="24"/>
          <w:szCs w:val="24"/>
        </w:rPr>
        <w:t>Eurocontrol access to accurate engine type data on a tailnumber basis still needs to be clarified.</w:t>
      </w:r>
    </w:p>
    <w:p>
      <w:pPr>
        <w:numPr>
          <w:ilvl w:val="0"/>
          <w:numId w:val="4"/>
        </w:numPr>
        <w:spacing w:after="0" w:line="240" w:lineRule="auto"/>
        <w:contextualSpacing/>
        <w:jc w:val="both"/>
        <w:rPr>
          <w:rFonts w:eastAsiaTheme="minorHAnsi"/>
          <w:noProof/>
          <w:sz w:val="24"/>
          <w:szCs w:val="24"/>
        </w:rPr>
      </w:pPr>
      <w:r>
        <w:rPr>
          <w:rFonts w:eastAsiaTheme="minorHAnsi"/>
          <w:noProof/>
          <w:sz w:val="24"/>
          <w:szCs w:val="24"/>
        </w:rPr>
        <w:t xml:space="preserve">The roles and responsibilities between airlines, member states, ANSPs and international organizations was identified as important for the implementation of the NOx charge.  We must also be careful with regard to the language used to describe these roles (e.g. MS mandate ECTL to collect charges in line with an agreed charging scheme). </w:t>
      </w:r>
    </w:p>
    <w:p>
      <w:pPr>
        <w:numPr>
          <w:ilvl w:val="0"/>
          <w:numId w:val="4"/>
        </w:numPr>
        <w:spacing w:after="0" w:line="240" w:lineRule="auto"/>
        <w:contextualSpacing/>
        <w:jc w:val="both"/>
        <w:rPr>
          <w:rFonts w:eastAsiaTheme="minorHAnsi"/>
          <w:noProof/>
          <w:sz w:val="24"/>
          <w:szCs w:val="24"/>
        </w:rPr>
      </w:pPr>
      <w:r>
        <w:rPr>
          <w:rFonts w:eastAsiaTheme="minorHAnsi"/>
          <w:noProof/>
          <w:sz w:val="24"/>
          <w:szCs w:val="24"/>
        </w:rPr>
        <w:t xml:space="preserve">A legal review would be needed to identify the legislative process through which a NOx charge would be proposed. </w:t>
      </w:r>
    </w:p>
    <w:p>
      <w:pPr>
        <w:numPr>
          <w:ilvl w:val="0"/>
          <w:numId w:val="4"/>
        </w:numPr>
        <w:spacing w:after="0" w:line="240" w:lineRule="auto"/>
        <w:contextualSpacing/>
        <w:jc w:val="both"/>
        <w:rPr>
          <w:rFonts w:eastAsiaTheme="minorHAnsi"/>
          <w:noProof/>
          <w:sz w:val="24"/>
          <w:szCs w:val="24"/>
        </w:rPr>
      </w:pPr>
      <w:r>
        <w:rPr>
          <w:rFonts w:eastAsiaTheme="minorHAnsi"/>
          <w:noProof/>
          <w:sz w:val="24"/>
          <w:szCs w:val="24"/>
        </w:rPr>
        <w:t>ANSPs highly likely not to favour adding a NOx charge to ATC fees for airlines (passengers) as it would add complexity to a relatively simple cost recovery mechanism, as well as blur the objectives of the CRCO.</w:t>
      </w:r>
    </w:p>
    <w:p>
      <w:pPr>
        <w:numPr>
          <w:ilvl w:val="0"/>
          <w:numId w:val="4"/>
        </w:numPr>
        <w:spacing w:after="0" w:line="240" w:lineRule="auto"/>
        <w:contextualSpacing/>
        <w:jc w:val="both"/>
        <w:rPr>
          <w:rFonts w:eastAsiaTheme="minorHAnsi"/>
          <w:noProof/>
          <w:sz w:val="24"/>
          <w:szCs w:val="24"/>
        </w:rPr>
      </w:pPr>
      <w:r>
        <w:rPr>
          <w:rFonts w:eastAsiaTheme="minorHAnsi"/>
          <w:noProof/>
          <w:sz w:val="24"/>
          <w:szCs w:val="24"/>
        </w:rPr>
        <w:t>CRCO scheme now based on actual flightpath rather than filed flightpath.  Need to ensure policy options do not create perverse incentives.</w:t>
      </w:r>
    </w:p>
    <w:p>
      <w:pPr>
        <w:spacing w:after="0" w:line="240" w:lineRule="auto"/>
        <w:rPr>
          <w:rFonts w:eastAsiaTheme="minorHAnsi"/>
          <w:noProof/>
          <w:sz w:val="24"/>
          <w:szCs w:val="24"/>
        </w:rPr>
      </w:pPr>
    </w:p>
    <w:p>
      <w:pPr>
        <w:numPr>
          <w:ilvl w:val="0"/>
          <w:numId w:val="3"/>
        </w:numPr>
        <w:spacing w:after="0" w:line="240" w:lineRule="auto"/>
        <w:contextualSpacing/>
        <w:rPr>
          <w:rFonts w:eastAsiaTheme="minorHAnsi"/>
          <w:i/>
          <w:noProof/>
          <w:sz w:val="24"/>
          <w:szCs w:val="24"/>
        </w:rPr>
      </w:pPr>
      <w:r>
        <w:rPr>
          <w:rFonts w:eastAsiaTheme="minorHAnsi"/>
          <w:i/>
          <w:noProof/>
          <w:sz w:val="24"/>
          <w:szCs w:val="24"/>
        </w:rPr>
        <w:t>Inclusion of aircraft NOx into the EU ETS</w:t>
      </w:r>
    </w:p>
    <w:p>
      <w:pPr>
        <w:numPr>
          <w:ilvl w:val="0"/>
          <w:numId w:val="4"/>
        </w:numPr>
        <w:spacing w:after="0" w:line="240" w:lineRule="auto"/>
        <w:contextualSpacing/>
        <w:jc w:val="both"/>
        <w:rPr>
          <w:rFonts w:eastAsiaTheme="minorHAnsi"/>
          <w:noProof/>
          <w:sz w:val="24"/>
          <w:szCs w:val="24"/>
        </w:rPr>
      </w:pPr>
      <w:r>
        <w:rPr>
          <w:rFonts w:eastAsiaTheme="minorHAnsi"/>
          <w:noProof/>
          <w:sz w:val="24"/>
          <w:szCs w:val="24"/>
        </w:rPr>
        <w:t xml:space="preserve">It was noted that there is greater uncertainty in the climate impact and quantification of NOx compared to CO2, and therefore the CO2eq metric that would permit trading of 1 tonne of CO2 for an equivalent tonnage of NOx could undermine the confidence of the EU ETS.  </w:t>
      </w:r>
    </w:p>
    <w:p>
      <w:pPr>
        <w:numPr>
          <w:ilvl w:val="0"/>
          <w:numId w:val="4"/>
        </w:numPr>
        <w:spacing w:after="0" w:line="240" w:lineRule="auto"/>
        <w:contextualSpacing/>
        <w:jc w:val="both"/>
        <w:rPr>
          <w:rFonts w:eastAsiaTheme="minorHAnsi"/>
          <w:noProof/>
          <w:sz w:val="24"/>
          <w:szCs w:val="24"/>
        </w:rPr>
      </w:pPr>
      <w:r>
        <w:rPr>
          <w:rFonts w:eastAsiaTheme="minorHAnsi"/>
          <w:noProof/>
          <w:sz w:val="24"/>
          <w:szCs w:val="24"/>
        </w:rPr>
        <w:t>The uncertainty, and potential unintended consequences, has a higher political risk in the ETS option compared to the NOx charge option.  People pay real money for real emissions reductions, and a potential repeat of the issues with CDM offsets should be avoided in order to ensure the credibility of the ETS.</w:t>
      </w:r>
    </w:p>
    <w:p>
      <w:pPr>
        <w:spacing w:after="0" w:line="240" w:lineRule="auto"/>
        <w:ind w:left="1080"/>
        <w:contextualSpacing/>
        <w:jc w:val="both"/>
        <w:rPr>
          <w:rFonts w:eastAsiaTheme="minorHAnsi"/>
          <w:noProof/>
          <w:sz w:val="24"/>
          <w:szCs w:val="24"/>
        </w:rPr>
      </w:pPr>
    </w:p>
    <w:p>
      <w:pPr>
        <w:numPr>
          <w:ilvl w:val="0"/>
          <w:numId w:val="3"/>
        </w:numPr>
        <w:spacing w:after="0" w:line="240" w:lineRule="auto"/>
        <w:contextualSpacing/>
        <w:jc w:val="both"/>
        <w:rPr>
          <w:rFonts w:eastAsiaTheme="minorHAnsi"/>
          <w:i/>
          <w:noProof/>
          <w:sz w:val="24"/>
          <w:szCs w:val="24"/>
        </w:rPr>
      </w:pPr>
      <w:r>
        <w:rPr>
          <w:rFonts w:eastAsiaTheme="minorHAnsi"/>
          <w:i/>
          <w:noProof/>
          <w:sz w:val="24"/>
          <w:szCs w:val="24"/>
        </w:rPr>
        <w:t xml:space="preserve">Reduction in maximum limit of aromatics within fuel specifications </w:t>
      </w:r>
    </w:p>
    <w:p>
      <w:pPr>
        <w:numPr>
          <w:ilvl w:val="0"/>
          <w:numId w:val="4"/>
        </w:numPr>
        <w:spacing w:after="0" w:line="240" w:lineRule="auto"/>
        <w:contextualSpacing/>
        <w:jc w:val="both"/>
        <w:rPr>
          <w:rFonts w:eastAsiaTheme="minorHAnsi"/>
          <w:noProof/>
          <w:sz w:val="24"/>
          <w:szCs w:val="24"/>
        </w:rPr>
      </w:pPr>
      <w:r>
        <w:rPr>
          <w:rFonts w:eastAsiaTheme="minorHAnsi"/>
          <w:noProof/>
          <w:sz w:val="24"/>
          <w:szCs w:val="24"/>
        </w:rPr>
        <w:t>It was noted that, if taken forward, this option would need to include a robust study to look at the benefits and costs</w:t>
      </w:r>
      <w:r>
        <w:rPr>
          <w:rFonts w:eastAsiaTheme="minorHAnsi"/>
          <w:noProof/>
        </w:rPr>
        <w:t xml:space="preserve"> </w:t>
      </w:r>
      <w:r>
        <w:rPr>
          <w:rFonts w:eastAsiaTheme="minorHAnsi"/>
          <w:noProof/>
          <w:sz w:val="24"/>
          <w:szCs w:val="24"/>
        </w:rPr>
        <w:t xml:space="preserve">(including environmental impact of increased refinery processing etc.) of changes to the DEF STAN/ASTM fuel specifications. </w:t>
      </w:r>
    </w:p>
    <w:p>
      <w:pPr>
        <w:numPr>
          <w:ilvl w:val="0"/>
          <w:numId w:val="4"/>
        </w:numPr>
        <w:spacing w:after="0" w:line="240" w:lineRule="auto"/>
        <w:contextualSpacing/>
        <w:jc w:val="both"/>
        <w:rPr>
          <w:rFonts w:eastAsiaTheme="minorHAnsi"/>
          <w:noProof/>
          <w:sz w:val="24"/>
          <w:szCs w:val="24"/>
        </w:rPr>
      </w:pPr>
      <w:r>
        <w:rPr>
          <w:rFonts w:eastAsiaTheme="minorHAnsi"/>
          <w:noProof/>
          <w:sz w:val="24"/>
          <w:szCs w:val="24"/>
        </w:rPr>
        <w:t xml:space="preserve">Data on the current specifications of fuel being used in the aviation sector is being collected (e.g. PQIS, JET SCREEN project, US Military), but access to this data is unclear due to there being several different sources. </w:t>
      </w:r>
    </w:p>
    <w:p>
      <w:pPr>
        <w:numPr>
          <w:ilvl w:val="0"/>
          <w:numId w:val="4"/>
        </w:numPr>
        <w:spacing w:after="0" w:line="240" w:lineRule="auto"/>
        <w:contextualSpacing/>
        <w:jc w:val="both"/>
        <w:rPr>
          <w:rFonts w:eastAsiaTheme="minorHAnsi"/>
          <w:noProof/>
          <w:sz w:val="24"/>
          <w:szCs w:val="24"/>
        </w:rPr>
      </w:pPr>
      <w:r>
        <w:rPr>
          <w:rFonts w:eastAsiaTheme="minorHAnsi"/>
          <w:noProof/>
          <w:sz w:val="24"/>
          <w:szCs w:val="24"/>
        </w:rPr>
        <w:t xml:space="preserve">Regarding the governance of the option, it was noted that the existing standardisation schemes use a consensus-driven, technical approach, and it could be challenging to impose actual legal requirements for the specifications of jet fuel which operate in a global commodity regime. </w:t>
      </w:r>
    </w:p>
    <w:p>
      <w:pPr>
        <w:numPr>
          <w:ilvl w:val="0"/>
          <w:numId w:val="4"/>
        </w:numPr>
        <w:spacing w:after="0" w:line="240" w:lineRule="auto"/>
        <w:contextualSpacing/>
        <w:jc w:val="both"/>
        <w:rPr>
          <w:rFonts w:eastAsiaTheme="minorHAnsi"/>
          <w:noProof/>
          <w:sz w:val="24"/>
          <w:szCs w:val="24"/>
        </w:rPr>
      </w:pPr>
      <w:r>
        <w:rPr>
          <w:rFonts w:eastAsiaTheme="minorHAnsi"/>
          <w:noProof/>
          <w:sz w:val="24"/>
          <w:szCs w:val="24"/>
        </w:rPr>
        <w:t>A holistic approach (e.g. use of SAF) to justifying proposed changes in fuel specs is likely to be more successful than focusing on a single species (more likely to have a favourable benefit vs cost balance).  For example, car Denox catalytic convertors were introduced to reduce NOx emissions, but needed lower sulphur fuel to work properly leading to changes in fuel specs.</w:t>
      </w:r>
    </w:p>
    <w:p>
      <w:pPr>
        <w:spacing w:after="0" w:line="240" w:lineRule="auto"/>
        <w:ind w:left="1080"/>
        <w:contextualSpacing/>
        <w:jc w:val="both"/>
        <w:rPr>
          <w:rFonts w:eastAsiaTheme="minorHAnsi"/>
          <w:noProof/>
          <w:sz w:val="24"/>
          <w:szCs w:val="24"/>
        </w:rPr>
      </w:pPr>
    </w:p>
    <w:p>
      <w:pPr>
        <w:numPr>
          <w:ilvl w:val="0"/>
          <w:numId w:val="3"/>
        </w:numPr>
        <w:spacing w:after="0" w:line="240" w:lineRule="auto"/>
        <w:contextualSpacing/>
        <w:jc w:val="both"/>
        <w:rPr>
          <w:rFonts w:eastAsiaTheme="minorHAnsi"/>
          <w:i/>
          <w:noProof/>
          <w:sz w:val="24"/>
          <w:szCs w:val="24"/>
          <w:lang w:val="de-DE"/>
        </w:rPr>
      </w:pPr>
      <w:r>
        <w:rPr>
          <w:rFonts w:eastAsiaTheme="minorHAnsi"/>
          <w:i/>
          <w:noProof/>
          <w:sz w:val="24"/>
          <w:szCs w:val="24"/>
        </w:rPr>
        <w:t>Mandatory use of SAF</w:t>
      </w:r>
    </w:p>
    <w:p>
      <w:pPr>
        <w:numPr>
          <w:ilvl w:val="0"/>
          <w:numId w:val="4"/>
        </w:numPr>
        <w:spacing w:after="0" w:line="240" w:lineRule="auto"/>
        <w:contextualSpacing/>
        <w:jc w:val="both"/>
        <w:rPr>
          <w:rFonts w:eastAsiaTheme="minorHAnsi"/>
          <w:noProof/>
          <w:sz w:val="24"/>
          <w:szCs w:val="24"/>
          <w:lang w:val="en-US"/>
        </w:rPr>
      </w:pPr>
      <w:r>
        <w:rPr>
          <w:rFonts w:eastAsiaTheme="minorHAnsi"/>
          <w:noProof/>
          <w:sz w:val="24"/>
          <w:szCs w:val="24"/>
          <w:lang w:val="en-US"/>
        </w:rPr>
        <w:t>In general, the group saw this measure as very promising. It was highlighted that, if taken forward, the SAF mandate would need to take into account the level of current SAF production, and that a gradual increase in the mandate could be considered as production increases. The current major challenge is availability of SAF at commercially viable volume and cost.</w:t>
      </w:r>
    </w:p>
    <w:p>
      <w:pPr>
        <w:numPr>
          <w:ilvl w:val="0"/>
          <w:numId w:val="4"/>
        </w:numPr>
        <w:spacing w:after="0" w:line="240" w:lineRule="auto"/>
        <w:contextualSpacing/>
        <w:jc w:val="both"/>
        <w:rPr>
          <w:rFonts w:eastAsiaTheme="minorHAnsi"/>
          <w:noProof/>
          <w:sz w:val="24"/>
          <w:szCs w:val="24"/>
          <w:lang w:val="en-US"/>
        </w:rPr>
      </w:pPr>
      <w:r>
        <w:rPr>
          <w:rFonts w:eastAsiaTheme="minorHAnsi"/>
          <w:noProof/>
          <w:sz w:val="24"/>
          <w:szCs w:val="24"/>
          <w:lang w:val="en-US"/>
        </w:rPr>
        <w:t xml:space="preserve">Regarding the sustainability criteria for the SAF, it was agreed that this would need to refer to the existing criteria included in the EU Renewable Energy Directive (RED) in order to be consistent across EU policies. </w:t>
      </w:r>
    </w:p>
    <w:p>
      <w:pPr>
        <w:numPr>
          <w:ilvl w:val="0"/>
          <w:numId w:val="4"/>
        </w:numPr>
        <w:contextualSpacing/>
        <w:jc w:val="both"/>
        <w:rPr>
          <w:rFonts w:eastAsiaTheme="minorHAnsi"/>
          <w:noProof/>
          <w:sz w:val="24"/>
          <w:szCs w:val="24"/>
          <w:lang w:val="en-US"/>
        </w:rPr>
      </w:pPr>
      <w:r>
        <w:rPr>
          <w:rFonts w:eastAsiaTheme="minorHAnsi"/>
          <w:noProof/>
          <w:sz w:val="24"/>
          <w:szCs w:val="24"/>
          <w:lang w:val="en-US"/>
        </w:rPr>
        <w:t>Chris and Rik to provide a reference study investigating the benefits of SAF (approx. 1%) in terms of aircraft fuel efficiency due to lower mass with same energy content.</w:t>
      </w:r>
    </w:p>
    <w:p>
      <w:pPr>
        <w:numPr>
          <w:ilvl w:val="0"/>
          <w:numId w:val="4"/>
        </w:numPr>
        <w:spacing w:after="0" w:line="240" w:lineRule="auto"/>
        <w:contextualSpacing/>
        <w:jc w:val="both"/>
        <w:rPr>
          <w:rFonts w:eastAsiaTheme="minorHAnsi"/>
          <w:noProof/>
          <w:sz w:val="24"/>
          <w:szCs w:val="24"/>
          <w:lang w:val="en-US"/>
        </w:rPr>
      </w:pPr>
      <w:r>
        <w:rPr>
          <w:rFonts w:eastAsiaTheme="minorHAnsi"/>
          <w:noProof/>
          <w:sz w:val="24"/>
          <w:szCs w:val="24"/>
          <w:lang w:val="en-US"/>
        </w:rPr>
        <w:t xml:space="preserve">It was noted that an impact assessment on implementing this measure should consider its potential impact of penalizing regional operators compared to long-haul operators. </w:t>
      </w:r>
    </w:p>
    <w:p>
      <w:pPr>
        <w:spacing w:after="0" w:line="240" w:lineRule="auto"/>
        <w:jc w:val="both"/>
        <w:rPr>
          <w:rFonts w:eastAsiaTheme="minorHAnsi"/>
          <w:noProof/>
          <w:sz w:val="24"/>
          <w:szCs w:val="24"/>
          <w:lang w:val="en-US"/>
        </w:rPr>
      </w:pPr>
    </w:p>
    <w:p>
      <w:pPr>
        <w:numPr>
          <w:ilvl w:val="0"/>
          <w:numId w:val="3"/>
        </w:numPr>
        <w:spacing w:after="0" w:line="240" w:lineRule="auto"/>
        <w:contextualSpacing/>
        <w:jc w:val="both"/>
        <w:rPr>
          <w:rFonts w:eastAsiaTheme="minorHAnsi"/>
          <w:i/>
          <w:noProof/>
          <w:sz w:val="24"/>
          <w:szCs w:val="24"/>
        </w:rPr>
      </w:pPr>
      <w:r>
        <w:rPr>
          <w:rFonts w:eastAsiaTheme="minorHAnsi"/>
          <w:i/>
          <w:noProof/>
          <w:sz w:val="24"/>
          <w:szCs w:val="24"/>
        </w:rPr>
        <w:t>Avoidance of ice-supersaturated areas (ISSR)</w:t>
      </w:r>
    </w:p>
    <w:p>
      <w:pPr>
        <w:numPr>
          <w:ilvl w:val="0"/>
          <w:numId w:val="4"/>
        </w:numPr>
        <w:spacing w:after="0" w:line="240" w:lineRule="auto"/>
        <w:contextualSpacing/>
        <w:jc w:val="both"/>
        <w:rPr>
          <w:rFonts w:eastAsiaTheme="minorHAnsi"/>
          <w:noProof/>
          <w:sz w:val="24"/>
          <w:szCs w:val="24"/>
          <w:lang w:val="en-US"/>
        </w:rPr>
      </w:pPr>
      <w:r>
        <w:rPr>
          <w:rFonts w:eastAsiaTheme="minorHAnsi"/>
          <w:noProof/>
          <w:sz w:val="24"/>
          <w:szCs w:val="24"/>
          <w:lang w:val="en-US"/>
        </w:rPr>
        <w:t>NATS confirmed that implementation over mainland Europe would be difficult due to congestion</w:t>
      </w:r>
    </w:p>
    <w:p>
      <w:pPr>
        <w:numPr>
          <w:ilvl w:val="0"/>
          <w:numId w:val="4"/>
        </w:numPr>
        <w:spacing w:after="0" w:line="240" w:lineRule="auto"/>
        <w:contextualSpacing/>
        <w:jc w:val="both"/>
        <w:rPr>
          <w:rFonts w:eastAsiaTheme="minorHAnsi"/>
          <w:noProof/>
          <w:sz w:val="24"/>
          <w:szCs w:val="24"/>
          <w:lang w:val="en-US"/>
        </w:rPr>
      </w:pPr>
      <w:r>
        <w:rPr>
          <w:rFonts w:eastAsiaTheme="minorHAnsi"/>
          <w:noProof/>
          <w:sz w:val="24"/>
          <w:szCs w:val="24"/>
          <w:lang w:val="en-US"/>
        </w:rPr>
        <w:t xml:space="preserve">NATS was supporting a feasibility study led by the UK Royal Aeronautical Society and including Imperial College London, DLR and IATA on contrail avoidance over the North Atlantic. </w:t>
      </w:r>
    </w:p>
    <w:p>
      <w:pPr>
        <w:numPr>
          <w:ilvl w:val="0"/>
          <w:numId w:val="4"/>
        </w:numPr>
        <w:contextualSpacing/>
        <w:jc w:val="both"/>
        <w:rPr>
          <w:rFonts w:eastAsiaTheme="minorHAnsi"/>
          <w:noProof/>
          <w:sz w:val="24"/>
          <w:szCs w:val="24"/>
          <w:lang w:val="en-US"/>
        </w:rPr>
      </w:pPr>
      <w:r>
        <w:rPr>
          <w:rFonts w:eastAsiaTheme="minorHAnsi"/>
          <w:noProof/>
          <w:sz w:val="24"/>
          <w:szCs w:val="24"/>
          <w:lang w:val="en-US"/>
        </w:rPr>
        <w:t xml:space="preserve">Further information was also provided on route-planning.  The Air Navigation Service Provider (ANSP) provide a pre-designed route track structure for the Airline Operators to choose from, based on where the Operators indicate they wish to fly and the most recent met forecast. Adjusting the track structure pre-tactically to avoid ISSRs would be possible, subject to various conditions and assumptions. </w:t>
      </w:r>
    </w:p>
    <w:p>
      <w:pPr>
        <w:numPr>
          <w:ilvl w:val="0"/>
          <w:numId w:val="4"/>
        </w:numPr>
        <w:spacing w:after="0" w:line="240" w:lineRule="auto"/>
        <w:contextualSpacing/>
        <w:jc w:val="both"/>
        <w:rPr>
          <w:rFonts w:eastAsiaTheme="minorHAnsi"/>
          <w:noProof/>
          <w:sz w:val="24"/>
          <w:szCs w:val="24"/>
          <w:lang w:val="en-US"/>
        </w:rPr>
      </w:pPr>
      <w:r>
        <w:rPr>
          <w:rFonts w:eastAsiaTheme="minorHAnsi"/>
          <w:noProof/>
          <w:sz w:val="24"/>
          <w:szCs w:val="24"/>
          <w:lang w:val="en-US"/>
        </w:rPr>
        <w:t xml:space="preserve">Despite the challenges in practical application, it was recognized that there could be some value in a pilot project investigating risks, opportunities, benefits and unintended consequences from avoiding ISSRs. </w:t>
      </w:r>
    </w:p>
    <w:p>
      <w:pPr>
        <w:numPr>
          <w:ilvl w:val="0"/>
          <w:numId w:val="4"/>
        </w:numPr>
        <w:spacing w:after="0" w:line="240" w:lineRule="auto"/>
        <w:contextualSpacing/>
        <w:jc w:val="both"/>
        <w:rPr>
          <w:rFonts w:eastAsiaTheme="minorHAnsi"/>
          <w:noProof/>
          <w:sz w:val="24"/>
          <w:szCs w:val="24"/>
          <w:lang w:val="en-US"/>
        </w:rPr>
      </w:pPr>
      <w:r>
        <w:rPr>
          <w:rFonts w:eastAsiaTheme="minorHAnsi"/>
          <w:noProof/>
          <w:sz w:val="24"/>
          <w:szCs w:val="24"/>
          <w:lang w:val="en-US"/>
        </w:rPr>
        <w:t xml:space="preserve">Regarding air navigation charges, it was noted that currently a flat charge is collected for crossing the Atlantic. Compensation may be needed if an airline was asked to detour an ISSR leading to a fuel burn penalty.  </w:t>
      </w:r>
    </w:p>
    <w:p>
      <w:pPr>
        <w:numPr>
          <w:ilvl w:val="0"/>
          <w:numId w:val="4"/>
        </w:numPr>
        <w:spacing w:after="0" w:line="240" w:lineRule="auto"/>
        <w:contextualSpacing/>
        <w:jc w:val="both"/>
        <w:rPr>
          <w:rFonts w:eastAsiaTheme="minorHAnsi"/>
          <w:noProof/>
          <w:sz w:val="24"/>
          <w:szCs w:val="24"/>
          <w:lang w:val="en-US"/>
        </w:rPr>
      </w:pPr>
      <w:r>
        <w:rPr>
          <w:rFonts w:eastAsiaTheme="minorHAnsi"/>
          <w:noProof/>
          <w:sz w:val="24"/>
          <w:szCs w:val="24"/>
          <w:lang w:val="en-US"/>
        </w:rPr>
        <w:t>The additional complexity of contrails having a warming or cooling effect during day and a warming effect during the night would also need to be taken into account.</w:t>
      </w:r>
    </w:p>
    <w:p>
      <w:pPr>
        <w:spacing w:after="0" w:line="240" w:lineRule="auto"/>
        <w:ind w:left="720"/>
        <w:jc w:val="both"/>
        <w:rPr>
          <w:rFonts w:eastAsiaTheme="minorHAnsi"/>
          <w:noProof/>
          <w:sz w:val="24"/>
          <w:szCs w:val="24"/>
          <w:lang w:val="en-US"/>
        </w:rPr>
      </w:pPr>
    </w:p>
    <w:p>
      <w:pPr>
        <w:numPr>
          <w:ilvl w:val="0"/>
          <w:numId w:val="3"/>
        </w:numPr>
        <w:spacing w:after="0" w:line="240" w:lineRule="auto"/>
        <w:contextualSpacing/>
        <w:jc w:val="both"/>
        <w:rPr>
          <w:rFonts w:eastAsiaTheme="minorHAnsi"/>
          <w:i/>
          <w:noProof/>
          <w:sz w:val="24"/>
          <w:szCs w:val="24"/>
        </w:rPr>
      </w:pPr>
      <w:r>
        <w:rPr>
          <w:rFonts w:eastAsiaTheme="minorHAnsi"/>
          <w:i/>
          <w:noProof/>
          <w:sz w:val="24"/>
          <w:szCs w:val="24"/>
        </w:rPr>
        <w:t>A Climate Charge</w:t>
      </w:r>
    </w:p>
    <w:p>
      <w:pPr>
        <w:numPr>
          <w:ilvl w:val="0"/>
          <w:numId w:val="4"/>
        </w:numPr>
        <w:spacing w:after="0" w:line="240" w:lineRule="auto"/>
        <w:contextualSpacing/>
        <w:jc w:val="both"/>
        <w:rPr>
          <w:rFonts w:eastAsiaTheme="minorHAnsi"/>
          <w:noProof/>
          <w:sz w:val="24"/>
          <w:szCs w:val="24"/>
        </w:rPr>
      </w:pPr>
      <w:r>
        <w:rPr>
          <w:rFonts w:eastAsiaTheme="minorHAnsi"/>
          <w:noProof/>
          <w:sz w:val="24"/>
          <w:szCs w:val="24"/>
        </w:rPr>
        <w:t xml:space="preserve">Similar considerations were raised to that of the NOx charge, especially related to the geographical scope, roles and responsibilities, legal issues involved in applying a climate charge and use of revenue raised.  </w:t>
      </w:r>
    </w:p>
    <w:p>
      <w:pPr>
        <w:numPr>
          <w:ilvl w:val="0"/>
          <w:numId w:val="4"/>
        </w:numPr>
        <w:spacing w:after="0" w:line="240" w:lineRule="auto"/>
        <w:contextualSpacing/>
        <w:rPr>
          <w:rFonts w:eastAsiaTheme="minorHAnsi"/>
          <w:noProof/>
          <w:sz w:val="24"/>
          <w:szCs w:val="24"/>
        </w:rPr>
      </w:pPr>
      <w:r>
        <w:rPr>
          <w:rFonts w:eastAsiaTheme="minorHAnsi"/>
          <w:noProof/>
          <w:sz w:val="24"/>
          <w:szCs w:val="24"/>
        </w:rPr>
        <w:t>The complexity of such an option would only be justified if it was also considered more accurate.  This is not the case at the moment, and so a more workable and defendable option may be optimum.</w:t>
      </w:r>
    </w:p>
    <w:p>
      <w:pPr>
        <w:spacing w:after="0" w:line="240" w:lineRule="auto"/>
        <w:rPr>
          <w:rFonts w:eastAsiaTheme="minorHAnsi"/>
          <w:noProof/>
          <w:sz w:val="24"/>
          <w:szCs w:val="24"/>
        </w:rPr>
      </w:pPr>
    </w:p>
    <w:p>
      <w:pPr>
        <w:spacing w:after="0" w:line="240" w:lineRule="auto"/>
        <w:rPr>
          <w:rFonts w:eastAsiaTheme="minorHAnsi"/>
          <w:b/>
          <w:noProof/>
          <w:sz w:val="24"/>
          <w:szCs w:val="24"/>
        </w:rPr>
      </w:pPr>
      <w:r>
        <w:rPr>
          <w:rFonts w:eastAsiaTheme="minorHAnsi"/>
          <w:b/>
          <w:noProof/>
          <w:sz w:val="24"/>
          <w:szCs w:val="24"/>
        </w:rPr>
        <w:t xml:space="preserve">5.  Summary of key points from discussions </w:t>
      </w:r>
    </w:p>
    <w:p>
      <w:pPr>
        <w:spacing w:after="0" w:line="240" w:lineRule="auto"/>
        <w:rPr>
          <w:rFonts w:eastAsiaTheme="minorHAnsi"/>
          <w:noProof/>
          <w:sz w:val="24"/>
          <w:szCs w:val="24"/>
        </w:rPr>
      </w:pPr>
    </w:p>
    <w:p>
      <w:pPr>
        <w:spacing w:after="0" w:line="240" w:lineRule="auto"/>
        <w:jc w:val="both"/>
        <w:rPr>
          <w:rFonts w:eastAsiaTheme="minorHAnsi"/>
          <w:noProof/>
          <w:sz w:val="24"/>
          <w:szCs w:val="24"/>
        </w:rPr>
      </w:pPr>
      <w:r>
        <w:rPr>
          <w:rFonts w:eastAsiaTheme="minorHAnsi"/>
          <w:noProof/>
          <w:sz w:val="24"/>
          <w:szCs w:val="24"/>
        </w:rPr>
        <w:t xml:space="preserve">The Project Team will consider the key points per agenda item captured above when finalizing the draft report. </w:t>
      </w:r>
    </w:p>
    <w:p>
      <w:pPr>
        <w:spacing w:after="0" w:line="240" w:lineRule="auto"/>
        <w:jc w:val="both"/>
        <w:rPr>
          <w:rFonts w:eastAsiaTheme="minorHAnsi"/>
          <w:noProof/>
          <w:sz w:val="24"/>
          <w:szCs w:val="24"/>
        </w:rPr>
      </w:pPr>
    </w:p>
    <w:p>
      <w:pPr>
        <w:spacing w:after="0" w:line="240" w:lineRule="auto"/>
        <w:jc w:val="both"/>
        <w:rPr>
          <w:rFonts w:eastAsiaTheme="minorHAnsi"/>
          <w:b/>
          <w:noProof/>
          <w:sz w:val="24"/>
          <w:szCs w:val="24"/>
        </w:rPr>
      </w:pPr>
      <w:r>
        <w:rPr>
          <w:rFonts w:eastAsiaTheme="minorHAnsi"/>
          <w:b/>
          <w:noProof/>
          <w:sz w:val="24"/>
          <w:szCs w:val="24"/>
        </w:rPr>
        <w:t>6.  AOB</w:t>
      </w:r>
    </w:p>
    <w:p>
      <w:pPr>
        <w:spacing w:after="0" w:line="240" w:lineRule="auto"/>
        <w:jc w:val="both"/>
        <w:rPr>
          <w:rFonts w:eastAsiaTheme="minorHAnsi"/>
          <w:noProof/>
          <w:sz w:val="24"/>
          <w:szCs w:val="24"/>
        </w:rPr>
      </w:pPr>
    </w:p>
    <w:p>
      <w:pPr>
        <w:spacing w:after="0" w:line="240" w:lineRule="auto"/>
        <w:jc w:val="both"/>
        <w:rPr>
          <w:rFonts w:eastAsiaTheme="minorHAnsi"/>
          <w:b/>
          <w:noProof/>
          <w:sz w:val="24"/>
          <w:szCs w:val="24"/>
        </w:rPr>
      </w:pPr>
      <w:r>
        <w:rPr>
          <w:rFonts w:eastAsiaTheme="minorHAnsi"/>
          <w:noProof/>
          <w:sz w:val="24"/>
          <w:szCs w:val="24"/>
        </w:rPr>
        <w:t xml:space="preserve">Stephen presented the timeline for finalising the report. Final draft needs to be completed by Friday 4 April.  A quick review of the meeting notes would be appreciated to help integrate feedback from the workshop in the report. </w:t>
      </w:r>
    </w:p>
    <w:p>
      <w:pPr>
        <w:spacing w:after="0" w:line="240" w:lineRule="auto"/>
        <w:rPr>
          <w:rFonts w:eastAsiaTheme="minorHAnsi"/>
          <w:noProof/>
        </w:rPr>
      </w:pPr>
    </w:p>
    <w:p>
      <w:pPr>
        <w:rPr>
          <w:rFonts w:ascii="Calibri" w:eastAsia="Times New Roman" w:hAnsi="Calibri" w:cs="Times New Roman"/>
          <w:b/>
          <w:noProof/>
          <w:lang w:eastAsia="en-GB"/>
        </w:rPr>
      </w:pPr>
      <w:r>
        <w:rPr>
          <w:rFonts w:ascii="Calibri" w:eastAsia="Times New Roman" w:hAnsi="Calibri" w:cs="Times New Roman"/>
          <w:b/>
          <w:noProof/>
          <w:lang w:eastAsia="en-GB"/>
        </w:rPr>
        <w:br w:type="page"/>
      </w:r>
    </w:p>
    <w:p>
      <w:pPr>
        <w:spacing w:after="0" w:line="240" w:lineRule="auto"/>
        <w:rPr>
          <w:rFonts w:ascii="Calibri" w:eastAsia="Times New Roman" w:hAnsi="Calibri" w:cs="Times New Roman"/>
          <w:b/>
          <w:noProof/>
          <w:color w:val="0099FF"/>
          <w:sz w:val="36"/>
          <w:szCs w:val="32"/>
          <w:lang w:eastAsia="en-GB"/>
        </w:rPr>
      </w:pPr>
      <w:r>
        <w:rPr>
          <w:rFonts w:ascii="Calibri" w:eastAsia="Times New Roman" w:hAnsi="Calibri" w:cs="Times New Roman"/>
          <w:b/>
          <w:noProof/>
          <w:color w:val="0099FF"/>
          <w:sz w:val="36"/>
          <w:szCs w:val="32"/>
          <w:lang w:eastAsia="en-GB"/>
        </w:rPr>
        <w:t>APPENDIX 5 – Updated aviation radiative forcing components in 2020</w:t>
      </w:r>
    </w:p>
    <w:p>
      <w:pPr>
        <w:spacing w:after="0" w:line="240" w:lineRule="auto"/>
        <w:rPr>
          <w:rFonts w:ascii="Calibri" w:eastAsia="Times New Roman" w:hAnsi="Calibri" w:cs="Times New Roman"/>
          <w:b/>
          <w:noProof/>
          <w:color w:val="0099FF"/>
          <w:sz w:val="36"/>
          <w:szCs w:val="32"/>
          <w:lang w:eastAsia="en-GB"/>
        </w:rPr>
      </w:pPr>
    </w:p>
    <w:p>
      <w:pPr>
        <w:spacing w:after="0" w:line="240" w:lineRule="auto"/>
        <w:jc w:val="both"/>
        <w:rPr>
          <w:rFonts w:ascii="Calibri" w:eastAsia="Calibri" w:hAnsi="Calibri" w:cs="Times New Roman"/>
          <w:noProof/>
          <w:sz w:val="24"/>
          <w:szCs w:val="24"/>
        </w:rPr>
      </w:pPr>
      <w:r>
        <w:rPr>
          <w:rFonts w:ascii="Calibri" w:eastAsia="Calibri" w:hAnsi="Calibri" w:cs="Times New Roman"/>
          <w:noProof/>
          <w:sz w:val="24"/>
          <w:szCs w:val="24"/>
        </w:rPr>
        <w:t>Selected content from Lee et al. (2020, in press), Figure and Table numbers refer to this paper and the legends are reproduced verbatim.</w:t>
      </w:r>
    </w:p>
    <w:p>
      <w:pPr>
        <w:spacing w:after="0" w:line="240" w:lineRule="auto"/>
        <w:jc w:val="both"/>
        <w:rPr>
          <w:rFonts w:ascii="Calibri" w:eastAsia="Calibri" w:hAnsi="Calibri" w:cs="Times New Roman"/>
          <w:noProof/>
          <w:sz w:val="24"/>
          <w:szCs w:val="24"/>
        </w:rPr>
      </w:pPr>
    </w:p>
    <w:p>
      <w:pPr>
        <w:jc w:val="both"/>
        <w:rPr>
          <w:noProof/>
        </w:rPr>
      </w:pPr>
      <w:r>
        <w:rPr>
          <w:rFonts w:ascii="Calibri" w:eastAsia="Calibri" w:hAnsi="Calibri" w:cs="Times New Roman"/>
          <w:noProof/>
          <w:sz w:val="24"/>
          <w:szCs w:val="24"/>
        </w:rPr>
        <w:t xml:space="preserve">Lee D. S., Fahey D. W., Skowron A., Allen M. R., Burkhardt U., Chen Q., Doherty S. J., Freeman S., Forster P. M., Fuglestvedt J., Gettelman A., DeLeon R. R., Lim L. L., Lund M. T., Millar R. J., Owen B., Penner J. E., Pitari G., Prather M. J., Sausen R. and Wilcox L. J. (2020) The contribution of global aviation to anthropogenic climate forcing in 2018. </w:t>
      </w:r>
      <w:r>
        <w:rPr>
          <w:rFonts w:ascii="Calibri" w:eastAsia="Calibri" w:hAnsi="Calibri" w:cs="Times New Roman"/>
          <w:i/>
          <w:iCs/>
          <w:noProof/>
          <w:sz w:val="24"/>
          <w:szCs w:val="24"/>
        </w:rPr>
        <w:t>Atmospheric Environment</w:t>
      </w:r>
      <w:r>
        <w:rPr>
          <w:rFonts w:ascii="Calibri" w:eastAsia="Calibri" w:hAnsi="Calibri" w:cs="Times New Roman"/>
          <w:noProof/>
          <w:sz w:val="24"/>
          <w:szCs w:val="24"/>
        </w:rPr>
        <w:t xml:space="preserve"> (</w:t>
      </w:r>
      <w:hyperlink r:id="rId31" w:history="1">
        <w:r>
          <w:rPr>
            <w:rStyle w:val="Hyperlink"/>
            <w:noProof/>
          </w:rPr>
          <w:t>https://doi.org/10.1016/j.atmosenv.2020.117834</w:t>
        </w:r>
      </w:hyperlink>
      <w:r>
        <w:rPr>
          <w:rFonts w:ascii="Calibri" w:eastAsia="Calibri" w:hAnsi="Calibri" w:cs="Times New Roman"/>
          <w:noProof/>
          <w:sz w:val="24"/>
          <w:szCs w:val="24"/>
        </w:rPr>
        <w:t>).</w:t>
      </w:r>
    </w:p>
    <w:p>
      <w:pPr>
        <w:spacing w:after="0" w:line="240" w:lineRule="auto"/>
        <w:rPr>
          <w:rFonts w:ascii="Calibri" w:eastAsia="Calibri" w:hAnsi="Calibri" w:cs="Times New Roman"/>
          <w:noProof/>
          <w:sz w:val="24"/>
          <w:szCs w:val="24"/>
        </w:rPr>
      </w:pPr>
    </w:p>
    <w:p>
      <w:pPr>
        <w:spacing w:after="0" w:line="240" w:lineRule="auto"/>
        <w:jc w:val="both"/>
        <w:rPr>
          <w:rFonts w:ascii="Calibri" w:eastAsia="Calibri" w:hAnsi="Calibri" w:cs="Times New Roman"/>
          <w:b/>
          <w:noProof/>
          <w:spacing w:val="-8"/>
          <w:kern w:val="36"/>
          <w:sz w:val="24"/>
        </w:rPr>
      </w:pPr>
      <w:r>
        <w:rPr>
          <w:rFonts w:ascii="Calibri" w:eastAsia="Calibri" w:hAnsi="Calibri" w:cs="Times New Roman"/>
          <w:b/>
          <w:noProof/>
          <w:spacing w:val="-8"/>
          <w:kern w:val="36"/>
          <w:sz w:val="24"/>
        </w:rPr>
        <w:t>Abstract</w:t>
      </w:r>
    </w:p>
    <w:p>
      <w:pPr>
        <w:spacing w:after="0" w:line="240" w:lineRule="auto"/>
        <w:jc w:val="both"/>
        <w:rPr>
          <w:rFonts w:ascii="Calibri" w:eastAsia="Calibri" w:hAnsi="Calibri" w:cs="Times New Roman"/>
          <w:noProof/>
          <w:sz w:val="24"/>
          <w:szCs w:val="24"/>
          <w:lang w:val="en-US"/>
        </w:rPr>
      </w:pPr>
      <w:r>
        <w:rPr>
          <w:rFonts w:ascii="Calibri" w:eastAsia="Calibri" w:hAnsi="Calibri" w:cs="Times New Roman"/>
          <w:noProof/>
          <w:sz w:val="24"/>
          <w:szCs w:val="24"/>
          <w:lang w:val="en-US"/>
        </w:rPr>
        <w:t>Global aviation operations contribute to anthropogenic climate change via a complex set of processes that lead to a net surface warming. Of importance are aviation emissions of carbon dioxide (CO</w:t>
      </w:r>
      <w:r>
        <w:rPr>
          <w:rFonts w:ascii="Calibri" w:eastAsia="Calibri" w:hAnsi="Calibri" w:cs="Times New Roman"/>
          <w:noProof/>
          <w:sz w:val="24"/>
          <w:szCs w:val="24"/>
          <w:vertAlign w:val="subscript"/>
          <w:lang w:val="en-US"/>
        </w:rPr>
        <w:t>2</w:t>
      </w:r>
      <w:r>
        <w:rPr>
          <w:rFonts w:ascii="Calibri" w:eastAsia="Calibri" w:hAnsi="Calibri" w:cs="Times New Roman"/>
          <w:noProof/>
          <w:sz w:val="24"/>
          <w:szCs w:val="24"/>
          <w:lang w:val="en-US"/>
        </w:rPr>
        <w:t>), nitrogen oxides (NO</w:t>
      </w:r>
      <w:r>
        <w:rPr>
          <w:rFonts w:ascii="Calibri" w:eastAsia="Calibri" w:hAnsi="Calibri" w:cs="Times New Roman"/>
          <w:noProof/>
          <w:sz w:val="24"/>
          <w:szCs w:val="24"/>
          <w:vertAlign w:val="subscript"/>
          <w:lang w:val="en-US"/>
        </w:rPr>
        <w:t>x</w:t>
      </w:r>
      <w:r>
        <w:rPr>
          <w:rFonts w:ascii="Calibri" w:eastAsia="Calibri" w:hAnsi="Calibri" w:cs="Times New Roman"/>
          <w:noProof/>
          <w:sz w:val="24"/>
          <w:szCs w:val="24"/>
          <w:lang w:val="en-US"/>
        </w:rPr>
        <w:t>), water vapor, soot and sulfate aerosols, and increased cloudiness due to contrail formation. Aviation grew strongly over the past decades (1960–2018) in terms of activity, with revenue passenger kilometers increasing from 109 to 8269 billion km yr</w:t>
      </w:r>
      <w:r>
        <w:rPr>
          <w:rFonts w:ascii="Calibri" w:eastAsia="Calibri" w:hAnsi="Calibri" w:cs="Times New Roman"/>
          <w:noProof/>
          <w:sz w:val="24"/>
          <w:szCs w:val="24"/>
          <w:vertAlign w:val="superscript"/>
          <w:lang w:val="en-US"/>
        </w:rPr>
        <w:t>-1</w:t>
      </w:r>
      <w:r>
        <w:rPr>
          <w:rFonts w:ascii="Calibri" w:eastAsia="Calibri" w:hAnsi="Calibri" w:cs="Times New Roman"/>
          <w:noProof/>
          <w:sz w:val="24"/>
          <w:szCs w:val="24"/>
          <w:lang w:val="en-US"/>
        </w:rPr>
        <w:t>, and in terms of climate change impacts, with CO</w:t>
      </w:r>
      <w:r>
        <w:rPr>
          <w:rFonts w:ascii="Calibri" w:eastAsia="Calibri" w:hAnsi="Calibri" w:cs="Times New Roman"/>
          <w:noProof/>
          <w:sz w:val="24"/>
          <w:szCs w:val="24"/>
          <w:vertAlign w:val="subscript"/>
          <w:lang w:val="en-US"/>
        </w:rPr>
        <w:t>2</w:t>
      </w:r>
      <w:r>
        <w:rPr>
          <w:rFonts w:ascii="Calibri" w:eastAsia="Calibri" w:hAnsi="Calibri" w:cs="Times New Roman"/>
          <w:noProof/>
          <w:sz w:val="24"/>
          <w:szCs w:val="24"/>
          <w:lang w:val="en-US"/>
        </w:rPr>
        <w:t xml:space="preserve"> emissions increasing by a factor of 6.8 to 1034 Tg CO</w:t>
      </w:r>
      <w:r>
        <w:rPr>
          <w:rFonts w:ascii="Calibri" w:eastAsia="Calibri" w:hAnsi="Calibri" w:cs="Times New Roman"/>
          <w:noProof/>
          <w:sz w:val="24"/>
          <w:szCs w:val="24"/>
          <w:vertAlign w:val="subscript"/>
          <w:lang w:val="en-US"/>
        </w:rPr>
        <w:t>2</w:t>
      </w:r>
      <w:r>
        <w:rPr>
          <w:rFonts w:ascii="Calibri" w:eastAsia="Calibri" w:hAnsi="Calibri" w:cs="Times New Roman"/>
          <w:noProof/>
          <w:sz w:val="24"/>
          <w:szCs w:val="24"/>
          <w:lang w:val="en-US"/>
        </w:rPr>
        <w:t xml:space="preserve"> yr</w:t>
      </w:r>
      <w:r>
        <w:rPr>
          <w:rFonts w:ascii="Calibri" w:eastAsia="Calibri" w:hAnsi="Calibri" w:cs="Times New Roman"/>
          <w:noProof/>
          <w:sz w:val="24"/>
          <w:szCs w:val="24"/>
          <w:vertAlign w:val="superscript"/>
          <w:lang w:val="en-US"/>
        </w:rPr>
        <w:t>-1</w:t>
      </w:r>
      <w:r>
        <w:rPr>
          <w:rFonts w:ascii="Calibri" w:eastAsia="Calibri" w:hAnsi="Calibri" w:cs="Times New Roman"/>
          <w:noProof/>
          <w:sz w:val="24"/>
          <w:szCs w:val="24"/>
          <w:lang w:val="en-US"/>
        </w:rPr>
        <w:t>. Over the period 2013–2018, the growth rates in both terms show a marked increase. Here, we present a new comprehensive and quantitative approach for evaluating aviation climate forcing terms. Both radiative forcing (RF) and effective radiative forcing (ERF) terms and their sums are calculated for the years 2000–2018. Contrail cirrus, consisting of linear contrails and the cirrus cloudiness arising from them, yields the largest positive net (warming) ERF term followed by CO</w:t>
      </w:r>
      <w:r>
        <w:rPr>
          <w:rFonts w:ascii="Calibri" w:eastAsia="Calibri" w:hAnsi="Calibri" w:cs="Times New Roman"/>
          <w:noProof/>
          <w:sz w:val="24"/>
          <w:szCs w:val="24"/>
          <w:vertAlign w:val="subscript"/>
          <w:lang w:val="en-US"/>
        </w:rPr>
        <w:t>2</w:t>
      </w:r>
      <w:r>
        <w:rPr>
          <w:rFonts w:ascii="Calibri" w:eastAsia="Calibri" w:hAnsi="Calibri" w:cs="Times New Roman"/>
          <w:noProof/>
          <w:sz w:val="24"/>
          <w:szCs w:val="24"/>
          <w:lang w:val="en-US"/>
        </w:rPr>
        <w:t xml:space="preserve"> and NO</w:t>
      </w:r>
      <w:r>
        <w:rPr>
          <w:rFonts w:ascii="Calibri" w:eastAsia="Calibri" w:hAnsi="Calibri" w:cs="Times New Roman"/>
          <w:noProof/>
          <w:sz w:val="24"/>
          <w:szCs w:val="24"/>
          <w:vertAlign w:val="subscript"/>
          <w:lang w:val="en-US"/>
        </w:rPr>
        <w:t>x</w:t>
      </w:r>
      <w:r>
        <w:rPr>
          <w:rFonts w:ascii="Calibri" w:eastAsia="Calibri" w:hAnsi="Calibri" w:cs="Times New Roman"/>
          <w:noProof/>
          <w:sz w:val="24"/>
          <w:szCs w:val="24"/>
          <w:lang w:val="en-US"/>
        </w:rPr>
        <w:t xml:space="preserve"> emissions. The formation and emission of sulfate aerosol yields a negative (cooling) term. The mean contrail cirrus ERF/RF ratio of 0.42 indicates that contrail cirrus is less effective in surface warming than other terms. For 2018 the net aviation ERF is +100.9 milliwatts (mW) m</w:t>
      </w:r>
      <w:r>
        <w:rPr>
          <w:rFonts w:ascii="Calibri" w:eastAsia="Calibri" w:hAnsi="Calibri" w:cs="Times New Roman"/>
          <w:noProof/>
          <w:sz w:val="24"/>
          <w:szCs w:val="24"/>
          <w:vertAlign w:val="superscript"/>
          <w:lang w:val="en-US"/>
        </w:rPr>
        <w:t>-2</w:t>
      </w:r>
      <w:r>
        <w:rPr>
          <w:rFonts w:ascii="Calibri" w:eastAsia="Calibri" w:hAnsi="Calibri" w:cs="Times New Roman"/>
          <w:noProof/>
          <w:sz w:val="24"/>
          <w:szCs w:val="24"/>
          <w:lang w:val="en-US"/>
        </w:rPr>
        <w:t xml:space="preserve"> (5–95% likelihood range of (55, 145)) with major contributions from contrail cirrus (57.4 mW m</w:t>
      </w:r>
      <w:r>
        <w:rPr>
          <w:rFonts w:ascii="Calibri" w:eastAsia="Calibri" w:hAnsi="Calibri" w:cs="Times New Roman"/>
          <w:noProof/>
          <w:sz w:val="24"/>
          <w:szCs w:val="24"/>
          <w:vertAlign w:val="superscript"/>
          <w:lang w:val="en-US"/>
        </w:rPr>
        <w:t>-2</w:t>
      </w:r>
      <w:r>
        <w:rPr>
          <w:rFonts w:ascii="Calibri" w:eastAsia="Calibri" w:hAnsi="Calibri" w:cs="Times New Roman"/>
          <w:noProof/>
          <w:sz w:val="24"/>
          <w:szCs w:val="24"/>
          <w:lang w:val="en-US"/>
        </w:rPr>
        <w:t>), CO</w:t>
      </w:r>
      <w:r>
        <w:rPr>
          <w:rFonts w:ascii="Calibri" w:eastAsia="Calibri" w:hAnsi="Calibri" w:cs="Times New Roman"/>
          <w:noProof/>
          <w:sz w:val="24"/>
          <w:szCs w:val="24"/>
          <w:vertAlign w:val="subscript"/>
          <w:lang w:val="en-US"/>
        </w:rPr>
        <w:t>2</w:t>
      </w:r>
      <w:r>
        <w:rPr>
          <w:rFonts w:ascii="Calibri" w:eastAsia="Calibri" w:hAnsi="Calibri" w:cs="Times New Roman"/>
          <w:noProof/>
          <w:sz w:val="24"/>
          <w:szCs w:val="24"/>
          <w:lang w:val="en-US"/>
        </w:rPr>
        <w:t xml:space="preserve"> (34.3 mW m</w:t>
      </w:r>
      <w:r>
        <w:rPr>
          <w:rFonts w:ascii="Calibri" w:eastAsia="Calibri" w:hAnsi="Calibri" w:cs="Times New Roman"/>
          <w:noProof/>
          <w:sz w:val="24"/>
          <w:szCs w:val="24"/>
          <w:vertAlign w:val="superscript"/>
          <w:lang w:val="en-US"/>
        </w:rPr>
        <w:t>-2</w:t>
      </w:r>
      <w:r>
        <w:rPr>
          <w:rFonts w:ascii="Calibri" w:eastAsia="Calibri" w:hAnsi="Calibri" w:cs="Times New Roman"/>
          <w:noProof/>
          <w:sz w:val="24"/>
          <w:szCs w:val="24"/>
          <w:lang w:val="en-US"/>
        </w:rPr>
        <w:t>), and NO</w:t>
      </w:r>
      <w:r>
        <w:rPr>
          <w:rFonts w:ascii="Calibri" w:eastAsia="Calibri" w:hAnsi="Calibri" w:cs="Times New Roman"/>
          <w:noProof/>
          <w:sz w:val="24"/>
          <w:szCs w:val="24"/>
          <w:vertAlign w:val="subscript"/>
          <w:lang w:val="en-US"/>
        </w:rPr>
        <w:t>x</w:t>
      </w:r>
      <w:r>
        <w:rPr>
          <w:rFonts w:ascii="Calibri" w:eastAsia="Calibri" w:hAnsi="Calibri" w:cs="Times New Roman"/>
          <w:noProof/>
          <w:sz w:val="24"/>
          <w:szCs w:val="24"/>
          <w:lang w:val="en-US"/>
        </w:rPr>
        <w:t xml:space="preserve"> (17.5 mW m</w:t>
      </w:r>
      <w:r>
        <w:rPr>
          <w:rFonts w:ascii="Calibri" w:eastAsia="Calibri" w:hAnsi="Calibri" w:cs="Times New Roman"/>
          <w:noProof/>
          <w:sz w:val="24"/>
          <w:szCs w:val="24"/>
          <w:vertAlign w:val="superscript"/>
          <w:lang w:val="en-US"/>
        </w:rPr>
        <w:noBreakHyphen/>
        <w:t>2</w:t>
      </w:r>
      <w:r>
        <w:rPr>
          <w:rFonts w:ascii="Calibri" w:eastAsia="Calibri" w:hAnsi="Calibri" w:cs="Times New Roman"/>
          <w:noProof/>
          <w:sz w:val="24"/>
          <w:szCs w:val="24"/>
          <w:lang w:val="en-US"/>
        </w:rPr>
        <w:t>). Non-CO</w:t>
      </w:r>
      <w:r>
        <w:rPr>
          <w:rFonts w:ascii="Calibri" w:eastAsia="Calibri" w:hAnsi="Calibri" w:cs="Times New Roman"/>
          <w:noProof/>
          <w:sz w:val="24"/>
          <w:szCs w:val="24"/>
          <w:vertAlign w:val="subscript"/>
          <w:lang w:val="en-US"/>
        </w:rPr>
        <w:t>2</w:t>
      </w:r>
      <w:r>
        <w:rPr>
          <w:rFonts w:ascii="Calibri" w:eastAsia="Calibri" w:hAnsi="Calibri" w:cs="Times New Roman"/>
          <w:noProof/>
          <w:sz w:val="24"/>
          <w:szCs w:val="24"/>
          <w:lang w:val="en-US"/>
        </w:rPr>
        <w:t xml:space="preserve"> terms sum to yield a net positive (warming) ERF that accounts for more than half (66%) of the aviation net ERF in 2018. Using normalization to aviation fuel use, the contribution of global aviation in 2011 was calculated to be 3.5 (4.0, 3.4) % of the net anthropogenic ERF of 2290 (1130, 3330) mW m</w:t>
      </w:r>
      <w:r>
        <w:rPr>
          <w:rFonts w:ascii="Calibri" w:eastAsia="Calibri" w:hAnsi="Calibri" w:cs="Times New Roman"/>
          <w:noProof/>
          <w:sz w:val="24"/>
          <w:szCs w:val="24"/>
          <w:vertAlign w:val="superscript"/>
          <w:lang w:val="en-US"/>
        </w:rPr>
        <w:t>-2</w:t>
      </w:r>
      <w:r>
        <w:rPr>
          <w:rFonts w:ascii="Calibri" w:eastAsia="Calibri" w:hAnsi="Calibri" w:cs="Times New Roman"/>
          <w:noProof/>
          <w:sz w:val="24"/>
          <w:szCs w:val="24"/>
          <w:lang w:val="en-US"/>
        </w:rPr>
        <w:t>. Uncertainty distributions (5%, 95%) show that non-CO</w:t>
      </w:r>
      <w:r>
        <w:rPr>
          <w:rFonts w:ascii="Calibri" w:eastAsia="Calibri" w:hAnsi="Calibri" w:cs="Times New Roman"/>
          <w:noProof/>
          <w:sz w:val="24"/>
          <w:szCs w:val="24"/>
          <w:vertAlign w:val="subscript"/>
          <w:lang w:val="en-US"/>
        </w:rPr>
        <w:t>2</w:t>
      </w:r>
      <w:r>
        <w:rPr>
          <w:rFonts w:ascii="Calibri" w:eastAsia="Calibri" w:hAnsi="Calibri" w:cs="Times New Roman"/>
          <w:noProof/>
          <w:sz w:val="24"/>
          <w:szCs w:val="24"/>
          <w:lang w:val="en-US"/>
        </w:rPr>
        <w:t xml:space="preserve"> forcing terms contribute about 8 times more than CO</w:t>
      </w:r>
      <w:r>
        <w:rPr>
          <w:rFonts w:ascii="Calibri" w:eastAsia="Calibri" w:hAnsi="Calibri" w:cs="Times New Roman"/>
          <w:noProof/>
          <w:sz w:val="24"/>
          <w:szCs w:val="24"/>
          <w:vertAlign w:val="subscript"/>
          <w:lang w:val="en-US"/>
        </w:rPr>
        <w:t>2</w:t>
      </w:r>
      <w:r>
        <w:rPr>
          <w:rFonts w:ascii="Calibri" w:eastAsia="Calibri" w:hAnsi="Calibri" w:cs="Times New Roman"/>
          <w:noProof/>
          <w:sz w:val="24"/>
          <w:szCs w:val="24"/>
          <w:lang w:val="en-US"/>
        </w:rPr>
        <w:t xml:space="preserve"> to the uncertainty in the aviation net ERF in 2018. The best estimates of the ERFs from aviation aerosol-cloud interactions for soot and sulfate remain undetermined. CO</w:t>
      </w:r>
      <w:r>
        <w:rPr>
          <w:rFonts w:ascii="Calibri" w:eastAsia="Calibri" w:hAnsi="Calibri" w:cs="Times New Roman"/>
          <w:noProof/>
          <w:sz w:val="24"/>
          <w:szCs w:val="24"/>
          <w:vertAlign w:val="subscript"/>
          <w:lang w:val="en-US"/>
        </w:rPr>
        <w:t>2</w:t>
      </w:r>
      <w:r>
        <w:rPr>
          <w:rFonts w:ascii="Calibri" w:eastAsia="Calibri" w:hAnsi="Calibri" w:cs="Times New Roman"/>
          <w:noProof/>
          <w:sz w:val="24"/>
          <w:szCs w:val="24"/>
          <w:lang w:val="en-US"/>
        </w:rPr>
        <w:t>-warming-equivalent emissions based on global warming potentials (GWP* method) indicate that aviation emissions are currently warming the climate at approximately three times the rate of that associated with aviation CO</w:t>
      </w:r>
      <w:r>
        <w:rPr>
          <w:rFonts w:ascii="Calibri" w:eastAsia="Calibri" w:hAnsi="Calibri" w:cs="Times New Roman"/>
          <w:noProof/>
          <w:sz w:val="24"/>
          <w:szCs w:val="24"/>
          <w:vertAlign w:val="subscript"/>
          <w:lang w:val="en-US"/>
        </w:rPr>
        <w:t>2</w:t>
      </w:r>
      <w:r>
        <w:rPr>
          <w:rFonts w:ascii="Calibri" w:eastAsia="Calibri" w:hAnsi="Calibri" w:cs="Times New Roman"/>
          <w:noProof/>
          <w:sz w:val="24"/>
          <w:szCs w:val="24"/>
          <w:lang w:val="en-US"/>
        </w:rPr>
        <w:t xml:space="preserve"> emissions alone. CO</w:t>
      </w:r>
      <w:r>
        <w:rPr>
          <w:rFonts w:ascii="Calibri" w:eastAsia="Calibri" w:hAnsi="Calibri" w:cs="Times New Roman"/>
          <w:noProof/>
          <w:sz w:val="24"/>
          <w:szCs w:val="24"/>
          <w:vertAlign w:val="subscript"/>
          <w:lang w:val="en-US"/>
        </w:rPr>
        <w:t>2</w:t>
      </w:r>
      <w:r>
        <w:rPr>
          <w:rFonts w:ascii="Calibri" w:eastAsia="Calibri" w:hAnsi="Calibri" w:cs="Times New Roman"/>
          <w:noProof/>
          <w:sz w:val="24"/>
          <w:szCs w:val="24"/>
          <w:lang w:val="en-US"/>
        </w:rPr>
        <w:t xml:space="preserve"> and NO</w:t>
      </w:r>
      <w:r>
        <w:rPr>
          <w:rFonts w:ascii="Calibri" w:eastAsia="Calibri" w:hAnsi="Calibri" w:cs="Times New Roman"/>
          <w:noProof/>
          <w:sz w:val="24"/>
          <w:szCs w:val="24"/>
          <w:vertAlign w:val="subscript"/>
          <w:lang w:val="en-US"/>
        </w:rPr>
        <w:t>x</w:t>
      </w:r>
      <w:r>
        <w:rPr>
          <w:rFonts w:ascii="Calibri" w:eastAsia="Calibri" w:hAnsi="Calibri" w:cs="Times New Roman"/>
          <w:noProof/>
          <w:sz w:val="24"/>
          <w:szCs w:val="24"/>
          <w:lang w:val="en-US"/>
        </w:rPr>
        <w:t xml:space="preserve"> aviation emissions and cloud effects remain a continued focus of anthropogenic climate change research and policy discussions.</w:t>
      </w:r>
    </w:p>
    <w:p>
      <w:pPr>
        <w:spacing w:after="0" w:line="240" w:lineRule="auto"/>
        <w:rPr>
          <w:rFonts w:ascii="Calibri" w:eastAsia="Calibri" w:hAnsi="Calibri" w:cs="Times New Roman"/>
          <w:noProof/>
          <w:kern w:val="36"/>
          <w:sz w:val="24"/>
        </w:rPr>
      </w:pPr>
      <w:r>
        <w:rPr>
          <w:rFonts w:ascii="Calibri" w:eastAsia="Calibri" w:hAnsi="Calibri" w:cs="Times New Roman"/>
          <w:noProof/>
          <w:kern w:val="36"/>
          <w:sz w:val="24"/>
        </w:rPr>
        <w:br w:type="page"/>
      </w:r>
    </w:p>
    <w:p>
      <w:pPr>
        <w:spacing w:after="0" w:line="240" w:lineRule="auto"/>
        <w:rPr>
          <w:rFonts w:ascii="Calibri" w:eastAsia="Calibri" w:hAnsi="Calibri" w:cs="Times New Roman"/>
          <w:noProof/>
          <w:sz w:val="24"/>
          <w:szCs w:val="24"/>
        </w:rPr>
      </w:pPr>
      <w:r>
        <w:rPr>
          <w:rFonts w:ascii="Calibri" w:eastAsia="Calibri" w:hAnsi="Calibri" w:cs="Times New Roman"/>
          <w:noProof/>
          <w:sz w:val="24"/>
          <w:szCs w:val="24"/>
          <w:lang w:eastAsia="en-GB"/>
        </w:rPr>
        <w:drawing>
          <wp:inline distT="0" distB="0" distL="0" distR="0">
            <wp:extent cx="5854700" cy="4533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2" cstate="email">
                      <a:extLst>
                        <a:ext uri="{28A0092B-C50C-407E-A947-70E740481C1C}">
                          <a14:useLocalDpi xmlns:a14="http://schemas.microsoft.com/office/drawing/2010/main"/>
                        </a:ext>
                      </a:extLst>
                    </a:blip>
                    <a:stretch>
                      <a:fillRect/>
                    </a:stretch>
                  </pic:blipFill>
                  <pic:spPr>
                    <a:xfrm>
                      <a:off x="0" y="0"/>
                      <a:ext cx="5854700" cy="4533900"/>
                    </a:xfrm>
                    <a:prstGeom prst="rect">
                      <a:avLst/>
                    </a:prstGeom>
                  </pic:spPr>
                </pic:pic>
              </a:graphicData>
            </a:graphic>
          </wp:inline>
        </w:drawing>
      </w:r>
    </w:p>
    <w:p>
      <w:pPr>
        <w:spacing w:after="0" w:line="240" w:lineRule="auto"/>
        <w:jc w:val="both"/>
        <w:rPr>
          <w:rFonts w:ascii="Calibri" w:eastAsia="Calibri" w:hAnsi="Calibri" w:cs="Times New Roman"/>
          <w:bCs/>
          <w:noProof/>
          <w:sz w:val="24"/>
          <w:szCs w:val="20"/>
          <w:lang w:val="en-US"/>
        </w:rPr>
      </w:pPr>
      <w:r>
        <w:rPr>
          <w:rFonts w:ascii="Calibri" w:eastAsia="Calibri" w:hAnsi="Calibri" w:cs="Times New Roman"/>
          <w:b/>
          <w:noProof/>
          <w:sz w:val="24"/>
          <w:szCs w:val="20"/>
          <w:lang w:val="en-US"/>
        </w:rPr>
        <w:t>Figure 6</w:t>
      </w:r>
      <w:r>
        <w:rPr>
          <w:rFonts w:ascii="Calibri" w:eastAsia="Calibri" w:hAnsi="Calibri" w:cs="Times New Roman"/>
          <w:bCs/>
          <w:noProof/>
          <w:sz w:val="24"/>
          <w:szCs w:val="20"/>
          <w:lang w:val="en-US"/>
        </w:rPr>
        <w:t>. Timeseries of calculated ERF values and confidence intervals for annual aviation forcing terms from 2000 to 2018. The top panel shows all ERF terms and the bottom panel shows only the NO</w:t>
      </w:r>
      <w:r>
        <w:rPr>
          <w:rFonts w:ascii="Calibri" w:eastAsia="Calibri" w:hAnsi="Calibri" w:cs="Times New Roman"/>
          <w:bCs/>
          <w:noProof/>
          <w:sz w:val="24"/>
          <w:szCs w:val="20"/>
          <w:vertAlign w:val="subscript"/>
          <w:lang w:val="en-US"/>
        </w:rPr>
        <w:t>x</w:t>
      </w:r>
      <w:r>
        <w:rPr>
          <w:rFonts w:ascii="Calibri" w:eastAsia="Calibri" w:hAnsi="Calibri" w:cs="Times New Roman"/>
          <w:bCs/>
          <w:noProof/>
          <w:sz w:val="24"/>
          <w:szCs w:val="20"/>
          <w:lang w:val="en-US"/>
        </w:rPr>
        <w:t xml:space="preserve"> terms and net NO</w:t>
      </w:r>
      <w:r>
        <w:rPr>
          <w:rFonts w:ascii="Calibri" w:eastAsia="Calibri" w:hAnsi="Calibri" w:cs="Times New Roman"/>
          <w:bCs/>
          <w:noProof/>
          <w:sz w:val="24"/>
          <w:szCs w:val="20"/>
          <w:vertAlign w:val="subscript"/>
          <w:lang w:val="en-US"/>
        </w:rPr>
        <w:t>x</w:t>
      </w:r>
      <w:r>
        <w:rPr>
          <w:rFonts w:ascii="Calibri" w:eastAsia="Calibri" w:hAnsi="Calibri" w:cs="Times New Roman"/>
          <w:bCs/>
          <w:noProof/>
          <w:sz w:val="24"/>
          <w:szCs w:val="20"/>
          <w:lang w:val="en-US"/>
        </w:rPr>
        <w:t xml:space="preserve"> ERF. All values are available in the SD spreadsheet, in Tables 2 and 3, and in Figure 3 for 2018 values. The net values are not arithmetic sums of the annual values because the net ERF, as shown in Figure 3 for 2018, requires a Monte Carlo analysis that properly includes uncertainty distributions and correlations.</w:t>
      </w:r>
    </w:p>
    <w:p>
      <w:pPr>
        <w:spacing w:after="0" w:line="240" w:lineRule="auto"/>
        <w:rPr>
          <w:rFonts w:ascii="Calibri" w:eastAsia="Calibri" w:hAnsi="Calibri" w:cs="Times New Roman"/>
          <w:noProof/>
          <w:sz w:val="24"/>
          <w:szCs w:val="24"/>
        </w:rPr>
      </w:pPr>
      <w:r>
        <w:rPr>
          <w:rFonts w:ascii="Calibri" w:eastAsia="Calibri" w:hAnsi="Calibri" w:cs="Times New Roman"/>
          <w:noProof/>
          <w:sz w:val="24"/>
          <w:szCs w:val="24"/>
        </w:rPr>
        <w:br w:type="page"/>
      </w:r>
    </w:p>
    <w:p>
      <w:pPr>
        <w:spacing w:after="0" w:line="240" w:lineRule="auto"/>
        <w:rPr>
          <w:rFonts w:ascii="Calibri" w:eastAsia="Calibri" w:hAnsi="Calibri" w:cs="Times New Roman"/>
          <w:noProof/>
          <w:sz w:val="24"/>
          <w:szCs w:val="24"/>
        </w:rPr>
      </w:pPr>
      <w:r>
        <w:rPr>
          <w:rFonts w:ascii="Helvetica" w:hAnsi="Helvetica"/>
          <w:b/>
          <w:noProof/>
          <w:sz w:val="20"/>
          <w:szCs w:val="20"/>
          <w:lang w:eastAsia="en-GB"/>
        </w:rPr>
        <w:drawing>
          <wp:anchor distT="0" distB="0" distL="114300" distR="114300" simplePos="0" relativeHeight="251654656" behindDoc="0" locked="0" layoutInCell="1" allowOverlap="1">
            <wp:simplePos x="0" y="0"/>
            <wp:positionH relativeFrom="column">
              <wp:posOffset>304800</wp:posOffset>
            </wp:positionH>
            <wp:positionV relativeFrom="paragraph">
              <wp:posOffset>219710</wp:posOffset>
            </wp:positionV>
            <wp:extent cx="4558030" cy="4425315"/>
            <wp:effectExtent l="0" t="0" r="1270" b="0"/>
            <wp:wrapTopAndBottom/>
            <wp:docPr id="55" name="Picture 5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lose up of text on a white background&#10;&#10;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4558030" cy="4425315"/>
                    </a:xfrm>
                    <a:prstGeom prst="rect">
                      <a:avLst/>
                    </a:prstGeom>
                  </pic:spPr>
                </pic:pic>
              </a:graphicData>
            </a:graphic>
            <wp14:sizeRelH relativeFrom="page">
              <wp14:pctWidth>0</wp14:pctWidth>
            </wp14:sizeRelH>
            <wp14:sizeRelV relativeFrom="page">
              <wp14:pctHeight>0</wp14:pctHeight>
            </wp14:sizeRelV>
          </wp:anchor>
        </w:drawing>
      </w:r>
    </w:p>
    <w:p>
      <w:pPr>
        <w:spacing w:after="0" w:line="240" w:lineRule="auto"/>
        <w:rPr>
          <w:rFonts w:ascii="Calibri" w:eastAsia="Calibri" w:hAnsi="Calibri" w:cs="Times New Roman"/>
          <w:noProof/>
          <w:sz w:val="24"/>
          <w:szCs w:val="24"/>
        </w:rPr>
      </w:pPr>
    </w:p>
    <w:p>
      <w:pPr>
        <w:spacing w:after="0" w:line="240" w:lineRule="auto"/>
        <w:rPr>
          <w:rFonts w:ascii="Calibri" w:eastAsia="Calibri" w:hAnsi="Calibri" w:cs="Times New Roman"/>
          <w:noProof/>
          <w:sz w:val="24"/>
          <w:szCs w:val="20"/>
        </w:rPr>
      </w:pPr>
      <w:r>
        <w:rPr>
          <w:rFonts w:ascii="Calibri" w:eastAsia="Calibri" w:hAnsi="Calibri" w:cs="Times New Roman"/>
          <w:b/>
          <w:noProof/>
          <w:color w:val="000000"/>
          <w:sz w:val="24"/>
          <w:szCs w:val="20"/>
          <w:lang w:val="en-US"/>
        </w:rPr>
        <w:t xml:space="preserve">Figure 7. </w:t>
      </w:r>
      <w:r>
        <w:rPr>
          <w:rFonts w:ascii="Calibri" w:eastAsia="Calibri" w:hAnsi="Calibri" w:cs="Times New Roman"/>
          <w:noProof/>
          <w:color w:val="000000"/>
          <w:sz w:val="24"/>
          <w:szCs w:val="20"/>
          <w:lang w:val="en-US"/>
        </w:rPr>
        <w:t>Probability distribution functions (PDFs) for aviation ERFs in 2018 based on the results in Figure 3 and Table 2. PDFs are shown for separately for CO</w:t>
      </w:r>
      <w:r>
        <w:rPr>
          <w:rFonts w:ascii="Calibri" w:eastAsia="Calibri" w:hAnsi="Calibri" w:cs="Times New Roman"/>
          <w:noProof/>
          <w:color w:val="000000"/>
          <w:sz w:val="24"/>
          <w:szCs w:val="20"/>
          <w:vertAlign w:val="subscript"/>
          <w:lang w:val="en-US"/>
        </w:rPr>
        <w:t>2</w:t>
      </w:r>
      <w:r>
        <w:rPr>
          <w:rFonts w:ascii="Calibri" w:eastAsia="Calibri" w:hAnsi="Calibri" w:cs="Times New Roman"/>
          <w:noProof/>
          <w:color w:val="000000"/>
          <w:sz w:val="24"/>
          <w:szCs w:val="20"/>
          <w:lang w:val="en-US"/>
        </w:rPr>
        <w:t>, the sum of non-CO</w:t>
      </w:r>
      <w:r>
        <w:rPr>
          <w:rFonts w:ascii="Calibri" w:eastAsia="Calibri" w:hAnsi="Calibri" w:cs="Times New Roman"/>
          <w:noProof/>
          <w:color w:val="000000"/>
          <w:sz w:val="24"/>
          <w:szCs w:val="20"/>
          <w:vertAlign w:val="subscript"/>
          <w:lang w:val="en-US"/>
        </w:rPr>
        <w:t>2</w:t>
      </w:r>
      <w:r>
        <w:rPr>
          <w:rFonts w:ascii="Calibri" w:eastAsia="Calibri" w:hAnsi="Calibri" w:cs="Times New Roman"/>
          <w:noProof/>
          <w:color w:val="000000"/>
          <w:sz w:val="24"/>
          <w:szCs w:val="20"/>
          <w:lang w:val="en-US"/>
        </w:rPr>
        <w:t xml:space="preserve"> terms, and the net aviation ERF. Since the area of each distribution is normalized to the same value, relative probabilities can be intercompared. Uncertainties are expressed by a distribution about the best-estimate value that is normal for CO</w:t>
      </w:r>
      <w:r>
        <w:rPr>
          <w:rFonts w:ascii="Calibri" w:eastAsia="Calibri" w:hAnsi="Calibri" w:cs="Times New Roman"/>
          <w:noProof/>
          <w:color w:val="000000"/>
          <w:sz w:val="24"/>
          <w:szCs w:val="20"/>
          <w:vertAlign w:val="subscript"/>
          <w:lang w:val="en-US"/>
        </w:rPr>
        <w:t>2</w:t>
      </w:r>
      <w:r>
        <w:rPr>
          <w:rFonts w:ascii="Calibri" w:eastAsia="Calibri" w:hAnsi="Calibri" w:cs="Times New Roman"/>
          <w:noProof/>
          <w:color w:val="000000"/>
          <w:sz w:val="24"/>
          <w:szCs w:val="20"/>
          <w:lang w:val="en-US"/>
        </w:rPr>
        <w:t xml:space="preserve"> and contrail cirrus, and lognormal for all other components. A one-million-point Monte Carlo simulation run was used to calculate all PDFs</w:t>
      </w:r>
      <w:r>
        <w:rPr>
          <w:rFonts w:ascii="Calibri" w:eastAsia="Calibri" w:hAnsi="Calibri" w:cs="Times New Roman"/>
          <w:noProof/>
          <w:color w:val="000000"/>
          <w:sz w:val="24"/>
          <w:szCs w:val="20"/>
        </w:rPr>
        <w:t>.</w:t>
      </w:r>
    </w:p>
    <w:p>
      <w:pPr>
        <w:spacing w:after="0" w:line="240" w:lineRule="auto"/>
        <w:jc w:val="both"/>
        <w:rPr>
          <w:rFonts w:ascii="Helvetica" w:eastAsia="Calibri" w:hAnsi="Helvetica" w:cs="Times New Roman"/>
          <w:b/>
          <w:noProof/>
          <w:sz w:val="20"/>
          <w:szCs w:val="20"/>
        </w:rPr>
        <w:sectPr>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pPr>
    </w:p>
    <w:p>
      <w:pPr>
        <w:rPr>
          <w:rFonts w:ascii="Helvetica" w:hAnsi="Helvetica"/>
          <w:b/>
          <w:noProof/>
          <w:sz w:val="20"/>
          <w:szCs w:val="20"/>
        </w:rPr>
      </w:pPr>
      <w:r>
        <w:rPr>
          <w:rFonts w:ascii="Helvetica" w:hAnsi="Helvetica"/>
          <w:b/>
          <w:noProof/>
          <w:sz w:val="20"/>
          <w:szCs w:val="20"/>
        </w:rPr>
        <w:t>Table 2.</w:t>
      </w:r>
      <w:r>
        <w:rPr>
          <w:rFonts w:ascii="Helvetica" w:hAnsi="Helvetica"/>
          <w:noProof/>
          <w:sz w:val="20"/>
          <w:szCs w:val="20"/>
        </w:rPr>
        <w:t xml:space="preserve">  Best estimates and high/low limits of the 90% likelihood ranges for aviation ERF components derived in this study </w:t>
      </w:r>
    </w:p>
    <w:p>
      <w:pPr>
        <w:rPr>
          <w:noProof/>
        </w:rPr>
      </w:pPr>
    </w:p>
    <w:tbl>
      <w:tblPr>
        <w:tblStyle w:val="TableGrid"/>
        <w:tblW w:w="1062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1706"/>
        <w:gridCol w:w="1696"/>
        <w:gridCol w:w="1620"/>
        <w:gridCol w:w="3060"/>
        <w:gridCol w:w="720"/>
      </w:tblGrid>
      <w:tr>
        <w:tc>
          <w:tcPr>
            <w:tcW w:w="1818" w:type="dxa"/>
            <w:tcBorders>
              <w:top w:val="double" w:sz="4" w:space="0" w:color="auto"/>
              <w:bottom w:val="double" w:sz="4" w:space="0" w:color="auto"/>
            </w:tcBorders>
            <w:tcMar>
              <w:left w:w="14" w:type="dxa"/>
              <w:right w:w="14" w:type="dxa"/>
            </w:tcMar>
            <w:vAlign w:val="bottom"/>
          </w:tcPr>
          <w:p>
            <w:pPr>
              <w:spacing w:before="40" w:after="40"/>
              <w:jc w:val="right"/>
              <w:rPr>
                <w:rFonts w:ascii="Helvetica" w:hAnsi="Helvetica"/>
                <w:b/>
                <w:noProof/>
                <w:sz w:val="18"/>
                <w:szCs w:val="18"/>
              </w:rPr>
            </w:pPr>
          </w:p>
          <w:p>
            <w:pPr>
              <w:spacing w:before="40" w:after="40"/>
              <w:jc w:val="right"/>
              <w:rPr>
                <w:rFonts w:ascii="Helvetica" w:hAnsi="Helvetica"/>
                <w:b/>
                <w:noProof/>
                <w:sz w:val="18"/>
                <w:szCs w:val="18"/>
              </w:rPr>
            </w:pPr>
            <w:r>
              <w:rPr>
                <w:rFonts w:ascii="Helvetica" w:hAnsi="Helvetica"/>
                <w:b/>
                <w:noProof/>
                <w:sz w:val="18"/>
                <w:szCs w:val="18"/>
              </w:rPr>
              <w:t>ERF (mW m</w:t>
            </w:r>
            <w:r>
              <w:rPr>
                <w:rFonts w:ascii="Helvetica" w:hAnsi="Helvetica"/>
                <w:b/>
                <w:noProof/>
                <w:sz w:val="18"/>
                <w:szCs w:val="18"/>
                <w:vertAlign w:val="superscript"/>
              </w:rPr>
              <w:t>-2</w:t>
            </w:r>
            <w:r>
              <w:rPr>
                <w:rFonts w:ascii="Helvetica" w:hAnsi="Helvetica"/>
                <w:b/>
                <w:noProof/>
                <w:sz w:val="18"/>
                <w:szCs w:val="18"/>
              </w:rPr>
              <w:t>)</w:t>
            </w:r>
          </w:p>
        </w:tc>
        <w:tc>
          <w:tcPr>
            <w:tcW w:w="1706" w:type="dxa"/>
            <w:tcBorders>
              <w:top w:val="double" w:sz="4" w:space="0" w:color="auto"/>
              <w:bottom w:val="double" w:sz="4" w:space="0" w:color="auto"/>
            </w:tcBorders>
            <w:tcMar>
              <w:left w:w="14" w:type="dxa"/>
              <w:right w:w="14" w:type="dxa"/>
            </w:tcMar>
            <w:vAlign w:val="bottom"/>
          </w:tcPr>
          <w:p>
            <w:pPr>
              <w:spacing w:before="40" w:after="40"/>
              <w:jc w:val="center"/>
              <w:rPr>
                <w:rFonts w:ascii="Helvetica" w:hAnsi="Helvetica"/>
                <w:b/>
                <w:noProof/>
                <w:color w:val="000000" w:themeColor="text1"/>
                <w:sz w:val="18"/>
                <w:szCs w:val="18"/>
              </w:rPr>
            </w:pPr>
            <w:r>
              <w:rPr>
                <w:rFonts w:ascii="Helvetica" w:hAnsi="Helvetica"/>
                <w:b/>
                <w:noProof/>
                <w:color w:val="000000" w:themeColor="text1"/>
                <w:sz w:val="18"/>
                <w:szCs w:val="18"/>
              </w:rPr>
              <w:t>2018</w:t>
            </w:r>
            <w:r>
              <w:rPr>
                <w:rFonts w:ascii="Helvetica" w:hAnsi="Helvetica"/>
                <w:noProof/>
                <w:color w:val="000000" w:themeColor="text1"/>
                <w:szCs w:val="18"/>
                <w:vertAlign w:val="superscript"/>
              </w:rPr>
              <w:t xml:space="preserve"> a</w:t>
            </w:r>
          </w:p>
        </w:tc>
        <w:tc>
          <w:tcPr>
            <w:tcW w:w="1696" w:type="dxa"/>
            <w:tcBorders>
              <w:top w:val="double" w:sz="4" w:space="0" w:color="auto"/>
              <w:bottom w:val="double" w:sz="4" w:space="0" w:color="auto"/>
            </w:tcBorders>
            <w:tcMar>
              <w:left w:w="14" w:type="dxa"/>
              <w:right w:w="14" w:type="dxa"/>
            </w:tcMar>
            <w:vAlign w:val="bottom"/>
          </w:tcPr>
          <w:p>
            <w:pPr>
              <w:spacing w:before="40" w:after="40"/>
              <w:jc w:val="center"/>
              <w:rPr>
                <w:rFonts w:ascii="Helvetica" w:hAnsi="Helvetica"/>
                <w:b/>
                <w:noProof/>
                <w:color w:val="000000" w:themeColor="text1"/>
                <w:sz w:val="18"/>
                <w:szCs w:val="18"/>
              </w:rPr>
            </w:pPr>
            <w:r>
              <w:rPr>
                <w:rFonts w:ascii="Helvetica" w:hAnsi="Helvetica"/>
                <w:b/>
                <w:noProof/>
                <w:color w:val="000000" w:themeColor="text1"/>
                <w:sz w:val="18"/>
                <w:szCs w:val="18"/>
              </w:rPr>
              <w:t>2011</w:t>
            </w:r>
            <w:r>
              <w:rPr>
                <w:rFonts w:ascii="Helvetica" w:hAnsi="Helvetica"/>
                <w:noProof/>
                <w:color w:val="000000" w:themeColor="text1"/>
                <w:szCs w:val="18"/>
                <w:vertAlign w:val="superscript"/>
              </w:rPr>
              <w:t xml:space="preserve"> a</w:t>
            </w:r>
          </w:p>
        </w:tc>
        <w:tc>
          <w:tcPr>
            <w:tcW w:w="1620" w:type="dxa"/>
            <w:tcBorders>
              <w:top w:val="double" w:sz="4" w:space="0" w:color="auto"/>
              <w:bottom w:val="double" w:sz="4" w:space="0" w:color="auto"/>
            </w:tcBorders>
            <w:tcMar>
              <w:left w:w="14" w:type="dxa"/>
              <w:right w:w="14" w:type="dxa"/>
            </w:tcMar>
            <w:vAlign w:val="bottom"/>
          </w:tcPr>
          <w:p>
            <w:pPr>
              <w:spacing w:before="40" w:after="40"/>
              <w:jc w:val="center"/>
              <w:rPr>
                <w:rFonts w:ascii="Helvetica" w:hAnsi="Helvetica"/>
                <w:b/>
                <w:noProof/>
                <w:color w:val="000000" w:themeColor="text1"/>
                <w:sz w:val="18"/>
                <w:szCs w:val="18"/>
              </w:rPr>
            </w:pPr>
            <w:r>
              <w:rPr>
                <w:rFonts w:ascii="Helvetica" w:hAnsi="Helvetica"/>
                <w:b/>
                <w:noProof/>
                <w:color w:val="000000" w:themeColor="text1"/>
                <w:sz w:val="18"/>
                <w:szCs w:val="18"/>
              </w:rPr>
              <w:t>2005</w:t>
            </w:r>
            <w:r>
              <w:rPr>
                <w:rFonts w:ascii="Helvetica" w:hAnsi="Helvetica"/>
                <w:noProof/>
                <w:color w:val="000000" w:themeColor="text1"/>
                <w:szCs w:val="18"/>
                <w:vertAlign w:val="superscript"/>
              </w:rPr>
              <w:t xml:space="preserve"> a</w:t>
            </w:r>
          </w:p>
        </w:tc>
        <w:tc>
          <w:tcPr>
            <w:tcW w:w="3060" w:type="dxa"/>
            <w:tcBorders>
              <w:top w:val="double" w:sz="4" w:space="0" w:color="auto"/>
              <w:bottom w:val="double" w:sz="4" w:space="0" w:color="auto"/>
            </w:tcBorders>
            <w:tcMar>
              <w:left w:w="14" w:type="dxa"/>
              <w:right w:w="14" w:type="dxa"/>
            </w:tcMar>
            <w:vAlign w:val="bottom"/>
          </w:tcPr>
          <w:p>
            <w:pPr>
              <w:spacing w:before="40" w:after="40"/>
              <w:rPr>
                <w:rFonts w:ascii="Helvetica" w:hAnsi="Helvetica"/>
                <w:b/>
                <w:noProof/>
                <w:sz w:val="18"/>
                <w:szCs w:val="18"/>
              </w:rPr>
            </w:pPr>
            <w:r>
              <w:rPr>
                <w:rFonts w:ascii="Helvetica" w:hAnsi="Helvetica"/>
                <w:b/>
                <w:noProof/>
                <w:sz w:val="18"/>
                <w:szCs w:val="18"/>
              </w:rPr>
              <w:t>Sensitivity to emissions</w:t>
            </w:r>
          </w:p>
        </w:tc>
        <w:tc>
          <w:tcPr>
            <w:tcW w:w="720" w:type="dxa"/>
            <w:tcBorders>
              <w:top w:val="double" w:sz="4" w:space="0" w:color="auto"/>
              <w:bottom w:val="double" w:sz="4" w:space="0" w:color="auto"/>
            </w:tcBorders>
            <w:tcMar>
              <w:left w:w="14" w:type="dxa"/>
              <w:right w:w="14" w:type="dxa"/>
            </w:tcMar>
            <w:vAlign w:val="bottom"/>
          </w:tcPr>
          <w:p>
            <w:pPr>
              <w:spacing w:before="40" w:after="40"/>
              <w:jc w:val="center"/>
              <w:rPr>
                <w:rFonts w:ascii="Helvetica" w:hAnsi="Helvetica"/>
                <w:b/>
                <w:noProof/>
                <w:sz w:val="18"/>
                <w:szCs w:val="18"/>
              </w:rPr>
            </w:pPr>
            <w:r>
              <w:rPr>
                <w:rFonts w:ascii="Helvetica" w:hAnsi="Helvetica"/>
                <w:b/>
                <w:noProof/>
                <w:sz w:val="18"/>
                <w:szCs w:val="18"/>
              </w:rPr>
              <w:t>ERF/RF</w:t>
            </w:r>
          </w:p>
        </w:tc>
      </w:tr>
      <w:tr>
        <w:tc>
          <w:tcPr>
            <w:tcW w:w="1818" w:type="dxa"/>
            <w:tcBorders>
              <w:top w:val="double" w:sz="4" w:space="0" w:color="auto"/>
              <w:bottom w:val="nil"/>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Contrail cirrus</w:t>
            </w:r>
          </w:p>
        </w:tc>
        <w:tc>
          <w:tcPr>
            <w:tcW w:w="1706" w:type="dxa"/>
            <w:tcBorders>
              <w:top w:val="double" w:sz="4" w:space="0" w:color="auto"/>
              <w:bottom w:val="nil"/>
            </w:tcBorders>
            <w:tcMar>
              <w:left w:w="14" w:type="dxa"/>
              <w:right w:w="14" w:type="dxa"/>
            </w:tcMar>
          </w:tcPr>
          <w:p>
            <w:pPr>
              <w:tabs>
                <w:tab w:val="left" w:pos="389"/>
              </w:tabs>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57.4 (17, 98)</w:t>
            </w:r>
          </w:p>
        </w:tc>
        <w:tc>
          <w:tcPr>
            <w:tcW w:w="1696" w:type="dxa"/>
            <w:tcBorders>
              <w:top w:val="double" w:sz="4" w:space="0" w:color="auto"/>
              <w:bottom w:val="nil"/>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44.1 (13, 75)</w:t>
            </w:r>
          </w:p>
        </w:tc>
        <w:tc>
          <w:tcPr>
            <w:tcW w:w="1620" w:type="dxa"/>
            <w:tcBorders>
              <w:top w:val="double" w:sz="4" w:space="0" w:color="auto"/>
              <w:bottom w:val="nil"/>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34.8 (10, 59)</w:t>
            </w:r>
          </w:p>
        </w:tc>
        <w:tc>
          <w:tcPr>
            <w:tcW w:w="3060" w:type="dxa"/>
            <w:tcBorders>
              <w:top w:val="double" w:sz="4" w:space="0" w:color="auto"/>
              <w:bottom w:val="nil"/>
            </w:tcBorders>
            <w:tcMar>
              <w:left w:w="14" w:type="dxa"/>
              <w:right w:w="14" w:type="dxa"/>
            </w:tcMar>
          </w:tcPr>
          <w:p>
            <w:pPr>
              <w:spacing w:before="40" w:after="40"/>
              <w:rPr>
                <w:rFonts w:ascii="Helvetica" w:hAnsi="Helvetica"/>
                <w:noProof/>
                <w:sz w:val="18"/>
                <w:szCs w:val="18"/>
              </w:rPr>
            </w:pPr>
            <w:r>
              <w:rPr>
                <w:rFonts w:ascii="Helvetica" w:hAnsi="Helvetica"/>
                <w:noProof/>
                <w:color w:val="000000" w:themeColor="text1"/>
                <w:sz w:val="18"/>
                <w:szCs w:val="18"/>
              </w:rPr>
              <w:t>9.36 x 10</w:t>
            </w:r>
            <w:r>
              <w:rPr>
                <w:rFonts w:ascii="Helvetica" w:hAnsi="Helvetica"/>
                <w:noProof/>
                <w:color w:val="000000" w:themeColor="text1"/>
                <w:sz w:val="18"/>
                <w:szCs w:val="18"/>
                <w:vertAlign w:val="superscript"/>
              </w:rPr>
              <w:t>-10</w:t>
            </w:r>
            <w:r>
              <w:rPr>
                <w:rFonts w:ascii="Helvetica" w:hAnsi="Helvetica"/>
                <w:noProof/>
                <w:color w:val="000000" w:themeColor="text1"/>
                <w:sz w:val="18"/>
                <w:szCs w:val="18"/>
              </w:rPr>
              <w:t xml:space="preserve"> mW m</w:t>
            </w:r>
            <w:r>
              <w:rPr>
                <w:rFonts w:ascii="Helvetica" w:hAnsi="Helvetica"/>
                <w:noProof/>
                <w:color w:val="000000" w:themeColor="text1"/>
                <w:sz w:val="18"/>
                <w:szCs w:val="18"/>
                <w:vertAlign w:val="superscript"/>
              </w:rPr>
              <w:t>-2</w:t>
            </w:r>
            <w:r>
              <w:rPr>
                <w:rFonts w:ascii="Helvetica" w:hAnsi="Helvetica"/>
                <w:noProof/>
                <w:color w:val="000000" w:themeColor="text1"/>
                <w:sz w:val="18"/>
                <w:szCs w:val="18"/>
              </w:rPr>
              <w:t xml:space="preserve"> km</w:t>
            </w:r>
            <w:r>
              <w:rPr>
                <w:rFonts w:ascii="Helvetica" w:hAnsi="Helvetica"/>
                <w:noProof/>
                <w:color w:val="000000" w:themeColor="text1"/>
                <w:sz w:val="18"/>
                <w:szCs w:val="18"/>
                <w:vertAlign w:val="superscript"/>
              </w:rPr>
              <w:t>-1</w:t>
            </w:r>
          </w:p>
        </w:tc>
        <w:tc>
          <w:tcPr>
            <w:tcW w:w="720" w:type="dxa"/>
            <w:tcBorders>
              <w:top w:val="double" w:sz="4" w:space="0" w:color="auto"/>
              <w:bottom w:val="nil"/>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0.42</w:t>
            </w:r>
          </w:p>
        </w:tc>
      </w:tr>
      <w:tr>
        <w:trPr>
          <w:trHeight w:val="306"/>
        </w:trPr>
        <w:tc>
          <w:tcPr>
            <w:tcW w:w="1818" w:type="dxa"/>
            <w:tcBorders>
              <w:bottom w:val="single" w:sz="4" w:space="0" w:color="auto"/>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CO</w:t>
            </w:r>
            <w:r>
              <w:rPr>
                <w:rFonts w:ascii="Helvetica" w:hAnsi="Helvetica"/>
                <w:noProof/>
                <w:sz w:val="18"/>
                <w:szCs w:val="18"/>
                <w:vertAlign w:val="subscript"/>
              </w:rPr>
              <w:t>2</w:t>
            </w:r>
          </w:p>
        </w:tc>
        <w:tc>
          <w:tcPr>
            <w:tcW w:w="1706" w:type="dxa"/>
            <w:tcBorders>
              <w:bottom w:val="single" w:sz="4" w:space="0" w:color="auto"/>
            </w:tcBorders>
            <w:tcMar>
              <w:left w:w="14" w:type="dxa"/>
              <w:right w:w="14" w:type="dxa"/>
            </w:tcMar>
          </w:tcPr>
          <w:p>
            <w:pPr>
              <w:spacing w:before="40" w:after="40"/>
              <w:jc w:val="center"/>
              <w:rPr>
                <w:rFonts w:ascii="Helvetica" w:hAnsi="Helvetica"/>
                <w:bCs/>
                <w:noProof/>
                <w:color w:val="000000" w:themeColor="text1"/>
                <w:sz w:val="18"/>
                <w:szCs w:val="18"/>
              </w:rPr>
            </w:pPr>
            <w:r>
              <w:rPr>
                <w:rFonts w:ascii="Helvetica" w:hAnsi="Helvetica"/>
                <w:bCs/>
                <w:noProof/>
                <w:color w:val="000000" w:themeColor="text1"/>
                <w:sz w:val="18"/>
                <w:szCs w:val="18"/>
              </w:rPr>
              <w:t>34.3 (28, 40)</w:t>
            </w:r>
          </w:p>
        </w:tc>
        <w:tc>
          <w:tcPr>
            <w:tcW w:w="1696" w:type="dxa"/>
            <w:tcBorders>
              <w:bottom w:val="sing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bCs/>
                <w:noProof/>
                <w:color w:val="000000" w:themeColor="text1"/>
                <w:sz w:val="18"/>
                <w:szCs w:val="18"/>
              </w:rPr>
              <w:t>29.0 (24, 34)</w:t>
            </w:r>
          </w:p>
        </w:tc>
        <w:tc>
          <w:tcPr>
            <w:tcW w:w="1620" w:type="dxa"/>
            <w:tcBorders>
              <w:bottom w:val="sing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25.0 (21, 29)</w:t>
            </w:r>
          </w:p>
        </w:tc>
        <w:tc>
          <w:tcPr>
            <w:tcW w:w="3060" w:type="dxa"/>
            <w:tcBorders>
              <w:bottom w:val="single" w:sz="4" w:space="0" w:color="auto"/>
            </w:tcBorders>
            <w:tcMar>
              <w:left w:w="14" w:type="dxa"/>
              <w:right w:w="14" w:type="dxa"/>
            </w:tcMar>
          </w:tcPr>
          <w:p>
            <w:pPr>
              <w:spacing w:before="40" w:after="40"/>
              <w:rPr>
                <w:rFonts w:ascii="Helvetica" w:hAnsi="Helvetica"/>
                <w:noProof/>
                <w:sz w:val="18"/>
                <w:szCs w:val="18"/>
              </w:rPr>
            </w:pPr>
          </w:p>
        </w:tc>
        <w:tc>
          <w:tcPr>
            <w:tcW w:w="720" w:type="dxa"/>
            <w:tcBorders>
              <w:bottom w:val="sing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1.0</w:t>
            </w:r>
          </w:p>
        </w:tc>
      </w:tr>
      <w:tr>
        <w:trPr>
          <w:trHeight w:val="332"/>
        </w:trPr>
        <w:tc>
          <w:tcPr>
            <w:tcW w:w="1818" w:type="dxa"/>
            <w:tcBorders>
              <w:top w:val="single" w:sz="4" w:space="0" w:color="auto"/>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Short-term O</w:t>
            </w:r>
            <w:r>
              <w:rPr>
                <w:rFonts w:ascii="Helvetica" w:hAnsi="Helvetica"/>
                <w:noProof/>
                <w:sz w:val="18"/>
                <w:szCs w:val="18"/>
                <w:vertAlign w:val="subscript"/>
              </w:rPr>
              <w:t>3</w:t>
            </w:r>
            <w:r>
              <w:rPr>
                <w:rFonts w:ascii="Helvetica" w:hAnsi="Helvetica"/>
                <w:noProof/>
                <w:sz w:val="18"/>
                <w:szCs w:val="18"/>
              </w:rPr>
              <w:t xml:space="preserve"> increase</w:t>
            </w:r>
          </w:p>
        </w:tc>
        <w:tc>
          <w:tcPr>
            <w:tcW w:w="1706" w:type="dxa"/>
            <w:tcBorders>
              <w:top w:val="sing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49.3 (32, 76)</w:t>
            </w:r>
          </w:p>
        </w:tc>
        <w:tc>
          <w:tcPr>
            <w:tcW w:w="1696" w:type="dxa"/>
            <w:tcBorders>
              <w:top w:val="sing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37.3 (24, 58)</w:t>
            </w:r>
          </w:p>
        </w:tc>
        <w:tc>
          <w:tcPr>
            <w:tcW w:w="1620" w:type="dxa"/>
            <w:tcBorders>
              <w:top w:val="sing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33.0 (21, 51)</w:t>
            </w:r>
          </w:p>
        </w:tc>
        <w:tc>
          <w:tcPr>
            <w:tcW w:w="3060" w:type="dxa"/>
            <w:tcBorders>
              <w:top w:val="single" w:sz="4" w:space="0" w:color="auto"/>
            </w:tcBorders>
            <w:tcMar>
              <w:left w:w="14" w:type="dxa"/>
              <w:right w:w="14" w:type="dxa"/>
            </w:tcMar>
          </w:tcPr>
          <w:p>
            <w:pPr>
              <w:spacing w:before="40" w:after="40"/>
              <w:rPr>
                <w:rFonts w:ascii="Helvetica" w:hAnsi="Helvetica"/>
                <w:noProof/>
                <w:color w:val="000000" w:themeColor="text1"/>
                <w:sz w:val="18"/>
                <w:szCs w:val="18"/>
              </w:rPr>
            </w:pPr>
            <w:r>
              <w:rPr>
                <w:rFonts w:ascii="Helvetica" w:hAnsi="Helvetica"/>
                <w:noProof/>
                <w:color w:val="000000" w:themeColor="text1"/>
                <w:sz w:val="18"/>
                <w:szCs w:val="18"/>
              </w:rPr>
              <w:t>34.4 ± 9.9 mW m</w:t>
            </w:r>
            <w:r>
              <w:rPr>
                <w:rFonts w:ascii="Helvetica" w:hAnsi="Helvetica"/>
                <w:noProof/>
                <w:color w:val="000000" w:themeColor="text1"/>
                <w:sz w:val="18"/>
                <w:szCs w:val="18"/>
                <w:vertAlign w:val="superscript"/>
              </w:rPr>
              <w:t>-2</w:t>
            </w:r>
            <w:r>
              <w:rPr>
                <w:rFonts w:ascii="Helvetica" w:hAnsi="Helvetica"/>
                <w:noProof/>
                <w:color w:val="000000" w:themeColor="text1"/>
                <w:sz w:val="18"/>
                <w:szCs w:val="18"/>
              </w:rPr>
              <w:t xml:space="preserve"> (Tg (N) yr</w:t>
            </w:r>
            <w:r>
              <w:rPr>
                <w:rFonts w:ascii="Helvetica" w:hAnsi="Helvetica"/>
                <w:noProof/>
                <w:color w:val="000000" w:themeColor="text1"/>
                <w:sz w:val="18"/>
                <w:szCs w:val="18"/>
                <w:vertAlign w:val="superscript"/>
              </w:rPr>
              <w:t>-1</w:t>
            </w:r>
            <w:r>
              <w:rPr>
                <w:rFonts w:ascii="Helvetica" w:hAnsi="Helvetica"/>
                <w:noProof/>
                <w:color w:val="000000" w:themeColor="text1"/>
                <w:sz w:val="18"/>
                <w:szCs w:val="18"/>
              </w:rPr>
              <w:t>)</w:t>
            </w:r>
            <w:r>
              <w:rPr>
                <w:rFonts w:ascii="Helvetica" w:hAnsi="Helvetica"/>
                <w:noProof/>
                <w:color w:val="000000" w:themeColor="text1"/>
                <w:sz w:val="18"/>
                <w:szCs w:val="18"/>
                <w:vertAlign w:val="superscript"/>
              </w:rPr>
              <w:t>-1</w:t>
            </w:r>
          </w:p>
        </w:tc>
        <w:tc>
          <w:tcPr>
            <w:tcW w:w="720" w:type="dxa"/>
            <w:tcBorders>
              <w:top w:val="sing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1.37</w:t>
            </w:r>
          </w:p>
        </w:tc>
      </w:tr>
      <w:tr>
        <w:tc>
          <w:tcPr>
            <w:tcW w:w="1818" w:type="dxa"/>
            <w:tcBorders>
              <w:bottom w:val="nil"/>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Long-term O</w:t>
            </w:r>
            <w:r>
              <w:rPr>
                <w:rFonts w:ascii="Helvetica" w:hAnsi="Helvetica"/>
                <w:noProof/>
                <w:sz w:val="18"/>
                <w:szCs w:val="18"/>
                <w:vertAlign w:val="subscript"/>
              </w:rPr>
              <w:t>3</w:t>
            </w:r>
            <w:r>
              <w:rPr>
                <w:rFonts w:ascii="Helvetica" w:hAnsi="Helvetica"/>
                <w:noProof/>
                <w:sz w:val="20"/>
                <w:szCs w:val="20"/>
              </w:rPr>
              <w:t xml:space="preserve"> </w:t>
            </w:r>
            <w:r>
              <w:rPr>
                <w:rFonts w:ascii="Helvetica" w:hAnsi="Helvetica"/>
                <w:noProof/>
                <w:sz w:val="18"/>
                <w:szCs w:val="18"/>
              </w:rPr>
              <w:t>decrease</w:t>
            </w:r>
          </w:p>
        </w:tc>
        <w:tc>
          <w:tcPr>
            <w:tcW w:w="1706" w:type="dxa"/>
            <w:tcBorders>
              <w:bottom w:val="nil"/>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-10.6 (-20, -7.4)</w:t>
            </w:r>
          </w:p>
        </w:tc>
        <w:tc>
          <w:tcPr>
            <w:tcW w:w="1696" w:type="dxa"/>
            <w:tcBorders>
              <w:bottom w:val="nil"/>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-7.9 (-15, -5.5)</w:t>
            </w:r>
          </w:p>
        </w:tc>
        <w:tc>
          <w:tcPr>
            <w:tcW w:w="1620" w:type="dxa"/>
            <w:tcBorders>
              <w:bottom w:val="nil"/>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-6.7 (-13, -4.7)</w:t>
            </w:r>
          </w:p>
        </w:tc>
        <w:tc>
          <w:tcPr>
            <w:tcW w:w="3060" w:type="dxa"/>
            <w:tcBorders>
              <w:bottom w:val="nil"/>
            </w:tcBorders>
            <w:tcMar>
              <w:left w:w="14" w:type="dxa"/>
              <w:right w:w="14" w:type="dxa"/>
            </w:tcMar>
          </w:tcPr>
          <w:p>
            <w:pPr>
              <w:spacing w:before="40" w:after="40"/>
              <w:rPr>
                <w:rFonts w:ascii="Helvetica" w:hAnsi="Helvetica"/>
                <w:noProof/>
                <w:color w:val="000000" w:themeColor="text1"/>
                <w:sz w:val="18"/>
                <w:szCs w:val="18"/>
              </w:rPr>
            </w:pPr>
            <w:r>
              <w:rPr>
                <w:rFonts w:ascii="Helvetica" w:hAnsi="Helvetica"/>
                <w:noProof/>
                <w:color w:val="000000" w:themeColor="text1"/>
                <w:sz w:val="18"/>
                <w:szCs w:val="18"/>
              </w:rPr>
              <w:t>-9.3 ± 3.4 mW m</w:t>
            </w:r>
            <w:r>
              <w:rPr>
                <w:rFonts w:ascii="Helvetica" w:hAnsi="Helvetica"/>
                <w:noProof/>
                <w:color w:val="000000" w:themeColor="text1"/>
                <w:sz w:val="18"/>
                <w:szCs w:val="18"/>
                <w:vertAlign w:val="superscript"/>
              </w:rPr>
              <w:t>-2</w:t>
            </w:r>
            <w:r>
              <w:rPr>
                <w:rFonts w:ascii="Helvetica" w:hAnsi="Helvetica"/>
                <w:noProof/>
                <w:color w:val="000000" w:themeColor="text1"/>
                <w:sz w:val="18"/>
                <w:szCs w:val="18"/>
              </w:rPr>
              <w:t xml:space="preserve"> (Tg (N) yr</w:t>
            </w:r>
            <w:r>
              <w:rPr>
                <w:rFonts w:ascii="Helvetica" w:hAnsi="Helvetica"/>
                <w:noProof/>
                <w:color w:val="000000" w:themeColor="text1"/>
                <w:sz w:val="18"/>
                <w:szCs w:val="18"/>
                <w:vertAlign w:val="superscript"/>
              </w:rPr>
              <w:t>-1</w:t>
            </w:r>
            <w:r>
              <w:rPr>
                <w:rFonts w:ascii="Helvetica" w:hAnsi="Helvetica"/>
                <w:noProof/>
                <w:color w:val="000000" w:themeColor="text1"/>
                <w:sz w:val="18"/>
                <w:szCs w:val="18"/>
              </w:rPr>
              <w:t>)</w:t>
            </w:r>
            <w:r>
              <w:rPr>
                <w:rFonts w:ascii="Helvetica" w:hAnsi="Helvetica"/>
                <w:noProof/>
                <w:color w:val="000000" w:themeColor="text1"/>
                <w:sz w:val="18"/>
                <w:szCs w:val="18"/>
                <w:vertAlign w:val="superscript"/>
              </w:rPr>
              <w:t>-1</w:t>
            </w:r>
          </w:p>
        </w:tc>
        <w:tc>
          <w:tcPr>
            <w:tcW w:w="720" w:type="dxa"/>
            <w:tcBorders>
              <w:bottom w:val="nil"/>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1.18</w:t>
            </w:r>
          </w:p>
        </w:tc>
      </w:tr>
      <w:tr>
        <w:tc>
          <w:tcPr>
            <w:tcW w:w="1818" w:type="dxa"/>
            <w:tcBorders>
              <w:bottom w:val="nil"/>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CH</w:t>
            </w:r>
            <w:r>
              <w:rPr>
                <w:rFonts w:ascii="Helvetica" w:hAnsi="Helvetica"/>
                <w:noProof/>
                <w:sz w:val="18"/>
                <w:szCs w:val="18"/>
                <w:vertAlign w:val="subscript"/>
              </w:rPr>
              <w:t>4</w:t>
            </w:r>
            <w:r>
              <w:rPr>
                <w:rFonts w:ascii="Helvetica" w:hAnsi="Helvetica"/>
                <w:noProof/>
                <w:sz w:val="18"/>
                <w:szCs w:val="18"/>
              </w:rPr>
              <w:t xml:space="preserve"> decrease</w:t>
            </w:r>
          </w:p>
        </w:tc>
        <w:tc>
          <w:tcPr>
            <w:tcW w:w="1706" w:type="dxa"/>
            <w:tcBorders>
              <w:bottom w:val="nil"/>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-21.2 (-40, -15)</w:t>
            </w:r>
          </w:p>
        </w:tc>
        <w:tc>
          <w:tcPr>
            <w:tcW w:w="1696" w:type="dxa"/>
            <w:tcBorders>
              <w:bottom w:val="nil"/>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-15.8 (-30, -11)</w:t>
            </w:r>
          </w:p>
        </w:tc>
        <w:tc>
          <w:tcPr>
            <w:tcW w:w="1620" w:type="dxa"/>
            <w:tcBorders>
              <w:bottom w:val="nil"/>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-13.4 (-25, -9.4)</w:t>
            </w:r>
          </w:p>
        </w:tc>
        <w:tc>
          <w:tcPr>
            <w:tcW w:w="3060" w:type="dxa"/>
            <w:tcBorders>
              <w:bottom w:val="nil"/>
            </w:tcBorders>
            <w:tcMar>
              <w:left w:w="14" w:type="dxa"/>
              <w:right w:w="14" w:type="dxa"/>
            </w:tcMar>
          </w:tcPr>
          <w:p>
            <w:pPr>
              <w:spacing w:before="40" w:after="40"/>
              <w:rPr>
                <w:rFonts w:ascii="Helvetica" w:hAnsi="Helvetica"/>
                <w:noProof/>
                <w:color w:val="000000" w:themeColor="text1"/>
                <w:sz w:val="18"/>
                <w:szCs w:val="18"/>
              </w:rPr>
            </w:pPr>
            <w:r>
              <w:rPr>
                <w:rFonts w:ascii="Helvetica" w:hAnsi="Helvetica"/>
                <w:noProof/>
                <w:color w:val="000000" w:themeColor="text1"/>
                <w:sz w:val="18"/>
                <w:szCs w:val="18"/>
              </w:rPr>
              <w:t>-18.7 ± 6.9 mW m</w:t>
            </w:r>
            <w:r>
              <w:rPr>
                <w:rFonts w:ascii="Helvetica" w:hAnsi="Helvetica"/>
                <w:noProof/>
                <w:color w:val="000000" w:themeColor="text1"/>
                <w:sz w:val="18"/>
                <w:szCs w:val="18"/>
                <w:vertAlign w:val="superscript"/>
              </w:rPr>
              <w:t>-2</w:t>
            </w:r>
            <w:r>
              <w:rPr>
                <w:rFonts w:ascii="Helvetica" w:hAnsi="Helvetica"/>
                <w:noProof/>
                <w:color w:val="000000" w:themeColor="text1"/>
                <w:sz w:val="18"/>
                <w:szCs w:val="18"/>
              </w:rPr>
              <w:t xml:space="preserve"> (Tg (N) yr</w:t>
            </w:r>
            <w:r>
              <w:rPr>
                <w:rFonts w:ascii="Helvetica" w:hAnsi="Helvetica"/>
                <w:noProof/>
                <w:color w:val="000000" w:themeColor="text1"/>
                <w:sz w:val="18"/>
                <w:szCs w:val="18"/>
                <w:vertAlign w:val="superscript"/>
              </w:rPr>
              <w:noBreakHyphen/>
              <w:t>1</w:t>
            </w:r>
            <w:r>
              <w:rPr>
                <w:rFonts w:ascii="Helvetica" w:hAnsi="Helvetica"/>
                <w:noProof/>
                <w:color w:val="000000" w:themeColor="text1"/>
                <w:sz w:val="18"/>
                <w:szCs w:val="18"/>
              </w:rPr>
              <w:t>)</w:t>
            </w:r>
            <w:r>
              <w:rPr>
                <w:rFonts w:ascii="Helvetica" w:hAnsi="Helvetica"/>
                <w:noProof/>
                <w:color w:val="000000" w:themeColor="text1"/>
                <w:sz w:val="18"/>
                <w:szCs w:val="18"/>
                <w:vertAlign w:val="superscript"/>
              </w:rPr>
              <w:t>-1</w:t>
            </w:r>
          </w:p>
        </w:tc>
        <w:tc>
          <w:tcPr>
            <w:tcW w:w="720" w:type="dxa"/>
            <w:tcBorders>
              <w:bottom w:val="nil"/>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1.18</w:t>
            </w:r>
          </w:p>
        </w:tc>
      </w:tr>
      <w:tr>
        <w:trPr>
          <w:trHeight w:val="251"/>
        </w:trPr>
        <w:tc>
          <w:tcPr>
            <w:tcW w:w="1818" w:type="dxa"/>
            <w:tcBorders>
              <w:top w:val="nil"/>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Stratospheric water vapor decrease</w:t>
            </w:r>
          </w:p>
        </w:tc>
        <w:tc>
          <w:tcPr>
            <w:tcW w:w="1706" w:type="dxa"/>
            <w:tcBorders>
              <w:top w:val="nil"/>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-3.2 (-6.0 -2.2)</w:t>
            </w:r>
          </w:p>
        </w:tc>
        <w:tc>
          <w:tcPr>
            <w:tcW w:w="1696" w:type="dxa"/>
            <w:tcBorders>
              <w:top w:val="nil"/>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-2.4 (-4.4, -1.7)</w:t>
            </w:r>
          </w:p>
        </w:tc>
        <w:tc>
          <w:tcPr>
            <w:tcW w:w="1620" w:type="dxa"/>
            <w:tcBorders>
              <w:top w:val="nil"/>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-2.0 (-3.8, -1.4)</w:t>
            </w:r>
          </w:p>
        </w:tc>
        <w:tc>
          <w:tcPr>
            <w:tcW w:w="3060" w:type="dxa"/>
            <w:tcBorders>
              <w:top w:val="nil"/>
            </w:tcBorders>
            <w:tcMar>
              <w:left w:w="14" w:type="dxa"/>
              <w:right w:w="14" w:type="dxa"/>
            </w:tcMar>
          </w:tcPr>
          <w:p>
            <w:pPr>
              <w:spacing w:before="40" w:after="40"/>
              <w:rPr>
                <w:rFonts w:ascii="Helvetica" w:hAnsi="Helvetica"/>
                <w:noProof/>
                <w:color w:val="000000" w:themeColor="text1"/>
                <w:sz w:val="18"/>
                <w:szCs w:val="18"/>
              </w:rPr>
            </w:pPr>
            <w:r>
              <w:rPr>
                <w:rFonts w:ascii="Helvetica" w:hAnsi="Helvetica"/>
                <w:noProof/>
                <w:color w:val="000000" w:themeColor="text1"/>
                <w:sz w:val="18"/>
                <w:szCs w:val="18"/>
              </w:rPr>
              <w:t>-2.8 ± 1.0 mW m</w:t>
            </w:r>
            <w:r>
              <w:rPr>
                <w:rFonts w:ascii="Helvetica" w:hAnsi="Helvetica"/>
                <w:noProof/>
                <w:color w:val="000000" w:themeColor="text1"/>
                <w:sz w:val="18"/>
                <w:szCs w:val="18"/>
                <w:vertAlign w:val="superscript"/>
              </w:rPr>
              <w:t>-2</w:t>
            </w:r>
            <w:r>
              <w:rPr>
                <w:rFonts w:ascii="Helvetica" w:hAnsi="Helvetica"/>
                <w:noProof/>
                <w:color w:val="000000" w:themeColor="text1"/>
                <w:sz w:val="18"/>
                <w:szCs w:val="18"/>
              </w:rPr>
              <w:t xml:space="preserve"> (Tg (N) yr</w:t>
            </w:r>
            <w:r>
              <w:rPr>
                <w:rFonts w:ascii="Helvetica" w:hAnsi="Helvetica"/>
                <w:noProof/>
                <w:color w:val="000000" w:themeColor="text1"/>
                <w:sz w:val="18"/>
                <w:szCs w:val="18"/>
                <w:vertAlign w:val="superscript"/>
              </w:rPr>
              <w:t>-1</w:t>
            </w:r>
            <w:r>
              <w:rPr>
                <w:rFonts w:ascii="Helvetica" w:hAnsi="Helvetica"/>
                <w:noProof/>
                <w:color w:val="000000" w:themeColor="text1"/>
                <w:sz w:val="18"/>
                <w:szCs w:val="18"/>
              </w:rPr>
              <w:t>)</w:t>
            </w:r>
            <w:r>
              <w:rPr>
                <w:rFonts w:ascii="Helvetica" w:hAnsi="Helvetica"/>
                <w:noProof/>
                <w:color w:val="000000" w:themeColor="text1"/>
                <w:sz w:val="18"/>
                <w:szCs w:val="18"/>
                <w:vertAlign w:val="superscript"/>
              </w:rPr>
              <w:t>-1</w:t>
            </w:r>
          </w:p>
        </w:tc>
        <w:tc>
          <w:tcPr>
            <w:tcW w:w="720" w:type="dxa"/>
            <w:tcBorders>
              <w:top w:val="nil"/>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1.18</w:t>
            </w:r>
          </w:p>
        </w:tc>
      </w:tr>
      <w:tr>
        <w:tc>
          <w:tcPr>
            <w:tcW w:w="1818" w:type="dxa"/>
            <w:tcBorders>
              <w:top w:val="single" w:sz="4" w:space="0" w:color="auto"/>
              <w:bottom w:val="single" w:sz="4" w:space="0" w:color="auto"/>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Net NO</w:t>
            </w:r>
            <w:r>
              <w:rPr>
                <w:rFonts w:ascii="Helvetica" w:hAnsi="Helvetica"/>
                <w:noProof/>
                <w:sz w:val="18"/>
                <w:szCs w:val="18"/>
                <w:vertAlign w:val="subscript"/>
              </w:rPr>
              <w:t>x</w:t>
            </w:r>
          </w:p>
        </w:tc>
        <w:tc>
          <w:tcPr>
            <w:tcW w:w="1706" w:type="dxa"/>
            <w:tcBorders>
              <w:top w:val="single" w:sz="4" w:space="0" w:color="auto"/>
              <w:bottom w:val="sing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17.5 (0.6, 29)</w:t>
            </w:r>
          </w:p>
        </w:tc>
        <w:tc>
          <w:tcPr>
            <w:tcW w:w="1696" w:type="dxa"/>
            <w:tcBorders>
              <w:top w:val="single" w:sz="4" w:space="0" w:color="auto"/>
              <w:bottom w:val="sing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13.6 (0.9, 22)</w:t>
            </w:r>
          </w:p>
        </w:tc>
        <w:tc>
          <w:tcPr>
            <w:tcW w:w="1620" w:type="dxa"/>
            <w:tcBorders>
              <w:top w:val="single" w:sz="4" w:space="0" w:color="auto"/>
              <w:bottom w:val="sing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12.9 (1.9, 20)</w:t>
            </w:r>
          </w:p>
        </w:tc>
        <w:tc>
          <w:tcPr>
            <w:tcW w:w="3060" w:type="dxa"/>
            <w:tcBorders>
              <w:top w:val="single" w:sz="4" w:space="0" w:color="auto"/>
              <w:bottom w:val="single" w:sz="4" w:space="0" w:color="auto"/>
            </w:tcBorders>
            <w:tcMar>
              <w:left w:w="14" w:type="dxa"/>
              <w:right w:w="14" w:type="dxa"/>
            </w:tcMar>
          </w:tcPr>
          <w:p>
            <w:pPr>
              <w:spacing w:before="40" w:after="40"/>
              <w:rPr>
                <w:rFonts w:ascii="Helvetica" w:hAnsi="Helvetica"/>
                <w:noProof/>
                <w:color w:val="000000" w:themeColor="text1"/>
                <w:sz w:val="18"/>
                <w:szCs w:val="18"/>
              </w:rPr>
            </w:pPr>
            <w:r>
              <w:rPr>
                <w:rFonts w:ascii="Helvetica" w:hAnsi="Helvetica"/>
                <w:noProof/>
                <w:color w:val="000000" w:themeColor="text1"/>
                <w:sz w:val="18"/>
                <w:szCs w:val="18"/>
              </w:rPr>
              <w:t>5.5 ± 8.1 mW m</w:t>
            </w:r>
            <w:r>
              <w:rPr>
                <w:rFonts w:ascii="Helvetica" w:hAnsi="Helvetica"/>
                <w:noProof/>
                <w:color w:val="000000" w:themeColor="text1"/>
                <w:sz w:val="18"/>
                <w:szCs w:val="18"/>
                <w:vertAlign w:val="superscript"/>
              </w:rPr>
              <w:t>-2</w:t>
            </w:r>
            <w:r>
              <w:rPr>
                <w:rFonts w:ascii="Helvetica" w:hAnsi="Helvetica"/>
                <w:noProof/>
                <w:color w:val="000000" w:themeColor="text1"/>
                <w:sz w:val="18"/>
                <w:szCs w:val="18"/>
              </w:rPr>
              <w:t xml:space="preserve"> (Tg (N) yr</w:t>
            </w:r>
            <w:r>
              <w:rPr>
                <w:rFonts w:ascii="Helvetica" w:hAnsi="Helvetica"/>
                <w:noProof/>
                <w:color w:val="000000" w:themeColor="text1"/>
                <w:sz w:val="18"/>
                <w:szCs w:val="18"/>
                <w:vertAlign w:val="superscript"/>
              </w:rPr>
              <w:t>-1</w:t>
            </w:r>
            <w:r>
              <w:rPr>
                <w:rFonts w:ascii="Helvetica" w:hAnsi="Helvetica"/>
                <w:noProof/>
                <w:color w:val="000000" w:themeColor="text1"/>
                <w:sz w:val="18"/>
                <w:szCs w:val="18"/>
              </w:rPr>
              <w:t>)</w:t>
            </w:r>
            <w:r>
              <w:rPr>
                <w:rFonts w:ascii="Helvetica" w:hAnsi="Helvetica"/>
                <w:noProof/>
                <w:color w:val="000000" w:themeColor="text1"/>
                <w:sz w:val="18"/>
                <w:szCs w:val="18"/>
                <w:vertAlign w:val="superscript"/>
              </w:rPr>
              <w:t>-1</w:t>
            </w:r>
          </w:p>
        </w:tc>
        <w:tc>
          <w:tcPr>
            <w:tcW w:w="720" w:type="dxa"/>
            <w:tcBorders>
              <w:top w:val="single" w:sz="4" w:space="0" w:color="auto"/>
              <w:bottom w:val="single" w:sz="4" w:space="0" w:color="auto"/>
            </w:tcBorders>
            <w:tcMar>
              <w:left w:w="14" w:type="dxa"/>
              <w:right w:w="14" w:type="dxa"/>
            </w:tcMar>
          </w:tcPr>
          <w:p>
            <w:pPr>
              <w:spacing w:before="40" w:after="40"/>
              <w:jc w:val="center"/>
              <w:rPr>
                <w:rFonts w:ascii="Helvetica" w:hAnsi="Helvetica"/>
                <w:noProof/>
                <w:sz w:val="18"/>
                <w:szCs w:val="18"/>
              </w:rPr>
            </w:pPr>
          </w:p>
        </w:tc>
      </w:tr>
      <w:tr>
        <w:tc>
          <w:tcPr>
            <w:tcW w:w="1818" w:type="dxa"/>
            <w:tcBorders>
              <w:top w:val="single" w:sz="4" w:space="0" w:color="auto"/>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Stratospheric H</w:t>
            </w:r>
            <w:r>
              <w:rPr>
                <w:rFonts w:ascii="Helvetica" w:hAnsi="Helvetica"/>
                <w:noProof/>
                <w:sz w:val="18"/>
                <w:szCs w:val="18"/>
                <w:vertAlign w:val="subscript"/>
              </w:rPr>
              <w:t>2</w:t>
            </w:r>
            <w:r>
              <w:rPr>
                <w:rFonts w:ascii="Helvetica" w:hAnsi="Helvetica"/>
                <w:noProof/>
                <w:sz w:val="18"/>
                <w:szCs w:val="18"/>
              </w:rPr>
              <w:t>O increase</w:t>
            </w:r>
          </w:p>
        </w:tc>
        <w:tc>
          <w:tcPr>
            <w:tcW w:w="1706" w:type="dxa"/>
            <w:tcBorders>
              <w:top w:val="sing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2.0 (0.8, 3.2)</w:t>
            </w:r>
          </w:p>
        </w:tc>
        <w:tc>
          <w:tcPr>
            <w:tcW w:w="1696" w:type="dxa"/>
            <w:tcBorders>
              <w:top w:val="sing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1.5 (0.6, 2.4)</w:t>
            </w:r>
          </w:p>
        </w:tc>
        <w:tc>
          <w:tcPr>
            <w:tcW w:w="1620" w:type="dxa"/>
            <w:tcBorders>
              <w:top w:val="sing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1.4 (0.6, 2.3)</w:t>
            </w:r>
          </w:p>
        </w:tc>
        <w:tc>
          <w:tcPr>
            <w:tcW w:w="3060" w:type="dxa"/>
            <w:tcBorders>
              <w:top w:val="single" w:sz="4" w:space="0" w:color="auto"/>
            </w:tcBorders>
            <w:tcMar>
              <w:left w:w="14" w:type="dxa"/>
              <w:right w:w="14" w:type="dxa"/>
            </w:tcMar>
          </w:tcPr>
          <w:p>
            <w:pPr>
              <w:spacing w:before="40" w:after="40"/>
              <w:rPr>
                <w:rFonts w:ascii="Helvetica" w:hAnsi="Helvetica"/>
                <w:noProof/>
                <w:color w:val="000000" w:themeColor="text1"/>
                <w:sz w:val="18"/>
                <w:szCs w:val="18"/>
              </w:rPr>
            </w:pPr>
            <w:r>
              <w:rPr>
                <w:rFonts w:ascii="Helvetica" w:hAnsi="Helvetica"/>
                <w:noProof/>
                <w:color w:val="000000" w:themeColor="text1"/>
                <w:sz w:val="18"/>
                <w:szCs w:val="18"/>
              </w:rPr>
              <w:t>0.0052 ± 0.0026 mW m</w:t>
            </w:r>
            <w:r>
              <w:rPr>
                <w:rFonts w:ascii="Helvetica" w:hAnsi="Helvetica"/>
                <w:noProof/>
                <w:color w:val="000000" w:themeColor="text1"/>
                <w:sz w:val="18"/>
                <w:szCs w:val="18"/>
                <w:vertAlign w:val="superscript"/>
              </w:rPr>
              <w:t>-2</w:t>
            </w:r>
            <w:r>
              <w:rPr>
                <w:rFonts w:ascii="Helvetica" w:hAnsi="Helvetica"/>
                <w:noProof/>
                <w:color w:val="000000" w:themeColor="text1"/>
                <w:sz w:val="18"/>
                <w:szCs w:val="18"/>
              </w:rPr>
              <w:t xml:space="preserve"> </w:t>
            </w:r>
          </w:p>
          <w:p>
            <w:pPr>
              <w:spacing w:before="40" w:after="40"/>
              <w:rPr>
                <w:rFonts w:ascii="Helvetica" w:hAnsi="Helvetica"/>
                <w:noProof/>
                <w:color w:val="000000" w:themeColor="text1"/>
                <w:sz w:val="18"/>
                <w:szCs w:val="18"/>
              </w:rPr>
            </w:pPr>
            <w:r>
              <w:rPr>
                <w:rFonts w:ascii="Helvetica" w:hAnsi="Helvetica"/>
                <w:noProof/>
                <w:color w:val="000000" w:themeColor="text1"/>
                <w:sz w:val="18"/>
                <w:szCs w:val="18"/>
              </w:rPr>
              <w:t>(Tg (H</w:t>
            </w:r>
            <w:r>
              <w:rPr>
                <w:rFonts w:ascii="Helvetica" w:hAnsi="Helvetica"/>
                <w:noProof/>
                <w:color w:val="000000" w:themeColor="text1"/>
                <w:sz w:val="18"/>
                <w:szCs w:val="18"/>
                <w:vertAlign w:val="subscript"/>
              </w:rPr>
              <w:t>2</w:t>
            </w:r>
            <w:r>
              <w:rPr>
                <w:rFonts w:ascii="Helvetica" w:hAnsi="Helvetica"/>
                <w:noProof/>
                <w:color w:val="000000" w:themeColor="text1"/>
                <w:sz w:val="18"/>
                <w:szCs w:val="18"/>
              </w:rPr>
              <w:t>O) yr</w:t>
            </w:r>
            <w:r>
              <w:rPr>
                <w:rFonts w:ascii="Helvetica" w:hAnsi="Helvetica"/>
                <w:noProof/>
                <w:color w:val="000000" w:themeColor="text1"/>
                <w:sz w:val="18"/>
                <w:szCs w:val="18"/>
                <w:vertAlign w:val="superscript"/>
              </w:rPr>
              <w:t>-1</w:t>
            </w:r>
            <w:r>
              <w:rPr>
                <w:rFonts w:ascii="Helvetica" w:hAnsi="Helvetica"/>
                <w:noProof/>
                <w:color w:val="000000" w:themeColor="text1"/>
                <w:sz w:val="18"/>
                <w:szCs w:val="18"/>
              </w:rPr>
              <w:t>)</w:t>
            </w:r>
            <w:r>
              <w:rPr>
                <w:rFonts w:ascii="Helvetica" w:hAnsi="Helvetica"/>
                <w:noProof/>
                <w:color w:val="000000" w:themeColor="text1"/>
                <w:sz w:val="18"/>
                <w:szCs w:val="18"/>
                <w:vertAlign w:val="superscript"/>
              </w:rPr>
              <w:t>-1</w:t>
            </w:r>
          </w:p>
        </w:tc>
        <w:tc>
          <w:tcPr>
            <w:tcW w:w="720" w:type="dxa"/>
            <w:tcBorders>
              <w:top w:val="sing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w:t>
            </w:r>
          </w:p>
        </w:tc>
      </w:tr>
      <w:tr>
        <w:trPr>
          <w:trHeight w:val="233"/>
        </w:trPr>
        <w:tc>
          <w:tcPr>
            <w:tcW w:w="1818" w:type="dxa"/>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Soot (aerosol-radiation)</w:t>
            </w:r>
          </w:p>
        </w:tc>
        <w:tc>
          <w:tcPr>
            <w:tcW w:w="1706" w:type="dxa"/>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0.94 (0.1, 4.0)</w:t>
            </w:r>
          </w:p>
        </w:tc>
        <w:tc>
          <w:tcPr>
            <w:tcW w:w="1696" w:type="dxa"/>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0.71 (0.1, 3.0)</w:t>
            </w:r>
          </w:p>
        </w:tc>
        <w:tc>
          <w:tcPr>
            <w:tcW w:w="1620" w:type="dxa"/>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0.67 (0.1, 2.8)</w:t>
            </w:r>
          </w:p>
        </w:tc>
        <w:tc>
          <w:tcPr>
            <w:tcW w:w="3060" w:type="dxa"/>
            <w:tcMar>
              <w:left w:w="14" w:type="dxa"/>
              <w:right w:w="14" w:type="dxa"/>
            </w:tcMar>
          </w:tcPr>
          <w:p>
            <w:pPr>
              <w:spacing w:before="40" w:after="40"/>
              <w:rPr>
                <w:rFonts w:ascii="Helvetica" w:hAnsi="Helvetica"/>
                <w:noProof/>
                <w:sz w:val="18"/>
                <w:szCs w:val="18"/>
              </w:rPr>
            </w:pPr>
            <w:r>
              <w:rPr>
                <w:rFonts w:ascii="Helvetica" w:hAnsi="Helvetica"/>
                <w:noProof/>
                <w:sz w:val="18"/>
                <w:szCs w:val="18"/>
              </w:rPr>
              <w:t>100.7 ± 165.5 mW m</w:t>
            </w:r>
            <w:r>
              <w:rPr>
                <w:rFonts w:ascii="Helvetica" w:hAnsi="Helvetica"/>
                <w:noProof/>
                <w:sz w:val="18"/>
                <w:szCs w:val="18"/>
                <w:vertAlign w:val="superscript"/>
              </w:rPr>
              <w:t>-2</w:t>
            </w:r>
            <w:r>
              <w:rPr>
                <w:rFonts w:ascii="Helvetica" w:hAnsi="Helvetica"/>
                <w:noProof/>
                <w:sz w:val="18"/>
                <w:szCs w:val="18"/>
              </w:rPr>
              <w:t xml:space="preserve"> (Tg (BC) yr</w:t>
            </w:r>
            <w:r>
              <w:rPr>
                <w:rFonts w:ascii="Helvetica" w:hAnsi="Helvetica"/>
                <w:noProof/>
                <w:sz w:val="18"/>
                <w:szCs w:val="18"/>
                <w:vertAlign w:val="superscript"/>
              </w:rPr>
              <w:t>-1</w:t>
            </w:r>
            <w:r>
              <w:rPr>
                <w:rFonts w:ascii="Helvetica" w:hAnsi="Helvetica"/>
                <w:noProof/>
                <w:sz w:val="18"/>
                <w:szCs w:val="18"/>
              </w:rPr>
              <w:t>)</w:t>
            </w:r>
            <w:r>
              <w:rPr>
                <w:rFonts w:ascii="Helvetica" w:hAnsi="Helvetica"/>
                <w:noProof/>
                <w:sz w:val="18"/>
                <w:szCs w:val="18"/>
                <w:vertAlign w:val="superscript"/>
              </w:rPr>
              <w:t>-1</w:t>
            </w:r>
          </w:p>
        </w:tc>
        <w:tc>
          <w:tcPr>
            <w:tcW w:w="720" w:type="dxa"/>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w:t>
            </w:r>
          </w:p>
        </w:tc>
      </w:tr>
      <w:tr>
        <w:trPr>
          <w:trHeight w:val="242"/>
        </w:trPr>
        <w:tc>
          <w:tcPr>
            <w:tcW w:w="1818" w:type="dxa"/>
            <w:tcBorders>
              <w:bottom w:val="nil"/>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 xml:space="preserve">Sulfate </w:t>
            </w:r>
            <w:r>
              <w:rPr>
                <w:rFonts w:ascii="Helvetica" w:hAnsi="Helvetica"/>
                <w:noProof/>
                <w:sz w:val="18"/>
                <w:szCs w:val="18"/>
                <w:vertAlign w:val="subscript"/>
              </w:rPr>
              <w:t xml:space="preserve">                          </w:t>
            </w:r>
            <w:r>
              <w:rPr>
                <w:rFonts w:ascii="Helvetica" w:hAnsi="Helvetica"/>
                <w:noProof/>
                <w:sz w:val="18"/>
                <w:szCs w:val="18"/>
              </w:rPr>
              <w:t>(aerosol-radiation)</w:t>
            </w:r>
          </w:p>
        </w:tc>
        <w:tc>
          <w:tcPr>
            <w:tcW w:w="1706" w:type="dxa"/>
            <w:tcBorders>
              <w:bottom w:val="nil"/>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-7.4 (-19, -2.6)</w:t>
            </w:r>
          </w:p>
        </w:tc>
        <w:tc>
          <w:tcPr>
            <w:tcW w:w="1696" w:type="dxa"/>
            <w:tcBorders>
              <w:bottom w:val="nil"/>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-5.6 (-14, -1.9)</w:t>
            </w:r>
          </w:p>
        </w:tc>
        <w:tc>
          <w:tcPr>
            <w:tcW w:w="1620" w:type="dxa"/>
            <w:tcBorders>
              <w:bottom w:val="nil"/>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-5.3 (-13, -1.8)</w:t>
            </w:r>
          </w:p>
        </w:tc>
        <w:tc>
          <w:tcPr>
            <w:tcW w:w="3060" w:type="dxa"/>
            <w:tcBorders>
              <w:bottom w:val="nil"/>
            </w:tcBorders>
            <w:tcMar>
              <w:left w:w="14" w:type="dxa"/>
              <w:right w:w="14" w:type="dxa"/>
            </w:tcMar>
          </w:tcPr>
          <w:p>
            <w:pPr>
              <w:spacing w:before="40" w:after="40"/>
              <w:rPr>
                <w:rFonts w:ascii="Helvetica" w:hAnsi="Helvetica"/>
                <w:noProof/>
                <w:sz w:val="18"/>
                <w:szCs w:val="18"/>
              </w:rPr>
            </w:pPr>
            <w:r>
              <w:rPr>
                <w:rFonts w:ascii="Helvetica" w:hAnsi="Helvetica"/>
                <w:noProof/>
                <w:sz w:val="18"/>
                <w:szCs w:val="18"/>
              </w:rPr>
              <w:t>-19.9 ± 16.0 mW m</w:t>
            </w:r>
            <w:r>
              <w:rPr>
                <w:rFonts w:ascii="Helvetica" w:hAnsi="Helvetica"/>
                <w:noProof/>
                <w:sz w:val="18"/>
                <w:szCs w:val="18"/>
                <w:vertAlign w:val="superscript"/>
              </w:rPr>
              <w:t>-2</w:t>
            </w:r>
            <w:r>
              <w:rPr>
                <w:rFonts w:ascii="Helvetica" w:hAnsi="Helvetica"/>
                <w:noProof/>
                <w:sz w:val="18"/>
                <w:szCs w:val="18"/>
              </w:rPr>
              <w:t xml:space="preserve"> (Tg (SO</w:t>
            </w:r>
            <w:r>
              <w:rPr>
                <w:rFonts w:ascii="Helvetica" w:hAnsi="Helvetica"/>
                <w:noProof/>
                <w:sz w:val="18"/>
                <w:szCs w:val="18"/>
                <w:vertAlign w:val="subscript"/>
              </w:rPr>
              <w:t>2</w:t>
            </w:r>
            <w:r>
              <w:rPr>
                <w:rFonts w:ascii="Helvetica" w:hAnsi="Helvetica"/>
                <w:noProof/>
                <w:sz w:val="18"/>
                <w:szCs w:val="18"/>
              </w:rPr>
              <w:t>) yr</w:t>
            </w:r>
            <w:r>
              <w:rPr>
                <w:rFonts w:ascii="Helvetica" w:hAnsi="Helvetica"/>
                <w:noProof/>
                <w:sz w:val="18"/>
                <w:szCs w:val="18"/>
                <w:vertAlign w:val="superscript"/>
              </w:rPr>
              <w:t>-1</w:t>
            </w:r>
            <w:r>
              <w:rPr>
                <w:rFonts w:ascii="Helvetica" w:hAnsi="Helvetica"/>
                <w:noProof/>
                <w:sz w:val="18"/>
                <w:szCs w:val="18"/>
              </w:rPr>
              <w:t>)</w:t>
            </w:r>
            <w:r>
              <w:rPr>
                <w:rFonts w:ascii="Helvetica" w:hAnsi="Helvetica"/>
                <w:noProof/>
                <w:sz w:val="18"/>
                <w:szCs w:val="18"/>
                <w:vertAlign w:val="superscript"/>
              </w:rPr>
              <w:t>-1</w:t>
            </w:r>
          </w:p>
        </w:tc>
        <w:tc>
          <w:tcPr>
            <w:tcW w:w="720" w:type="dxa"/>
            <w:tcBorders>
              <w:bottom w:val="nil"/>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w:t>
            </w:r>
          </w:p>
        </w:tc>
      </w:tr>
      <w:tr>
        <w:tc>
          <w:tcPr>
            <w:tcW w:w="1818" w:type="dxa"/>
            <w:tcBorders>
              <w:bottom w:val="double" w:sz="4" w:space="0" w:color="auto"/>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Sulfate and soot     (aerosol-cloud)</w:t>
            </w:r>
          </w:p>
        </w:tc>
        <w:tc>
          <w:tcPr>
            <w:tcW w:w="1706" w:type="dxa"/>
            <w:tcBorders>
              <w:bottom w:val="doub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w:t>
            </w:r>
          </w:p>
        </w:tc>
        <w:tc>
          <w:tcPr>
            <w:tcW w:w="1696" w:type="dxa"/>
            <w:tcBorders>
              <w:bottom w:val="doub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w:t>
            </w:r>
          </w:p>
        </w:tc>
        <w:tc>
          <w:tcPr>
            <w:tcW w:w="1620" w:type="dxa"/>
            <w:tcBorders>
              <w:bottom w:val="doub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w:t>
            </w:r>
          </w:p>
        </w:tc>
        <w:tc>
          <w:tcPr>
            <w:tcW w:w="3060" w:type="dxa"/>
            <w:tcBorders>
              <w:bottom w:val="doub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w:t>
            </w:r>
          </w:p>
        </w:tc>
        <w:tc>
          <w:tcPr>
            <w:tcW w:w="720" w:type="dxa"/>
            <w:tcBorders>
              <w:bottom w:val="doub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w:t>
            </w:r>
          </w:p>
        </w:tc>
      </w:tr>
      <w:tr>
        <w:tc>
          <w:tcPr>
            <w:tcW w:w="1818" w:type="dxa"/>
            <w:tcBorders>
              <w:top w:val="double" w:sz="4" w:space="0" w:color="auto"/>
              <w:bottom w:val="single" w:sz="4" w:space="0" w:color="auto"/>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Net ERF (only non-CO</w:t>
            </w:r>
            <w:r>
              <w:rPr>
                <w:rFonts w:ascii="Helvetica" w:hAnsi="Helvetica"/>
                <w:noProof/>
                <w:sz w:val="18"/>
                <w:szCs w:val="18"/>
                <w:vertAlign w:val="subscript"/>
              </w:rPr>
              <w:t>2</w:t>
            </w:r>
            <w:r>
              <w:rPr>
                <w:rFonts w:ascii="Helvetica" w:hAnsi="Helvetica"/>
                <w:noProof/>
                <w:sz w:val="18"/>
                <w:szCs w:val="18"/>
              </w:rPr>
              <w:t xml:space="preserve"> terms)</w:t>
            </w:r>
          </w:p>
        </w:tc>
        <w:tc>
          <w:tcPr>
            <w:tcW w:w="1706" w:type="dxa"/>
            <w:tcBorders>
              <w:top w:val="double" w:sz="4" w:space="0" w:color="auto"/>
              <w:bottom w:val="sing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66.6 (21, 111)</w:t>
            </w:r>
          </w:p>
        </w:tc>
        <w:tc>
          <w:tcPr>
            <w:tcW w:w="1696" w:type="dxa"/>
            <w:tcBorders>
              <w:top w:val="double" w:sz="4" w:space="0" w:color="auto"/>
              <w:bottom w:val="sing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51.4 (16, 85)</w:t>
            </w:r>
          </w:p>
        </w:tc>
        <w:tc>
          <w:tcPr>
            <w:tcW w:w="1620" w:type="dxa"/>
            <w:tcBorders>
              <w:top w:val="double" w:sz="4" w:space="0" w:color="auto"/>
              <w:bottom w:val="sing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41.9 (14, 69)</w:t>
            </w:r>
          </w:p>
        </w:tc>
        <w:tc>
          <w:tcPr>
            <w:tcW w:w="3060" w:type="dxa"/>
            <w:tcBorders>
              <w:top w:val="double" w:sz="4" w:space="0" w:color="auto"/>
              <w:bottom w:val="sing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w:t>
            </w:r>
          </w:p>
        </w:tc>
        <w:tc>
          <w:tcPr>
            <w:tcW w:w="720" w:type="dxa"/>
            <w:tcBorders>
              <w:top w:val="double" w:sz="4" w:space="0" w:color="auto"/>
              <w:bottom w:val="sing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w:t>
            </w:r>
          </w:p>
        </w:tc>
      </w:tr>
      <w:tr>
        <w:tc>
          <w:tcPr>
            <w:tcW w:w="1818" w:type="dxa"/>
            <w:tcBorders>
              <w:top w:val="single" w:sz="4" w:space="0" w:color="auto"/>
              <w:bottom w:val="double" w:sz="4" w:space="0" w:color="auto"/>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Net aviation ERF</w:t>
            </w:r>
          </w:p>
        </w:tc>
        <w:tc>
          <w:tcPr>
            <w:tcW w:w="1706" w:type="dxa"/>
            <w:tcBorders>
              <w:top w:val="single" w:sz="4" w:space="0" w:color="auto"/>
              <w:bottom w:val="doub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100.9 (55, 145)</w:t>
            </w:r>
          </w:p>
        </w:tc>
        <w:tc>
          <w:tcPr>
            <w:tcW w:w="1696" w:type="dxa"/>
            <w:tcBorders>
              <w:top w:val="single" w:sz="4" w:space="0" w:color="auto"/>
              <w:bottom w:val="doub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80.4 (45, 114)</w:t>
            </w:r>
          </w:p>
        </w:tc>
        <w:tc>
          <w:tcPr>
            <w:tcW w:w="1620" w:type="dxa"/>
            <w:tcBorders>
              <w:top w:val="single" w:sz="4" w:space="0" w:color="auto"/>
              <w:bottom w:val="doub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66.9 (38, 95)</w:t>
            </w:r>
          </w:p>
        </w:tc>
        <w:tc>
          <w:tcPr>
            <w:tcW w:w="3060" w:type="dxa"/>
            <w:tcBorders>
              <w:top w:val="single" w:sz="4" w:space="0" w:color="auto"/>
              <w:bottom w:val="doub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w:t>
            </w:r>
          </w:p>
        </w:tc>
        <w:tc>
          <w:tcPr>
            <w:tcW w:w="720" w:type="dxa"/>
            <w:tcBorders>
              <w:top w:val="single" w:sz="4" w:space="0" w:color="auto"/>
              <w:bottom w:val="doub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w:t>
            </w:r>
          </w:p>
        </w:tc>
      </w:tr>
      <w:tr>
        <w:trPr>
          <w:trHeight w:val="539"/>
        </w:trPr>
        <w:tc>
          <w:tcPr>
            <w:tcW w:w="1818" w:type="dxa"/>
            <w:tcBorders>
              <w:top w:val="double" w:sz="4" w:space="0" w:color="auto"/>
              <w:bottom w:val="double" w:sz="4" w:space="0" w:color="auto"/>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Net anthropogenic ERF in 2011</w:t>
            </w:r>
          </w:p>
        </w:tc>
        <w:tc>
          <w:tcPr>
            <w:tcW w:w="1706" w:type="dxa"/>
            <w:tcBorders>
              <w:top w:val="double" w:sz="4" w:space="0" w:color="auto"/>
              <w:bottom w:val="doub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w:t>
            </w:r>
          </w:p>
        </w:tc>
        <w:tc>
          <w:tcPr>
            <w:tcW w:w="1696" w:type="dxa"/>
            <w:tcBorders>
              <w:top w:val="double" w:sz="4" w:space="0" w:color="auto"/>
              <w:bottom w:val="doub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 xml:space="preserve">2290 (1130, 3330) </w:t>
            </w:r>
            <w:r>
              <w:rPr>
                <w:rFonts w:ascii="Helvetica" w:hAnsi="Helvetica"/>
                <w:noProof/>
                <w:color w:val="000000" w:themeColor="text1"/>
                <w:szCs w:val="18"/>
                <w:vertAlign w:val="superscript"/>
              </w:rPr>
              <w:t>b</w:t>
            </w:r>
          </w:p>
        </w:tc>
        <w:tc>
          <w:tcPr>
            <w:tcW w:w="1620" w:type="dxa"/>
            <w:tcBorders>
              <w:top w:val="double" w:sz="4" w:space="0" w:color="auto"/>
              <w:bottom w:val="double" w:sz="4" w:space="0" w:color="auto"/>
            </w:tcBorders>
            <w:tcMar>
              <w:left w:w="14" w:type="dxa"/>
              <w:right w:w="14" w:type="dxa"/>
            </w:tcMar>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w:t>
            </w:r>
          </w:p>
        </w:tc>
        <w:tc>
          <w:tcPr>
            <w:tcW w:w="3060" w:type="dxa"/>
            <w:tcBorders>
              <w:top w:val="double" w:sz="4" w:space="0" w:color="auto"/>
              <w:bottom w:val="doub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w:t>
            </w:r>
          </w:p>
        </w:tc>
        <w:tc>
          <w:tcPr>
            <w:tcW w:w="720" w:type="dxa"/>
            <w:tcBorders>
              <w:top w:val="double" w:sz="4" w:space="0" w:color="auto"/>
              <w:bottom w:val="doub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w:t>
            </w:r>
          </w:p>
        </w:tc>
      </w:tr>
    </w:tbl>
    <w:p>
      <w:pPr>
        <w:spacing w:after="80" w:line="240" w:lineRule="auto"/>
        <w:rPr>
          <w:rFonts w:ascii="Helvetica" w:hAnsi="Helvetica"/>
          <w:noProof/>
        </w:rPr>
      </w:pPr>
      <w:r>
        <w:rPr>
          <w:rFonts w:ascii="Helvetica" w:hAnsi="Helvetica"/>
          <w:noProof/>
          <w:szCs w:val="18"/>
          <w:vertAlign w:val="superscript"/>
        </w:rPr>
        <w:t>a</w:t>
      </w:r>
      <w:r>
        <w:rPr>
          <w:rFonts w:ascii="Helvetica" w:hAnsi="Helvetica"/>
          <w:noProof/>
        </w:rPr>
        <w:t xml:space="preserve"> </w:t>
      </w:r>
      <w:r>
        <w:rPr>
          <w:rFonts w:ascii="Helvetica" w:hAnsi="Helvetica"/>
          <w:noProof/>
          <w:sz w:val="18"/>
        </w:rPr>
        <w:t>The uncertainty distributions for all forcing terms are lognormal except for CO</w:t>
      </w:r>
      <w:r>
        <w:rPr>
          <w:rFonts w:ascii="Helvetica" w:hAnsi="Helvetica"/>
          <w:noProof/>
          <w:sz w:val="18"/>
          <w:vertAlign w:val="subscript"/>
        </w:rPr>
        <w:t>2</w:t>
      </w:r>
      <w:r>
        <w:rPr>
          <w:rFonts w:ascii="Helvetica" w:hAnsi="Helvetica"/>
          <w:noProof/>
          <w:sz w:val="18"/>
        </w:rPr>
        <w:t xml:space="preserve"> and contrail cirrus (normal) and Net NO</w:t>
      </w:r>
      <w:r>
        <w:rPr>
          <w:rFonts w:ascii="Helvetica" w:hAnsi="Helvetica"/>
          <w:noProof/>
          <w:sz w:val="18"/>
          <w:vertAlign w:val="subscript"/>
        </w:rPr>
        <w:t>x</w:t>
      </w:r>
      <w:r>
        <w:rPr>
          <w:rFonts w:ascii="Helvetica" w:hAnsi="Helvetica"/>
          <w:noProof/>
          <w:sz w:val="18"/>
        </w:rPr>
        <w:t xml:space="preserve"> (discrete pdf).</w:t>
      </w:r>
    </w:p>
    <w:p>
      <w:pPr>
        <w:spacing w:after="80" w:line="240" w:lineRule="auto"/>
        <w:rPr>
          <w:rFonts w:ascii="Helvetica" w:hAnsi="Helvetica"/>
          <w:noProof/>
          <w:sz w:val="18"/>
        </w:rPr>
      </w:pPr>
      <w:r>
        <w:rPr>
          <w:rFonts w:ascii="Helvetica" w:hAnsi="Helvetica"/>
          <w:noProof/>
          <w:szCs w:val="18"/>
          <w:vertAlign w:val="superscript"/>
        </w:rPr>
        <w:t>b</w:t>
      </w:r>
      <w:r>
        <w:rPr>
          <w:rFonts w:ascii="Helvetica" w:hAnsi="Helvetica"/>
          <w:noProof/>
        </w:rPr>
        <w:t xml:space="preserve"> </w:t>
      </w:r>
      <w:r>
        <w:rPr>
          <w:rFonts w:ascii="Helvetica" w:hAnsi="Helvetica"/>
          <w:noProof/>
          <w:sz w:val="18"/>
        </w:rPr>
        <w:t>Boucher et al., 2013. IPCC also separately estimated the contrail cirrus term for 2011 as 50 (20, 150) mW m</w:t>
      </w:r>
      <w:r>
        <w:rPr>
          <w:rFonts w:ascii="Helvetica" w:hAnsi="Helvetica"/>
          <w:noProof/>
          <w:sz w:val="18"/>
          <w:vertAlign w:val="superscript"/>
        </w:rPr>
        <w:t>-2</w:t>
      </w:r>
      <w:r>
        <w:rPr>
          <w:rFonts w:ascii="Helvetica" w:hAnsi="Helvetica"/>
          <w:noProof/>
          <w:sz w:val="18"/>
        </w:rPr>
        <w:t>.</w:t>
      </w:r>
    </w:p>
    <w:p>
      <w:pPr>
        <w:spacing w:after="0" w:line="240" w:lineRule="auto"/>
        <w:rPr>
          <w:rFonts w:ascii="Helvetica" w:eastAsia="Calibri" w:hAnsi="Helvetica" w:cs="Times New Roman"/>
          <w:b/>
          <w:noProof/>
          <w:sz w:val="20"/>
          <w:szCs w:val="20"/>
        </w:rPr>
      </w:pPr>
      <w:r>
        <w:rPr>
          <w:rFonts w:ascii="Helvetica" w:eastAsia="Calibri" w:hAnsi="Helvetica" w:cs="Times New Roman"/>
          <w:b/>
          <w:noProof/>
          <w:sz w:val="20"/>
          <w:szCs w:val="20"/>
        </w:rPr>
        <w:br w:type="page"/>
      </w:r>
    </w:p>
    <w:p>
      <w:pPr>
        <w:rPr>
          <w:rFonts w:ascii="Helvetica" w:hAnsi="Helvetica"/>
          <w:noProof/>
          <w:sz w:val="20"/>
          <w:szCs w:val="20"/>
        </w:rPr>
      </w:pPr>
      <w:r>
        <w:rPr>
          <w:rFonts w:ascii="Helvetica" w:hAnsi="Helvetica"/>
          <w:b/>
          <w:noProof/>
          <w:sz w:val="20"/>
          <w:szCs w:val="20"/>
        </w:rPr>
        <w:t>Table 5.</w:t>
      </w:r>
      <w:r>
        <w:rPr>
          <w:rFonts w:ascii="Helvetica" w:hAnsi="Helvetica"/>
          <w:noProof/>
          <w:sz w:val="20"/>
          <w:szCs w:val="20"/>
        </w:rPr>
        <w:t xml:space="preserve"> Emission metrics and corresponding CO</w:t>
      </w:r>
      <w:r>
        <w:rPr>
          <w:rFonts w:ascii="Helvetica" w:hAnsi="Helvetica"/>
          <w:noProof/>
          <w:sz w:val="20"/>
          <w:szCs w:val="20"/>
          <w:vertAlign w:val="subscript"/>
        </w:rPr>
        <w:t>2</w:t>
      </w:r>
      <w:r>
        <w:rPr>
          <w:rFonts w:ascii="Helvetica" w:hAnsi="Helvetica"/>
          <w:noProof/>
          <w:sz w:val="20"/>
          <w:szCs w:val="20"/>
        </w:rPr>
        <w:t>-equivalent emissions for the ERF components of 2018 aviation emissions and cloudiness</w:t>
      </w:r>
    </w:p>
    <w:p>
      <w:pPr>
        <w:spacing w:after="40"/>
        <w:rPr>
          <w:rFonts w:ascii="Helvetica" w:hAnsi="Helvetica"/>
          <w:b/>
          <w:noProof/>
          <w:sz w:val="20"/>
          <w:szCs w:val="20"/>
        </w:rPr>
      </w:pPr>
      <w:r>
        <w:rPr>
          <w:rFonts w:ascii="Helvetica" w:hAnsi="Helvetica"/>
          <w:b/>
          <w:noProof/>
          <w:sz w:val="20"/>
          <w:szCs w:val="20"/>
        </w:rPr>
        <w:t>Metrics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80"/>
        <w:gridCol w:w="837"/>
        <w:gridCol w:w="872"/>
        <w:gridCol w:w="848"/>
        <w:gridCol w:w="763"/>
        <w:gridCol w:w="798"/>
      </w:tblGrid>
      <w:tr>
        <w:tc>
          <w:tcPr>
            <w:tcW w:w="2160" w:type="dxa"/>
            <w:tcBorders>
              <w:top w:val="double" w:sz="4" w:space="0" w:color="auto"/>
              <w:bottom w:val="double" w:sz="4" w:space="0" w:color="auto"/>
            </w:tcBorders>
          </w:tcPr>
          <w:p>
            <w:pPr>
              <w:spacing w:beforeLines="20" w:before="48" w:afterLines="20" w:after="48"/>
              <w:jc w:val="right"/>
              <w:rPr>
                <w:rFonts w:ascii="Helvetica" w:hAnsi="Helvetica"/>
                <w:b/>
                <w:noProof/>
                <w:sz w:val="18"/>
                <w:szCs w:val="20"/>
              </w:rPr>
            </w:pPr>
            <w:r>
              <w:rPr>
                <w:rFonts w:ascii="Helvetica" w:hAnsi="Helvetica"/>
                <w:b/>
                <w:noProof/>
                <w:sz w:val="18"/>
                <w:szCs w:val="20"/>
              </w:rPr>
              <w:t>ERF term</w:t>
            </w:r>
          </w:p>
        </w:tc>
        <w:tc>
          <w:tcPr>
            <w:tcW w:w="398" w:type="dxa"/>
            <w:tcBorders>
              <w:top w:val="double" w:sz="4" w:space="0" w:color="auto"/>
              <w:bottom w:val="double" w:sz="4" w:space="0" w:color="auto"/>
            </w:tcBorders>
          </w:tcPr>
          <w:p>
            <w:pPr>
              <w:spacing w:beforeLines="20" w:before="48" w:afterLines="20" w:after="48"/>
              <w:jc w:val="center"/>
              <w:rPr>
                <w:rFonts w:ascii="Helvetica" w:hAnsi="Helvetica"/>
                <w:b/>
                <w:noProof/>
                <w:sz w:val="18"/>
                <w:szCs w:val="20"/>
              </w:rPr>
            </w:pPr>
            <w:r>
              <w:rPr>
                <w:rFonts w:ascii="Helvetica" w:hAnsi="Helvetica"/>
                <w:b/>
                <w:noProof/>
                <w:sz w:val="18"/>
                <w:szCs w:val="20"/>
              </w:rPr>
              <w:t>GWP</w:t>
            </w:r>
            <w:r>
              <w:rPr>
                <w:rFonts w:ascii="Helvetica" w:hAnsi="Helvetica"/>
                <w:b/>
                <w:noProof/>
                <w:sz w:val="18"/>
                <w:szCs w:val="20"/>
                <w:vertAlign w:val="subscript"/>
              </w:rPr>
              <w:t>20</w:t>
            </w:r>
          </w:p>
        </w:tc>
        <w:tc>
          <w:tcPr>
            <w:tcW w:w="837" w:type="dxa"/>
            <w:tcBorders>
              <w:top w:val="double" w:sz="4" w:space="0" w:color="auto"/>
              <w:bottom w:val="double" w:sz="4" w:space="0" w:color="auto"/>
            </w:tcBorders>
          </w:tcPr>
          <w:p>
            <w:pPr>
              <w:spacing w:beforeLines="20" w:before="48" w:afterLines="20" w:after="48"/>
              <w:jc w:val="center"/>
              <w:rPr>
                <w:rFonts w:ascii="Helvetica" w:hAnsi="Helvetica"/>
                <w:b/>
                <w:noProof/>
                <w:sz w:val="18"/>
                <w:szCs w:val="20"/>
              </w:rPr>
            </w:pPr>
            <w:r>
              <w:rPr>
                <w:rFonts w:ascii="Helvetica" w:hAnsi="Helvetica"/>
                <w:b/>
                <w:noProof/>
                <w:sz w:val="18"/>
                <w:szCs w:val="20"/>
              </w:rPr>
              <w:t>GWP</w:t>
            </w:r>
            <w:r>
              <w:rPr>
                <w:rFonts w:ascii="Helvetica" w:hAnsi="Helvetica"/>
                <w:b/>
                <w:noProof/>
                <w:sz w:val="18"/>
                <w:szCs w:val="20"/>
                <w:vertAlign w:val="subscript"/>
              </w:rPr>
              <w:t>50</w:t>
            </w:r>
          </w:p>
        </w:tc>
        <w:tc>
          <w:tcPr>
            <w:tcW w:w="872" w:type="dxa"/>
            <w:tcBorders>
              <w:top w:val="double" w:sz="4" w:space="0" w:color="auto"/>
              <w:bottom w:val="double" w:sz="4" w:space="0" w:color="auto"/>
            </w:tcBorders>
          </w:tcPr>
          <w:p>
            <w:pPr>
              <w:spacing w:beforeLines="20" w:before="48" w:afterLines="20" w:after="48"/>
              <w:jc w:val="center"/>
              <w:rPr>
                <w:rFonts w:ascii="Helvetica" w:hAnsi="Helvetica"/>
                <w:b/>
                <w:noProof/>
                <w:sz w:val="18"/>
                <w:szCs w:val="20"/>
              </w:rPr>
            </w:pPr>
            <w:r>
              <w:rPr>
                <w:rFonts w:ascii="Helvetica" w:hAnsi="Helvetica"/>
                <w:b/>
                <w:noProof/>
                <w:sz w:val="18"/>
                <w:szCs w:val="20"/>
              </w:rPr>
              <w:t>GWP</w:t>
            </w:r>
            <w:r>
              <w:rPr>
                <w:rFonts w:ascii="Helvetica" w:hAnsi="Helvetica"/>
                <w:b/>
                <w:noProof/>
                <w:sz w:val="18"/>
                <w:szCs w:val="20"/>
                <w:vertAlign w:val="subscript"/>
              </w:rPr>
              <w:t>100</w:t>
            </w:r>
          </w:p>
        </w:tc>
        <w:tc>
          <w:tcPr>
            <w:tcW w:w="848" w:type="dxa"/>
            <w:tcBorders>
              <w:top w:val="double" w:sz="4" w:space="0" w:color="auto"/>
              <w:bottom w:val="double" w:sz="4" w:space="0" w:color="auto"/>
            </w:tcBorders>
          </w:tcPr>
          <w:p>
            <w:pPr>
              <w:spacing w:beforeLines="20" w:before="48" w:afterLines="20" w:after="48"/>
              <w:jc w:val="center"/>
              <w:rPr>
                <w:rFonts w:ascii="Helvetica" w:hAnsi="Helvetica"/>
                <w:b/>
                <w:noProof/>
                <w:sz w:val="18"/>
                <w:szCs w:val="20"/>
              </w:rPr>
            </w:pPr>
            <w:r>
              <w:rPr>
                <w:rFonts w:ascii="Helvetica" w:hAnsi="Helvetica"/>
                <w:b/>
                <w:noProof/>
                <w:sz w:val="18"/>
                <w:szCs w:val="20"/>
              </w:rPr>
              <w:t>GTP</w:t>
            </w:r>
            <w:r>
              <w:rPr>
                <w:rFonts w:ascii="Helvetica" w:hAnsi="Helvetica"/>
                <w:b/>
                <w:noProof/>
                <w:sz w:val="18"/>
                <w:szCs w:val="20"/>
                <w:vertAlign w:val="subscript"/>
              </w:rPr>
              <w:t>20</w:t>
            </w:r>
          </w:p>
        </w:tc>
        <w:tc>
          <w:tcPr>
            <w:tcW w:w="763" w:type="dxa"/>
            <w:tcBorders>
              <w:top w:val="double" w:sz="4" w:space="0" w:color="auto"/>
              <w:bottom w:val="double" w:sz="4" w:space="0" w:color="auto"/>
            </w:tcBorders>
          </w:tcPr>
          <w:p>
            <w:pPr>
              <w:spacing w:beforeLines="20" w:before="48" w:afterLines="20" w:after="48"/>
              <w:jc w:val="center"/>
              <w:rPr>
                <w:rFonts w:ascii="Helvetica" w:hAnsi="Helvetica"/>
                <w:b/>
                <w:noProof/>
                <w:sz w:val="18"/>
                <w:szCs w:val="20"/>
              </w:rPr>
            </w:pPr>
            <w:r>
              <w:rPr>
                <w:rFonts w:ascii="Helvetica" w:hAnsi="Helvetica"/>
                <w:b/>
                <w:noProof/>
                <w:sz w:val="18"/>
                <w:szCs w:val="20"/>
              </w:rPr>
              <w:t>GTP</w:t>
            </w:r>
            <w:r>
              <w:rPr>
                <w:rFonts w:ascii="Helvetica" w:hAnsi="Helvetica"/>
                <w:b/>
                <w:noProof/>
                <w:sz w:val="18"/>
                <w:szCs w:val="20"/>
                <w:vertAlign w:val="subscript"/>
              </w:rPr>
              <w:t>50</w:t>
            </w:r>
          </w:p>
        </w:tc>
        <w:tc>
          <w:tcPr>
            <w:tcW w:w="798" w:type="dxa"/>
            <w:tcBorders>
              <w:top w:val="double" w:sz="4" w:space="0" w:color="auto"/>
              <w:bottom w:val="double" w:sz="4" w:space="0" w:color="auto"/>
            </w:tcBorders>
          </w:tcPr>
          <w:p>
            <w:pPr>
              <w:spacing w:beforeLines="20" w:before="48" w:afterLines="20" w:after="48"/>
              <w:jc w:val="center"/>
              <w:rPr>
                <w:rFonts w:ascii="Helvetica" w:hAnsi="Helvetica"/>
                <w:b/>
                <w:noProof/>
                <w:sz w:val="18"/>
                <w:szCs w:val="20"/>
              </w:rPr>
            </w:pPr>
            <w:r>
              <w:rPr>
                <w:rFonts w:ascii="Helvetica" w:hAnsi="Helvetica"/>
                <w:b/>
                <w:noProof/>
                <w:sz w:val="18"/>
                <w:szCs w:val="20"/>
              </w:rPr>
              <w:t>GTP</w:t>
            </w:r>
            <w:r>
              <w:rPr>
                <w:rFonts w:ascii="Helvetica" w:hAnsi="Helvetica"/>
                <w:b/>
                <w:noProof/>
                <w:sz w:val="18"/>
                <w:szCs w:val="20"/>
                <w:vertAlign w:val="subscript"/>
              </w:rPr>
              <w:t>100</w:t>
            </w:r>
          </w:p>
        </w:tc>
      </w:tr>
      <w:tr>
        <w:tc>
          <w:tcPr>
            <w:tcW w:w="2160" w:type="dxa"/>
            <w:tcBorders>
              <w:top w:val="double" w:sz="4" w:space="0" w:color="auto"/>
              <w:bottom w:val="double" w:sz="4" w:space="0" w:color="auto"/>
            </w:tcBorders>
          </w:tcPr>
          <w:p>
            <w:pPr>
              <w:spacing w:beforeLines="20" w:before="48" w:afterLines="20" w:after="48"/>
              <w:jc w:val="right"/>
              <w:rPr>
                <w:rFonts w:ascii="Helvetica" w:hAnsi="Helvetica"/>
                <w:noProof/>
                <w:sz w:val="18"/>
                <w:szCs w:val="18"/>
              </w:rPr>
            </w:pPr>
            <w:r>
              <w:rPr>
                <w:rFonts w:ascii="Helvetica" w:hAnsi="Helvetica"/>
                <w:noProof/>
                <w:sz w:val="18"/>
                <w:szCs w:val="18"/>
              </w:rPr>
              <w:t>CO</w:t>
            </w:r>
            <w:r>
              <w:rPr>
                <w:rFonts w:ascii="Helvetica" w:hAnsi="Helvetica"/>
                <w:noProof/>
                <w:sz w:val="18"/>
                <w:szCs w:val="18"/>
                <w:vertAlign w:val="subscript"/>
              </w:rPr>
              <w:t>2</w:t>
            </w:r>
          </w:p>
        </w:tc>
        <w:tc>
          <w:tcPr>
            <w:tcW w:w="398" w:type="dxa"/>
            <w:tcBorders>
              <w:top w:val="double" w:sz="4" w:space="0" w:color="auto"/>
              <w:bottom w:val="double" w:sz="4" w:space="0" w:color="auto"/>
            </w:tcBorders>
          </w:tcPr>
          <w:p>
            <w:pPr>
              <w:spacing w:beforeLines="20" w:before="48" w:afterLines="20" w:after="48"/>
              <w:jc w:val="center"/>
              <w:rPr>
                <w:rFonts w:ascii="Helvetica" w:hAnsi="Helvetica"/>
                <w:noProof/>
                <w:sz w:val="18"/>
                <w:szCs w:val="18"/>
              </w:rPr>
            </w:pPr>
            <w:r>
              <w:rPr>
                <w:rFonts w:ascii="Helvetica" w:hAnsi="Helvetica"/>
                <w:noProof/>
                <w:sz w:val="18"/>
                <w:szCs w:val="18"/>
              </w:rPr>
              <w:t>1</w:t>
            </w:r>
          </w:p>
        </w:tc>
        <w:tc>
          <w:tcPr>
            <w:tcW w:w="837" w:type="dxa"/>
            <w:tcBorders>
              <w:top w:val="double" w:sz="4" w:space="0" w:color="auto"/>
              <w:bottom w:val="double" w:sz="4" w:space="0" w:color="auto"/>
            </w:tcBorders>
          </w:tcPr>
          <w:p>
            <w:pPr>
              <w:spacing w:beforeLines="20" w:before="48" w:afterLines="20" w:after="48"/>
              <w:jc w:val="center"/>
              <w:rPr>
                <w:rFonts w:ascii="Helvetica" w:hAnsi="Helvetica"/>
                <w:noProof/>
                <w:sz w:val="18"/>
                <w:szCs w:val="18"/>
              </w:rPr>
            </w:pPr>
            <w:r>
              <w:rPr>
                <w:rFonts w:ascii="Helvetica" w:hAnsi="Helvetica"/>
                <w:noProof/>
                <w:sz w:val="18"/>
                <w:szCs w:val="18"/>
              </w:rPr>
              <w:t>1</w:t>
            </w:r>
          </w:p>
        </w:tc>
        <w:tc>
          <w:tcPr>
            <w:tcW w:w="872" w:type="dxa"/>
            <w:tcBorders>
              <w:top w:val="double" w:sz="4" w:space="0" w:color="auto"/>
              <w:bottom w:val="double" w:sz="4" w:space="0" w:color="auto"/>
            </w:tcBorders>
          </w:tcPr>
          <w:p>
            <w:pPr>
              <w:spacing w:beforeLines="20" w:before="48" w:afterLines="20" w:after="48"/>
              <w:jc w:val="center"/>
              <w:rPr>
                <w:rFonts w:ascii="Helvetica" w:hAnsi="Helvetica"/>
                <w:noProof/>
                <w:sz w:val="18"/>
                <w:szCs w:val="18"/>
              </w:rPr>
            </w:pPr>
            <w:r>
              <w:rPr>
                <w:rFonts w:ascii="Helvetica" w:hAnsi="Helvetica"/>
                <w:noProof/>
                <w:sz w:val="18"/>
                <w:szCs w:val="18"/>
              </w:rPr>
              <w:t>1</w:t>
            </w:r>
          </w:p>
        </w:tc>
        <w:tc>
          <w:tcPr>
            <w:tcW w:w="848" w:type="dxa"/>
            <w:tcBorders>
              <w:top w:val="double" w:sz="4" w:space="0" w:color="auto"/>
              <w:bottom w:val="double" w:sz="4" w:space="0" w:color="auto"/>
            </w:tcBorders>
          </w:tcPr>
          <w:p>
            <w:pPr>
              <w:spacing w:beforeLines="20" w:before="48" w:afterLines="20" w:after="48"/>
              <w:jc w:val="center"/>
              <w:rPr>
                <w:rFonts w:ascii="Helvetica" w:hAnsi="Helvetica"/>
                <w:noProof/>
                <w:sz w:val="18"/>
                <w:szCs w:val="18"/>
              </w:rPr>
            </w:pPr>
            <w:r>
              <w:rPr>
                <w:rFonts w:ascii="Helvetica" w:hAnsi="Helvetica"/>
                <w:noProof/>
                <w:sz w:val="18"/>
                <w:szCs w:val="18"/>
              </w:rPr>
              <w:t>1</w:t>
            </w:r>
          </w:p>
        </w:tc>
        <w:tc>
          <w:tcPr>
            <w:tcW w:w="763" w:type="dxa"/>
            <w:tcBorders>
              <w:top w:val="double" w:sz="4" w:space="0" w:color="auto"/>
              <w:bottom w:val="double" w:sz="4" w:space="0" w:color="auto"/>
            </w:tcBorders>
          </w:tcPr>
          <w:p>
            <w:pPr>
              <w:spacing w:beforeLines="20" w:before="48" w:afterLines="20" w:after="48"/>
              <w:jc w:val="center"/>
              <w:rPr>
                <w:rFonts w:ascii="Helvetica" w:hAnsi="Helvetica"/>
                <w:noProof/>
                <w:sz w:val="18"/>
                <w:szCs w:val="18"/>
              </w:rPr>
            </w:pPr>
            <w:r>
              <w:rPr>
                <w:rFonts w:ascii="Helvetica" w:hAnsi="Helvetica"/>
                <w:noProof/>
                <w:sz w:val="18"/>
                <w:szCs w:val="18"/>
              </w:rPr>
              <w:t>1</w:t>
            </w:r>
          </w:p>
        </w:tc>
        <w:tc>
          <w:tcPr>
            <w:tcW w:w="798" w:type="dxa"/>
            <w:tcBorders>
              <w:top w:val="double" w:sz="4" w:space="0" w:color="auto"/>
              <w:bottom w:val="double" w:sz="4" w:space="0" w:color="auto"/>
            </w:tcBorders>
          </w:tcPr>
          <w:p>
            <w:pPr>
              <w:spacing w:beforeLines="20" w:before="48" w:afterLines="20" w:after="48"/>
              <w:jc w:val="center"/>
              <w:rPr>
                <w:rFonts w:ascii="Helvetica" w:hAnsi="Helvetica"/>
                <w:noProof/>
                <w:sz w:val="18"/>
                <w:szCs w:val="18"/>
              </w:rPr>
            </w:pPr>
            <w:r>
              <w:rPr>
                <w:rFonts w:ascii="Helvetica" w:hAnsi="Helvetica"/>
                <w:noProof/>
                <w:sz w:val="18"/>
                <w:szCs w:val="18"/>
              </w:rPr>
              <w:t>1</w:t>
            </w:r>
          </w:p>
        </w:tc>
      </w:tr>
      <w:tr>
        <w:tc>
          <w:tcPr>
            <w:tcW w:w="2160" w:type="dxa"/>
            <w:tcBorders>
              <w:top w:val="double" w:sz="4" w:space="0" w:color="auto"/>
            </w:tcBorders>
          </w:tcPr>
          <w:p>
            <w:pPr>
              <w:spacing w:beforeLines="20" w:before="48" w:afterLines="20" w:after="48"/>
              <w:jc w:val="right"/>
              <w:rPr>
                <w:rFonts w:ascii="Helvetica" w:hAnsi="Helvetica"/>
                <w:noProof/>
                <w:sz w:val="18"/>
                <w:szCs w:val="18"/>
              </w:rPr>
            </w:pPr>
            <w:r>
              <w:rPr>
                <w:rFonts w:ascii="Helvetica" w:hAnsi="Helvetica"/>
                <w:noProof/>
                <w:sz w:val="18"/>
                <w:szCs w:val="18"/>
              </w:rPr>
              <w:t xml:space="preserve">Contrail cirrus </w:t>
            </w:r>
          </w:p>
          <w:p>
            <w:pPr>
              <w:spacing w:beforeLines="20" w:before="48" w:afterLines="20" w:after="48"/>
              <w:jc w:val="right"/>
              <w:rPr>
                <w:rFonts w:ascii="Helvetica" w:hAnsi="Helvetica"/>
                <w:noProof/>
                <w:sz w:val="18"/>
                <w:szCs w:val="18"/>
              </w:rPr>
            </w:pPr>
            <w:r>
              <w:rPr>
                <w:rFonts w:ascii="Helvetica" w:hAnsi="Helvetica"/>
                <w:noProof/>
                <w:sz w:val="18"/>
                <w:szCs w:val="18"/>
              </w:rPr>
              <w:t>(Tg CO</w:t>
            </w:r>
            <w:r>
              <w:rPr>
                <w:rFonts w:ascii="Helvetica" w:hAnsi="Helvetica"/>
                <w:noProof/>
                <w:sz w:val="18"/>
                <w:szCs w:val="18"/>
                <w:vertAlign w:val="subscript"/>
              </w:rPr>
              <w:t>2</w:t>
            </w:r>
            <w:r>
              <w:rPr>
                <w:rFonts w:ascii="Helvetica" w:hAnsi="Helvetica"/>
                <w:noProof/>
                <w:sz w:val="18"/>
                <w:szCs w:val="18"/>
              </w:rPr>
              <w:t xml:space="preserve"> basis)</w:t>
            </w:r>
          </w:p>
        </w:tc>
        <w:tc>
          <w:tcPr>
            <w:tcW w:w="398" w:type="dxa"/>
            <w:tcBorders>
              <w:top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2.32</w:t>
            </w:r>
          </w:p>
        </w:tc>
        <w:tc>
          <w:tcPr>
            <w:tcW w:w="837" w:type="dxa"/>
            <w:tcBorders>
              <w:top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1.09</w:t>
            </w:r>
          </w:p>
        </w:tc>
        <w:tc>
          <w:tcPr>
            <w:tcW w:w="872" w:type="dxa"/>
            <w:tcBorders>
              <w:top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0.63</w:t>
            </w:r>
          </w:p>
        </w:tc>
        <w:tc>
          <w:tcPr>
            <w:tcW w:w="848" w:type="dxa"/>
            <w:tcBorders>
              <w:top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0.67</w:t>
            </w:r>
          </w:p>
        </w:tc>
        <w:tc>
          <w:tcPr>
            <w:tcW w:w="763" w:type="dxa"/>
            <w:tcBorders>
              <w:top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0.11</w:t>
            </w:r>
          </w:p>
        </w:tc>
        <w:tc>
          <w:tcPr>
            <w:tcW w:w="798" w:type="dxa"/>
            <w:tcBorders>
              <w:top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0.09</w:t>
            </w:r>
          </w:p>
        </w:tc>
      </w:tr>
      <w:tr>
        <w:tc>
          <w:tcPr>
            <w:tcW w:w="2160" w:type="dxa"/>
            <w:tcBorders>
              <w:bottom w:val="double" w:sz="4" w:space="0" w:color="auto"/>
            </w:tcBorders>
          </w:tcPr>
          <w:p>
            <w:pPr>
              <w:spacing w:beforeLines="20" w:before="48" w:afterLines="20" w:after="48"/>
              <w:jc w:val="right"/>
              <w:rPr>
                <w:rFonts w:ascii="Helvetica" w:hAnsi="Helvetica"/>
                <w:noProof/>
                <w:color w:val="000000" w:themeColor="text1"/>
                <w:sz w:val="18"/>
                <w:szCs w:val="18"/>
              </w:rPr>
            </w:pPr>
            <w:r>
              <w:rPr>
                <w:rFonts w:ascii="Helvetica" w:hAnsi="Helvetica"/>
                <w:noProof/>
                <w:color w:val="000000" w:themeColor="text1"/>
                <w:sz w:val="18"/>
                <w:szCs w:val="18"/>
              </w:rPr>
              <w:t xml:space="preserve">Contrail cirrus </w:t>
            </w:r>
          </w:p>
          <w:p>
            <w:pPr>
              <w:spacing w:beforeLines="20" w:before="48" w:afterLines="20" w:after="48"/>
              <w:jc w:val="right"/>
              <w:rPr>
                <w:rFonts w:ascii="Helvetica" w:hAnsi="Helvetica"/>
                <w:noProof/>
                <w:color w:val="000000" w:themeColor="text1"/>
                <w:sz w:val="18"/>
                <w:szCs w:val="18"/>
              </w:rPr>
            </w:pPr>
            <w:r>
              <w:rPr>
                <w:rFonts w:ascii="Helvetica" w:hAnsi="Helvetica"/>
                <w:noProof/>
                <w:color w:val="000000" w:themeColor="text1"/>
                <w:sz w:val="18"/>
                <w:szCs w:val="18"/>
              </w:rPr>
              <w:t>(km basis)</w:t>
            </w:r>
          </w:p>
        </w:tc>
        <w:tc>
          <w:tcPr>
            <w:tcW w:w="398" w:type="dxa"/>
            <w:tcBorders>
              <w:bottom w:val="double" w:sz="4" w:space="0" w:color="auto"/>
            </w:tcBorders>
            <w:vAlign w:val="bottom"/>
          </w:tcPr>
          <w:p>
            <w:pPr>
              <w:spacing w:beforeLines="20" w:before="48" w:afterLines="20" w:after="48"/>
              <w:jc w:val="center"/>
              <w:rPr>
                <w:rFonts w:ascii="Helvetica" w:hAnsi="Helvetica" w:cs="Calibri"/>
                <w:noProof/>
                <w:color w:val="000000" w:themeColor="text1"/>
                <w:sz w:val="18"/>
                <w:szCs w:val="18"/>
              </w:rPr>
            </w:pPr>
            <w:r>
              <w:rPr>
                <w:rFonts w:ascii="Helvetica" w:hAnsi="Helvetica" w:cs="Calibri"/>
                <w:noProof/>
                <w:color w:val="000000" w:themeColor="text1"/>
                <w:sz w:val="18"/>
                <w:szCs w:val="18"/>
              </w:rPr>
              <w:t>39</w:t>
            </w:r>
          </w:p>
        </w:tc>
        <w:tc>
          <w:tcPr>
            <w:tcW w:w="837" w:type="dxa"/>
            <w:tcBorders>
              <w:bottom w:val="double" w:sz="4" w:space="0" w:color="auto"/>
            </w:tcBorders>
            <w:vAlign w:val="bottom"/>
          </w:tcPr>
          <w:p>
            <w:pPr>
              <w:spacing w:beforeLines="20" w:before="48" w:afterLines="20" w:after="48"/>
              <w:jc w:val="center"/>
              <w:rPr>
                <w:rFonts w:ascii="Helvetica" w:hAnsi="Helvetica" w:cs="Calibri"/>
                <w:noProof/>
                <w:color w:val="000000" w:themeColor="text1"/>
                <w:sz w:val="18"/>
                <w:szCs w:val="18"/>
              </w:rPr>
            </w:pPr>
            <w:r>
              <w:rPr>
                <w:rFonts w:ascii="Helvetica" w:hAnsi="Helvetica" w:cs="Calibri"/>
                <w:noProof/>
                <w:color w:val="000000" w:themeColor="text1"/>
                <w:sz w:val="18"/>
                <w:szCs w:val="18"/>
              </w:rPr>
              <w:t>18</w:t>
            </w:r>
          </w:p>
        </w:tc>
        <w:tc>
          <w:tcPr>
            <w:tcW w:w="872" w:type="dxa"/>
            <w:tcBorders>
              <w:bottom w:val="double" w:sz="4" w:space="0" w:color="auto"/>
            </w:tcBorders>
            <w:vAlign w:val="bottom"/>
          </w:tcPr>
          <w:p>
            <w:pPr>
              <w:spacing w:beforeLines="20" w:before="48" w:afterLines="20" w:after="48"/>
              <w:jc w:val="center"/>
              <w:rPr>
                <w:rFonts w:ascii="Helvetica" w:hAnsi="Helvetica" w:cs="Calibri"/>
                <w:noProof/>
                <w:color w:val="000000" w:themeColor="text1"/>
                <w:sz w:val="18"/>
                <w:szCs w:val="18"/>
              </w:rPr>
            </w:pPr>
            <w:r>
              <w:rPr>
                <w:rFonts w:ascii="Helvetica" w:hAnsi="Helvetica" w:cs="Calibri"/>
                <w:noProof/>
                <w:color w:val="000000" w:themeColor="text1"/>
                <w:sz w:val="18"/>
                <w:szCs w:val="18"/>
              </w:rPr>
              <w:t>11</w:t>
            </w:r>
          </w:p>
        </w:tc>
        <w:tc>
          <w:tcPr>
            <w:tcW w:w="848" w:type="dxa"/>
            <w:tcBorders>
              <w:bottom w:val="double" w:sz="4" w:space="0" w:color="auto"/>
            </w:tcBorders>
            <w:vAlign w:val="bottom"/>
          </w:tcPr>
          <w:p>
            <w:pPr>
              <w:spacing w:beforeLines="20" w:before="48" w:afterLines="20" w:after="48"/>
              <w:jc w:val="center"/>
              <w:rPr>
                <w:rFonts w:ascii="Helvetica" w:hAnsi="Helvetica" w:cs="Calibri"/>
                <w:noProof/>
                <w:color w:val="000000" w:themeColor="text1"/>
                <w:sz w:val="18"/>
                <w:szCs w:val="18"/>
              </w:rPr>
            </w:pPr>
            <w:r>
              <w:rPr>
                <w:rFonts w:ascii="Helvetica" w:hAnsi="Helvetica" w:cs="Calibri"/>
                <w:noProof/>
                <w:color w:val="000000" w:themeColor="text1"/>
                <w:sz w:val="18"/>
                <w:szCs w:val="18"/>
              </w:rPr>
              <w:t>11</w:t>
            </w:r>
          </w:p>
        </w:tc>
        <w:tc>
          <w:tcPr>
            <w:tcW w:w="763" w:type="dxa"/>
            <w:tcBorders>
              <w:bottom w:val="double" w:sz="4" w:space="0" w:color="auto"/>
            </w:tcBorders>
            <w:vAlign w:val="bottom"/>
          </w:tcPr>
          <w:p>
            <w:pPr>
              <w:spacing w:beforeLines="20" w:before="48" w:afterLines="20" w:after="48"/>
              <w:jc w:val="center"/>
              <w:rPr>
                <w:rFonts w:ascii="Helvetica" w:hAnsi="Helvetica" w:cs="Calibri"/>
                <w:noProof/>
                <w:color w:val="000000" w:themeColor="text1"/>
                <w:sz w:val="18"/>
                <w:szCs w:val="18"/>
              </w:rPr>
            </w:pPr>
            <w:r>
              <w:rPr>
                <w:rFonts w:ascii="Helvetica" w:hAnsi="Helvetica" w:cs="Calibri"/>
                <w:noProof/>
                <w:color w:val="000000" w:themeColor="text1"/>
                <w:sz w:val="18"/>
                <w:szCs w:val="18"/>
              </w:rPr>
              <w:t>1.8</w:t>
            </w:r>
          </w:p>
        </w:tc>
        <w:tc>
          <w:tcPr>
            <w:tcW w:w="798" w:type="dxa"/>
            <w:tcBorders>
              <w:bottom w:val="double" w:sz="4" w:space="0" w:color="auto"/>
            </w:tcBorders>
            <w:vAlign w:val="bottom"/>
          </w:tcPr>
          <w:p>
            <w:pPr>
              <w:spacing w:beforeLines="20" w:before="48" w:afterLines="20" w:after="48"/>
              <w:jc w:val="center"/>
              <w:rPr>
                <w:rFonts w:ascii="Helvetica" w:hAnsi="Helvetica" w:cs="Calibri"/>
                <w:noProof/>
                <w:color w:val="000000" w:themeColor="text1"/>
                <w:sz w:val="18"/>
                <w:szCs w:val="18"/>
              </w:rPr>
            </w:pPr>
            <w:r>
              <w:rPr>
                <w:rFonts w:ascii="Helvetica" w:hAnsi="Helvetica" w:cs="Calibri"/>
                <w:noProof/>
                <w:color w:val="000000" w:themeColor="text1"/>
                <w:sz w:val="18"/>
                <w:szCs w:val="18"/>
              </w:rPr>
              <w:t>1.5</w:t>
            </w:r>
          </w:p>
        </w:tc>
      </w:tr>
      <w:tr>
        <w:tc>
          <w:tcPr>
            <w:tcW w:w="2160" w:type="dxa"/>
            <w:tcBorders>
              <w:bottom w:val="double" w:sz="4" w:space="0" w:color="auto"/>
            </w:tcBorders>
          </w:tcPr>
          <w:p>
            <w:pPr>
              <w:spacing w:beforeLines="20" w:before="48" w:afterLines="20" w:after="48"/>
              <w:jc w:val="right"/>
              <w:rPr>
                <w:rFonts w:ascii="Helvetica" w:hAnsi="Helvetica"/>
                <w:noProof/>
                <w:sz w:val="18"/>
                <w:szCs w:val="18"/>
              </w:rPr>
            </w:pPr>
            <w:r>
              <w:rPr>
                <w:rFonts w:ascii="Helvetica" w:hAnsi="Helvetica"/>
                <w:noProof/>
                <w:sz w:val="18"/>
                <w:szCs w:val="18"/>
              </w:rPr>
              <w:t>Net NO</w:t>
            </w:r>
            <w:r>
              <w:rPr>
                <w:rFonts w:ascii="Helvetica" w:hAnsi="Helvetica"/>
                <w:noProof/>
                <w:sz w:val="18"/>
                <w:szCs w:val="18"/>
                <w:vertAlign w:val="subscript"/>
              </w:rPr>
              <w:t>x</w:t>
            </w:r>
          </w:p>
        </w:tc>
        <w:tc>
          <w:tcPr>
            <w:tcW w:w="398"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619</w:t>
            </w:r>
          </w:p>
        </w:tc>
        <w:tc>
          <w:tcPr>
            <w:tcW w:w="837"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205</w:t>
            </w:r>
          </w:p>
        </w:tc>
        <w:tc>
          <w:tcPr>
            <w:tcW w:w="872"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114</w:t>
            </w:r>
          </w:p>
        </w:tc>
        <w:tc>
          <w:tcPr>
            <w:tcW w:w="848"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-222</w:t>
            </w:r>
          </w:p>
        </w:tc>
        <w:tc>
          <w:tcPr>
            <w:tcW w:w="763"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-69</w:t>
            </w:r>
          </w:p>
        </w:tc>
        <w:tc>
          <w:tcPr>
            <w:tcW w:w="798"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13</w:t>
            </w:r>
          </w:p>
        </w:tc>
      </w:tr>
      <w:tr>
        <w:tc>
          <w:tcPr>
            <w:tcW w:w="2160" w:type="dxa"/>
            <w:tcBorders>
              <w:top w:val="double" w:sz="4" w:space="0" w:color="auto"/>
            </w:tcBorders>
          </w:tcPr>
          <w:p>
            <w:pPr>
              <w:spacing w:beforeLines="20" w:before="48" w:afterLines="20" w:after="48"/>
              <w:rPr>
                <w:rFonts w:ascii="Helvetica" w:hAnsi="Helvetica"/>
                <w:noProof/>
                <w:sz w:val="18"/>
                <w:szCs w:val="18"/>
              </w:rPr>
            </w:pPr>
            <w:r>
              <w:rPr>
                <w:rFonts w:ascii="Helvetica" w:hAnsi="Helvetica"/>
                <w:noProof/>
                <w:sz w:val="18"/>
                <w:szCs w:val="18"/>
              </w:rPr>
              <w:t xml:space="preserve">Aerosol-radiation </w:t>
            </w:r>
          </w:p>
        </w:tc>
        <w:tc>
          <w:tcPr>
            <w:tcW w:w="398" w:type="dxa"/>
            <w:tcBorders>
              <w:top w:val="double" w:sz="4" w:space="0" w:color="auto"/>
            </w:tcBorders>
          </w:tcPr>
          <w:p>
            <w:pPr>
              <w:spacing w:beforeLines="20" w:before="48" w:afterLines="20" w:after="48"/>
              <w:jc w:val="center"/>
              <w:rPr>
                <w:rFonts w:ascii="Helvetica" w:hAnsi="Helvetica"/>
                <w:noProof/>
                <w:sz w:val="18"/>
                <w:szCs w:val="18"/>
              </w:rPr>
            </w:pPr>
          </w:p>
        </w:tc>
        <w:tc>
          <w:tcPr>
            <w:tcW w:w="837" w:type="dxa"/>
            <w:tcBorders>
              <w:top w:val="double" w:sz="4" w:space="0" w:color="auto"/>
            </w:tcBorders>
          </w:tcPr>
          <w:p>
            <w:pPr>
              <w:spacing w:beforeLines="20" w:before="48" w:afterLines="20" w:after="48"/>
              <w:jc w:val="center"/>
              <w:rPr>
                <w:rFonts w:ascii="Helvetica" w:hAnsi="Helvetica"/>
                <w:noProof/>
                <w:sz w:val="18"/>
                <w:szCs w:val="18"/>
              </w:rPr>
            </w:pPr>
          </w:p>
        </w:tc>
        <w:tc>
          <w:tcPr>
            <w:tcW w:w="872" w:type="dxa"/>
            <w:tcBorders>
              <w:top w:val="double" w:sz="4" w:space="0" w:color="auto"/>
            </w:tcBorders>
          </w:tcPr>
          <w:p>
            <w:pPr>
              <w:spacing w:beforeLines="20" w:before="48" w:afterLines="20" w:after="48"/>
              <w:jc w:val="center"/>
              <w:rPr>
                <w:rFonts w:ascii="Helvetica" w:hAnsi="Helvetica"/>
                <w:noProof/>
                <w:sz w:val="18"/>
                <w:szCs w:val="18"/>
              </w:rPr>
            </w:pPr>
          </w:p>
        </w:tc>
        <w:tc>
          <w:tcPr>
            <w:tcW w:w="848" w:type="dxa"/>
            <w:tcBorders>
              <w:top w:val="double" w:sz="4" w:space="0" w:color="auto"/>
            </w:tcBorders>
          </w:tcPr>
          <w:p>
            <w:pPr>
              <w:spacing w:beforeLines="20" w:before="48" w:afterLines="20" w:after="48"/>
              <w:jc w:val="center"/>
              <w:rPr>
                <w:rFonts w:ascii="Helvetica" w:hAnsi="Helvetica"/>
                <w:noProof/>
                <w:sz w:val="18"/>
                <w:szCs w:val="18"/>
              </w:rPr>
            </w:pPr>
          </w:p>
        </w:tc>
        <w:tc>
          <w:tcPr>
            <w:tcW w:w="763" w:type="dxa"/>
            <w:tcBorders>
              <w:top w:val="double" w:sz="4" w:space="0" w:color="auto"/>
            </w:tcBorders>
          </w:tcPr>
          <w:p>
            <w:pPr>
              <w:spacing w:beforeLines="20" w:before="48" w:afterLines="20" w:after="48"/>
              <w:jc w:val="center"/>
              <w:rPr>
                <w:rFonts w:ascii="Helvetica" w:hAnsi="Helvetica"/>
                <w:noProof/>
                <w:sz w:val="18"/>
                <w:szCs w:val="18"/>
              </w:rPr>
            </w:pPr>
          </w:p>
        </w:tc>
        <w:tc>
          <w:tcPr>
            <w:tcW w:w="798" w:type="dxa"/>
            <w:tcBorders>
              <w:top w:val="double" w:sz="4" w:space="0" w:color="auto"/>
            </w:tcBorders>
          </w:tcPr>
          <w:p>
            <w:pPr>
              <w:spacing w:beforeLines="20" w:before="48" w:afterLines="20" w:after="48"/>
              <w:jc w:val="center"/>
              <w:rPr>
                <w:rFonts w:ascii="Helvetica" w:hAnsi="Helvetica"/>
                <w:noProof/>
                <w:sz w:val="18"/>
                <w:szCs w:val="18"/>
              </w:rPr>
            </w:pPr>
          </w:p>
        </w:tc>
      </w:tr>
      <w:tr>
        <w:trPr>
          <w:trHeight w:val="206"/>
        </w:trPr>
        <w:tc>
          <w:tcPr>
            <w:tcW w:w="2160" w:type="dxa"/>
          </w:tcPr>
          <w:p>
            <w:pPr>
              <w:spacing w:beforeLines="20" w:before="48" w:afterLines="20" w:after="48"/>
              <w:jc w:val="right"/>
              <w:rPr>
                <w:rFonts w:ascii="Helvetica" w:hAnsi="Helvetica"/>
                <w:noProof/>
                <w:sz w:val="18"/>
                <w:szCs w:val="18"/>
              </w:rPr>
            </w:pPr>
            <w:r>
              <w:rPr>
                <w:rFonts w:ascii="Helvetica" w:hAnsi="Helvetica"/>
                <w:noProof/>
                <w:sz w:val="18"/>
                <w:szCs w:val="18"/>
              </w:rPr>
              <w:t>Soot emissions</w:t>
            </w:r>
          </w:p>
        </w:tc>
        <w:tc>
          <w:tcPr>
            <w:tcW w:w="398" w:type="dxa"/>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4288</w:t>
            </w:r>
          </w:p>
        </w:tc>
        <w:tc>
          <w:tcPr>
            <w:tcW w:w="837" w:type="dxa"/>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2018</w:t>
            </w:r>
          </w:p>
        </w:tc>
        <w:tc>
          <w:tcPr>
            <w:tcW w:w="872" w:type="dxa"/>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1166</w:t>
            </w:r>
          </w:p>
        </w:tc>
        <w:tc>
          <w:tcPr>
            <w:tcW w:w="848" w:type="dxa"/>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1245</w:t>
            </w:r>
          </w:p>
        </w:tc>
        <w:tc>
          <w:tcPr>
            <w:tcW w:w="763" w:type="dxa"/>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195</w:t>
            </w:r>
          </w:p>
        </w:tc>
        <w:tc>
          <w:tcPr>
            <w:tcW w:w="798" w:type="dxa"/>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161</w:t>
            </w:r>
          </w:p>
        </w:tc>
      </w:tr>
      <w:tr>
        <w:tc>
          <w:tcPr>
            <w:tcW w:w="2160" w:type="dxa"/>
            <w:tcBorders>
              <w:bottom w:val="double" w:sz="4" w:space="0" w:color="auto"/>
            </w:tcBorders>
          </w:tcPr>
          <w:p>
            <w:pPr>
              <w:spacing w:beforeLines="20" w:before="48" w:afterLines="20" w:after="48"/>
              <w:jc w:val="right"/>
              <w:rPr>
                <w:rFonts w:ascii="Helvetica" w:hAnsi="Helvetica"/>
                <w:noProof/>
                <w:sz w:val="18"/>
                <w:szCs w:val="18"/>
              </w:rPr>
            </w:pPr>
            <w:r>
              <w:rPr>
                <w:rFonts w:ascii="Helvetica" w:hAnsi="Helvetica"/>
                <w:noProof/>
                <w:sz w:val="18"/>
                <w:szCs w:val="18"/>
              </w:rPr>
              <w:t>SO</w:t>
            </w:r>
            <w:r>
              <w:rPr>
                <w:rFonts w:ascii="Helvetica" w:hAnsi="Helvetica"/>
                <w:noProof/>
                <w:sz w:val="18"/>
                <w:szCs w:val="18"/>
                <w:vertAlign w:val="subscript"/>
              </w:rPr>
              <w:t>2</w:t>
            </w:r>
            <w:r>
              <w:rPr>
                <w:rFonts w:ascii="Helvetica" w:hAnsi="Helvetica"/>
                <w:noProof/>
                <w:sz w:val="18"/>
                <w:szCs w:val="18"/>
              </w:rPr>
              <w:t xml:space="preserve"> emissions</w:t>
            </w:r>
          </w:p>
        </w:tc>
        <w:tc>
          <w:tcPr>
            <w:tcW w:w="398"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-832</w:t>
            </w:r>
          </w:p>
        </w:tc>
        <w:tc>
          <w:tcPr>
            <w:tcW w:w="837"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-392</w:t>
            </w:r>
          </w:p>
        </w:tc>
        <w:tc>
          <w:tcPr>
            <w:tcW w:w="872"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-226</w:t>
            </w:r>
          </w:p>
        </w:tc>
        <w:tc>
          <w:tcPr>
            <w:tcW w:w="848"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-241</w:t>
            </w:r>
          </w:p>
        </w:tc>
        <w:tc>
          <w:tcPr>
            <w:tcW w:w="763"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-38</w:t>
            </w:r>
          </w:p>
        </w:tc>
        <w:tc>
          <w:tcPr>
            <w:tcW w:w="798"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-31</w:t>
            </w:r>
          </w:p>
        </w:tc>
      </w:tr>
      <w:tr>
        <w:tc>
          <w:tcPr>
            <w:tcW w:w="2160" w:type="dxa"/>
            <w:tcBorders>
              <w:top w:val="double" w:sz="4" w:space="0" w:color="auto"/>
              <w:bottom w:val="double" w:sz="4" w:space="0" w:color="auto"/>
            </w:tcBorders>
          </w:tcPr>
          <w:p>
            <w:pPr>
              <w:spacing w:beforeLines="20" w:before="48" w:afterLines="20" w:after="48"/>
              <w:jc w:val="right"/>
              <w:rPr>
                <w:rFonts w:ascii="Helvetica" w:hAnsi="Helvetica"/>
                <w:noProof/>
                <w:sz w:val="18"/>
                <w:szCs w:val="18"/>
              </w:rPr>
            </w:pPr>
            <w:r>
              <w:rPr>
                <w:rFonts w:ascii="Helvetica" w:hAnsi="Helvetica"/>
                <w:noProof/>
                <w:sz w:val="18"/>
                <w:szCs w:val="18"/>
              </w:rPr>
              <w:t>Water vapor emissions</w:t>
            </w:r>
          </w:p>
        </w:tc>
        <w:tc>
          <w:tcPr>
            <w:tcW w:w="398" w:type="dxa"/>
            <w:tcBorders>
              <w:top w:val="double" w:sz="4" w:space="0" w:color="auto"/>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0.22</w:t>
            </w:r>
          </w:p>
        </w:tc>
        <w:tc>
          <w:tcPr>
            <w:tcW w:w="837" w:type="dxa"/>
            <w:tcBorders>
              <w:top w:val="double" w:sz="4" w:space="0" w:color="auto"/>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0.10</w:t>
            </w:r>
          </w:p>
        </w:tc>
        <w:tc>
          <w:tcPr>
            <w:tcW w:w="872" w:type="dxa"/>
            <w:tcBorders>
              <w:top w:val="double" w:sz="4" w:space="0" w:color="auto"/>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0.06</w:t>
            </w:r>
          </w:p>
        </w:tc>
        <w:tc>
          <w:tcPr>
            <w:tcW w:w="848" w:type="dxa"/>
            <w:tcBorders>
              <w:top w:val="double" w:sz="4" w:space="0" w:color="auto"/>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0.07</w:t>
            </w:r>
          </w:p>
        </w:tc>
        <w:tc>
          <w:tcPr>
            <w:tcW w:w="763" w:type="dxa"/>
            <w:tcBorders>
              <w:top w:val="double" w:sz="4" w:space="0" w:color="auto"/>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0.01</w:t>
            </w:r>
          </w:p>
        </w:tc>
        <w:tc>
          <w:tcPr>
            <w:tcW w:w="798" w:type="dxa"/>
            <w:tcBorders>
              <w:top w:val="double" w:sz="4" w:space="0" w:color="auto"/>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0.008</w:t>
            </w:r>
          </w:p>
        </w:tc>
      </w:tr>
    </w:tbl>
    <w:p>
      <w:pPr>
        <w:rPr>
          <w:rFonts w:ascii="Helvetica" w:hAnsi="Helvetica"/>
          <w:noProof/>
          <w:sz w:val="20"/>
          <w:szCs w:val="20"/>
        </w:rPr>
      </w:pPr>
    </w:p>
    <w:p>
      <w:pPr>
        <w:spacing w:before="20" w:after="40"/>
        <w:rPr>
          <w:rFonts w:ascii="Helvetica" w:hAnsi="Helvetica"/>
          <w:b/>
          <w:noProof/>
          <w:sz w:val="20"/>
          <w:szCs w:val="20"/>
        </w:rPr>
      </w:pPr>
      <w:r>
        <w:rPr>
          <w:rFonts w:ascii="Helvetica" w:hAnsi="Helvetica"/>
          <w:b/>
          <w:noProof/>
          <w:sz w:val="20"/>
          <w:szCs w:val="20"/>
        </w:rPr>
        <w:t>CO</w:t>
      </w:r>
      <w:r>
        <w:rPr>
          <w:rFonts w:ascii="Helvetica" w:hAnsi="Helvetica"/>
          <w:b/>
          <w:noProof/>
          <w:sz w:val="20"/>
          <w:szCs w:val="20"/>
          <w:vertAlign w:val="subscript"/>
        </w:rPr>
        <w:t>2</w:t>
      </w:r>
      <w:r>
        <w:rPr>
          <w:rFonts w:ascii="Helvetica" w:hAnsi="Helvetica"/>
          <w:b/>
          <w:noProof/>
          <w:sz w:val="20"/>
          <w:szCs w:val="20"/>
        </w:rPr>
        <w:t>-eq emissions (Tg CO</w:t>
      </w:r>
      <w:r>
        <w:rPr>
          <w:rFonts w:ascii="Helvetica" w:hAnsi="Helvetica"/>
          <w:b/>
          <w:noProof/>
          <w:sz w:val="20"/>
          <w:szCs w:val="20"/>
          <w:vertAlign w:val="subscript"/>
        </w:rPr>
        <w:t>2</w:t>
      </w:r>
      <w:r>
        <w:rPr>
          <w:rFonts w:ascii="Helvetica" w:hAnsi="Helvetica"/>
          <w:b/>
          <w:noProof/>
          <w:sz w:val="20"/>
          <w:szCs w:val="20"/>
        </w:rPr>
        <w:t xml:space="preserve"> yr</w:t>
      </w:r>
      <w:r>
        <w:rPr>
          <w:rFonts w:ascii="Helvetica" w:hAnsi="Helvetica"/>
          <w:b/>
          <w:noProof/>
          <w:sz w:val="20"/>
          <w:szCs w:val="20"/>
          <w:vertAlign w:val="superscript"/>
        </w:rPr>
        <w:t>-1</w:t>
      </w:r>
      <w:r>
        <w:rPr>
          <w:rFonts w:ascii="Helvetica" w:hAnsi="Helvetica"/>
          <w:b/>
          <w:noProof/>
          <w:sz w:val="20"/>
          <w:szCs w:val="20"/>
        </w:rPr>
        <w:t>) for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810"/>
        <w:gridCol w:w="810"/>
        <w:gridCol w:w="900"/>
        <w:gridCol w:w="720"/>
        <w:gridCol w:w="720"/>
        <w:gridCol w:w="810"/>
        <w:gridCol w:w="990"/>
      </w:tblGrid>
      <w:tr>
        <w:tc>
          <w:tcPr>
            <w:tcW w:w="1980" w:type="dxa"/>
            <w:tcBorders>
              <w:top w:val="double" w:sz="4" w:space="0" w:color="auto"/>
              <w:bottom w:val="double" w:sz="4" w:space="0" w:color="auto"/>
            </w:tcBorders>
            <w:vAlign w:val="bottom"/>
          </w:tcPr>
          <w:p>
            <w:pPr>
              <w:spacing w:beforeLines="20" w:before="48" w:afterLines="20" w:after="48"/>
              <w:jc w:val="right"/>
              <w:rPr>
                <w:rFonts w:ascii="Helvetica" w:hAnsi="Helvetica"/>
                <w:b/>
                <w:noProof/>
                <w:sz w:val="18"/>
                <w:szCs w:val="20"/>
              </w:rPr>
            </w:pPr>
            <w:r>
              <w:rPr>
                <w:rFonts w:ascii="Helvetica" w:hAnsi="Helvetica"/>
                <w:b/>
                <w:noProof/>
                <w:sz w:val="18"/>
                <w:szCs w:val="20"/>
              </w:rPr>
              <w:t>ERF term</w:t>
            </w:r>
          </w:p>
        </w:tc>
        <w:tc>
          <w:tcPr>
            <w:tcW w:w="810" w:type="dxa"/>
            <w:tcBorders>
              <w:top w:val="double" w:sz="4" w:space="0" w:color="auto"/>
              <w:bottom w:val="double" w:sz="4" w:space="0" w:color="auto"/>
            </w:tcBorders>
            <w:vAlign w:val="bottom"/>
          </w:tcPr>
          <w:p>
            <w:pPr>
              <w:spacing w:beforeLines="20" w:before="48" w:afterLines="20" w:after="48"/>
              <w:jc w:val="center"/>
              <w:rPr>
                <w:rFonts w:ascii="Helvetica" w:hAnsi="Helvetica"/>
                <w:b/>
                <w:noProof/>
                <w:sz w:val="18"/>
                <w:szCs w:val="20"/>
              </w:rPr>
            </w:pPr>
            <w:r>
              <w:rPr>
                <w:rFonts w:ascii="Helvetica" w:hAnsi="Helvetica"/>
                <w:b/>
                <w:noProof/>
                <w:sz w:val="18"/>
                <w:szCs w:val="20"/>
              </w:rPr>
              <w:t>GWP</w:t>
            </w:r>
            <w:r>
              <w:rPr>
                <w:rFonts w:ascii="Helvetica" w:hAnsi="Helvetica"/>
                <w:b/>
                <w:noProof/>
                <w:sz w:val="18"/>
                <w:szCs w:val="20"/>
                <w:vertAlign w:val="subscript"/>
              </w:rPr>
              <w:t>20</w:t>
            </w:r>
          </w:p>
        </w:tc>
        <w:tc>
          <w:tcPr>
            <w:tcW w:w="810" w:type="dxa"/>
            <w:tcBorders>
              <w:top w:val="double" w:sz="4" w:space="0" w:color="auto"/>
              <w:bottom w:val="double" w:sz="4" w:space="0" w:color="auto"/>
            </w:tcBorders>
            <w:vAlign w:val="bottom"/>
          </w:tcPr>
          <w:p>
            <w:pPr>
              <w:spacing w:beforeLines="20" w:before="48" w:afterLines="20" w:after="48"/>
              <w:jc w:val="center"/>
              <w:rPr>
                <w:rFonts w:ascii="Helvetica" w:hAnsi="Helvetica"/>
                <w:b/>
                <w:noProof/>
                <w:sz w:val="18"/>
                <w:szCs w:val="20"/>
              </w:rPr>
            </w:pPr>
            <w:r>
              <w:rPr>
                <w:rFonts w:ascii="Helvetica" w:hAnsi="Helvetica"/>
                <w:b/>
                <w:noProof/>
                <w:sz w:val="18"/>
                <w:szCs w:val="20"/>
              </w:rPr>
              <w:t>GWP</w:t>
            </w:r>
            <w:r>
              <w:rPr>
                <w:rFonts w:ascii="Helvetica" w:hAnsi="Helvetica"/>
                <w:b/>
                <w:noProof/>
                <w:sz w:val="18"/>
                <w:szCs w:val="20"/>
                <w:vertAlign w:val="subscript"/>
              </w:rPr>
              <w:t>50</w:t>
            </w:r>
          </w:p>
        </w:tc>
        <w:tc>
          <w:tcPr>
            <w:tcW w:w="900" w:type="dxa"/>
            <w:tcBorders>
              <w:top w:val="double" w:sz="4" w:space="0" w:color="auto"/>
              <w:bottom w:val="double" w:sz="4" w:space="0" w:color="auto"/>
            </w:tcBorders>
            <w:vAlign w:val="bottom"/>
          </w:tcPr>
          <w:p>
            <w:pPr>
              <w:spacing w:beforeLines="20" w:before="48" w:afterLines="20" w:after="48"/>
              <w:jc w:val="center"/>
              <w:rPr>
                <w:rFonts w:ascii="Helvetica" w:hAnsi="Helvetica"/>
                <w:b/>
                <w:noProof/>
                <w:sz w:val="18"/>
                <w:szCs w:val="20"/>
              </w:rPr>
            </w:pPr>
            <w:r>
              <w:rPr>
                <w:rFonts w:ascii="Helvetica" w:hAnsi="Helvetica"/>
                <w:b/>
                <w:noProof/>
                <w:sz w:val="18"/>
                <w:szCs w:val="20"/>
              </w:rPr>
              <w:t>GWP</w:t>
            </w:r>
            <w:r>
              <w:rPr>
                <w:rFonts w:ascii="Helvetica" w:hAnsi="Helvetica"/>
                <w:b/>
                <w:noProof/>
                <w:sz w:val="18"/>
                <w:szCs w:val="20"/>
                <w:vertAlign w:val="subscript"/>
              </w:rPr>
              <w:t>100</w:t>
            </w:r>
          </w:p>
        </w:tc>
        <w:tc>
          <w:tcPr>
            <w:tcW w:w="720" w:type="dxa"/>
            <w:tcBorders>
              <w:top w:val="double" w:sz="4" w:space="0" w:color="auto"/>
              <w:bottom w:val="double" w:sz="4" w:space="0" w:color="auto"/>
            </w:tcBorders>
            <w:vAlign w:val="bottom"/>
          </w:tcPr>
          <w:p>
            <w:pPr>
              <w:spacing w:beforeLines="20" w:before="48" w:afterLines="20" w:after="48"/>
              <w:jc w:val="center"/>
              <w:rPr>
                <w:rFonts w:ascii="Helvetica" w:hAnsi="Helvetica"/>
                <w:b/>
                <w:noProof/>
                <w:sz w:val="18"/>
                <w:szCs w:val="20"/>
              </w:rPr>
            </w:pPr>
            <w:r>
              <w:rPr>
                <w:rFonts w:ascii="Helvetica" w:hAnsi="Helvetica"/>
                <w:b/>
                <w:noProof/>
                <w:sz w:val="18"/>
                <w:szCs w:val="20"/>
              </w:rPr>
              <w:t>GTP</w:t>
            </w:r>
            <w:r>
              <w:rPr>
                <w:rFonts w:ascii="Helvetica" w:hAnsi="Helvetica"/>
                <w:b/>
                <w:noProof/>
                <w:sz w:val="18"/>
                <w:szCs w:val="20"/>
                <w:vertAlign w:val="subscript"/>
              </w:rPr>
              <w:t>20</w:t>
            </w:r>
          </w:p>
        </w:tc>
        <w:tc>
          <w:tcPr>
            <w:tcW w:w="720" w:type="dxa"/>
            <w:tcBorders>
              <w:top w:val="double" w:sz="4" w:space="0" w:color="auto"/>
              <w:bottom w:val="double" w:sz="4" w:space="0" w:color="auto"/>
            </w:tcBorders>
            <w:vAlign w:val="bottom"/>
          </w:tcPr>
          <w:p>
            <w:pPr>
              <w:spacing w:beforeLines="20" w:before="48" w:afterLines="20" w:after="48"/>
              <w:jc w:val="center"/>
              <w:rPr>
                <w:rFonts w:ascii="Helvetica" w:hAnsi="Helvetica"/>
                <w:b/>
                <w:noProof/>
                <w:sz w:val="18"/>
                <w:szCs w:val="20"/>
              </w:rPr>
            </w:pPr>
            <w:r>
              <w:rPr>
                <w:rFonts w:ascii="Helvetica" w:hAnsi="Helvetica"/>
                <w:b/>
                <w:noProof/>
                <w:sz w:val="18"/>
                <w:szCs w:val="20"/>
              </w:rPr>
              <w:t>GTP</w:t>
            </w:r>
            <w:r>
              <w:rPr>
                <w:rFonts w:ascii="Helvetica" w:hAnsi="Helvetica"/>
                <w:b/>
                <w:noProof/>
                <w:sz w:val="18"/>
                <w:szCs w:val="20"/>
                <w:vertAlign w:val="subscript"/>
              </w:rPr>
              <w:t>50</w:t>
            </w:r>
          </w:p>
        </w:tc>
        <w:tc>
          <w:tcPr>
            <w:tcW w:w="810" w:type="dxa"/>
            <w:tcBorders>
              <w:top w:val="double" w:sz="4" w:space="0" w:color="auto"/>
              <w:bottom w:val="double" w:sz="4" w:space="0" w:color="auto"/>
              <w:right w:val="triple" w:sz="4" w:space="0" w:color="auto"/>
            </w:tcBorders>
            <w:vAlign w:val="bottom"/>
          </w:tcPr>
          <w:p>
            <w:pPr>
              <w:spacing w:beforeLines="20" w:before="48" w:afterLines="20" w:after="48"/>
              <w:jc w:val="center"/>
              <w:rPr>
                <w:rFonts w:ascii="Helvetica" w:hAnsi="Helvetica"/>
                <w:b/>
                <w:noProof/>
                <w:sz w:val="18"/>
                <w:szCs w:val="20"/>
              </w:rPr>
            </w:pPr>
            <w:r>
              <w:rPr>
                <w:rFonts w:ascii="Helvetica" w:hAnsi="Helvetica"/>
                <w:b/>
                <w:noProof/>
                <w:sz w:val="18"/>
                <w:szCs w:val="20"/>
              </w:rPr>
              <w:t>GTP</w:t>
            </w:r>
            <w:r>
              <w:rPr>
                <w:rFonts w:ascii="Helvetica" w:hAnsi="Helvetica"/>
                <w:b/>
                <w:noProof/>
                <w:sz w:val="18"/>
                <w:szCs w:val="20"/>
                <w:vertAlign w:val="subscript"/>
              </w:rPr>
              <w:t>100</w:t>
            </w:r>
          </w:p>
        </w:tc>
        <w:tc>
          <w:tcPr>
            <w:tcW w:w="990" w:type="dxa"/>
            <w:tcBorders>
              <w:top w:val="double" w:sz="4" w:space="0" w:color="auto"/>
              <w:bottom w:val="double" w:sz="4" w:space="0" w:color="auto"/>
            </w:tcBorders>
          </w:tcPr>
          <w:p>
            <w:pPr>
              <w:spacing w:beforeLines="20" w:before="48" w:afterLines="20" w:after="48"/>
              <w:jc w:val="center"/>
              <w:rPr>
                <w:rFonts w:ascii="Helvetica" w:hAnsi="Helvetica"/>
                <w:b/>
                <w:noProof/>
                <w:sz w:val="18"/>
                <w:szCs w:val="20"/>
                <w:vertAlign w:val="subscript"/>
              </w:rPr>
            </w:pPr>
            <w:r>
              <w:rPr>
                <w:rFonts w:ascii="Helvetica" w:hAnsi="Helvetica"/>
                <w:b/>
                <w:noProof/>
                <w:sz w:val="18"/>
                <w:szCs w:val="20"/>
              </w:rPr>
              <w:t>GWP*</w:t>
            </w:r>
            <w:r>
              <w:rPr>
                <w:rFonts w:ascii="Helvetica" w:hAnsi="Helvetica"/>
                <w:b/>
                <w:noProof/>
                <w:sz w:val="18"/>
                <w:szCs w:val="20"/>
                <w:vertAlign w:val="subscript"/>
              </w:rPr>
              <w:t>100</w:t>
            </w:r>
          </w:p>
          <w:p>
            <w:pPr>
              <w:spacing w:beforeLines="20" w:before="48" w:afterLines="20" w:after="48"/>
              <w:jc w:val="center"/>
              <w:rPr>
                <w:rFonts w:ascii="Helvetica" w:hAnsi="Helvetica"/>
                <w:b/>
                <w:noProof/>
                <w:sz w:val="18"/>
                <w:szCs w:val="20"/>
              </w:rPr>
            </w:pPr>
            <w:r>
              <w:rPr>
                <w:rFonts w:ascii="Helvetica" w:hAnsi="Helvetica"/>
                <w:noProof/>
                <w:sz w:val="18"/>
              </w:rPr>
              <w:t>(E</w:t>
            </w:r>
            <w:r>
              <w:rPr>
                <w:rFonts w:ascii="Helvetica" w:hAnsi="Helvetica"/>
                <w:noProof/>
                <w:sz w:val="18"/>
                <w:vertAlign w:val="superscript"/>
              </w:rPr>
              <w:t>*</w:t>
            </w:r>
            <w:r>
              <w:rPr>
                <w:rFonts w:ascii="Helvetica" w:hAnsi="Helvetica"/>
                <w:noProof/>
                <w:sz w:val="18"/>
                <w:vertAlign w:val="subscript"/>
              </w:rPr>
              <w:t>CO2e</w:t>
            </w:r>
            <w:r>
              <w:rPr>
                <w:rFonts w:ascii="Helvetica" w:hAnsi="Helvetica"/>
                <w:noProof/>
                <w:sz w:val="18"/>
              </w:rPr>
              <w:t>)</w:t>
            </w:r>
          </w:p>
        </w:tc>
      </w:tr>
      <w:tr>
        <w:tc>
          <w:tcPr>
            <w:tcW w:w="1980" w:type="dxa"/>
            <w:tcBorders>
              <w:top w:val="double" w:sz="4" w:space="0" w:color="auto"/>
            </w:tcBorders>
          </w:tcPr>
          <w:p>
            <w:pPr>
              <w:spacing w:beforeLines="20" w:before="48" w:afterLines="20" w:after="48"/>
              <w:jc w:val="right"/>
              <w:rPr>
                <w:rFonts w:ascii="Helvetica" w:hAnsi="Helvetica"/>
                <w:noProof/>
                <w:sz w:val="18"/>
                <w:szCs w:val="18"/>
              </w:rPr>
            </w:pPr>
            <w:r>
              <w:rPr>
                <w:rFonts w:ascii="Helvetica" w:hAnsi="Helvetica"/>
                <w:noProof/>
                <w:sz w:val="18"/>
                <w:szCs w:val="18"/>
              </w:rPr>
              <w:t>CO</w:t>
            </w:r>
            <w:r>
              <w:rPr>
                <w:rFonts w:ascii="Helvetica" w:hAnsi="Helvetica"/>
                <w:noProof/>
                <w:sz w:val="18"/>
                <w:szCs w:val="18"/>
                <w:vertAlign w:val="subscript"/>
              </w:rPr>
              <w:t>2</w:t>
            </w:r>
          </w:p>
        </w:tc>
        <w:tc>
          <w:tcPr>
            <w:tcW w:w="810" w:type="dxa"/>
            <w:tcBorders>
              <w:top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1034</w:t>
            </w:r>
          </w:p>
        </w:tc>
        <w:tc>
          <w:tcPr>
            <w:tcW w:w="810" w:type="dxa"/>
            <w:tcBorders>
              <w:top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1034</w:t>
            </w:r>
          </w:p>
        </w:tc>
        <w:tc>
          <w:tcPr>
            <w:tcW w:w="900" w:type="dxa"/>
            <w:tcBorders>
              <w:top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1034</w:t>
            </w:r>
          </w:p>
        </w:tc>
        <w:tc>
          <w:tcPr>
            <w:tcW w:w="720" w:type="dxa"/>
            <w:tcBorders>
              <w:top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1034</w:t>
            </w:r>
          </w:p>
        </w:tc>
        <w:tc>
          <w:tcPr>
            <w:tcW w:w="720" w:type="dxa"/>
            <w:tcBorders>
              <w:top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1034</w:t>
            </w:r>
          </w:p>
        </w:tc>
        <w:tc>
          <w:tcPr>
            <w:tcW w:w="810" w:type="dxa"/>
            <w:tcBorders>
              <w:top w:val="double" w:sz="4" w:space="0" w:color="auto"/>
              <w:right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1034</w:t>
            </w:r>
          </w:p>
        </w:tc>
        <w:tc>
          <w:tcPr>
            <w:tcW w:w="990" w:type="dxa"/>
            <w:tcBorders>
              <w:top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1034</w:t>
            </w:r>
          </w:p>
        </w:tc>
      </w:tr>
      <w:tr>
        <w:tc>
          <w:tcPr>
            <w:tcW w:w="1980" w:type="dxa"/>
          </w:tcPr>
          <w:p>
            <w:pPr>
              <w:spacing w:beforeLines="20" w:before="48" w:afterLines="20" w:after="48"/>
              <w:jc w:val="right"/>
              <w:rPr>
                <w:rFonts w:ascii="Helvetica" w:hAnsi="Helvetica"/>
                <w:noProof/>
                <w:sz w:val="18"/>
                <w:szCs w:val="18"/>
              </w:rPr>
            </w:pPr>
            <w:r>
              <w:rPr>
                <w:rFonts w:ascii="Helvetica" w:hAnsi="Helvetica"/>
                <w:noProof/>
                <w:sz w:val="18"/>
                <w:szCs w:val="18"/>
              </w:rPr>
              <w:t xml:space="preserve">Contrail cirrus </w:t>
            </w:r>
          </w:p>
          <w:p>
            <w:pPr>
              <w:spacing w:beforeLines="20" w:before="48" w:afterLines="20" w:after="48"/>
              <w:jc w:val="right"/>
              <w:rPr>
                <w:rFonts w:ascii="Helvetica" w:hAnsi="Helvetica"/>
                <w:noProof/>
                <w:sz w:val="18"/>
                <w:szCs w:val="18"/>
              </w:rPr>
            </w:pPr>
            <w:r>
              <w:rPr>
                <w:rFonts w:ascii="Helvetica" w:hAnsi="Helvetica"/>
                <w:noProof/>
                <w:sz w:val="18"/>
                <w:szCs w:val="18"/>
              </w:rPr>
              <w:t>(Tg CO</w:t>
            </w:r>
            <w:r>
              <w:rPr>
                <w:rFonts w:ascii="Helvetica" w:hAnsi="Helvetica"/>
                <w:noProof/>
                <w:sz w:val="18"/>
                <w:szCs w:val="18"/>
                <w:vertAlign w:val="subscript"/>
              </w:rPr>
              <w:t>2</w:t>
            </w:r>
            <w:r>
              <w:rPr>
                <w:rFonts w:ascii="Helvetica" w:hAnsi="Helvetica"/>
                <w:noProof/>
                <w:sz w:val="18"/>
                <w:szCs w:val="18"/>
              </w:rPr>
              <w:t xml:space="preserve"> basis)</w:t>
            </w:r>
          </w:p>
        </w:tc>
        <w:tc>
          <w:tcPr>
            <w:tcW w:w="810" w:type="dxa"/>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2399</w:t>
            </w:r>
          </w:p>
        </w:tc>
        <w:tc>
          <w:tcPr>
            <w:tcW w:w="810" w:type="dxa"/>
            <w:vAlign w:val="bottom"/>
          </w:tcPr>
          <w:p>
            <w:pPr>
              <w:spacing w:beforeLines="20" w:before="48" w:afterLines="20" w:after="48"/>
              <w:rPr>
                <w:rFonts w:ascii="Helvetica" w:hAnsi="Helvetica"/>
                <w:noProof/>
                <w:sz w:val="18"/>
                <w:szCs w:val="18"/>
              </w:rPr>
            </w:pPr>
            <w:r>
              <w:rPr>
                <w:rFonts w:ascii="Helvetica" w:hAnsi="Helvetica" w:cs="Calibri"/>
                <w:noProof/>
                <w:color w:val="000000"/>
                <w:sz w:val="18"/>
                <w:szCs w:val="18"/>
              </w:rPr>
              <w:t>1129</w:t>
            </w:r>
          </w:p>
        </w:tc>
        <w:tc>
          <w:tcPr>
            <w:tcW w:w="900" w:type="dxa"/>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652</w:t>
            </w:r>
          </w:p>
        </w:tc>
        <w:tc>
          <w:tcPr>
            <w:tcW w:w="720" w:type="dxa"/>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695</w:t>
            </w:r>
          </w:p>
        </w:tc>
        <w:tc>
          <w:tcPr>
            <w:tcW w:w="720" w:type="dxa"/>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109</w:t>
            </w:r>
          </w:p>
        </w:tc>
        <w:tc>
          <w:tcPr>
            <w:tcW w:w="810" w:type="dxa"/>
            <w:tcBorders>
              <w:right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90</w:t>
            </w:r>
          </w:p>
        </w:tc>
        <w:tc>
          <w:tcPr>
            <w:tcW w:w="990" w:type="dxa"/>
            <w:vAlign w:val="bottom"/>
          </w:tcPr>
          <w:p>
            <w:pPr>
              <w:spacing w:beforeLines="20" w:before="48" w:afterLines="20" w:after="48"/>
              <w:jc w:val="center"/>
              <w:rPr>
                <w:rFonts w:ascii="Helvetica" w:hAnsi="Helvetica"/>
                <w:noProof/>
                <w:sz w:val="18"/>
                <w:szCs w:val="18"/>
              </w:rPr>
            </w:pPr>
            <w:r>
              <w:rPr>
                <w:rFonts w:ascii="Helvetica" w:hAnsi="Helvetica"/>
                <w:noProof/>
                <w:sz w:val="18"/>
                <w:szCs w:val="18"/>
              </w:rPr>
              <w:t>1834</w:t>
            </w:r>
          </w:p>
        </w:tc>
      </w:tr>
      <w:tr>
        <w:tc>
          <w:tcPr>
            <w:tcW w:w="1980" w:type="dxa"/>
            <w:tcBorders>
              <w:bottom w:val="double" w:sz="4" w:space="0" w:color="auto"/>
            </w:tcBorders>
          </w:tcPr>
          <w:p>
            <w:pPr>
              <w:spacing w:beforeLines="20" w:before="48" w:afterLines="20" w:after="48"/>
              <w:jc w:val="right"/>
              <w:rPr>
                <w:rFonts w:ascii="Helvetica" w:hAnsi="Helvetica"/>
                <w:noProof/>
                <w:color w:val="000000" w:themeColor="text1"/>
                <w:sz w:val="18"/>
                <w:szCs w:val="18"/>
              </w:rPr>
            </w:pPr>
            <w:r>
              <w:rPr>
                <w:rFonts w:ascii="Helvetica" w:hAnsi="Helvetica"/>
                <w:noProof/>
                <w:color w:val="000000" w:themeColor="text1"/>
                <w:sz w:val="18"/>
                <w:szCs w:val="18"/>
              </w:rPr>
              <w:t xml:space="preserve">Contrail cirrus </w:t>
            </w:r>
          </w:p>
          <w:p>
            <w:pPr>
              <w:spacing w:beforeLines="20" w:before="48" w:afterLines="20" w:after="48"/>
              <w:jc w:val="right"/>
              <w:rPr>
                <w:rFonts w:ascii="Helvetica" w:hAnsi="Helvetica"/>
                <w:noProof/>
                <w:color w:val="000000" w:themeColor="text1"/>
                <w:sz w:val="18"/>
                <w:szCs w:val="18"/>
              </w:rPr>
            </w:pPr>
            <w:r>
              <w:rPr>
                <w:rFonts w:ascii="Helvetica" w:hAnsi="Helvetica"/>
                <w:noProof/>
                <w:color w:val="000000" w:themeColor="text1"/>
                <w:sz w:val="18"/>
                <w:szCs w:val="18"/>
              </w:rPr>
              <w:t>(km basis)</w:t>
            </w:r>
          </w:p>
        </w:tc>
        <w:tc>
          <w:tcPr>
            <w:tcW w:w="810" w:type="dxa"/>
            <w:tcBorders>
              <w:bottom w:val="double" w:sz="4" w:space="0" w:color="auto"/>
            </w:tcBorders>
            <w:vAlign w:val="bottom"/>
          </w:tcPr>
          <w:p>
            <w:pPr>
              <w:spacing w:beforeLines="20" w:before="48" w:afterLines="20" w:after="48"/>
              <w:jc w:val="center"/>
              <w:rPr>
                <w:rFonts w:ascii="Helvetica" w:hAnsi="Helvetica" w:cs="Calibri"/>
                <w:noProof/>
                <w:color w:val="000000" w:themeColor="text1"/>
                <w:sz w:val="18"/>
                <w:szCs w:val="18"/>
              </w:rPr>
            </w:pPr>
            <w:r>
              <w:rPr>
                <w:rFonts w:ascii="Helvetica" w:hAnsi="Helvetica" w:cs="Calibri"/>
                <w:noProof/>
                <w:color w:val="000000" w:themeColor="text1"/>
                <w:sz w:val="18"/>
                <w:szCs w:val="18"/>
              </w:rPr>
              <w:t>2395</w:t>
            </w:r>
          </w:p>
        </w:tc>
        <w:tc>
          <w:tcPr>
            <w:tcW w:w="810" w:type="dxa"/>
            <w:tcBorders>
              <w:bottom w:val="double" w:sz="4" w:space="0" w:color="auto"/>
            </w:tcBorders>
            <w:vAlign w:val="bottom"/>
          </w:tcPr>
          <w:p>
            <w:pPr>
              <w:spacing w:beforeLines="20" w:before="48" w:afterLines="20" w:after="48"/>
              <w:jc w:val="center"/>
              <w:rPr>
                <w:rFonts w:ascii="Helvetica" w:hAnsi="Helvetica" w:cs="Calibri"/>
                <w:noProof/>
                <w:color w:val="000000" w:themeColor="text1"/>
                <w:sz w:val="18"/>
                <w:szCs w:val="18"/>
              </w:rPr>
            </w:pPr>
            <w:r>
              <w:rPr>
                <w:rFonts w:ascii="Helvetica" w:hAnsi="Helvetica" w:cs="Calibri"/>
                <w:noProof/>
                <w:color w:val="000000" w:themeColor="text1"/>
                <w:sz w:val="18"/>
                <w:szCs w:val="18"/>
              </w:rPr>
              <w:t>1127</w:t>
            </w:r>
          </w:p>
        </w:tc>
        <w:tc>
          <w:tcPr>
            <w:tcW w:w="900" w:type="dxa"/>
            <w:tcBorders>
              <w:bottom w:val="double" w:sz="4" w:space="0" w:color="auto"/>
            </w:tcBorders>
            <w:vAlign w:val="bottom"/>
          </w:tcPr>
          <w:p>
            <w:pPr>
              <w:spacing w:beforeLines="20" w:before="48" w:afterLines="20" w:after="48"/>
              <w:jc w:val="center"/>
              <w:rPr>
                <w:rFonts w:ascii="Helvetica" w:hAnsi="Helvetica" w:cs="Calibri"/>
                <w:noProof/>
                <w:color w:val="000000" w:themeColor="text1"/>
                <w:sz w:val="18"/>
                <w:szCs w:val="18"/>
              </w:rPr>
            </w:pPr>
            <w:r>
              <w:rPr>
                <w:rFonts w:ascii="Helvetica" w:hAnsi="Helvetica" w:cs="Calibri"/>
                <w:noProof/>
                <w:color w:val="000000" w:themeColor="text1"/>
                <w:sz w:val="18"/>
                <w:szCs w:val="18"/>
              </w:rPr>
              <w:t>651</w:t>
            </w:r>
          </w:p>
        </w:tc>
        <w:tc>
          <w:tcPr>
            <w:tcW w:w="720" w:type="dxa"/>
            <w:tcBorders>
              <w:bottom w:val="double" w:sz="4" w:space="0" w:color="auto"/>
            </w:tcBorders>
            <w:vAlign w:val="bottom"/>
          </w:tcPr>
          <w:p>
            <w:pPr>
              <w:spacing w:beforeLines="20" w:before="48" w:afterLines="20" w:after="48"/>
              <w:jc w:val="center"/>
              <w:rPr>
                <w:rFonts w:ascii="Helvetica" w:hAnsi="Helvetica" w:cs="Calibri"/>
                <w:noProof/>
                <w:color w:val="000000" w:themeColor="text1"/>
                <w:sz w:val="18"/>
                <w:szCs w:val="18"/>
              </w:rPr>
            </w:pPr>
            <w:r>
              <w:rPr>
                <w:rFonts w:ascii="Helvetica" w:hAnsi="Helvetica" w:cs="Calibri"/>
                <w:noProof/>
                <w:color w:val="000000" w:themeColor="text1"/>
                <w:sz w:val="18"/>
                <w:szCs w:val="18"/>
              </w:rPr>
              <w:t>694</w:t>
            </w:r>
          </w:p>
        </w:tc>
        <w:tc>
          <w:tcPr>
            <w:tcW w:w="720" w:type="dxa"/>
            <w:tcBorders>
              <w:bottom w:val="double" w:sz="4" w:space="0" w:color="auto"/>
            </w:tcBorders>
            <w:vAlign w:val="bottom"/>
          </w:tcPr>
          <w:p>
            <w:pPr>
              <w:spacing w:beforeLines="20" w:before="48" w:afterLines="20" w:after="48"/>
              <w:jc w:val="center"/>
              <w:rPr>
                <w:rFonts w:ascii="Helvetica" w:hAnsi="Helvetica" w:cs="Calibri"/>
                <w:noProof/>
                <w:color w:val="000000" w:themeColor="text1"/>
                <w:sz w:val="18"/>
                <w:szCs w:val="18"/>
              </w:rPr>
            </w:pPr>
            <w:r>
              <w:rPr>
                <w:rFonts w:ascii="Helvetica" w:hAnsi="Helvetica" w:cs="Calibri"/>
                <w:noProof/>
                <w:color w:val="000000" w:themeColor="text1"/>
                <w:sz w:val="18"/>
                <w:szCs w:val="18"/>
              </w:rPr>
              <w:t>109</w:t>
            </w:r>
          </w:p>
        </w:tc>
        <w:tc>
          <w:tcPr>
            <w:tcW w:w="810" w:type="dxa"/>
            <w:tcBorders>
              <w:bottom w:val="double" w:sz="4" w:space="0" w:color="auto"/>
              <w:right w:val="triple" w:sz="4" w:space="0" w:color="auto"/>
            </w:tcBorders>
            <w:vAlign w:val="bottom"/>
          </w:tcPr>
          <w:p>
            <w:pPr>
              <w:spacing w:beforeLines="20" w:before="48" w:afterLines="20" w:after="48"/>
              <w:jc w:val="center"/>
              <w:rPr>
                <w:rFonts w:ascii="Helvetica" w:hAnsi="Helvetica" w:cs="Calibri"/>
                <w:noProof/>
                <w:color w:val="000000" w:themeColor="text1"/>
                <w:sz w:val="18"/>
                <w:szCs w:val="18"/>
              </w:rPr>
            </w:pPr>
            <w:r>
              <w:rPr>
                <w:rFonts w:ascii="Helvetica" w:hAnsi="Helvetica" w:cs="Calibri"/>
                <w:noProof/>
                <w:color w:val="000000" w:themeColor="text1"/>
                <w:sz w:val="18"/>
                <w:szCs w:val="18"/>
              </w:rPr>
              <w:t>90</w:t>
            </w:r>
          </w:p>
        </w:tc>
        <w:tc>
          <w:tcPr>
            <w:tcW w:w="990" w:type="dxa"/>
            <w:tcBorders>
              <w:bottom w:val="double" w:sz="4" w:space="0" w:color="auto"/>
            </w:tcBorders>
            <w:vAlign w:val="bottom"/>
          </w:tcPr>
          <w:p>
            <w:pPr>
              <w:spacing w:beforeLines="20" w:before="48" w:afterLines="20" w:after="48"/>
              <w:jc w:val="center"/>
              <w:rPr>
                <w:rFonts w:ascii="Helvetica" w:hAnsi="Helvetica"/>
                <w:noProof/>
                <w:color w:val="000000" w:themeColor="text1"/>
                <w:sz w:val="18"/>
                <w:szCs w:val="18"/>
              </w:rPr>
            </w:pPr>
            <w:r>
              <w:rPr>
                <w:rFonts w:ascii="Helvetica" w:hAnsi="Helvetica"/>
                <w:noProof/>
                <w:color w:val="000000" w:themeColor="text1"/>
                <w:sz w:val="18"/>
                <w:szCs w:val="18"/>
              </w:rPr>
              <w:t>1834</w:t>
            </w:r>
          </w:p>
        </w:tc>
      </w:tr>
      <w:tr>
        <w:tc>
          <w:tcPr>
            <w:tcW w:w="1980" w:type="dxa"/>
            <w:tcBorders>
              <w:bottom w:val="double" w:sz="4" w:space="0" w:color="auto"/>
            </w:tcBorders>
          </w:tcPr>
          <w:p>
            <w:pPr>
              <w:spacing w:beforeLines="20" w:before="48" w:afterLines="20" w:after="48"/>
              <w:jc w:val="right"/>
              <w:rPr>
                <w:rFonts w:ascii="Helvetica" w:hAnsi="Helvetica"/>
                <w:noProof/>
                <w:sz w:val="18"/>
                <w:szCs w:val="18"/>
              </w:rPr>
            </w:pPr>
            <w:r>
              <w:rPr>
                <w:rFonts w:ascii="Helvetica" w:hAnsi="Helvetica"/>
                <w:noProof/>
                <w:sz w:val="18"/>
                <w:szCs w:val="18"/>
              </w:rPr>
              <w:t>Net NO</w:t>
            </w:r>
            <w:r>
              <w:rPr>
                <w:rFonts w:ascii="Helvetica" w:hAnsi="Helvetica"/>
                <w:noProof/>
                <w:sz w:val="18"/>
                <w:szCs w:val="18"/>
                <w:vertAlign w:val="subscript"/>
              </w:rPr>
              <w:t>x</w:t>
            </w:r>
          </w:p>
        </w:tc>
        <w:tc>
          <w:tcPr>
            <w:tcW w:w="810"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887</w:t>
            </w:r>
          </w:p>
        </w:tc>
        <w:tc>
          <w:tcPr>
            <w:tcW w:w="810"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293</w:t>
            </w:r>
          </w:p>
        </w:tc>
        <w:tc>
          <w:tcPr>
            <w:tcW w:w="900"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163</w:t>
            </w:r>
          </w:p>
        </w:tc>
        <w:tc>
          <w:tcPr>
            <w:tcW w:w="720"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-318</w:t>
            </w:r>
          </w:p>
        </w:tc>
        <w:tc>
          <w:tcPr>
            <w:tcW w:w="720"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-99</w:t>
            </w:r>
          </w:p>
        </w:tc>
        <w:tc>
          <w:tcPr>
            <w:tcW w:w="810" w:type="dxa"/>
            <w:tcBorders>
              <w:bottom w:val="double" w:sz="4" w:space="0" w:color="auto"/>
              <w:right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19</w:t>
            </w:r>
          </w:p>
        </w:tc>
        <w:tc>
          <w:tcPr>
            <w:tcW w:w="990"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noProof/>
                <w:sz w:val="18"/>
                <w:szCs w:val="18"/>
              </w:rPr>
              <w:t>339</w:t>
            </w:r>
          </w:p>
        </w:tc>
      </w:tr>
      <w:tr>
        <w:tc>
          <w:tcPr>
            <w:tcW w:w="1980" w:type="dxa"/>
            <w:tcBorders>
              <w:top w:val="double" w:sz="4" w:space="0" w:color="auto"/>
            </w:tcBorders>
          </w:tcPr>
          <w:p>
            <w:pPr>
              <w:spacing w:beforeLines="20" w:before="48" w:afterLines="20" w:after="48"/>
              <w:rPr>
                <w:rFonts w:ascii="Helvetica" w:hAnsi="Helvetica"/>
                <w:noProof/>
                <w:sz w:val="18"/>
                <w:szCs w:val="18"/>
              </w:rPr>
            </w:pPr>
            <w:r>
              <w:rPr>
                <w:rFonts w:ascii="Helvetica" w:hAnsi="Helvetica"/>
                <w:noProof/>
                <w:sz w:val="18"/>
                <w:szCs w:val="18"/>
              </w:rPr>
              <w:t xml:space="preserve">Aerosol-radiation </w:t>
            </w:r>
          </w:p>
        </w:tc>
        <w:tc>
          <w:tcPr>
            <w:tcW w:w="810" w:type="dxa"/>
            <w:tcBorders>
              <w:top w:val="double" w:sz="4" w:space="0" w:color="auto"/>
            </w:tcBorders>
          </w:tcPr>
          <w:p>
            <w:pPr>
              <w:spacing w:beforeLines="20" w:before="48" w:afterLines="20" w:after="48"/>
              <w:jc w:val="center"/>
              <w:rPr>
                <w:rFonts w:ascii="Helvetica" w:hAnsi="Helvetica"/>
                <w:noProof/>
                <w:sz w:val="18"/>
                <w:szCs w:val="18"/>
              </w:rPr>
            </w:pPr>
          </w:p>
        </w:tc>
        <w:tc>
          <w:tcPr>
            <w:tcW w:w="810" w:type="dxa"/>
            <w:tcBorders>
              <w:top w:val="double" w:sz="4" w:space="0" w:color="auto"/>
            </w:tcBorders>
          </w:tcPr>
          <w:p>
            <w:pPr>
              <w:spacing w:beforeLines="20" w:before="48" w:afterLines="20" w:after="48"/>
              <w:jc w:val="center"/>
              <w:rPr>
                <w:rFonts w:ascii="Helvetica" w:hAnsi="Helvetica"/>
                <w:noProof/>
                <w:sz w:val="18"/>
                <w:szCs w:val="18"/>
              </w:rPr>
            </w:pPr>
          </w:p>
        </w:tc>
        <w:tc>
          <w:tcPr>
            <w:tcW w:w="900" w:type="dxa"/>
            <w:tcBorders>
              <w:top w:val="double" w:sz="4" w:space="0" w:color="auto"/>
            </w:tcBorders>
          </w:tcPr>
          <w:p>
            <w:pPr>
              <w:spacing w:beforeLines="20" w:before="48" w:afterLines="20" w:after="48"/>
              <w:jc w:val="center"/>
              <w:rPr>
                <w:rFonts w:ascii="Helvetica" w:hAnsi="Helvetica"/>
                <w:noProof/>
                <w:sz w:val="18"/>
                <w:szCs w:val="18"/>
              </w:rPr>
            </w:pPr>
          </w:p>
        </w:tc>
        <w:tc>
          <w:tcPr>
            <w:tcW w:w="720" w:type="dxa"/>
            <w:tcBorders>
              <w:top w:val="double" w:sz="4" w:space="0" w:color="auto"/>
            </w:tcBorders>
          </w:tcPr>
          <w:p>
            <w:pPr>
              <w:spacing w:beforeLines="20" w:before="48" w:afterLines="20" w:after="48"/>
              <w:jc w:val="center"/>
              <w:rPr>
                <w:rFonts w:ascii="Helvetica" w:hAnsi="Helvetica"/>
                <w:noProof/>
                <w:sz w:val="18"/>
                <w:szCs w:val="18"/>
              </w:rPr>
            </w:pPr>
          </w:p>
        </w:tc>
        <w:tc>
          <w:tcPr>
            <w:tcW w:w="720" w:type="dxa"/>
            <w:tcBorders>
              <w:top w:val="double" w:sz="4" w:space="0" w:color="auto"/>
            </w:tcBorders>
          </w:tcPr>
          <w:p>
            <w:pPr>
              <w:spacing w:beforeLines="20" w:before="48" w:afterLines="20" w:after="48"/>
              <w:jc w:val="center"/>
              <w:rPr>
                <w:rFonts w:ascii="Helvetica" w:hAnsi="Helvetica"/>
                <w:noProof/>
                <w:sz w:val="18"/>
                <w:szCs w:val="18"/>
              </w:rPr>
            </w:pPr>
          </w:p>
        </w:tc>
        <w:tc>
          <w:tcPr>
            <w:tcW w:w="810" w:type="dxa"/>
            <w:tcBorders>
              <w:top w:val="double" w:sz="4" w:space="0" w:color="auto"/>
              <w:right w:val="triple" w:sz="4" w:space="0" w:color="auto"/>
            </w:tcBorders>
          </w:tcPr>
          <w:p>
            <w:pPr>
              <w:spacing w:beforeLines="20" w:before="48" w:afterLines="20" w:after="48"/>
              <w:jc w:val="center"/>
              <w:rPr>
                <w:rFonts w:ascii="Helvetica" w:hAnsi="Helvetica"/>
                <w:noProof/>
                <w:sz w:val="18"/>
                <w:szCs w:val="18"/>
              </w:rPr>
            </w:pPr>
          </w:p>
        </w:tc>
        <w:tc>
          <w:tcPr>
            <w:tcW w:w="990" w:type="dxa"/>
            <w:tcBorders>
              <w:top w:val="double" w:sz="4" w:space="0" w:color="auto"/>
            </w:tcBorders>
            <w:vAlign w:val="bottom"/>
          </w:tcPr>
          <w:p>
            <w:pPr>
              <w:spacing w:beforeLines="20" w:before="48" w:afterLines="20" w:after="48"/>
              <w:jc w:val="center"/>
              <w:rPr>
                <w:rFonts w:ascii="Helvetica" w:hAnsi="Helvetica"/>
                <w:noProof/>
                <w:sz w:val="18"/>
                <w:szCs w:val="18"/>
              </w:rPr>
            </w:pPr>
          </w:p>
        </w:tc>
      </w:tr>
      <w:tr>
        <w:trPr>
          <w:trHeight w:val="206"/>
        </w:trPr>
        <w:tc>
          <w:tcPr>
            <w:tcW w:w="1980" w:type="dxa"/>
          </w:tcPr>
          <w:p>
            <w:pPr>
              <w:spacing w:beforeLines="20" w:before="48" w:afterLines="20" w:after="48"/>
              <w:jc w:val="right"/>
              <w:rPr>
                <w:rFonts w:ascii="Helvetica" w:hAnsi="Helvetica"/>
                <w:noProof/>
                <w:sz w:val="18"/>
                <w:szCs w:val="18"/>
              </w:rPr>
            </w:pPr>
            <w:r>
              <w:rPr>
                <w:rFonts w:ascii="Helvetica" w:hAnsi="Helvetica"/>
                <w:noProof/>
                <w:sz w:val="18"/>
                <w:szCs w:val="18"/>
              </w:rPr>
              <w:t>Soot emissions</w:t>
            </w:r>
          </w:p>
        </w:tc>
        <w:tc>
          <w:tcPr>
            <w:tcW w:w="810" w:type="dxa"/>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40</w:t>
            </w:r>
          </w:p>
        </w:tc>
        <w:tc>
          <w:tcPr>
            <w:tcW w:w="810" w:type="dxa"/>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19</w:t>
            </w:r>
          </w:p>
        </w:tc>
        <w:tc>
          <w:tcPr>
            <w:tcW w:w="900" w:type="dxa"/>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11</w:t>
            </w:r>
          </w:p>
        </w:tc>
        <w:tc>
          <w:tcPr>
            <w:tcW w:w="720" w:type="dxa"/>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12</w:t>
            </w:r>
          </w:p>
        </w:tc>
        <w:tc>
          <w:tcPr>
            <w:tcW w:w="720" w:type="dxa"/>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2</w:t>
            </w:r>
          </w:p>
        </w:tc>
        <w:tc>
          <w:tcPr>
            <w:tcW w:w="810" w:type="dxa"/>
            <w:tcBorders>
              <w:right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2</w:t>
            </w:r>
          </w:p>
        </w:tc>
        <w:tc>
          <w:tcPr>
            <w:tcW w:w="990" w:type="dxa"/>
            <w:vAlign w:val="bottom"/>
          </w:tcPr>
          <w:p>
            <w:pPr>
              <w:spacing w:beforeLines="20" w:before="48" w:afterLines="20" w:after="48"/>
              <w:jc w:val="center"/>
              <w:rPr>
                <w:rFonts w:ascii="Helvetica" w:hAnsi="Helvetica"/>
                <w:noProof/>
                <w:sz w:val="18"/>
                <w:szCs w:val="18"/>
              </w:rPr>
            </w:pPr>
            <w:r>
              <w:rPr>
                <w:rFonts w:ascii="Helvetica" w:hAnsi="Helvetica"/>
                <w:noProof/>
                <w:sz w:val="18"/>
                <w:szCs w:val="18"/>
              </w:rPr>
              <w:t>20</w:t>
            </w:r>
          </w:p>
        </w:tc>
      </w:tr>
      <w:tr>
        <w:tc>
          <w:tcPr>
            <w:tcW w:w="1980" w:type="dxa"/>
            <w:tcBorders>
              <w:bottom w:val="double" w:sz="4" w:space="0" w:color="auto"/>
            </w:tcBorders>
          </w:tcPr>
          <w:p>
            <w:pPr>
              <w:spacing w:beforeLines="20" w:before="48" w:afterLines="20" w:after="48"/>
              <w:jc w:val="right"/>
              <w:rPr>
                <w:rFonts w:ascii="Helvetica" w:hAnsi="Helvetica"/>
                <w:noProof/>
                <w:sz w:val="18"/>
                <w:szCs w:val="18"/>
              </w:rPr>
            </w:pPr>
            <w:r>
              <w:rPr>
                <w:rFonts w:ascii="Helvetica" w:hAnsi="Helvetica"/>
                <w:noProof/>
                <w:sz w:val="18"/>
                <w:szCs w:val="18"/>
              </w:rPr>
              <w:t>SO</w:t>
            </w:r>
            <w:r>
              <w:rPr>
                <w:rFonts w:ascii="Helvetica" w:hAnsi="Helvetica"/>
                <w:noProof/>
                <w:sz w:val="18"/>
                <w:szCs w:val="18"/>
                <w:vertAlign w:val="subscript"/>
              </w:rPr>
              <w:t>2</w:t>
            </w:r>
            <w:r>
              <w:rPr>
                <w:rFonts w:ascii="Helvetica" w:hAnsi="Helvetica"/>
                <w:noProof/>
                <w:sz w:val="18"/>
                <w:szCs w:val="18"/>
              </w:rPr>
              <w:t xml:space="preserve"> emissions</w:t>
            </w:r>
          </w:p>
        </w:tc>
        <w:tc>
          <w:tcPr>
            <w:tcW w:w="810"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-310</w:t>
            </w:r>
          </w:p>
        </w:tc>
        <w:tc>
          <w:tcPr>
            <w:tcW w:w="810"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-146</w:t>
            </w:r>
          </w:p>
        </w:tc>
        <w:tc>
          <w:tcPr>
            <w:tcW w:w="900"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-84</w:t>
            </w:r>
          </w:p>
        </w:tc>
        <w:tc>
          <w:tcPr>
            <w:tcW w:w="720"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-90</w:t>
            </w:r>
          </w:p>
        </w:tc>
        <w:tc>
          <w:tcPr>
            <w:tcW w:w="720"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-14</w:t>
            </w:r>
          </w:p>
        </w:tc>
        <w:tc>
          <w:tcPr>
            <w:tcW w:w="810" w:type="dxa"/>
            <w:tcBorders>
              <w:bottom w:val="double" w:sz="4" w:space="0" w:color="auto"/>
              <w:right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-12</w:t>
            </w:r>
          </w:p>
        </w:tc>
        <w:tc>
          <w:tcPr>
            <w:tcW w:w="990" w:type="dxa"/>
            <w:tcBorders>
              <w:bottom w:val="doub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noProof/>
                <w:sz w:val="18"/>
                <w:szCs w:val="18"/>
              </w:rPr>
              <w:t>-158</w:t>
            </w:r>
          </w:p>
        </w:tc>
      </w:tr>
      <w:tr>
        <w:tc>
          <w:tcPr>
            <w:tcW w:w="1980" w:type="dxa"/>
            <w:tcBorders>
              <w:top w:val="double" w:sz="4" w:space="0" w:color="auto"/>
              <w:bottom w:val="triple" w:sz="4" w:space="0" w:color="auto"/>
            </w:tcBorders>
          </w:tcPr>
          <w:p>
            <w:pPr>
              <w:spacing w:beforeLines="20" w:before="48" w:afterLines="20" w:after="48"/>
              <w:jc w:val="right"/>
              <w:rPr>
                <w:rFonts w:ascii="Helvetica" w:hAnsi="Helvetica"/>
                <w:noProof/>
                <w:sz w:val="18"/>
                <w:szCs w:val="18"/>
              </w:rPr>
            </w:pPr>
            <w:r>
              <w:rPr>
                <w:rFonts w:ascii="Helvetica" w:hAnsi="Helvetica"/>
                <w:noProof/>
                <w:sz w:val="18"/>
                <w:szCs w:val="18"/>
              </w:rPr>
              <w:t>Water vapor emissions</w:t>
            </w:r>
          </w:p>
        </w:tc>
        <w:tc>
          <w:tcPr>
            <w:tcW w:w="810" w:type="dxa"/>
            <w:tcBorders>
              <w:top w:val="double" w:sz="4" w:space="0" w:color="auto"/>
              <w:bottom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83</w:t>
            </w:r>
          </w:p>
        </w:tc>
        <w:tc>
          <w:tcPr>
            <w:tcW w:w="810" w:type="dxa"/>
            <w:tcBorders>
              <w:top w:val="double" w:sz="4" w:space="0" w:color="auto"/>
              <w:bottom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39</w:t>
            </w:r>
          </w:p>
        </w:tc>
        <w:tc>
          <w:tcPr>
            <w:tcW w:w="900" w:type="dxa"/>
            <w:tcBorders>
              <w:top w:val="double" w:sz="4" w:space="0" w:color="auto"/>
              <w:bottom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23</w:t>
            </w:r>
          </w:p>
        </w:tc>
        <w:tc>
          <w:tcPr>
            <w:tcW w:w="720" w:type="dxa"/>
            <w:tcBorders>
              <w:top w:val="double" w:sz="4" w:space="0" w:color="auto"/>
              <w:bottom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27</w:t>
            </w:r>
          </w:p>
        </w:tc>
        <w:tc>
          <w:tcPr>
            <w:tcW w:w="720" w:type="dxa"/>
            <w:tcBorders>
              <w:top w:val="double" w:sz="4" w:space="0" w:color="auto"/>
              <w:bottom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4</w:t>
            </w:r>
          </w:p>
        </w:tc>
        <w:tc>
          <w:tcPr>
            <w:tcW w:w="810" w:type="dxa"/>
            <w:tcBorders>
              <w:top w:val="double" w:sz="4" w:space="0" w:color="auto"/>
              <w:bottom w:val="triple" w:sz="4" w:space="0" w:color="auto"/>
              <w:right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3</w:t>
            </w:r>
          </w:p>
        </w:tc>
        <w:tc>
          <w:tcPr>
            <w:tcW w:w="990" w:type="dxa"/>
            <w:tcBorders>
              <w:top w:val="double" w:sz="4" w:space="0" w:color="auto"/>
              <w:bottom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noProof/>
                <w:sz w:val="18"/>
                <w:szCs w:val="18"/>
              </w:rPr>
              <w:t>42</w:t>
            </w:r>
          </w:p>
        </w:tc>
      </w:tr>
      <w:tr>
        <w:tc>
          <w:tcPr>
            <w:tcW w:w="1980" w:type="dxa"/>
            <w:tcBorders>
              <w:top w:val="triple" w:sz="4" w:space="0" w:color="auto"/>
              <w:bottom w:val="single" w:sz="4" w:space="0" w:color="auto"/>
            </w:tcBorders>
          </w:tcPr>
          <w:p>
            <w:pPr>
              <w:spacing w:beforeLines="20" w:before="48" w:afterLines="20" w:after="48"/>
              <w:jc w:val="right"/>
              <w:rPr>
                <w:rFonts w:ascii="Helvetica" w:hAnsi="Helvetica"/>
                <w:noProof/>
                <w:sz w:val="18"/>
                <w:szCs w:val="18"/>
              </w:rPr>
            </w:pPr>
            <w:r>
              <w:rPr>
                <w:rFonts w:ascii="Helvetica" w:hAnsi="Helvetica"/>
                <w:noProof/>
                <w:sz w:val="18"/>
                <w:szCs w:val="18"/>
              </w:rPr>
              <w:t>Total CO</w:t>
            </w:r>
            <w:r>
              <w:rPr>
                <w:rFonts w:ascii="Helvetica" w:hAnsi="Helvetica"/>
                <w:noProof/>
                <w:sz w:val="18"/>
                <w:szCs w:val="18"/>
                <w:vertAlign w:val="subscript"/>
              </w:rPr>
              <w:t>2</w:t>
            </w:r>
            <w:r>
              <w:rPr>
                <w:rFonts w:ascii="Helvetica" w:hAnsi="Helvetica"/>
                <w:noProof/>
                <w:sz w:val="18"/>
                <w:szCs w:val="18"/>
              </w:rPr>
              <w:t>-eq</w:t>
            </w:r>
          </w:p>
          <w:p>
            <w:pPr>
              <w:spacing w:beforeLines="20" w:before="48" w:afterLines="20" w:after="48"/>
              <w:jc w:val="right"/>
              <w:rPr>
                <w:rFonts w:ascii="Helvetica" w:hAnsi="Helvetica"/>
                <w:noProof/>
                <w:sz w:val="18"/>
                <w:szCs w:val="18"/>
              </w:rPr>
            </w:pPr>
            <w:r>
              <w:rPr>
                <w:rFonts w:ascii="Helvetica" w:hAnsi="Helvetica"/>
                <w:noProof/>
                <w:sz w:val="18"/>
                <w:szCs w:val="18"/>
              </w:rPr>
              <w:t>(using km basis)</w:t>
            </w:r>
          </w:p>
        </w:tc>
        <w:tc>
          <w:tcPr>
            <w:tcW w:w="810" w:type="dxa"/>
            <w:tcBorders>
              <w:top w:val="triple" w:sz="4" w:space="0" w:color="auto"/>
              <w:bottom w:val="sing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4128</w:t>
            </w:r>
          </w:p>
        </w:tc>
        <w:tc>
          <w:tcPr>
            <w:tcW w:w="810" w:type="dxa"/>
            <w:tcBorders>
              <w:top w:val="triple" w:sz="4" w:space="0" w:color="auto"/>
              <w:bottom w:val="sing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2366</w:t>
            </w:r>
          </w:p>
        </w:tc>
        <w:tc>
          <w:tcPr>
            <w:tcW w:w="900" w:type="dxa"/>
            <w:tcBorders>
              <w:top w:val="triple" w:sz="4" w:space="0" w:color="auto"/>
              <w:bottom w:val="sing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1797</w:t>
            </w:r>
          </w:p>
        </w:tc>
        <w:tc>
          <w:tcPr>
            <w:tcW w:w="720" w:type="dxa"/>
            <w:tcBorders>
              <w:top w:val="triple" w:sz="4" w:space="0" w:color="auto"/>
              <w:bottom w:val="sing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1358</w:t>
            </w:r>
          </w:p>
        </w:tc>
        <w:tc>
          <w:tcPr>
            <w:tcW w:w="720" w:type="dxa"/>
            <w:tcBorders>
              <w:top w:val="triple" w:sz="4" w:space="0" w:color="auto"/>
              <w:bottom w:val="sing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1035</w:t>
            </w:r>
          </w:p>
        </w:tc>
        <w:tc>
          <w:tcPr>
            <w:tcW w:w="810" w:type="dxa"/>
            <w:tcBorders>
              <w:top w:val="triple" w:sz="4" w:space="0" w:color="auto"/>
              <w:bottom w:val="single" w:sz="4" w:space="0" w:color="auto"/>
              <w:right w:val="triple" w:sz="4" w:space="0" w:color="auto"/>
            </w:tcBorders>
            <w:vAlign w:val="bottom"/>
          </w:tcPr>
          <w:p>
            <w:pPr>
              <w:spacing w:beforeLines="20" w:before="48" w:afterLines="20" w:after="48"/>
              <w:jc w:val="center"/>
              <w:rPr>
                <w:rFonts w:ascii="Helvetica" w:hAnsi="Helvetica" w:cs="Calibri"/>
                <w:noProof/>
                <w:color w:val="000000"/>
                <w:sz w:val="18"/>
                <w:szCs w:val="18"/>
              </w:rPr>
            </w:pPr>
            <w:r>
              <w:rPr>
                <w:rFonts w:ascii="Helvetica" w:hAnsi="Helvetica" w:cs="Calibri"/>
                <w:noProof/>
                <w:color w:val="000000"/>
                <w:sz w:val="18"/>
                <w:szCs w:val="18"/>
              </w:rPr>
              <w:t>1135</w:t>
            </w:r>
          </w:p>
        </w:tc>
        <w:tc>
          <w:tcPr>
            <w:tcW w:w="990" w:type="dxa"/>
            <w:tcBorders>
              <w:top w:val="triple" w:sz="4" w:space="0" w:color="auto"/>
              <w:bottom w:val="sing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noProof/>
                <w:sz w:val="18"/>
                <w:szCs w:val="18"/>
              </w:rPr>
              <w:t>3111</w:t>
            </w:r>
          </w:p>
        </w:tc>
      </w:tr>
      <w:tr>
        <w:tc>
          <w:tcPr>
            <w:tcW w:w="1980" w:type="dxa"/>
            <w:tcBorders>
              <w:top w:val="single" w:sz="4" w:space="0" w:color="auto"/>
              <w:bottom w:val="triple" w:sz="4" w:space="0" w:color="auto"/>
            </w:tcBorders>
          </w:tcPr>
          <w:p>
            <w:pPr>
              <w:spacing w:beforeLines="20" w:before="48" w:afterLines="20" w:after="48"/>
              <w:jc w:val="right"/>
              <w:rPr>
                <w:rFonts w:ascii="Helvetica" w:hAnsi="Helvetica"/>
                <w:noProof/>
                <w:sz w:val="18"/>
                <w:szCs w:val="18"/>
              </w:rPr>
            </w:pPr>
            <w:r>
              <w:rPr>
                <w:rFonts w:ascii="Helvetica" w:hAnsi="Helvetica"/>
                <w:noProof/>
                <w:sz w:val="18"/>
                <w:szCs w:val="18"/>
              </w:rPr>
              <w:t>Total CO</w:t>
            </w:r>
            <w:r>
              <w:rPr>
                <w:rFonts w:ascii="Helvetica" w:hAnsi="Helvetica"/>
                <w:noProof/>
                <w:sz w:val="18"/>
                <w:szCs w:val="18"/>
                <w:vertAlign w:val="subscript"/>
              </w:rPr>
              <w:t>2</w:t>
            </w:r>
            <w:r>
              <w:rPr>
                <w:rFonts w:ascii="Helvetica" w:hAnsi="Helvetica"/>
                <w:noProof/>
                <w:sz w:val="18"/>
                <w:szCs w:val="18"/>
              </w:rPr>
              <w:t>-eq / CO</w:t>
            </w:r>
            <w:r>
              <w:rPr>
                <w:rFonts w:ascii="Helvetica" w:hAnsi="Helvetica"/>
                <w:noProof/>
                <w:sz w:val="18"/>
                <w:szCs w:val="18"/>
                <w:vertAlign w:val="subscript"/>
              </w:rPr>
              <w:t>2</w:t>
            </w:r>
          </w:p>
        </w:tc>
        <w:tc>
          <w:tcPr>
            <w:tcW w:w="810" w:type="dxa"/>
            <w:tcBorders>
              <w:top w:val="single" w:sz="4" w:space="0" w:color="auto"/>
              <w:bottom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4.0</w:t>
            </w:r>
          </w:p>
        </w:tc>
        <w:tc>
          <w:tcPr>
            <w:tcW w:w="810" w:type="dxa"/>
            <w:tcBorders>
              <w:top w:val="single" w:sz="4" w:space="0" w:color="auto"/>
              <w:bottom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2.3</w:t>
            </w:r>
          </w:p>
        </w:tc>
        <w:tc>
          <w:tcPr>
            <w:tcW w:w="900" w:type="dxa"/>
            <w:tcBorders>
              <w:top w:val="single" w:sz="4" w:space="0" w:color="auto"/>
              <w:bottom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1.7</w:t>
            </w:r>
          </w:p>
        </w:tc>
        <w:tc>
          <w:tcPr>
            <w:tcW w:w="720" w:type="dxa"/>
            <w:tcBorders>
              <w:top w:val="single" w:sz="4" w:space="0" w:color="auto"/>
              <w:bottom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1.3</w:t>
            </w:r>
          </w:p>
        </w:tc>
        <w:tc>
          <w:tcPr>
            <w:tcW w:w="720" w:type="dxa"/>
            <w:tcBorders>
              <w:top w:val="single" w:sz="4" w:space="0" w:color="auto"/>
              <w:bottom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1.0</w:t>
            </w:r>
          </w:p>
        </w:tc>
        <w:tc>
          <w:tcPr>
            <w:tcW w:w="810" w:type="dxa"/>
            <w:tcBorders>
              <w:top w:val="single" w:sz="4" w:space="0" w:color="auto"/>
              <w:bottom w:val="triple" w:sz="4" w:space="0" w:color="auto"/>
              <w:right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cs="Calibri"/>
                <w:noProof/>
                <w:color w:val="000000"/>
                <w:sz w:val="18"/>
                <w:szCs w:val="18"/>
              </w:rPr>
              <w:t>1.1</w:t>
            </w:r>
          </w:p>
        </w:tc>
        <w:tc>
          <w:tcPr>
            <w:tcW w:w="990" w:type="dxa"/>
            <w:tcBorders>
              <w:top w:val="single" w:sz="4" w:space="0" w:color="auto"/>
              <w:bottom w:val="triple" w:sz="4" w:space="0" w:color="auto"/>
            </w:tcBorders>
            <w:vAlign w:val="bottom"/>
          </w:tcPr>
          <w:p>
            <w:pPr>
              <w:spacing w:beforeLines="20" w:before="48" w:afterLines="20" w:after="48"/>
              <w:jc w:val="center"/>
              <w:rPr>
                <w:rFonts w:ascii="Helvetica" w:hAnsi="Helvetica"/>
                <w:noProof/>
                <w:sz w:val="18"/>
                <w:szCs w:val="18"/>
              </w:rPr>
            </w:pPr>
            <w:r>
              <w:rPr>
                <w:rFonts w:ascii="Helvetica" w:hAnsi="Helvetica"/>
                <w:noProof/>
                <w:sz w:val="18"/>
                <w:szCs w:val="18"/>
              </w:rPr>
              <w:t>3.0</w:t>
            </w:r>
          </w:p>
        </w:tc>
      </w:tr>
    </w:tbl>
    <w:p>
      <w:pPr>
        <w:rPr>
          <w:rFonts w:ascii="Helvetica" w:hAnsi="Helvetica"/>
          <w:noProof/>
        </w:rPr>
      </w:pPr>
    </w:p>
    <w:p>
      <w:pPr>
        <w:spacing w:after="0" w:line="240" w:lineRule="auto"/>
        <w:rPr>
          <w:rFonts w:ascii="Calibri" w:eastAsia="Calibri" w:hAnsi="Calibri" w:cs="Times New Roman"/>
          <w:noProof/>
          <w:sz w:val="24"/>
          <w:szCs w:val="24"/>
        </w:rPr>
      </w:pPr>
    </w:p>
    <w:p>
      <w:pPr>
        <w:spacing w:after="0" w:line="240" w:lineRule="auto"/>
        <w:rPr>
          <w:rFonts w:ascii="Calibri" w:eastAsia="Calibri" w:hAnsi="Calibri" w:cs="Times New Roman"/>
          <w:noProof/>
          <w:sz w:val="20"/>
          <w:szCs w:val="20"/>
        </w:rPr>
      </w:pPr>
      <w:r>
        <w:rPr>
          <w:rFonts w:ascii="Calibri" w:eastAsia="Calibri" w:hAnsi="Calibri" w:cs="Times New Roman"/>
          <w:noProof/>
          <w:sz w:val="20"/>
          <w:szCs w:val="20"/>
        </w:rPr>
        <w:br w:type="page"/>
      </w:r>
    </w:p>
    <w:p>
      <w:pPr>
        <w:spacing w:after="0" w:line="240" w:lineRule="auto"/>
        <w:rPr>
          <w:rFonts w:ascii="Helvetica" w:eastAsia="Calibri" w:hAnsi="Helvetica" w:cs="Times New Roman"/>
          <w:b/>
          <w:noProof/>
          <w:sz w:val="20"/>
          <w:szCs w:val="20"/>
        </w:rPr>
      </w:pPr>
      <w:r>
        <w:rPr>
          <w:b/>
          <w:noProof/>
          <w:lang w:eastAsia="en-GB"/>
        </w:rPr>
        <w:drawing>
          <wp:anchor distT="0" distB="0" distL="114300" distR="114300" simplePos="0" relativeHeight="251658752" behindDoc="0" locked="0" layoutInCell="1" allowOverlap="1">
            <wp:simplePos x="0" y="0"/>
            <wp:positionH relativeFrom="column">
              <wp:posOffset>0</wp:posOffset>
            </wp:positionH>
            <wp:positionV relativeFrom="paragraph">
              <wp:posOffset>152400</wp:posOffset>
            </wp:positionV>
            <wp:extent cx="5118100" cy="582930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5 08062020.pdf"/>
                    <pic:cNvPicPr/>
                  </pic:nvPicPr>
                  <pic:blipFill>
                    <a:blip r:embed="rId40" cstate="email">
                      <a:extLst>
                        <a:ext uri="{28A0092B-C50C-407E-A947-70E740481C1C}">
                          <a14:useLocalDpi xmlns:a14="http://schemas.microsoft.com/office/drawing/2010/main"/>
                        </a:ext>
                      </a:extLst>
                    </a:blip>
                    <a:stretch>
                      <a:fillRect/>
                    </a:stretch>
                  </pic:blipFill>
                  <pic:spPr>
                    <a:xfrm>
                      <a:off x="0" y="0"/>
                      <a:ext cx="5118100" cy="5829300"/>
                    </a:xfrm>
                    <a:prstGeom prst="rect">
                      <a:avLst/>
                    </a:prstGeom>
                  </pic:spPr>
                </pic:pic>
              </a:graphicData>
            </a:graphic>
            <wp14:sizeRelH relativeFrom="page">
              <wp14:pctWidth>0</wp14:pctWidth>
            </wp14:sizeRelH>
            <wp14:sizeRelV relativeFrom="page">
              <wp14:pctHeight>0</wp14:pctHeight>
            </wp14:sizeRelV>
          </wp:anchor>
        </w:drawing>
      </w:r>
    </w:p>
    <w:p>
      <w:pPr>
        <w:spacing w:after="0" w:line="240" w:lineRule="auto"/>
        <w:ind w:right="-18"/>
        <w:jc w:val="both"/>
        <w:outlineLvl w:val="0"/>
        <w:rPr>
          <w:rFonts w:ascii="Helvetica" w:eastAsia="Calibri" w:hAnsi="Helvetica" w:cs="Times New Roman"/>
          <w:noProof/>
          <w:sz w:val="20"/>
          <w:szCs w:val="20"/>
        </w:rPr>
      </w:pPr>
      <w:r>
        <w:rPr>
          <w:b/>
          <w:noProof/>
        </w:rPr>
        <w:t xml:space="preserve">Figure 5. </w:t>
      </w:r>
      <w:r>
        <w:rPr>
          <w:noProof/>
        </w:rPr>
        <w:t>Summary of RF estimates for aerosol-cloud interactions for aviation aerosol as calculated in the SD spreadsheet for a variety of published results normalized to 2018 air traffic and 600 ppm fuel sulfur. The results are shown for soot; total particulate organic matter (POM), sulfate and ammonia (NH</w:t>
      </w:r>
      <w:r>
        <w:rPr>
          <w:noProof/>
          <w:vertAlign w:val="subscript"/>
        </w:rPr>
        <w:t>3</w:t>
      </w:r>
      <w:r>
        <w:rPr>
          <w:noProof/>
        </w:rPr>
        <w:t>); and sulfate aerosol from the indicated studies. The color shading gradient in the symbols indicates increasing positive or negative magnitudes. No best estimate was derived in the present study for any aerosol-cloud effect due to the large uncertainties. In previous studies, the estimates for the soot aerosol-cloud effect are associated with particularly large uncertainty in magnitude and uncertainty in the sign of the effect (Penner et al., 2009; Zhou and Penner, 2014; Penner et al., 2018). As part of the present study, an author (JEP) re-evaluated these earlier studies and concluded that the Penner et al. (2018) results supersede the earlier Penner et al. (2009) and Zhou and Penner (2014) results because of assumptions regarding updraft velocities during cloud formation. In addition, a bounding sensitivity case in which all aviation soot acts as an IN in Penner et al. (2018) is not included here</w:t>
      </w:r>
      <w:r>
        <w:rPr>
          <w:rFonts w:ascii="Helvetica" w:eastAsia="Calibri" w:hAnsi="Helvetica" w:cs="Times New Roman"/>
          <w:noProof/>
          <w:sz w:val="20"/>
          <w:szCs w:val="20"/>
        </w:rPr>
        <w:t xml:space="preserve">. </w:t>
      </w:r>
    </w:p>
    <w:p>
      <w:pPr>
        <w:spacing w:after="0" w:line="240" w:lineRule="auto"/>
        <w:rPr>
          <w:rFonts w:ascii="Calibri" w:eastAsia="Calibri" w:hAnsi="Calibri" w:cs="Times New Roman"/>
          <w:noProof/>
          <w:sz w:val="24"/>
          <w:szCs w:val="24"/>
        </w:rPr>
      </w:pPr>
    </w:p>
    <w:p>
      <w:pPr>
        <w:spacing w:after="0" w:line="240" w:lineRule="auto"/>
        <w:rPr>
          <w:rFonts w:ascii="Helvetica" w:hAnsi="Helvetica"/>
          <w:noProof/>
          <w:sz w:val="20"/>
          <w:szCs w:val="20"/>
        </w:rPr>
      </w:pPr>
      <w:r>
        <w:rPr>
          <w:rFonts w:ascii="Helvetica" w:eastAsia="Calibri" w:hAnsi="Helvetica" w:cs="Times New Roman"/>
          <w:b/>
          <w:noProof/>
          <w:sz w:val="20"/>
          <w:szCs w:val="20"/>
        </w:rPr>
        <w:br w:type="page"/>
      </w:r>
      <w:r>
        <w:rPr>
          <w:rFonts w:ascii="Helvetica" w:hAnsi="Helvetica"/>
          <w:b/>
          <w:noProof/>
          <w:sz w:val="20"/>
          <w:szCs w:val="20"/>
        </w:rPr>
        <w:t>Table 4a.</w:t>
      </w:r>
      <w:r>
        <w:rPr>
          <w:rFonts w:ascii="Helvetica" w:hAnsi="Helvetica"/>
          <w:noProof/>
          <w:sz w:val="20"/>
          <w:szCs w:val="20"/>
        </w:rPr>
        <w:t xml:space="preserve"> Confidence levels for the ERF estimates in </w:t>
      </w:r>
      <w:r>
        <w:rPr>
          <w:rFonts w:ascii="Helvetica" w:hAnsi="Helvetica"/>
          <w:b/>
          <w:noProof/>
          <w:sz w:val="20"/>
          <w:szCs w:val="20"/>
        </w:rPr>
        <w:t>Figure 3</w:t>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3"/>
        <w:gridCol w:w="927"/>
        <w:gridCol w:w="810"/>
        <w:gridCol w:w="990"/>
        <w:gridCol w:w="3240"/>
        <w:gridCol w:w="2070"/>
      </w:tblGrid>
      <w:tr>
        <w:tc>
          <w:tcPr>
            <w:tcW w:w="1773" w:type="dxa"/>
            <w:tcBorders>
              <w:top w:val="double" w:sz="4" w:space="0" w:color="auto"/>
              <w:bottom w:val="double" w:sz="4" w:space="0" w:color="auto"/>
            </w:tcBorders>
            <w:shd w:val="clear" w:color="auto" w:fill="auto"/>
            <w:vAlign w:val="bottom"/>
          </w:tcPr>
          <w:p>
            <w:pPr>
              <w:spacing w:afterLines="40" w:after="96"/>
              <w:jc w:val="right"/>
              <w:rPr>
                <w:rFonts w:ascii="Helvetica" w:hAnsi="Helvetica" w:cstheme="minorHAnsi"/>
                <w:b/>
                <w:bCs/>
                <w:noProof/>
                <w:sz w:val="16"/>
                <w:szCs w:val="16"/>
              </w:rPr>
            </w:pPr>
            <w:r>
              <w:rPr>
                <w:rFonts w:ascii="Helvetica" w:hAnsi="Helvetica" w:cstheme="minorHAnsi"/>
                <w:b/>
                <w:bCs/>
                <w:noProof/>
                <w:sz w:val="16"/>
                <w:szCs w:val="16"/>
              </w:rPr>
              <w:t>Terms</w:t>
            </w:r>
          </w:p>
        </w:tc>
        <w:tc>
          <w:tcPr>
            <w:tcW w:w="927" w:type="dxa"/>
            <w:tcBorders>
              <w:top w:val="double" w:sz="4" w:space="0" w:color="auto"/>
              <w:bottom w:val="double" w:sz="4" w:space="0" w:color="auto"/>
            </w:tcBorders>
            <w:shd w:val="clear" w:color="auto" w:fill="auto"/>
            <w:vAlign w:val="bottom"/>
          </w:tcPr>
          <w:p>
            <w:pPr>
              <w:spacing w:afterLines="40" w:after="96"/>
              <w:jc w:val="center"/>
              <w:rPr>
                <w:rFonts w:ascii="Helvetica" w:hAnsi="Helvetica" w:cstheme="minorHAnsi"/>
                <w:b/>
                <w:bCs/>
                <w:noProof/>
                <w:sz w:val="16"/>
                <w:szCs w:val="16"/>
              </w:rPr>
            </w:pPr>
            <w:r>
              <w:rPr>
                <w:rFonts w:ascii="Helvetica" w:hAnsi="Helvetica" w:cstheme="minorHAnsi"/>
                <w:b/>
                <w:bCs/>
                <w:noProof/>
                <w:sz w:val="16"/>
                <w:szCs w:val="16"/>
              </w:rPr>
              <w:t>Evidence</w:t>
            </w:r>
          </w:p>
        </w:tc>
        <w:tc>
          <w:tcPr>
            <w:tcW w:w="810" w:type="dxa"/>
            <w:tcBorders>
              <w:top w:val="double" w:sz="4" w:space="0" w:color="auto"/>
              <w:bottom w:val="double" w:sz="4" w:space="0" w:color="auto"/>
            </w:tcBorders>
            <w:shd w:val="clear" w:color="auto" w:fill="auto"/>
            <w:vAlign w:val="bottom"/>
          </w:tcPr>
          <w:p>
            <w:pPr>
              <w:spacing w:afterLines="40" w:after="96"/>
              <w:jc w:val="center"/>
              <w:rPr>
                <w:rFonts w:ascii="Helvetica" w:hAnsi="Helvetica" w:cstheme="minorHAnsi"/>
                <w:b/>
                <w:bCs/>
                <w:noProof/>
                <w:sz w:val="16"/>
                <w:szCs w:val="16"/>
              </w:rPr>
            </w:pPr>
            <w:r>
              <w:rPr>
                <w:rFonts w:ascii="Helvetica" w:hAnsi="Helvetica" w:cstheme="minorHAnsi"/>
                <w:b/>
                <w:bCs/>
                <w:noProof/>
                <w:sz w:val="16"/>
                <w:szCs w:val="16"/>
              </w:rPr>
              <w:t>Agree-ment</w:t>
            </w:r>
          </w:p>
        </w:tc>
        <w:tc>
          <w:tcPr>
            <w:tcW w:w="990" w:type="dxa"/>
            <w:tcBorders>
              <w:top w:val="double" w:sz="4" w:space="0" w:color="auto"/>
              <w:bottom w:val="double" w:sz="4" w:space="0" w:color="auto"/>
            </w:tcBorders>
            <w:shd w:val="clear" w:color="auto" w:fill="auto"/>
            <w:vAlign w:val="bottom"/>
          </w:tcPr>
          <w:p>
            <w:pPr>
              <w:spacing w:afterLines="40" w:after="96"/>
              <w:jc w:val="center"/>
              <w:rPr>
                <w:rFonts w:ascii="Helvetica" w:hAnsi="Helvetica" w:cstheme="minorHAnsi"/>
                <w:b/>
                <w:bCs/>
                <w:noProof/>
                <w:sz w:val="16"/>
                <w:szCs w:val="16"/>
              </w:rPr>
            </w:pPr>
            <w:r>
              <w:rPr>
                <w:rFonts w:ascii="Helvetica" w:hAnsi="Helvetica" w:cstheme="minorHAnsi"/>
                <w:b/>
                <w:bCs/>
                <w:noProof/>
                <w:sz w:val="16"/>
                <w:szCs w:val="16"/>
              </w:rPr>
              <w:t>Conf.</w:t>
            </w:r>
          </w:p>
          <w:p>
            <w:pPr>
              <w:spacing w:afterLines="40" w:after="96"/>
              <w:jc w:val="center"/>
              <w:rPr>
                <w:rFonts w:ascii="Helvetica" w:hAnsi="Helvetica" w:cstheme="minorHAnsi"/>
                <w:b/>
                <w:bCs/>
                <w:noProof/>
                <w:sz w:val="16"/>
                <w:szCs w:val="16"/>
              </w:rPr>
            </w:pPr>
            <w:r>
              <w:rPr>
                <w:rFonts w:ascii="Helvetica" w:hAnsi="Helvetica" w:cstheme="minorHAnsi"/>
                <w:b/>
                <w:bCs/>
                <w:noProof/>
                <w:sz w:val="16"/>
                <w:szCs w:val="16"/>
              </w:rPr>
              <w:t xml:space="preserve"> level</w:t>
            </w:r>
          </w:p>
        </w:tc>
        <w:tc>
          <w:tcPr>
            <w:tcW w:w="3240" w:type="dxa"/>
            <w:tcBorders>
              <w:top w:val="double" w:sz="4" w:space="0" w:color="auto"/>
              <w:bottom w:val="double" w:sz="4" w:space="0" w:color="auto"/>
            </w:tcBorders>
            <w:shd w:val="clear" w:color="auto" w:fill="auto"/>
            <w:vAlign w:val="bottom"/>
          </w:tcPr>
          <w:p>
            <w:pPr>
              <w:spacing w:afterLines="40" w:after="96"/>
              <w:jc w:val="center"/>
              <w:rPr>
                <w:rFonts w:ascii="Helvetica" w:hAnsi="Helvetica" w:cstheme="minorHAnsi"/>
                <w:b/>
                <w:bCs/>
                <w:noProof/>
                <w:sz w:val="16"/>
                <w:szCs w:val="16"/>
              </w:rPr>
            </w:pPr>
            <w:r>
              <w:rPr>
                <w:rFonts w:ascii="Helvetica" w:hAnsi="Helvetica" w:cstheme="minorHAnsi"/>
                <w:b/>
                <w:bCs/>
                <w:noProof/>
                <w:sz w:val="16"/>
                <w:szCs w:val="16"/>
              </w:rPr>
              <w:t>Basis for uncertainty estimates</w:t>
            </w:r>
          </w:p>
        </w:tc>
        <w:tc>
          <w:tcPr>
            <w:tcW w:w="2070" w:type="dxa"/>
            <w:tcBorders>
              <w:top w:val="double" w:sz="4" w:space="0" w:color="auto"/>
              <w:bottom w:val="double" w:sz="4" w:space="0" w:color="auto"/>
            </w:tcBorders>
            <w:shd w:val="clear" w:color="auto" w:fill="auto"/>
            <w:vAlign w:val="bottom"/>
          </w:tcPr>
          <w:p>
            <w:pPr>
              <w:spacing w:afterLines="40" w:after="96"/>
              <w:jc w:val="center"/>
              <w:rPr>
                <w:rFonts w:ascii="Helvetica" w:hAnsi="Helvetica" w:cstheme="minorHAnsi"/>
                <w:b/>
                <w:bCs/>
                <w:noProof/>
                <w:sz w:val="16"/>
                <w:szCs w:val="16"/>
              </w:rPr>
            </w:pPr>
            <w:r>
              <w:rPr>
                <w:rFonts w:ascii="Helvetica" w:hAnsi="Helvetica" w:cstheme="minorHAnsi"/>
                <w:b/>
                <w:bCs/>
                <w:noProof/>
                <w:sz w:val="16"/>
                <w:szCs w:val="16"/>
              </w:rPr>
              <w:t>Understanding change since L09</w:t>
            </w:r>
          </w:p>
        </w:tc>
      </w:tr>
      <w:tr>
        <w:tc>
          <w:tcPr>
            <w:tcW w:w="1773" w:type="dxa"/>
            <w:tcBorders>
              <w:top w:val="double" w:sz="4" w:space="0" w:color="auto"/>
              <w:bottom w:val="single" w:sz="4" w:space="0" w:color="auto"/>
            </w:tcBorders>
            <w:shd w:val="clear" w:color="auto" w:fill="FFF2CC"/>
          </w:tcPr>
          <w:p>
            <w:pPr>
              <w:spacing w:afterLines="40" w:after="96"/>
              <w:jc w:val="right"/>
              <w:rPr>
                <w:rFonts w:ascii="Helvetica" w:hAnsi="Helvetica" w:cstheme="minorHAnsi"/>
                <w:b/>
                <w:bCs/>
                <w:noProof/>
                <w:sz w:val="16"/>
                <w:szCs w:val="16"/>
              </w:rPr>
            </w:pPr>
            <w:r>
              <w:rPr>
                <w:rFonts w:ascii="Helvetica" w:hAnsi="Helvetica" w:cstheme="minorHAnsi"/>
                <w:b/>
                <w:bCs/>
                <w:noProof/>
                <w:sz w:val="16"/>
                <w:szCs w:val="16"/>
              </w:rPr>
              <w:t>Contrail cirrus formation in high-humidity regions</w:t>
            </w:r>
          </w:p>
        </w:tc>
        <w:tc>
          <w:tcPr>
            <w:tcW w:w="927" w:type="dxa"/>
            <w:tcBorders>
              <w:top w:val="double" w:sz="4" w:space="0" w:color="auto"/>
              <w:bottom w:val="single" w:sz="4" w:space="0" w:color="auto"/>
            </w:tcBorders>
            <w:shd w:val="clear" w:color="auto" w:fill="FFF2CC"/>
          </w:tcPr>
          <w:p>
            <w:pPr>
              <w:spacing w:afterLines="40" w:after="96"/>
              <w:jc w:val="center"/>
              <w:rPr>
                <w:rFonts w:ascii="Helvetica" w:hAnsi="Helvetica" w:cstheme="minorHAnsi"/>
                <w:noProof/>
                <w:sz w:val="16"/>
                <w:szCs w:val="16"/>
              </w:rPr>
            </w:pPr>
            <w:r>
              <w:rPr>
                <w:rFonts w:ascii="Helvetica" w:hAnsi="Helvetica" w:cstheme="minorHAnsi"/>
                <w:noProof/>
                <w:sz w:val="16"/>
                <w:szCs w:val="16"/>
              </w:rPr>
              <w:t>Limited</w:t>
            </w:r>
          </w:p>
        </w:tc>
        <w:tc>
          <w:tcPr>
            <w:tcW w:w="810" w:type="dxa"/>
            <w:tcBorders>
              <w:top w:val="double" w:sz="4" w:space="0" w:color="auto"/>
              <w:bottom w:val="single" w:sz="4" w:space="0" w:color="auto"/>
            </w:tcBorders>
            <w:shd w:val="clear" w:color="auto" w:fill="FFF2CC"/>
          </w:tcPr>
          <w:p>
            <w:pPr>
              <w:spacing w:afterLines="40" w:after="96"/>
              <w:jc w:val="center"/>
              <w:rPr>
                <w:rFonts w:ascii="Helvetica" w:hAnsi="Helvetica" w:cstheme="minorHAnsi"/>
                <w:noProof/>
                <w:sz w:val="16"/>
                <w:szCs w:val="16"/>
              </w:rPr>
            </w:pPr>
            <w:r>
              <w:rPr>
                <w:rFonts w:ascii="Helvetica" w:hAnsi="Helvetica" w:cstheme="minorHAnsi"/>
                <w:noProof/>
                <w:sz w:val="16"/>
                <w:szCs w:val="16"/>
              </w:rPr>
              <w:t>Medium</w:t>
            </w:r>
          </w:p>
        </w:tc>
        <w:tc>
          <w:tcPr>
            <w:tcW w:w="990" w:type="dxa"/>
            <w:tcBorders>
              <w:top w:val="double" w:sz="4" w:space="0" w:color="auto"/>
              <w:bottom w:val="single" w:sz="4" w:space="0" w:color="auto"/>
            </w:tcBorders>
            <w:shd w:val="clear" w:color="auto" w:fill="FFC000"/>
          </w:tcPr>
          <w:p>
            <w:pPr>
              <w:spacing w:afterLines="40" w:after="96"/>
              <w:jc w:val="center"/>
              <w:rPr>
                <w:rFonts w:ascii="Helvetica" w:hAnsi="Helvetica" w:cstheme="minorHAnsi"/>
                <w:noProof/>
                <w:sz w:val="16"/>
                <w:szCs w:val="16"/>
              </w:rPr>
            </w:pPr>
            <w:r>
              <w:rPr>
                <w:rFonts w:ascii="Helvetica" w:hAnsi="Helvetica" w:cstheme="minorHAnsi"/>
                <w:noProof/>
                <w:sz w:val="16"/>
                <w:szCs w:val="16"/>
              </w:rPr>
              <w:t>Low</w:t>
            </w:r>
            <w:r>
              <w:rPr>
                <w:rFonts w:ascii="Helvetica" w:hAnsi="Helvetica" w:cstheme="minorHAnsi"/>
                <w:noProof/>
                <w:sz w:val="20"/>
                <w:szCs w:val="16"/>
              </w:rPr>
              <w:t>*</w:t>
            </w:r>
          </w:p>
        </w:tc>
        <w:tc>
          <w:tcPr>
            <w:tcW w:w="3240" w:type="dxa"/>
            <w:tcBorders>
              <w:top w:val="double" w:sz="4" w:space="0" w:color="auto"/>
              <w:bottom w:val="single" w:sz="4" w:space="0" w:color="auto"/>
            </w:tcBorders>
            <w:shd w:val="clear" w:color="auto" w:fill="FFF2CC"/>
          </w:tcPr>
          <w:p>
            <w:pPr>
              <w:spacing w:afterLines="40" w:after="96"/>
              <w:rPr>
                <w:rFonts w:ascii="Helvetica" w:hAnsi="Helvetica" w:cstheme="minorHAnsi"/>
                <w:noProof/>
                <w:sz w:val="16"/>
                <w:szCs w:val="16"/>
              </w:rPr>
            </w:pPr>
            <w:r>
              <w:rPr>
                <w:rFonts w:ascii="Helvetica" w:hAnsi="Helvetica" w:cstheme="minorHAnsi"/>
                <w:noProof/>
                <w:sz w:val="16"/>
                <w:szCs w:val="16"/>
              </w:rPr>
              <w:t>Robust evidence for the phenomenon.  Large remaining uncertainties in magnitude in part due to incomplete representation of key processes</w:t>
            </w:r>
          </w:p>
        </w:tc>
        <w:tc>
          <w:tcPr>
            <w:tcW w:w="2070" w:type="dxa"/>
            <w:tcBorders>
              <w:top w:val="double" w:sz="4" w:space="0" w:color="auto"/>
              <w:bottom w:val="single" w:sz="4" w:space="0" w:color="auto"/>
            </w:tcBorders>
            <w:shd w:val="clear" w:color="auto" w:fill="FFF2CC"/>
          </w:tcPr>
          <w:p>
            <w:pPr>
              <w:spacing w:afterLines="40" w:after="96"/>
              <w:rPr>
                <w:rFonts w:ascii="Helvetica" w:hAnsi="Helvetica" w:cstheme="minorHAnsi"/>
                <w:noProof/>
                <w:sz w:val="16"/>
                <w:szCs w:val="16"/>
              </w:rPr>
            </w:pPr>
            <w:r>
              <w:rPr>
                <w:rFonts w:ascii="Helvetica" w:hAnsi="Helvetica" w:cstheme="minorHAnsi"/>
                <w:noProof/>
                <w:sz w:val="16"/>
                <w:szCs w:val="16"/>
              </w:rPr>
              <w:t>The inclusion of contrail cirrus processes in global climate models.</w:t>
            </w:r>
          </w:p>
        </w:tc>
      </w:tr>
      <w:tr>
        <w:tc>
          <w:tcPr>
            <w:tcW w:w="1773" w:type="dxa"/>
            <w:tcBorders>
              <w:top w:val="single" w:sz="4" w:space="0" w:color="auto"/>
              <w:bottom w:val="double" w:sz="4" w:space="0" w:color="auto"/>
            </w:tcBorders>
          </w:tcPr>
          <w:p>
            <w:pPr>
              <w:spacing w:afterLines="40" w:after="96"/>
              <w:jc w:val="right"/>
              <w:rPr>
                <w:rFonts w:ascii="Helvetica" w:hAnsi="Helvetica" w:cstheme="minorHAnsi"/>
                <w:b/>
                <w:bCs/>
                <w:noProof/>
                <w:sz w:val="16"/>
                <w:szCs w:val="16"/>
              </w:rPr>
            </w:pPr>
            <w:r>
              <w:rPr>
                <w:rFonts w:ascii="Helvetica" w:hAnsi="Helvetica" w:cstheme="minorHAnsi"/>
                <w:b/>
                <w:bCs/>
                <w:noProof/>
                <w:sz w:val="16"/>
                <w:szCs w:val="16"/>
              </w:rPr>
              <w:t>Carbon dioxide (CO</w:t>
            </w:r>
            <w:r>
              <w:rPr>
                <w:rFonts w:ascii="Helvetica" w:hAnsi="Helvetica" w:cstheme="minorHAnsi"/>
                <w:b/>
                <w:bCs/>
                <w:noProof/>
                <w:sz w:val="16"/>
                <w:szCs w:val="16"/>
                <w:vertAlign w:val="subscript"/>
              </w:rPr>
              <w:t>2</w:t>
            </w:r>
            <w:r>
              <w:rPr>
                <w:rFonts w:ascii="Helvetica" w:hAnsi="Helvetica" w:cstheme="minorHAnsi"/>
                <w:b/>
                <w:bCs/>
                <w:noProof/>
                <w:sz w:val="16"/>
                <w:szCs w:val="16"/>
              </w:rPr>
              <w:t>) emissions</w:t>
            </w:r>
          </w:p>
        </w:tc>
        <w:tc>
          <w:tcPr>
            <w:tcW w:w="927" w:type="dxa"/>
            <w:tcBorders>
              <w:top w:val="single" w:sz="4" w:space="0" w:color="auto"/>
              <w:bottom w:val="double" w:sz="4" w:space="0" w:color="auto"/>
            </w:tcBorders>
          </w:tcPr>
          <w:p>
            <w:pPr>
              <w:spacing w:afterLines="40" w:after="96"/>
              <w:jc w:val="center"/>
              <w:rPr>
                <w:rFonts w:ascii="Helvetica" w:hAnsi="Helvetica" w:cstheme="minorHAnsi"/>
                <w:noProof/>
                <w:sz w:val="16"/>
                <w:szCs w:val="16"/>
              </w:rPr>
            </w:pPr>
            <w:r>
              <w:rPr>
                <w:rFonts w:ascii="Helvetica" w:hAnsi="Helvetica" w:cstheme="minorHAnsi"/>
                <w:noProof/>
                <w:sz w:val="16"/>
                <w:szCs w:val="16"/>
              </w:rPr>
              <w:t>Robust</w:t>
            </w:r>
          </w:p>
        </w:tc>
        <w:tc>
          <w:tcPr>
            <w:tcW w:w="810" w:type="dxa"/>
            <w:tcBorders>
              <w:top w:val="single" w:sz="4" w:space="0" w:color="auto"/>
              <w:bottom w:val="double" w:sz="4" w:space="0" w:color="auto"/>
            </w:tcBorders>
          </w:tcPr>
          <w:p>
            <w:pPr>
              <w:spacing w:afterLines="40" w:after="96"/>
              <w:jc w:val="center"/>
              <w:rPr>
                <w:rFonts w:ascii="Helvetica" w:hAnsi="Helvetica" w:cstheme="minorHAnsi"/>
                <w:noProof/>
                <w:sz w:val="16"/>
                <w:szCs w:val="16"/>
              </w:rPr>
            </w:pPr>
            <w:r>
              <w:rPr>
                <w:rFonts w:ascii="Helvetica" w:hAnsi="Helvetica" w:cstheme="minorHAnsi"/>
                <w:noProof/>
                <w:sz w:val="16"/>
                <w:szCs w:val="16"/>
              </w:rPr>
              <w:t>Medium</w:t>
            </w:r>
          </w:p>
        </w:tc>
        <w:tc>
          <w:tcPr>
            <w:tcW w:w="990" w:type="dxa"/>
            <w:tcBorders>
              <w:top w:val="single" w:sz="4" w:space="0" w:color="auto"/>
              <w:bottom w:val="double" w:sz="4" w:space="0" w:color="auto"/>
            </w:tcBorders>
            <w:shd w:val="clear" w:color="auto" w:fill="92D050"/>
          </w:tcPr>
          <w:p>
            <w:pPr>
              <w:spacing w:afterLines="40" w:after="96"/>
              <w:jc w:val="center"/>
              <w:rPr>
                <w:rFonts w:ascii="Helvetica" w:hAnsi="Helvetica" w:cstheme="minorHAnsi"/>
                <w:noProof/>
                <w:sz w:val="16"/>
                <w:szCs w:val="16"/>
              </w:rPr>
            </w:pPr>
            <w:r>
              <w:rPr>
                <w:rFonts w:ascii="Helvetica" w:hAnsi="Helvetica" w:cstheme="minorHAnsi"/>
                <w:noProof/>
                <w:sz w:val="16"/>
                <w:szCs w:val="16"/>
              </w:rPr>
              <w:t>High</w:t>
            </w:r>
            <w:r>
              <w:rPr>
                <w:rFonts w:ascii="Helvetica" w:hAnsi="Helvetica" w:cstheme="minorHAnsi"/>
                <w:noProof/>
                <w:sz w:val="20"/>
                <w:szCs w:val="16"/>
              </w:rPr>
              <w:t>**</w:t>
            </w:r>
          </w:p>
        </w:tc>
        <w:tc>
          <w:tcPr>
            <w:tcW w:w="3240" w:type="dxa"/>
            <w:tcBorders>
              <w:top w:val="single" w:sz="4" w:space="0" w:color="auto"/>
              <w:bottom w:val="double" w:sz="4" w:space="0" w:color="auto"/>
            </w:tcBorders>
          </w:tcPr>
          <w:p>
            <w:pPr>
              <w:spacing w:afterLines="40" w:after="96"/>
              <w:rPr>
                <w:rFonts w:ascii="Helvetica" w:hAnsi="Helvetica" w:cstheme="minorHAnsi"/>
                <w:noProof/>
                <w:sz w:val="16"/>
                <w:szCs w:val="16"/>
              </w:rPr>
            </w:pPr>
            <w:r>
              <w:rPr>
                <w:rFonts w:ascii="Helvetica" w:hAnsi="Helvetica" w:cstheme="minorHAnsi"/>
                <w:noProof/>
                <w:sz w:val="16"/>
                <w:szCs w:val="16"/>
              </w:rPr>
              <w:t>Trends in aviation CO</w:t>
            </w:r>
            <w:r>
              <w:rPr>
                <w:rFonts w:ascii="Helvetica" w:hAnsi="Helvetica" w:cstheme="minorHAnsi"/>
                <w:noProof/>
                <w:sz w:val="16"/>
                <w:szCs w:val="16"/>
                <w:vertAlign w:val="subscript"/>
              </w:rPr>
              <w:t>2</w:t>
            </w:r>
            <w:r>
              <w:rPr>
                <w:rFonts w:ascii="Helvetica" w:hAnsi="Helvetica" w:cstheme="minorHAnsi"/>
                <w:noProof/>
                <w:sz w:val="16"/>
                <w:szCs w:val="16"/>
              </w:rPr>
              <w:t xml:space="preserve"> emissions and differences between simplified C-cycle models</w:t>
            </w:r>
          </w:p>
        </w:tc>
        <w:tc>
          <w:tcPr>
            <w:tcW w:w="2070" w:type="dxa"/>
            <w:tcBorders>
              <w:top w:val="single" w:sz="4" w:space="0" w:color="auto"/>
              <w:bottom w:val="double" w:sz="4" w:space="0" w:color="auto"/>
            </w:tcBorders>
          </w:tcPr>
          <w:p>
            <w:pPr>
              <w:spacing w:afterLines="40" w:after="96"/>
              <w:rPr>
                <w:rFonts w:ascii="Helvetica" w:hAnsi="Helvetica" w:cstheme="minorHAnsi"/>
                <w:noProof/>
                <w:sz w:val="16"/>
                <w:szCs w:val="16"/>
              </w:rPr>
            </w:pPr>
            <w:r>
              <w:rPr>
                <w:rFonts w:ascii="Helvetica" w:hAnsi="Helvetica" w:cstheme="minorHAnsi"/>
                <w:noProof/>
                <w:sz w:val="16"/>
                <w:szCs w:val="16"/>
              </w:rPr>
              <w:t>Better assessment of uncertainties from multiple models</w:t>
            </w:r>
          </w:p>
        </w:tc>
      </w:tr>
      <w:tr>
        <w:tc>
          <w:tcPr>
            <w:tcW w:w="1773" w:type="dxa"/>
            <w:tcBorders>
              <w:top w:val="double" w:sz="4" w:space="0" w:color="auto"/>
              <w:bottom w:val="single" w:sz="4" w:space="0" w:color="auto"/>
            </w:tcBorders>
            <w:shd w:val="clear" w:color="auto" w:fill="FFF2CC"/>
          </w:tcPr>
          <w:p>
            <w:pPr>
              <w:spacing w:afterLines="40" w:after="96"/>
              <w:jc w:val="right"/>
              <w:rPr>
                <w:rFonts w:ascii="Helvetica" w:hAnsi="Helvetica" w:cstheme="minorHAnsi"/>
                <w:b/>
                <w:bCs/>
                <w:noProof/>
                <w:sz w:val="16"/>
                <w:szCs w:val="16"/>
              </w:rPr>
            </w:pPr>
          </w:p>
        </w:tc>
        <w:tc>
          <w:tcPr>
            <w:tcW w:w="927" w:type="dxa"/>
            <w:tcBorders>
              <w:top w:val="double" w:sz="4" w:space="0" w:color="auto"/>
              <w:bottom w:val="single" w:sz="4" w:space="0" w:color="auto"/>
            </w:tcBorders>
            <w:shd w:val="clear" w:color="auto" w:fill="FFF2CC"/>
          </w:tcPr>
          <w:p>
            <w:pPr>
              <w:spacing w:afterLines="40" w:after="96"/>
              <w:jc w:val="center"/>
              <w:rPr>
                <w:rFonts w:ascii="Helvetica" w:hAnsi="Helvetica" w:cstheme="minorHAnsi"/>
                <w:noProof/>
                <w:sz w:val="16"/>
                <w:szCs w:val="16"/>
              </w:rPr>
            </w:pPr>
          </w:p>
        </w:tc>
        <w:tc>
          <w:tcPr>
            <w:tcW w:w="810" w:type="dxa"/>
            <w:tcBorders>
              <w:top w:val="double" w:sz="4" w:space="0" w:color="auto"/>
              <w:bottom w:val="single" w:sz="4" w:space="0" w:color="auto"/>
            </w:tcBorders>
            <w:shd w:val="clear" w:color="auto" w:fill="FFF2CC"/>
          </w:tcPr>
          <w:p>
            <w:pPr>
              <w:spacing w:afterLines="40" w:after="96"/>
              <w:jc w:val="center"/>
              <w:rPr>
                <w:rFonts w:ascii="Helvetica" w:hAnsi="Helvetica" w:cstheme="minorHAnsi"/>
                <w:noProof/>
                <w:sz w:val="16"/>
                <w:szCs w:val="16"/>
              </w:rPr>
            </w:pPr>
          </w:p>
        </w:tc>
        <w:tc>
          <w:tcPr>
            <w:tcW w:w="990" w:type="dxa"/>
            <w:tcBorders>
              <w:top w:val="double" w:sz="4" w:space="0" w:color="auto"/>
              <w:bottom w:val="single" w:sz="4" w:space="0" w:color="auto"/>
            </w:tcBorders>
            <w:shd w:val="clear" w:color="auto" w:fill="FFF2CC"/>
          </w:tcPr>
          <w:p>
            <w:pPr>
              <w:spacing w:afterLines="40" w:after="96"/>
              <w:jc w:val="center"/>
              <w:rPr>
                <w:rFonts w:ascii="Helvetica" w:hAnsi="Helvetica" w:cstheme="minorHAnsi"/>
                <w:noProof/>
                <w:sz w:val="16"/>
                <w:szCs w:val="16"/>
              </w:rPr>
            </w:pPr>
          </w:p>
        </w:tc>
        <w:tc>
          <w:tcPr>
            <w:tcW w:w="3240" w:type="dxa"/>
            <w:tcBorders>
              <w:top w:val="double" w:sz="4" w:space="0" w:color="auto"/>
              <w:bottom w:val="single" w:sz="4" w:space="0" w:color="auto"/>
            </w:tcBorders>
            <w:shd w:val="clear" w:color="auto" w:fill="FFF2CC"/>
          </w:tcPr>
          <w:p>
            <w:pPr>
              <w:spacing w:afterLines="40" w:after="96"/>
              <w:rPr>
                <w:rFonts w:ascii="Helvetica" w:hAnsi="Helvetica" w:cstheme="minorHAnsi"/>
                <w:noProof/>
                <w:sz w:val="16"/>
                <w:szCs w:val="16"/>
              </w:rPr>
            </w:pPr>
          </w:p>
        </w:tc>
        <w:tc>
          <w:tcPr>
            <w:tcW w:w="2070" w:type="dxa"/>
            <w:tcBorders>
              <w:top w:val="double" w:sz="4" w:space="0" w:color="auto"/>
              <w:bottom w:val="single" w:sz="4" w:space="0" w:color="auto"/>
            </w:tcBorders>
            <w:shd w:val="clear" w:color="auto" w:fill="FFF2CC"/>
          </w:tcPr>
          <w:p>
            <w:pPr>
              <w:spacing w:afterLines="40" w:after="96"/>
              <w:rPr>
                <w:rFonts w:ascii="Helvetica" w:hAnsi="Helvetica" w:cstheme="minorHAnsi"/>
                <w:noProof/>
                <w:sz w:val="16"/>
                <w:szCs w:val="16"/>
              </w:rPr>
            </w:pPr>
          </w:p>
        </w:tc>
      </w:tr>
      <w:tr>
        <w:tc>
          <w:tcPr>
            <w:tcW w:w="1773" w:type="dxa"/>
            <w:tcBorders>
              <w:top w:val="single" w:sz="4" w:space="0" w:color="auto"/>
              <w:bottom w:val="single" w:sz="4" w:space="0" w:color="auto"/>
            </w:tcBorders>
            <w:shd w:val="clear" w:color="auto" w:fill="FFF2CC"/>
          </w:tcPr>
          <w:p>
            <w:pPr>
              <w:spacing w:afterLines="40" w:after="96"/>
              <w:jc w:val="right"/>
              <w:rPr>
                <w:rFonts w:ascii="Helvetica" w:hAnsi="Helvetica" w:cstheme="minorHAnsi"/>
                <w:noProof/>
                <w:color w:val="000000" w:themeColor="text1"/>
                <w:sz w:val="16"/>
                <w:szCs w:val="16"/>
              </w:rPr>
            </w:pPr>
            <w:r>
              <w:rPr>
                <w:rFonts w:ascii="Helvetica" w:hAnsi="Helvetica" w:cstheme="minorHAnsi"/>
                <w:noProof/>
                <w:color w:val="000000" w:themeColor="text1"/>
                <w:sz w:val="16"/>
                <w:szCs w:val="16"/>
              </w:rPr>
              <w:t>Short-term ozone increase</w:t>
            </w:r>
          </w:p>
        </w:tc>
        <w:tc>
          <w:tcPr>
            <w:tcW w:w="927" w:type="dxa"/>
            <w:tcBorders>
              <w:top w:val="single" w:sz="4" w:space="0" w:color="auto"/>
              <w:bottom w:val="single" w:sz="4" w:space="0" w:color="auto"/>
            </w:tcBorders>
            <w:shd w:val="clear" w:color="auto" w:fill="FFF2CC"/>
          </w:tcPr>
          <w:p>
            <w:pPr>
              <w:spacing w:afterLines="40" w:after="96"/>
              <w:jc w:val="center"/>
              <w:rPr>
                <w:rFonts w:ascii="Helvetica" w:hAnsi="Helvetica" w:cstheme="minorHAnsi"/>
                <w:noProof/>
                <w:sz w:val="16"/>
                <w:szCs w:val="16"/>
              </w:rPr>
            </w:pPr>
            <w:r>
              <w:rPr>
                <w:rFonts w:ascii="Helvetica" w:hAnsi="Helvetica" w:cstheme="minorHAnsi"/>
                <w:noProof/>
                <w:sz w:val="16"/>
                <w:szCs w:val="16"/>
              </w:rPr>
              <w:t>Medium</w:t>
            </w:r>
          </w:p>
        </w:tc>
        <w:tc>
          <w:tcPr>
            <w:tcW w:w="810" w:type="dxa"/>
            <w:tcBorders>
              <w:top w:val="single" w:sz="4" w:space="0" w:color="auto"/>
              <w:bottom w:val="single" w:sz="4" w:space="0" w:color="auto"/>
            </w:tcBorders>
            <w:shd w:val="clear" w:color="auto" w:fill="FFF2CC"/>
          </w:tcPr>
          <w:p>
            <w:pPr>
              <w:spacing w:afterLines="40" w:after="96"/>
              <w:jc w:val="center"/>
              <w:rPr>
                <w:rFonts w:ascii="Helvetica" w:hAnsi="Helvetica" w:cstheme="minorHAnsi"/>
                <w:noProof/>
                <w:sz w:val="16"/>
                <w:szCs w:val="16"/>
              </w:rPr>
            </w:pPr>
            <w:r>
              <w:rPr>
                <w:rFonts w:ascii="Helvetica" w:hAnsi="Helvetica" w:cstheme="minorHAnsi"/>
                <w:noProof/>
                <w:sz w:val="16"/>
                <w:szCs w:val="16"/>
              </w:rPr>
              <w:t>Medium</w:t>
            </w:r>
          </w:p>
        </w:tc>
        <w:tc>
          <w:tcPr>
            <w:tcW w:w="990" w:type="dxa"/>
            <w:tcBorders>
              <w:top w:val="single" w:sz="4" w:space="0" w:color="auto"/>
              <w:bottom w:val="single" w:sz="4" w:space="0" w:color="auto"/>
            </w:tcBorders>
            <w:shd w:val="clear" w:color="auto" w:fill="FFFF00"/>
          </w:tcPr>
          <w:p>
            <w:pPr>
              <w:spacing w:afterLines="40" w:after="96"/>
              <w:jc w:val="center"/>
              <w:rPr>
                <w:rFonts w:ascii="Helvetica" w:hAnsi="Helvetica" w:cstheme="minorHAnsi"/>
                <w:noProof/>
                <w:sz w:val="16"/>
                <w:szCs w:val="16"/>
              </w:rPr>
            </w:pPr>
            <w:r>
              <w:rPr>
                <w:rFonts w:ascii="Helvetica" w:hAnsi="Helvetica" w:cstheme="minorHAnsi"/>
                <w:noProof/>
                <w:sz w:val="16"/>
                <w:szCs w:val="16"/>
              </w:rPr>
              <w:t>Medium</w:t>
            </w:r>
            <w:r>
              <w:rPr>
                <w:rFonts w:ascii="Helvetica" w:hAnsi="Helvetica" w:cstheme="minorHAnsi"/>
                <w:noProof/>
                <w:sz w:val="20"/>
                <w:szCs w:val="16"/>
              </w:rPr>
              <w:t>*</w:t>
            </w:r>
          </w:p>
        </w:tc>
        <w:tc>
          <w:tcPr>
            <w:tcW w:w="3240" w:type="dxa"/>
            <w:tcBorders>
              <w:top w:val="single" w:sz="4" w:space="0" w:color="auto"/>
              <w:bottom w:val="single" w:sz="4" w:space="0" w:color="auto"/>
            </w:tcBorders>
            <w:shd w:val="clear" w:color="auto" w:fill="FFF2CC"/>
          </w:tcPr>
          <w:p>
            <w:pPr>
              <w:spacing w:afterLines="40" w:after="96"/>
              <w:rPr>
                <w:rFonts w:ascii="Helvetica" w:hAnsi="Helvetica" w:cstheme="minorHAnsi"/>
                <w:noProof/>
                <w:sz w:val="16"/>
                <w:szCs w:val="16"/>
              </w:rPr>
            </w:pPr>
            <w:r>
              <w:rPr>
                <w:rFonts w:ascii="Helvetica" w:hAnsi="Helvetica" w:cstheme="minorHAnsi"/>
                <w:noProof/>
                <w:sz w:val="16"/>
                <w:szCs w:val="16"/>
              </w:rPr>
              <w:t>Observed trends of tropospheric ozone and laboratory studies of chemical kinetics, reliance on a large number of model results for aviation emissions</w:t>
            </w:r>
          </w:p>
        </w:tc>
        <w:tc>
          <w:tcPr>
            <w:tcW w:w="2070" w:type="dxa"/>
            <w:tcBorders>
              <w:top w:val="single" w:sz="4" w:space="0" w:color="auto"/>
              <w:bottom w:val="single" w:sz="4" w:space="0" w:color="auto"/>
            </w:tcBorders>
            <w:shd w:val="clear" w:color="auto" w:fill="FFF2CC"/>
          </w:tcPr>
          <w:p>
            <w:pPr>
              <w:spacing w:afterLines="40" w:after="96"/>
              <w:rPr>
                <w:rFonts w:ascii="Helvetica" w:hAnsi="Helvetica" w:cstheme="minorHAnsi"/>
                <w:noProof/>
                <w:sz w:val="16"/>
                <w:szCs w:val="16"/>
              </w:rPr>
            </w:pPr>
            <w:r>
              <w:rPr>
                <w:rFonts w:ascii="Helvetica" w:hAnsi="Helvetica" w:cstheme="minorHAnsi"/>
                <w:noProof/>
                <w:sz w:val="16"/>
                <w:szCs w:val="16"/>
              </w:rPr>
              <w:t>Elevated owing to many more studies</w:t>
            </w:r>
          </w:p>
        </w:tc>
      </w:tr>
      <w:tr>
        <w:tc>
          <w:tcPr>
            <w:tcW w:w="1773" w:type="dxa"/>
            <w:tcBorders>
              <w:top w:val="single" w:sz="4" w:space="0" w:color="auto"/>
              <w:bottom w:val="single" w:sz="4" w:space="0" w:color="auto"/>
            </w:tcBorders>
            <w:shd w:val="clear" w:color="auto" w:fill="FFF2CC"/>
          </w:tcPr>
          <w:p>
            <w:pPr>
              <w:spacing w:afterLines="40" w:after="96"/>
              <w:jc w:val="right"/>
              <w:rPr>
                <w:rFonts w:ascii="Helvetica" w:hAnsi="Helvetica" w:cstheme="minorHAnsi"/>
                <w:noProof/>
                <w:color w:val="000000" w:themeColor="text1"/>
                <w:sz w:val="16"/>
                <w:szCs w:val="16"/>
              </w:rPr>
            </w:pPr>
            <w:r>
              <w:rPr>
                <w:rFonts w:ascii="Helvetica" w:hAnsi="Helvetica" w:cstheme="minorHAnsi"/>
                <w:noProof/>
                <w:color w:val="000000" w:themeColor="text1"/>
                <w:sz w:val="16"/>
                <w:szCs w:val="16"/>
              </w:rPr>
              <w:t>Long-term ozone decrease</w:t>
            </w:r>
          </w:p>
        </w:tc>
        <w:tc>
          <w:tcPr>
            <w:tcW w:w="927" w:type="dxa"/>
            <w:tcBorders>
              <w:top w:val="single" w:sz="4" w:space="0" w:color="auto"/>
              <w:bottom w:val="single" w:sz="4" w:space="0" w:color="auto"/>
            </w:tcBorders>
            <w:shd w:val="clear" w:color="auto" w:fill="FFF2CC"/>
          </w:tcPr>
          <w:p>
            <w:pPr>
              <w:spacing w:afterLines="40" w:after="96"/>
              <w:jc w:val="center"/>
              <w:rPr>
                <w:rFonts w:ascii="Helvetica" w:hAnsi="Helvetica" w:cstheme="minorHAnsi"/>
                <w:noProof/>
                <w:sz w:val="16"/>
                <w:szCs w:val="16"/>
              </w:rPr>
            </w:pPr>
            <w:r>
              <w:rPr>
                <w:rFonts w:ascii="Helvetica" w:hAnsi="Helvetica" w:cstheme="minorHAnsi"/>
                <w:noProof/>
                <w:sz w:val="16"/>
                <w:szCs w:val="16"/>
              </w:rPr>
              <w:t>Limited</w:t>
            </w:r>
          </w:p>
        </w:tc>
        <w:tc>
          <w:tcPr>
            <w:tcW w:w="810" w:type="dxa"/>
            <w:tcBorders>
              <w:top w:val="single" w:sz="4" w:space="0" w:color="auto"/>
              <w:bottom w:val="single" w:sz="4" w:space="0" w:color="auto"/>
            </w:tcBorders>
            <w:shd w:val="clear" w:color="auto" w:fill="FFF2CC"/>
          </w:tcPr>
          <w:p>
            <w:pPr>
              <w:spacing w:afterLines="40" w:after="96"/>
              <w:jc w:val="center"/>
              <w:rPr>
                <w:rFonts w:ascii="Helvetica" w:hAnsi="Helvetica" w:cstheme="minorHAnsi"/>
                <w:noProof/>
                <w:sz w:val="16"/>
                <w:szCs w:val="16"/>
              </w:rPr>
            </w:pPr>
            <w:r>
              <w:rPr>
                <w:rFonts w:ascii="Helvetica" w:hAnsi="Helvetica" w:cstheme="minorHAnsi"/>
                <w:noProof/>
                <w:sz w:val="16"/>
                <w:szCs w:val="16"/>
              </w:rPr>
              <w:t>Medium</w:t>
            </w:r>
          </w:p>
        </w:tc>
        <w:tc>
          <w:tcPr>
            <w:tcW w:w="990" w:type="dxa"/>
            <w:tcBorders>
              <w:top w:val="single" w:sz="4" w:space="0" w:color="auto"/>
              <w:bottom w:val="single" w:sz="4" w:space="0" w:color="auto"/>
            </w:tcBorders>
            <w:shd w:val="clear" w:color="auto" w:fill="FFC000"/>
          </w:tcPr>
          <w:p>
            <w:pPr>
              <w:spacing w:afterLines="40" w:after="96"/>
              <w:jc w:val="center"/>
              <w:rPr>
                <w:rFonts w:ascii="Helvetica" w:hAnsi="Helvetica" w:cstheme="minorHAnsi"/>
                <w:noProof/>
                <w:sz w:val="16"/>
                <w:szCs w:val="16"/>
              </w:rPr>
            </w:pPr>
            <w:r>
              <w:rPr>
                <w:rFonts w:ascii="Helvetica" w:hAnsi="Helvetica" w:cstheme="minorHAnsi"/>
                <w:noProof/>
                <w:sz w:val="16"/>
                <w:szCs w:val="16"/>
              </w:rPr>
              <w:t>Low</w:t>
            </w:r>
            <w:r>
              <w:rPr>
                <w:rFonts w:ascii="Helvetica" w:hAnsi="Helvetica" w:cstheme="minorHAnsi"/>
                <w:noProof/>
                <w:sz w:val="20"/>
                <w:szCs w:val="16"/>
              </w:rPr>
              <w:t>*</w:t>
            </w:r>
          </w:p>
        </w:tc>
        <w:tc>
          <w:tcPr>
            <w:tcW w:w="3240" w:type="dxa"/>
            <w:tcBorders>
              <w:top w:val="single" w:sz="4" w:space="0" w:color="auto"/>
              <w:bottom w:val="single" w:sz="4" w:space="0" w:color="auto"/>
            </w:tcBorders>
            <w:shd w:val="clear" w:color="auto" w:fill="FFF2CC"/>
          </w:tcPr>
          <w:p>
            <w:pPr>
              <w:spacing w:afterLines="40" w:after="96"/>
              <w:rPr>
                <w:rFonts w:ascii="Helvetica" w:hAnsi="Helvetica" w:cstheme="minorHAnsi"/>
                <w:noProof/>
                <w:sz w:val="16"/>
                <w:szCs w:val="16"/>
              </w:rPr>
            </w:pPr>
            <w:r>
              <w:rPr>
                <w:rFonts w:ascii="Helvetica" w:hAnsi="Helvetica" w:cstheme="minorHAnsi"/>
                <w:noProof/>
                <w:sz w:val="16"/>
                <w:szCs w:val="16"/>
              </w:rPr>
              <w:t>Reliance on chemical modelling studies</w:t>
            </w:r>
          </w:p>
        </w:tc>
        <w:tc>
          <w:tcPr>
            <w:tcW w:w="2070" w:type="dxa"/>
            <w:tcBorders>
              <w:top w:val="single" w:sz="4" w:space="0" w:color="auto"/>
              <w:bottom w:val="single" w:sz="4" w:space="0" w:color="auto"/>
            </w:tcBorders>
            <w:shd w:val="clear" w:color="auto" w:fill="FFF2CC"/>
          </w:tcPr>
          <w:p>
            <w:pPr>
              <w:spacing w:afterLines="40" w:after="96"/>
              <w:rPr>
                <w:rFonts w:ascii="Helvetica" w:hAnsi="Helvetica" w:cstheme="minorHAnsi"/>
                <w:noProof/>
                <w:sz w:val="16"/>
                <w:szCs w:val="16"/>
              </w:rPr>
            </w:pPr>
            <w:r>
              <w:rPr>
                <w:rFonts w:ascii="Helvetica" w:hAnsi="Helvetica" w:cstheme="minorHAnsi"/>
                <w:noProof/>
                <w:sz w:val="16"/>
                <w:szCs w:val="16"/>
              </w:rPr>
              <w:t>Not provided previously</w:t>
            </w:r>
          </w:p>
        </w:tc>
      </w:tr>
      <w:tr>
        <w:tc>
          <w:tcPr>
            <w:tcW w:w="1773" w:type="dxa"/>
            <w:tcBorders>
              <w:top w:val="single" w:sz="4" w:space="0" w:color="auto"/>
              <w:bottom w:val="single" w:sz="4" w:space="0" w:color="auto"/>
            </w:tcBorders>
            <w:shd w:val="clear" w:color="auto" w:fill="FFF2CC"/>
          </w:tcPr>
          <w:p>
            <w:pPr>
              <w:spacing w:afterLines="40" w:after="96"/>
              <w:jc w:val="right"/>
              <w:rPr>
                <w:rFonts w:ascii="Helvetica" w:hAnsi="Helvetica" w:cstheme="minorHAnsi"/>
                <w:noProof/>
                <w:color w:val="000000" w:themeColor="text1"/>
                <w:sz w:val="16"/>
                <w:szCs w:val="16"/>
              </w:rPr>
            </w:pPr>
            <w:r>
              <w:rPr>
                <w:rFonts w:ascii="Helvetica" w:hAnsi="Helvetica" w:cstheme="minorHAnsi"/>
                <w:noProof/>
                <w:color w:val="000000" w:themeColor="text1"/>
                <w:sz w:val="16"/>
                <w:szCs w:val="16"/>
              </w:rPr>
              <w:t>Methane decrease</w:t>
            </w:r>
          </w:p>
        </w:tc>
        <w:tc>
          <w:tcPr>
            <w:tcW w:w="927" w:type="dxa"/>
            <w:tcBorders>
              <w:top w:val="single" w:sz="4" w:space="0" w:color="auto"/>
              <w:bottom w:val="single" w:sz="4" w:space="0" w:color="auto"/>
            </w:tcBorders>
            <w:shd w:val="clear" w:color="auto" w:fill="FFF2CC"/>
          </w:tcPr>
          <w:p>
            <w:pPr>
              <w:spacing w:afterLines="40" w:after="96"/>
              <w:jc w:val="center"/>
              <w:rPr>
                <w:rFonts w:ascii="Helvetica" w:hAnsi="Helvetica" w:cstheme="minorHAnsi"/>
                <w:noProof/>
                <w:sz w:val="16"/>
                <w:szCs w:val="16"/>
              </w:rPr>
            </w:pPr>
            <w:r>
              <w:rPr>
                <w:rFonts w:ascii="Helvetica" w:hAnsi="Helvetica" w:cstheme="minorHAnsi"/>
                <w:noProof/>
                <w:sz w:val="16"/>
                <w:szCs w:val="16"/>
              </w:rPr>
              <w:t>Medium</w:t>
            </w:r>
          </w:p>
        </w:tc>
        <w:tc>
          <w:tcPr>
            <w:tcW w:w="810" w:type="dxa"/>
            <w:tcBorders>
              <w:top w:val="single" w:sz="4" w:space="0" w:color="auto"/>
              <w:bottom w:val="single" w:sz="4" w:space="0" w:color="auto"/>
            </w:tcBorders>
            <w:shd w:val="clear" w:color="auto" w:fill="FFF2CC"/>
          </w:tcPr>
          <w:p>
            <w:pPr>
              <w:spacing w:afterLines="40" w:after="96"/>
              <w:jc w:val="center"/>
              <w:rPr>
                <w:rFonts w:ascii="Helvetica" w:hAnsi="Helvetica" w:cstheme="minorHAnsi"/>
                <w:noProof/>
                <w:sz w:val="16"/>
                <w:szCs w:val="16"/>
              </w:rPr>
            </w:pPr>
            <w:r>
              <w:rPr>
                <w:rFonts w:ascii="Helvetica" w:hAnsi="Helvetica" w:cstheme="minorHAnsi"/>
                <w:noProof/>
                <w:sz w:val="16"/>
                <w:szCs w:val="16"/>
              </w:rPr>
              <w:t>Medium</w:t>
            </w:r>
          </w:p>
        </w:tc>
        <w:tc>
          <w:tcPr>
            <w:tcW w:w="990" w:type="dxa"/>
            <w:tcBorders>
              <w:top w:val="single" w:sz="4" w:space="0" w:color="auto"/>
              <w:bottom w:val="single" w:sz="4" w:space="0" w:color="auto"/>
            </w:tcBorders>
            <w:shd w:val="clear" w:color="auto" w:fill="FFFF00"/>
          </w:tcPr>
          <w:p>
            <w:pPr>
              <w:spacing w:afterLines="40" w:after="96"/>
              <w:jc w:val="center"/>
              <w:rPr>
                <w:rFonts w:ascii="Helvetica" w:hAnsi="Helvetica" w:cstheme="minorHAnsi"/>
                <w:noProof/>
                <w:sz w:val="16"/>
                <w:szCs w:val="16"/>
              </w:rPr>
            </w:pPr>
            <w:r>
              <w:rPr>
                <w:rFonts w:ascii="Helvetica" w:hAnsi="Helvetica" w:cstheme="minorHAnsi"/>
                <w:noProof/>
                <w:sz w:val="16"/>
                <w:szCs w:val="16"/>
              </w:rPr>
              <w:t>Medium*</w:t>
            </w:r>
          </w:p>
        </w:tc>
        <w:tc>
          <w:tcPr>
            <w:tcW w:w="3240" w:type="dxa"/>
            <w:tcBorders>
              <w:top w:val="single" w:sz="4" w:space="0" w:color="auto"/>
              <w:bottom w:val="single" w:sz="4" w:space="0" w:color="auto"/>
            </w:tcBorders>
            <w:shd w:val="clear" w:color="auto" w:fill="FFF2CC"/>
          </w:tcPr>
          <w:p>
            <w:pPr>
              <w:spacing w:afterLines="40" w:after="96"/>
              <w:rPr>
                <w:rFonts w:ascii="Helvetica" w:hAnsi="Helvetica" w:cstheme="minorHAnsi"/>
                <w:noProof/>
                <w:sz w:val="16"/>
                <w:szCs w:val="16"/>
              </w:rPr>
            </w:pPr>
            <w:r>
              <w:rPr>
                <w:rFonts w:ascii="Helvetica" w:hAnsi="Helvetica" w:cstheme="minorHAnsi"/>
                <w:noProof/>
                <w:sz w:val="16"/>
                <w:szCs w:val="16"/>
              </w:rPr>
              <w:t>Observed trends of tropospheric methane and laboratory studies of chemical kinetics, reliance on a large number of model results for aviation emissions</w:t>
            </w:r>
          </w:p>
          <w:p>
            <w:pPr>
              <w:spacing w:afterLines="40" w:after="96"/>
              <w:rPr>
                <w:rFonts w:ascii="Helvetica" w:hAnsi="Helvetica" w:cstheme="minorHAnsi"/>
                <w:noProof/>
                <w:sz w:val="16"/>
                <w:szCs w:val="16"/>
              </w:rPr>
            </w:pPr>
          </w:p>
        </w:tc>
        <w:tc>
          <w:tcPr>
            <w:tcW w:w="2070" w:type="dxa"/>
            <w:tcBorders>
              <w:top w:val="single" w:sz="4" w:space="0" w:color="auto"/>
              <w:bottom w:val="single" w:sz="4" w:space="0" w:color="auto"/>
            </w:tcBorders>
            <w:shd w:val="clear" w:color="auto" w:fill="FFF2CC"/>
          </w:tcPr>
          <w:p>
            <w:pPr>
              <w:spacing w:afterLines="40" w:after="96"/>
              <w:rPr>
                <w:rFonts w:ascii="Helvetica" w:hAnsi="Helvetica" w:cstheme="minorHAnsi"/>
                <w:noProof/>
                <w:sz w:val="16"/>
                <w:szCs w:val="16"/>
              </w:rPr>
            </w:pPr>
            <w:r>
              <w:rPr>
                <w:rFonts w:ascii="Helvetica" w:hAnsi="Helvetica" w:cstheme="minorHAnsi"/>
                <w:noProof/>
                <w:sz w:val="16"/>
                <w:szCs w:val="16"/>
              </w:rPr>
              <w:t>Elevated owing to many more studies</w:t>
            </w:r>
          </w:p>
        </w:tc>
      </w:tr>
      <w:tr>
        <w:tc>
          <w:tcPr>
            <w:tcW w:w="1773" w:type="dxa"/>
            <w:tcBorders>
              <w:top w:val="single" w:sz="4" w:space="0" w:color="auto"/>
              <w:bottom w:val="single" w:sz="4" w:space="0" w:color="auto"/>
            </w:tcBorders>
            <w:shd w:val="clear" w:color="auto" w:fill="FFF2CC"/>
          </w:tcPr>
          <w:p>
            <w:pPr>
              <w:spacing w:afterLines="40" w:after="96"/>
              <w:jc w:val="right"/>
              <w:rPr>
                <w:rFonts w:ascii="Helvetica" w:hAnsi="Helvetica" w:cstheme="minorHAnsi"/>
                <w:noProof/>
                <w:color w:val="000000" w:themeColor="text1"/>
                <w:sz w:val="16"/>
                <w:szCs w:val="16"/>
              </w:rPr>
            </w:pPr>
            <w:r>
              <w:rPr>
                <w:rFonts w:ascii="Helvetica" w:hAnsi="Helvetica" w:cstheme="minorHAnsi"/>
                <w:noProof/>
                <w:color w:val="000000" w:themeColor="text1"/>
                <w:sz w:val="16"/>
                <w:szCs w:val="16"/>
              </w:rPr>
              <w:t>Stratospheric water vapour decrease</w:t>
            </w:r>
          </w:p>
        </w:tc>
        <w:tc>
          <w:tcPr>
            <w:tcW w:w="927" w:type="dxa"/>
            <w:tcBorders>
              <w:top w:val="single" w:sz="4" w:space="0" w:color="auto"/>
              <w:bottom w:val="single" w:sz="4" w:space="0" w:color="auto"/>
            </w:tcBorders>
            <w:shd w:val="clear" w:color="auto" w:fill="FFF2CC"/>
          </w:tcPr>
          <w:p>
            <w:pPr>
              <w:spacing w:afterLines="40" w:after="96"/>
              <w:jc w:val="center"/>
              <w:rPr>
                <w:rFonts w:ascii="Helvetica" w:hAnsi="Helvetica" w:cstheme="minorHAnsi"/>
                <w:noProof/>
                <w:sz w:val="16"/>
                <w:szCs w:val="16"/>
              </w:rPr>
            </w:pPr>
            <w:r>
              <w:rPr>
                <w:rFonts w:ascii="Helvetica" w:hAnsi="Helvetica" w:cstheme="minorHAnsi"/>
                <w:noProof/>
                <w:sz w:val="16"/>
                <w:szCs w:val="16"/>
              </w:rPr>
              <w:t xml:space="preserve">Limited </w:t>
            </w:r>
          </w:p>
        </w:tc>
        <w:tc>
          <w:tcPr>
            <w:tcW w:w="810" w:type="dxa"/>
            <w:tcBorders>
              <w:top w:val="single" w:sz="4" w:space="0" w:color="auto"/>
              <w:bottom w:val="single" w:sz="4" w:space="0" w:color="auto"/>
            </w:tcBorders>
            <w:shd w:val="clear" w:color="auto" w:fill="FFF2CC"/>
          </w:tcPr>
          <w:p>
            <w:pPr>
              <w:spacing w:afterLines="40" w:after="96"/>
              <w:jc w:val="center"/>
              <w:rPr>
                <w:rFonts w:ascii="Helvetica" w:hAnsi="Helvetica" w:cstheme="minorHAnsi"/>
                <w:noProof/>
                <w:sz w:val="16"/>
                <w:szCs w:val="16"/>
              </w:rPr>
            </w:pPr>
            <w:r>
              <w:rPr>
                <w:rFonts w:ascii="Helvetica" w:hAnsi="Helvetica" w:cstheme="minorHAnsi"/>
                <w:noProof/>
                <w:sz w:val="16"/>
                <w:szCs w:val="16"/>
              </w:rPr>
              <w:t>Medium</w:t>
            </w:r>
          </w:p>
        </w:tc>
        <w:tc>
          <w:tcPr>
            <w:tcW w:w="990" w:type="dxa"/>
            <w:tcBorders>
              <w:top w:val="single" w:sz="4" w:space="0" w:color="auto"/>
              <w:bottom w:val="single" w:sz="4" w:space="0" w:color="auto"/>
            </w:tcBorders>
            <w:shd w:val="clear" w:color="auto" w:fill="FFC000"/>
          </w:tcPr>
          <w:p>
            <w:pPr>
              <w:spacing w:afterLines="40" w:after="96"/>
              <w:jc w:val="center"/>
              <w:rPr>
                <w:rFonts w:ascii="Helvetica" w:hAnsi="Helvetica" w:cstheme="minorHAnsi"/>
                <w:noProof/>
                <w:sz w:val="16"/>
                <w:szCs w:val="16"/>
              </w:rPr>
            </w:pPr>
            <w:r>
              <w:rPr>
                <w:rFonts w:ascii="Helvetica" w:hAnsi="Helvetica" w:cstheme="minorHAnsi"/>
                <w:noProof/>
                <w:sz w:val="16"/>
                <w:szCs w:val="16"/>
              </w:rPr>
              <w:t>Low</w:t>
            </w:r>
            <w:r>
              <w:rPr>
                <w:rFonts w:ascii="Helvetica" w:hAnsi="Helvetica" w:cstheme="minorHAnsi"/>
                <w:noProof/>
                <w:sz w:val="20"/>
                <w:szCs w:val="16"/>
              </w:rPr>
              <w:t>*</w:t>
            </w:r>
          </w:p>
        </w:tc>
        <w:tc>
          <w:tcPr>
            <w:tcW w:w="3240" w:type="dxa"/>
            <w:tcBorders>
              <w:top w:val="single" w:sz="4" w:space="0" w:color="auto"/>
              <w:bottom w:val="single" w:sz="4" w:space="0" w:color="auto"/>
            </w:tcBorders>
            <w:shd w:val="clear" w:color="auto" w:fill="FFF2CC"/>
          </w:tcPr>
          <w:p>
            <w:pPr>
              <w:spacing w:afterLines="40" w:after="96"/>
              <w:rPr>
                <w:rFonts w:ascii="Helvetica" w:hAnsi="Helvetica" w:cstheme="minorHAnsi"/>
                <w:noProof/>
                <w:sz w:val="16"/>
                <w:szCs w:val="16"/>
              </w:rPr>
            </w:pPr>
            <w:r>
              <w:rPr>
                <w:rFonts w:ascii="Helvetica" w:hAnsi="Helvetica" w:cstheme="minorHAnsi"/>
                <w:noProof/>
                <w:sz w:val="16"/>
                <w:szCs w:val="16"/>
              </w:rPr>
              <w:t>Reliance on chemical modelling studies</w:t>
            </w:r>
          </w:p>
        </w:tc>
        <w:tc>
          <w:tcPr>
            <w:tcW w:w="2070" w:type="dxa"/>
            <w:tcBorders>
              <w:top w:val="single" w:sz="4" w:space="0" w:color="auto"/>
              <w:bottom w:val="single" w:sz="4" w:space="0" w:color="auto"/>
            </w:tcBorders>
            <w:shd w:val="clear" w:color="auto" w:fill="FFF2CC"/>
          </w:tcPr>
          <w:p>
            <w:pPr>
              <w:spacing w:afterLines="40" w:after="96"/>
              <w:rPr>
                <w:rFonts w:ascii="Helvetica" w:hAnsi="Helvetica" w:cstheme="minorHAnsi"/>
                <w:noProof/>
                <w:sz w:val="16"/>
                <w:szCs w:val="16"/>
              </w:rPr>
            </w:pPr>
            <w:r>
              <w:rPr>
                <w:rFonts w:ascii="Helvetica" w:hAnsi="Helvetica" w:cstheme="minorHAnsi"/>
                <w:noProof/>
                <w:sz w:val="16"/>
                <w:szCs w:val="16"/>
              </w:rPr>
              <w:t>Not provided previously</w:t>
            </w:r>
          </w:p>
        </w:tc>
      </w:tr>
      <w:tr>
        <w:tc>
          <w:tcPr>
            <w:tcW w:w="1773" w:type="dxa"/>
            <w:tcBorders>
              <w:top w:val="single" w:sz="4" w:space="0" w:color="auto"/>
              <w:bottom w:val="double" w:sz="4" w:space="0" w:color="auto"/>
            </w:tcBorders>
            <w:shd w:val="clear" w:color="auto" w:fill="FFF2CC"/>
          </w:tcPr>
          <w:p>
            <w:pPr>
              <w:spacing w:afterLines="40" w:after="96"/>
              <w:jc w:val="right"/>
              <w:rPr>
                <w:rFonts w:ascii="Helvetica" w:hAnsi="Helvetica" w:cstheme="minorHAnsi"/>
                <w:b/>
                <w:bCs/>
                <w:noProof/>
                <w:color w:val="000000" w:themeColor="text1"/>
                <w:sz w:val="16"/>
                <w:szCs w:val="16"/>
              </w:rPr>
            </w:pPr>
            <w:r>
              <w:rPr>
                <w:rFonts w:ascii="Helvetica" w:hAnsi="Helvetica" w:cstheme="minorHAnsi"/>
                <w:b/>
                <w:bCs/>
                <w:noProof/>
                <w:color w:val="000000" w:themeColor="text1"/>
                <w:sz w:val="16"/>
                <w:szCs w:val="16"/>
              </w:rPr>
              <w:t>Net NO</w:t>
            </w:r>
            <w:r>
              <w:rPr>
                <w:rFonts w:ascii="Helvetica" w:hAnsi="Helvetica" w:cstheme="minorHAnsi"/>
                <w:b/>
                <w:bCs/>
                <w:noProof/>
                <w:color w:val="000000" w:themeColor="text1"/>
                <w:sz w:val="16"/>
                <w:szCs w:val="16"/>
                <w:vertAlign w:val="subscript"/>
              </w:rPr>
              <w:t>x</w:t>
            </w:r>
          </w:p>
        </w:tc>
        <w:tc>
          <w:tcPr>
            <w:tcW w:w="927" w:type="dxa"/>
            <w:tcBorders>
              <w:top w:val="single" w:sz="4" w:space="0" w:color="auto"/>
              <w:bottom w:val="double" w:sz="4" w:space="0" w:color="auto"/>
            </w:tcBorders>
            <w:shd w:val="clear" w:color="auto" w:fill="FFF2CC"/>
          </w:tcPr>
          <w:p>
            <w:pPr>
              <w:spacing w:afterLines="40" w:after="96"/>
              <w:jc w:val="center"/>
              <w:rPr>
                <w:rFonts w:ascii="Helvetica" w:hAnsi="Helvetica" w:cstheme="minorHAnsi"/>
                <w:noProof/>
                <w:sz w:val="16"/>
                <w:szCs w:val="16"/>
              </w:rPr>
            </w:pPr>
            <w:r>
              <w:rPr>
                <w:rFonts w:ascii="Helvetica" w:hAnsi="Helvetica" w:cstheme="minorHAnsi"/>
                <w:noProof/>
                <w:sz w:val="16"/>
                <w:szCs w:val="16"/>
              </w:rPr>
              <w:t>Medium</w:t>
            </w:r>
          </w:p>
        </w:tc>
        <w:tc>
          <w:tcPr>
            <w:tcW w:w="810" w:type="dxa"/>
            <w:tcBorders>
              <w:top w:val="single" w:sz="4" w:space="0" w:color="auto"/>
              <w:bottom w:val="double" w:sz="4" w:space="0" w:color="auto"/>
            </w:tcBorders>
            <w:shd w:val="clear" w:color="auto" w:fill="FFF2CC"/>
          </w:tcPr>
          <w:p>
            <w:pPr>
              <w:spacing w:afterLines="40" w:after="96"/>
              <w:jc w:val="center"/>
              <w:rPr>
                <w:rFonts w:ascii="Helvetica" w:hAnsi="Helvetica" w:cstheme="minorHAnsi"/>
                <w:noProof/>
                <w:sz w:val="16"/>
                <w:szCs w:val="16"/>
              </w:rPr>
            </w:pPr>
            <w:r>
              <w:rPr>
                <w:rFonts w:ascii="Helvetica" w:hAnsi="Helvetica" w:cstheme="minorHAnsi"/>
                <w:noProof/>
                <w:sz w:val="16"/>
                <w:szCs w:val="16"/>
              </w:rPr>
              <w:t>Limited</w:t>
            </w:r>
          </w:p>
        </w:tc>
        <w:tc>
          <w:tcPr>
            <w:tcW w:w="990" w:type="dxa"/>
            <w:tcBorders>
              <w:top w:val="single" w:sz="4" w:space="0" w:color="auto"/>
              <w:bottom w:val="double" w:sz="4" w:space="0" w:color="auto"/>
            </w:tcBorders>
            <w:shd w:val="clear" w:color="auto" w:fill="FFC000"/>
          </w:tcPr>
          <w:p>
            <w:pPr>
              <w:spacing w:afterLines="40" w:after="96"/>
              <w:jc w:val="center"/>
              <w:rPr>
                <w:rFonts w:ascii="Helvetica" w:hAnsi="Helvetica" w:cstheme="minorHAnsi"/>
                <w:noProof/>
                <w:sz w:val="16"/>
                <w:szCs w:val="16"/>
              </w:rPr>
            </w:pPr>
            <w:r>
              <w:rPr>
                <w:rFonts w:ascii="Helvetica" w:hAnsi="Helvetica" w:cstheme="minorHAnsi"/>
                <w:noProof/>
                <w:sz w:val="16"/>
                <w:szCs w:val="16"/>
              </w:rPr>
              <w:t>Low</w:t>
            </w:r>
            <w:r>
              <w:rPr>
                <w:rFonts w:ascii="Helvetica" w:hAnsi="Helvetica" w:cstheme="minorHAnsi"/>
                <w:noProof/>
                <w:sz w:val="20"/>
                <w:szCs w:val="16"/>
              </w:rPr>
              <w:t>*</w:t>
            </w:r>
          </w:p>
        </w:tc>
        <w:tc>
          <w:tcPr>
            <w:tcW w:w="3240" w:type="dxa"/>
            <w:tcBorders>
              <w:top w:val="single" w:sz="4" w:space="0" w:color="auto"/>
              <w:bottom w:val="double" w:sz="4" w:space="0" w:color="auto"/>
            </w:tcBorders>
            <w:shd w:val="clear" w:color="auto" w:fill="FFF2CC"/>
          </w:tcPr>
          <w:p>
            <w:pPr>
              <w:spacing w:afterLines="40" w:after="96"/>
              <w:rPr>
                <w:rFonts w:ascii="Helvetica" w:hAnsi="Helvetica" w:cstheme="minorHAnsi"/>
                <w:noProof/>
                <w:sz w:val="16"/>
                <w:szCs w:val="16"/>
              </w:rPr>
            </w:pPr>
            <w:r>
              <w:rPr>
                <w:rFonts w:ascii="Helvetica" w:hAnsi="Helvetica" w:cstheme="minorHAnsi"/>
                <w:noProof/>
                <w:sz w:val="16"/>
                <w:szCs w:val="16"/>
              </w:rPr>
              <w:t>Associated uncertainties with combining above effects</w:t>
            </w:r>
          </w:p>
        </w:tc>
        <w:tc>
          <w:tcPr>
            <w:tcW w:w="2070" w:type="dxa"/>
            <w:tcBorders>
              <w:top w:val="single" w:sz="4" w:space="0" w:color="auto"/>
              <w:bottom w:val="double" w:sz="4" w:space="0" w:color="auto"/>
            </w:tcBorders>
            <w:shd w:val="clear" w:color="auto" w:fill="FFF2CC"/>
          </w:tcPr>
          <w:p>
            <w:pPr>
              <w:spacing w:afterLines="40" w:after="96"/>
              <w:rPr>
                <w:rFonts w:ascii="Helvetica" w:hAnsi="Helvetica" w:cstheme="minorHAnsi"/>
                <w:noProof/>
                <w:sz w:val="16"/>
                <w:szCs w:val="16"/>
              </w:rPr>
            </w:pPr>
            <w:r>
              <w:rPr>
                <w:rFonts w:ascii="Helvetica" w:hAnsi="Helvetica" w:cstheme="minorHAnsi"/>
                <w:noProof/>
                <w:sz w:val="16"/>
                <w:szCs w:val="16"/>
              </w:rPr>
              <w:t>Elevated owing to more studies but lowered in total owing to additional terms and methodological constraints</w:t>
            </w:r>
          </w:p>
        </w:tc>
      </w:tr>
      <w:tr>
        <w:tc>
          <w:tcPr>
            <w:tcW w:w="1773" w:type="dxa"/>
            <w:tcBorders>
              <w:top w:val="double" w:sz="4" w:space="0" w:color="auto"/>
              <w:bottom w:val="double" w:sz="4" w:space="0" w:color="auto"/>
            </w:tcBorders>
            <w:shd w:val="clear" w:color="auto" w:fill="auto"/>
          </w:tcPr>
          <w:p>
            <w:pPr>
              <w:spacing w:afterLines="40" w:after="96"/>
              <w:jc w:val="right"/>
              <w:rPr>
                <w:rFonts w:ascii="Helvetica" w:hAnsi="Helvetica" w:cstheme="minorHAnsi"/>
                <w:b/>
                <w:bCs/>
                <w:noProof/>
                <w:sz w:val="16"/>
                <w:szCs w:val="16"/>
              </w:rPr>
            </w:pPr>
            <w:r>
              <w:rPr>
                <w:rFonts w:ascii="Helvetica" w:hAnsi="Helvetica" w:cstheme="minorHAnsi"/>
                <w:b/>
                <w:bCs/>
                <w:noProof/>
                <w:sz w:val="16"/>
                <w:szCs w:val="16"/>
              </w:rPr>
              <w:t>Water vapor emissions in the stratosphere</w:t>
            </w:r>
          </w:p>
        </w:tc>
        <w:tc>
          <w:tcPr>
            <w:tcW w:w="927" w:type="dxa"/>
            <w:tcBorders>
              <w:top w:val="double" w:sz="4" w:space="0" w:color="auto"/>
              <w:bottom w:val="double" w:sz="4" w:space="0" w:color="auto"/>
            </w:tcBorders>
            <w:shd w:val="clear" w:color="auto" w:fill="auto"/>
          </w:tcPr>
          <w:p>
            <w:pPr>
              <w:spacing w:afterLines="40" w:after="96"/>
              <w:jc w:val="center"/>
              <w:rPr>
                <w:rFonts w:ascii="Helvetica" w:hAnsi="Helvetica" w:cstheme="minorHAnsi"/>
                <w:noProof/>
                <w:sz w:val="16"/>
                <w:szCs w:val="16"/>
              </w:rPr>
            </w:pPr>
            <w:r>
              <w:rPr>
                <w:rFonts w:ascii="Helvetica" w:hAnsi="Helvetica" w:cstheme="minorHAnsi"/>
                <w:noProof/>
                <w:sz w:val="16"/>
                <w:szCs w:val="16"/>
              </w:rPr>
              <w:t>Medium</w:t>
            </w:r>
          </w:p>
        </w:tc>
        <w:tc>
          <w:tcPr>
            <w:tcW w:w="810" w:type="dxa"/>
            <w:tcBorders>
              <w:top w:val="double" w:sz="4" w:space="0" w:color="auto"/>
              <w:bottom w:val="double" w:sz="4" w:space="0" w:color="auto"/>
            </w:tcBorders>
            <w:shd w:val="clear" w:color="auto" w:fill="auto"/>
          </w:tcPr>
          <w:p>
            <w:pPr>
              <w:spacing w:afterLines="40" w:after="96"/>
              <w:jc w:val="center"/>
              <w:rPr>
                <w:rFonts w:ascii="Helvetica" w:hAnsi="Helvetica" w:cstheme="minorHAnsi"/>
                <w:noProof/>
                <w:sz w:val="16"/>
                <w:szCs w:val="16"/>
              </w:rPr>
            </w:pPr>
            <w:r>
              <w:rPr>
                <w:rFonts w:ascii="Helvetica" w:hAnsi="Helvetica" w:cstheme="minorHAnsi"/>
                <w:noProof/>
                <w:sz w:val="16"/>
                <w:szCs w:val="16"/>
              </w:rPr>
              <w:t>Medium</w:t>
            </w:r>
          </w:p>
        </w:tc>
        <w:tc>
          <w:tcPr>
            <w:tcW w:w="990" w:type="dxa"/>
            <w:tcBorders>
              <w:top w:val="double" w:sz="4" w:space="0" w:color="auto"/>
              <w:bottom w:val="double" w:sz="4" w:space="0" w:color="auto"/>
            </w:tcBorders>
            <w:shd w:val="clear" w:color="auto" w:fill="FFFF00"/>
          </w:tcPr>
          <w:p>
            <w:pPr>
              <w:spacing w:afterLines="40" w:after="96"/>
              <w:jc w:val="center"/>
              <w:rPr>
                <w:rFonts w:ascii="Helvetica" w:hAnsi="Helvetica" w:cstheme="minorHAnsi"/>
                <w:noProof/>
                <w:sz w:val="16"/>
                <w:szCs w:val="16"/>
              </w:rPr>
            </w:pPr>
            <w:r>
              <w:rPr>
                <w:rFonts w:ascii="Helvetica" w:hAnsi="Helvetica" w:cstheme="minorHAnsi"/>
                <w:noProof/>
                <w:sz w:val="16"/>
                <w:szCs w:val="16"/>
              </w:rPr>
              <w:t>Medium</w:t>
            </w:r>
          </w:p>
        </w:tc>
        <w:tc>
          <w:tcPr>
            <w:tcW w:w="3240" w:type="dxa"/>
            <w:tcBorders>
              <w:top w:val="double" w:sz="4" w:space="0" w:color="auto"/>
              <w:bottom w:val="double" w:sz="4" w:space="0" w:color="auto"/>
            </w:tcBorders>
            <w:shd w:val="clear" w:color="auto" w:fill="auto"/>
          </w:tcPr>
          <w:p>
            <w:pPr>
              <w:spacing w:afterLines="40" w:after="96"/>
              <w:rPr>
                <w:rFonts w:ascii="Helvetica" w:hAnsi="Helvetica" w:cstheme="minorHAnsi"/>
                <w:noProof/>
                <w:sz w:val="16"/>
                <w:szCs w:val="16"/>
              </w:rPr>
            </w:pPr>
            <w:r>
              <w:rPr>
                <w:rFonts w:ascii="Helvetica" w:hAnsi="Helvetica" w:cstheme="minorHAnsi"/>
                <w:noProof/>
                <w:sz w:val="16"/>
                <w:szCs w:val="16"/>
              </w:rPr>
              <w:t>Limited studies of perturbation of water vapor budget of UT/LS</w:t>
            </w:r>
          </w:p>
        </w:tc>
        <w:tc>
          <w:tcPr>
            <w:tcW w:w="2070" w:type="dxa"/>
            <w:tcBorders>
              <w:top w:val="double" w:sz="4" w:space="0" w:color="auto"/>
              <w:bottom w:val="double" w:sz="4" w:space="0" w:color="auto"/>
            </w:tcBorders>
            <w:shd w:val="clear" w:color="auto" w:fill="auto"/>
          </w:tcPr>
          <w:p>
            <w:pPr>
              <w:spacing w:afterLines="40" w:after="96"/>
              <w:rPr>
                <w:rFonts w:ascii="Helvetica" w:hAnsi="Helvetica" w:cstheme="minorHAnsi"/>
                <w:noProof/>
                <w:sz w:val="16"/>
                <w:szCs w:val="16"/>
              </w:rPr>
            </w:pPr>
            <w:r>
              <w:rPr>
                <w:rFonts w:ascii="Helvetica" w:hAnsi="Helvetica" w:cstheme="minorHAnsi"/>
                <w:noProof/>
                <w:sz w:val="16"/>
                <w:szCs w:val="16"/>
              </w:rPr>
              <w:t>Elevated owing to more studies</w:t>
            </w:r>
          </w:p>
        </w:tc>
      </w:tr>
      <w:tr>
        <w:tc>
          <w:tcPr>
            <w:tcW w:w="1773" w:type="dxa"/>
            <w:tcBorders>
              <w:top w:val="double" w:sz="4" w:space="0" w:color="auto"/>
              <w:bottom w:val="single" w:sz="4" w:space="0" w:color="auto"/>
            </w:tcBorders>
            <w:shd w:val="clear" w:color="auto" w:fill="FFF2CC"/>
          </w:tcPr>
          <w:p>
            <w:pPr>
              <w:spacing w:afterLines="40" w:after="96"/>
              <w:jc w:val="right"/>
              <w:rPr>
                <w:rFonts w:ascii="Helvetica" w:hAnsi="Helvetica" w:cstheme="minorHAnsi"/>
                <w:b/>
                <w:bCs/>
                <w:noProof/>
                <w:sz w:val="16"/>
                <w:szCs w:val="16"/>
              </w:rPr>
            </w:pPr>
            <w:r>
              <w:rPr>
                <w:rFonts w:ascii="Helvetica" w:hAnsi="Helvetica" w:cstheme="minorHAnsi"/>
                <w:b/>
                <w:bCs/>
                <w:noProof/>
                <w:sz w:val="16"/>
                <w:szCs w:val="16"/>
              </w:rPr>
              <w:t>Aerosol-radiation interactions</w:t>
            </w:r>
          </w:p>
        </w:tc>
        <w:tc>
          <w:tcPr>
            <w:tcW w:w="927" w:type="dxa"/>
            <w:tcBorders>
              <w:top w:val="double" w:sz="4" w:space="0" w:color="auto"/>
              <w:bottom w:val="single" w:sz="4" w:space="0" w:color="auto"/>
            </w:tcBorders>
            <w:shd w:val="clear" w:color="auto" w:fill="FFF2CC"/>
          </w:tcPr>
          <w:p>
            <w:pPr>
              <w:spacing w:afterLines="40" w:after="96"/>
              <w:jc w:val="center"/>
              <w:rPr>
                <w:rFonts w:ascii="Helvetica" w:hAnsi="Helvetica" w:cstheme="minorHAnsi"/>
                <w:noProof/>
                <w:sz w:val="16"/>
                <w:szCs w:val="16"/>
              </w:rPr>
            </w:pPr>
          </w:p>
        </w:tc>
        <w:tc>
          <w:tcPr>
            <w:tcW w:w="810" w:type="dxa"/>
            <w:tcBorders>
              <w:top w:val="double" w:sz="4" w:space="0" w:color="auto"/>
              <w:bottom w:val="single" w:sz="4" w:space="0" w:color="auto"/>
            </w:tcBorders>
            <w:shd w:val="clear" w:color="auto" w:fill="FFF2CC"/>
          </w:tcPr>
          <w:p>
            <w:pPr>
              <w:spacing w:afterLines="40" w:after="96"/>
              <w:jc w:val="center"/>
              <w:rPr>
                <w:rFonts w:ascii="Helvetica" w:hAnsi="Helvetica" w:cstheme="minorHAnsi"/>
                <w:noProof/>
                <w:sz w:val="16"/>
                <w:szCs w:val="16"/>
              </w:rPr>
            </w:pPr>
          </w:p>
        </w:tc>
        <w:tc>
          <w:tcPr>
            <w:tcW w:w="990" w:type="dxa"/>
            <w:tcBorders>
              <w:top w:val="double" w:sz="4" w:space="0" w:color="auto"/>
              <w:bottom w:val="single" w:sz="4" w:space="0" w:color="auto"/>
            </w:tcBorders>
            <w:shd w:val="clear" w:color="auto" w:fill="FFF2CC" w:themeFill="accent4" w:themeFillTint="33"/>
          </w:tcPr>
          <w:p>
            <w:pPr>
              <w:spacing w:afterLines="40" w:after="96"/>
              <w:jc w:val="center"/>
              <w:rPr>
                <w:rFonts w:ascii="Helvetica" w:hAnsi="Helvetica" w:cstheme="minorHAnsi"/>
                <w:noProof/>
                <w:sz w:val="16"/>
                <w:szCs w:val="16"/>
              </w:rPr>
            </w:pPr>
          </w:p>
        </w:tc>
        <w:tc>
          <w:tcPr>
            <w:tcW w:w="3240" w:type="dxa"/>
            <w:tcBorders>
              <w:top w:val="double" w:sz="4" w:space="0" w:color="auto"/>
              <w:bottom w:val="single" w:sz="4" w:space="0" w:color="auto"/>
            </w:tcBorders>
            <w:shd w:val="clear" w:color="auto" w:fill="FFF2CC"/>
          </w:tcPr>
          <w:p>
            <w:pPr>
              <w:spacing w:afterLines="40" w:after="96"/>
              <w:rPr>
                <w:rFonts w:ascii="Helvetica" w:hAnsi="Helvetica" w:cstheme="minorHAnsi"/>
                <w:noProof/>
                <w:sz w:val="16"/>
                <w:szCs w:val="16"/>
              </w:rPr>
            </w:pPr>
          </w:p>
        </w:tc>
        <w:tc>
          <w:tcPr>
            <w:tcW w:w="2070" w:type="dxa"/>
            <w:tcBorders>
              <w:top w:val="double" w:sz="4" w:space="0" w:color="auto"/>
              <w:bottom w:val="single" w:sz="4" w:space="0" w:color="auto"/>
            </w:tcBorders>
            <w:shd w:val="clear" w:color="auto" w:fill="FFF2CC"/>
          </w:tcPr>
          <w:p>
            <w:pPr>
              <w:spacing w:afterLines="40" w:after="96"/>
              <w:rPr>
                <w:rFonts w:ascii="Helvetica" w:hAnsi="Helvetica" w:cstheme="minorHAnsi"/>
                <w:noProof/>
                <w:sz w:val="16"/>
                <w:szCs w:val="16"/>
              </w:rPr>
            </w:pPr>
          </w:p>
        </w:tc>
      </w:tr>
      <w:tr>
        <w:tc>
          <w:tcPr>
            <w:tcW w:w="1773" w:type="dxa"/>
            <w:tcBorders>
              <w:top w:val="single" w:sz="4" w:space="0" w:color="auto"/>
              <w:bottom w:val="single" w:sz="4" w:space="0" w:color="auto"/>
            </w:tcBorders>
            <w:shd w:val="clear" w:color="auto" w:fill="FFF2CC"/>
          </w:tcPr>
          <w:p>
            <w:pPr>
              <w:spacing w:afterLines="40" w:after="96"/>
              <w:jc w:val="right"/>
              <w:rPr>
                <w:rFonts w:ascii="Helvetica" w:hAnsi="Helvetica" w:cstheme="minorHAnsi"/>
                <w:noProof/>
                <w:sz w:val="16"/>
                <w:szCs w:val="16"/>
              </w:rPr>
            </w:pPr>
            <w:r>
              <w:rPr>
                <w:rFonts w:ascii="Helvetica" w:hAnsi="Helvetica" w:cstheme="minorHAnsi"/>
                <w:noProof/>
                <w:sz w:val="16"/>
                <w:szCs w:val="16"/>
              </w:rPr>
              <w:t>From soot emissions</w:t>
            </w:r>
          </w:p>
        </w:tc>
        <w:tc>
          <w:tcPr>
            <w:tcW w:w="927" w:type="dxa"/>
            <w:tcBorders>
              <w:top w:val="single" w:sz="4" w:space="0" w:color="auto"/>
              <w:bottom w:val="single" w:sz="4" w:space="0" w:color="auto"/>
            </w:tcBorders>
            <w:shd w:val="clear" w:color="auto" w:fill="FFF2CC"/>
          </w:tcPr>
          <w:p>
            <w:pPr>
              <w:spacing w:afterLines="40" w:after="96"/>
              <w:jc w:val="center"/>
              <w:rPr>
                <w:rFonts w:ascii="Helvetica" w:hAnsi="Helvetica" w:cstheme="minorHAnsi"/>
                <w:noProof/>
                <w:sz w:val="16"/>
                <w:szCs w:val="16"/>
              </w:rPr>
            </w:pPr>
            <w:r>
              <w:rPr>
                <w:rFonts w:ascii="Helvetica" w:hAnsi="Helvetica" w:cstheme="minorHAnsi"/>
                <w:noProof/>
                <w:sz w:val="16"/>
                <w:szCs w:val="16"/>
              </w:rPr>
              <w:t>Limited</w:t>
            </w:r>
          </w:p>
        </w:tc>
        <w:tc>
          <w:tcPr>
            <w:tcW w:w="810" w:type="dxa"/>
            <w:tcBorders>
              <w:top w:val="single" w:sz="4" w:space="0" w:color="auto"/>
              <w:bottom w:val="single" w:sz="4" w:space="0" w:color="auto"/>
            </w:tcBorders>
            <w:shd w:val="clear" w:color="auto" w:fill="FFF2CC"/>
          </w:tcPr>
          <w:p>
            <w:pPr>
              <w:spacing w:afterLines="40" w:after="96"/>
              <w:jc w:val="center"/>
              <w:rPr>
                <w:rFonts w:ascii="Helvetica" w:hAnsi="Helvetica" w:cstheme="minorHAnsi"/>
                <w:noProof/>
                <w:sz w:val="16"/>
                <w:szCs w:val="16"/>
              </w:rPr>
            </w:pPr>
            <w:r>
              <w:rPr>
                <w:rFonts w:ascii="Helvetica" w:hAnsi="Helvetica" w:cstheme="minorHAnsi"/>
                <w:noProof/>
                <w:sz w:val="16"/>
                <w:szCs w:val="16"/>
              </w:rPr>
              <w:t>Medium</w:t>
            </w:r>
          </w:p>
        </w:tc>
        <w:tc>
          <w:tcPr>
            <w:tcW w:w="990" w:type="dxa"/>
            <w:tcBorders>
              <w:top w:val="single" w:sz="4" w:space="0" w:color="auto"/>
              <w:bottom w:val="single" w:sz="4" w:space="0" w:color="auto"/>
            </w:tcBorders>
            <w:shd w:val="clear" w:color="auto" w:fill="FFC000"/>
          </w:tcPr>
          <w:p>
            <w:pPr>
              <w:spacing w:afterLines="40" w:after="96"/>
              <w:jc w:val="center"/>
              <w:rPr>
                <w:rFonts w:ascii="Helvetica" w:hAnsi="Helvetica" w:cstheme="minorHAnsi"/>
                <w:noProof/>
                <w:sz w:val="16"/>
                <w:szCs w:val="16"/>
              </w:rPr>
            </w:pPr>
            <w:r>
              <w:rPr>
                <w:rFonts w:ascii="Helvetica" w:hAnsi="Helvetica" w:cstheme="minorHAnsi"/>
                <w:noProof/>
                <w:sz w:val="16"/>
                <w:szCs w:val="16"/>
              </w:rPr>
              <w:t>Low</w:t>
            </w:r>
          </w:p>
        </w:tc>
        <w:tc>
          <w:tcPr>
            <w:tcW w:w="3240" w:type="dxa"/>
            <w:tcBorders>
              <w:top w:val="single" w:sz="4" w:space="0" w:color="auto"/>
              <w:bottom w:val="single" w:sz="4" w:space="0" w:color="auto"/>
            </w:tcBorders>
            <w:shd w:val="clear" w:color="auto" w:fill="FFF2CC"/>
          </w:tcPr>
          <w:p>
            <w:pPr>
              <w:spacing w:afterLines="40" w:after="96"/>
              <w:rPr>
                <w:rFonts w:ascii="Helvetica" w:hAnsi="Helvetica" w:cstheme="minorHAnsi"/>
                <w:noProof/>
                <w:sz w:val="16"/>
                <w:szCs w:val="16"/>
              </w:rPr>
            </w:pPr>
            <w:r>
              <w:rPr>
                <w:rFonts w:ascii="Helvetica" w:hAnsi="Helvetica" w:cstheme="minorHAnsi"/>
                <w:noProof/>
                <w:sz w:val="16"/>
                <w:szCs w:val="16"/>
              </w:rPr>
              <w:t>Limited studies and uncertain emission index</w:t>
            </w:r>
          </w:p>
        </w:tc>
        <w:tc>
          <w:tcPr>
            <w:tcW w:w="2070" w:type="dxa"/>
            <w:tcBorders>
              <w:top w:val="single" w:sz="4" w:space="0" w:color="auto"/>
              <w:bottom w:val="single" w:sz="4" w:space="0" w:color="auto"/>
            </w:tcBorders>
            <w:shd w:val="clear" w:color="auto" w:fill="FFF2CC"/>
          </w:tcPr>
          <w:p>
            <w:pPr>
              <w:spacing w:afterLines="40" w:after="96"/>
              <w:rPr>
                <w:rFonts w:ascii="Helvetica" w:hAnsi="Helvetica" w:cstheme="minorHAnsi"/>
                <w:noProof/>
                <w:sz w:val="16"/>
                <w:szCs w:val="16"/>
              </w:rPr>
            </w:pPr>
            <w:r>
              <w:rPr>
                <w:rFonts w:ascii="Helvetica" w:hAnsi="Helvetica" w:cstheme="minorHAnsi"/>
                <w:noProof/>
                <w:sz w:val="16"/>
                <w:szCs w:val="16"/>
              </w:rPr>
              <w:t>More studies</w:t>
            </w:r>
          </w:p>
        </w:tc>
      </w:tr>
      <w:tr>
        <w:tc>
          <w:tcPr>
            <w:tcW w:w="1773" w:type="dxa"/>
            <w:tcBorders>
              <w:top w:val="single" w:sz="4" w:space="0" w:color="auto"/>
              <w:bottom w:val="double" w:sz="4" w:space="0" w:color="auto"/>
            </w:tcBorders>
            <w:shd w:val="clear" w:color="auto" w:fill="FFF2CC"/>
          </w:tcPr>
          <w:p>
            <w:pPr>
              <w:spacing w:afterLines="40" w:after="96"/>
              <w:jc w:val="right"/>
              <w:rPr>
                <w:rFonts w:ascii="Helvetica" w:hAnsi="Helvetica" w:cstheme="minorHAnsi"/>
                <w:noProof/>
                <w:sz w:val="16"/>
                <w:szCs w:val="16"/>
              </w:rPr>
            </w:pPr>
            <w:r>
              <w:rPr>
                <w:rFonts w:ascii="Helvetica" w:hAnsi="Helvetica" w:cstheme="minorHAnsi"/>
                <w:noProof/>
                <w:sz w:val="16"/>
                <w:szCs w:val="16"/>
              </w:rPr>
              <w:t>From sulfur emissions</w:t>
            </w:r>
          </w:p>
        </w:tc>
        <w:tc>
          <w:tcPr>
            <w:tcW w:w="927" w:type="dxa"/>
            <w:tcBorders>
              <w:top w:val="single" w:sz="4" w:space="0" w:color="auto"/>
              <w:bottom w:val="double" w:sz="4" w:space="0" w:color="auto"/>
            </w:tcBorders>
            <w:shd w:val="clear" w:color="auto" w:fill="FFF2CC"/>
          </w:tcPr>
          <w:p>
            <w:pPr>
              <w:spacing w:afterLines="40" w:after="96"/>
              <w:jc w:val="center"/>
              <w:rPr>
                <w:rFonts w:ascii="Helvetica" w:hAnsi="Helvetica" w:cstheme="minorHAnsi"/>
                <w:noProof/>
                <w:sz w:val="16"/>
                <w:szCs w:val="16"/>
              </w:rPr>
            </w:pPr>
            <w:r>
              <w:rPr>
                <w:rFonts w:ascii="Helvetica" w:hAnsi="Helvetica" w:cstheme="minorHAnsi"/>
                <w:noProof/>
                <w:sz w:val="16"/>
                <w:szCs w:val="16"/>
              </w:rPr>
              <w:t>Limited</w:t>
            </w:r>
          </w:p>
        </w:tc>
        <w:tc>
          <w:tcPr>
            <w:tcW w:w="810" w:type="dxa"/>
            <w:tcBorders>
              <w:top w:val="single" w:sz="4" w:space="0" w:color="auto"/>
              <w:bottom w:val="double" w:sz="4" w:space="0" w:color="auto"/>
            </w:tcBorders>
            <w:shd w:val="clear" w:color="auto" w:fill="FFF2CC"/>
          </w:tcPr>
          <w:p>
            <w:pPr>
              <w:spacing w:afterLines="40" w:after="96"/>
              <w:jc w:val="center"/>
              <w:rPr>
                <w:rFonts w:ascii="Helvetica" w:hAnsi="Helvetica" w:cstheme="minorHAnsi"/>
                <w:noProof/>
                <w:sz w:val="16"/>
                <w:szCs w:val="16"/>
              </w:rPr>
            </w:pPr>
            <w:r>
              <w:rPr>
                <w:rFonts w:ascii="Helvetica" w:hAnsi="Helvetica" w:cstheme="minorHAnsi"/>
                <w:noProof/>
                <w:sz w:val="16"/>
                <w:szCs w:val="16"/>
              </w:rPr>
              <w:t>Medium</w:t>
            </w:r>
          </w:p>
        </w:tc>
        <w:tc>
          <w:tcPr>
            <w:tcW w:w="990" w:type="dxa"/>
            <w:tcBorders>
              <w:top w:val="single" w:sz="4" w:space="0" w:color="auto"/>
              <w:bottom w:val="double" w:sz="4" w:space="0" w:color="auto"/>
            </w:tcBorders>
            <w:shd w:val="clear" w:color="auto" w:fill="FFC000"/>
          </w:tcPr>
          <w:p>
            <w:pPr>
              <w:spacing w:afterLines="40" w:after="96"/>
              <w:jc w:val="center"/>
              <w:rPr>
                <w:rFonts w:ascii="Helvetica" w:hAnsi="Helvetica" w:cstheme="minorHAnsi"/>
                <w:noProof/>
                <w:sz w:val="16"/>
                <w:szCs w:val="16"/>
              </w:rPr>
            </w:pPr>
            <w:r>
              <w:rPr>
                <w:rFonts w:ascii="Helvetica" w:hAnsi="Helvetica" w:cstheme="minorHAnsi"/>
                <w:noProof/>
                <w:sz w:val="16"/>
                <w:szCs w:val="16"/>
              </w:rPr>
              <w:t>Low</w:t>
            </w:r>
          </w:p>
        </w:tc>
        <w:tc>
          <w:tcPr>
            <w:tcW w:w="3240" w:type="dxa"/>
            <w:tcBorders>
              <w:top w:val="single" w:sz="4" w:space="0" w:color="auto"/>
              <w:bottom w:val="double" w:sz="4" w:space="0" w:color="auto"/>
            </w:tcBorders>
            <w:shd w:val="clear" w:color="auto" w:fill="FFF2CC"/>
          </w:tcPr>
          <w:p>
            <w:pPr>
              <w:spacing w:afterLines="40" w:after="96"/>
              <w:rPr>
                <w:rFonts w:ascii="Helvetica" w:hAnsi="Helvetica" w:cstheme="minorHAnsi"/>
                <w:noProof/>
                <w:sz w:val="16"/>
                <w:szCs w:val="16"/>
              </w:rPr>
            </w:pPr>
            <w:r>
              <w:rPr>
                <w:rFonts w:ascii="Helvetica" w:hAnsi="Helvetica" w:cstheme="minorHAnsi"/>
                <w:noProof/>
                <w:sz w:val="16"/>
                <w:szCs w:val="16"/>
              </w:rPr>
              <w:t>Limited studies and uncertain emission index</w:t>
            </w:r>
          </w:p>
        </w:tc>
        <w:tc>
          <w:tcPr>
            <w:tcW w:w="2070" w:type="dxa"/>
            <w:tcBorders>
              <w:top w:val="single" w:sz="4" w:space="0" w:color="auto"/>
              <w:bottom w:val="double" w:sz="4" w:space="0" w:color="auto"/>
            </w:tcBorders>
            <w:shd w:val="clear" w:color="auto" w:fill="FFF2CC"/>
          </w:tcPr>
          <w:p>
            <w:pPr>
              <w:spacing w:afterLines="40" w:after="96"/>
              <w:rPr>
                <w:rFonts w:ascii="Helvetica" w:hAnsi="Helvetica" w:cstheme="minorHAnsi"/>
                <w:noProof/>
                <w:sz w:val="16"/>
                <w:szCs w:val="16"/>
              </w:rPr>
            </w:pPr>
            <w:r>
              <w:rPr>
                <w:rFonts w:ascii="Helvetica" w:hAnsi="Helvetica" w:cstheme="minorHAnsi"/>
                <w:noProof/>
                <w:sz w:val="16"/>
                <w:szCs w:val="16"/>
              </w:rPr>
              <w:t>More studies</w:t>
            </w:r>
          </w:p>
        </w:tc>
      </w:tr>
      <w:tr>
        <w:tc>
          <w:tcPr>
            <w:tcW w:w="1773" w:type="dxa"/>
            <w:tcBorders>
              <w:top w:val="double" w:sz="4" w:space="0" w:color="auto"/>
              <w:bottom w:val="single" w:sz="4" w:space="0" w:color="auto"/>
            </w:tcBorders>
            <w:shd w:val="clear" w:color="auto" w:fill="auto"/>
          </w:tcPr>
          <w:p>
            <w:pPr>
              <w:spacing w:afterLines="40" w:after="96"/>
              <w:jc w:val="right"/>
              <w:rPr>
                <w:rFonts w:ascii="Helvetica" w:hAnsi="Helvetica" w:cstheme="minorHAnsi"/>
                <w:b/>
                <w:bCs/>
                <w:noProof/>
                <w:sz w:val="16"/>
                <w:szCs w:val="16"/>
              </w:rPr>
            </w:pPr>
            <w:r>
              <w:rPr>
                <w:rFonts w:ascii="Helvetica" w:hAnsi="Helvetica" w:cstheme="minorHAnsi"/>
                <w:b/>
                <w:bCs/>
                <w:noProof/>
                <w:sz w:val="16"/>
                <w:szCs w:val="16"/>
              </w:rPr>
              <w:t>Aerosol-cloud interactions</w:t>
            </w:r>
          </w:p>
        </w:tc>
        <w:tc>
          <w:tcPr>
            <w:tcW w:w="927" w:type="dxa"/>
            <w:tcBorders>
              <w:top w:val="double" w:sz="4" w:space="0" w:color="auto"/>
              <w:bottom w:val="single" w:sz="4" w:space="0" w:color="auto"/>
            </w:tcBorders>
            <w:shd w:val="clear" w:color="auto" w:fill="auto"/>
          </w:tcPr>
          <w:p>
            <w:pPr>
              <w:spacing w:afterLines="40" w:after="96"/>
              <w:jc w:val="center"/>
              <w:rPr>
                <w:rFonts w:ascii="Helvetica" w:hAnsi="Helvetica" w:cstheme="minorHAnsi"/>
                <w:noProof/>
                <w:sz w:val="16"/>
                <w:szCs w:val="16"/>
              </w:rPr>
            </w:pPr>
          </w:p>
        </w:tc>
        <w:tc>
          <w:tcPr>
            <w:tcW w:w="810" w:type="dxa"/>
            <w:tcBorders>
              <w:top w:val="double" w:sz="4" w:space="0" w:color="auto"/>
              <w:bottom w:val="single" w:sz="4" w:space="0" w:color="auto"/>
            </w:tcBorders>
            <w:shd w:val="clear" w:color="auto" w:fill="auto"/>
          </w:tcPr>
          <w:p>
            <w:pPr>
              <w:spacing w:afterLines="40" w:after="96"/>
              <w:jc w:val="center"/>
              <w:rPr>
                <w:rFonts w:ascii="Helvetica" w:hAnsi="Helvetica" w:cstheme="minorHAnsi"/>
                <w:noProof/>
                <w:sz w:val="16"/>
                <w:szCs w:val="16"/>
              </w:rPr>
            </w:pPr>
          </w:p>
        </w:tc>
        <w:tc>
          <w:tcPr>
            <w:tcW w:w="990" w:type="dxa"/>
            <w:tcBorders>
              <w:top w:val="double" w:sz="4" w:space="0" w:color="auto"/>
              <w:bottom w:val="single" w:sz="4" w:space="0" w:color="auto"/>
            </w:tcBorders>
          </w:tcPr>
          <w:p>
            <w:pPr>
              <w:spacing w:afterLines="40" w:after="96"/>
              <w:jc w:val="center"/>
              <w:rPr>
                <w:rFonts w:ascii="Helvetica" w:hAnsi="Helvetica" w:cstheme="minorHAnsi"/>
                <w:noProof/>
                <w:sz w:val="16"/>
                <w:szCs w:val="16"/>
              </w:rPr>
            </w:pPr>
          </w:p>
        </w:tc>
        <w:tc>
          <w:tcPr>
            <w:tcW w:w="3240" w:type="dxa"/>
            <w:tcBorders>
              <w:top w:val="double" w:sz="4" w:space="0" w:color="auto"/>
              <w:bottom w:val="single" w:sz="4" w:space="0" w:color="auto"/>
            </w:tcBorders>
            <w:shd w:val="clear" w:color="auto" w:fill="auto"/>
          </w:tcPr>
          <w:p>
            <w:pPr>
              <w:spacing w:afterLines="40" w:after="96"/>
              <w:rPr>
                <w:rFonts w:ascii="Helvetica" w:hAnsi="Helvetica" w:cstheme="minorHAnsi"/>
                <w:noProof/>
                <w:sz w:val="16"/>
                <w:szCs w:val="16"/>
              </w:rPr>
            </w:pPr>
          </w:p>
        </w:tc>
        <w:tc>
          <w:tcPr>
            <w:tcW w:w="2070" w:type="dxa"/>
            <w:tcBorders>
              <w:top w:val="double" w:sz="4" w:space="0" w:color="auto"/>
              <w:bottom w:val="single" w:sz="4" w:space="0" w:color="auto"/>
            </w:tcBorders>
            <w:shd w:val="clear" w:color="auto" w:fill="auto"/>
          </w:tcPr>
          <w:p>
            <w:pPr>
              <w:spacing w:afterLines="40" w:after="96"/>
              <w:rPr>
                <w:rFonts w:ascii="Helvetica" w:hAnsi="Helvetica" w:cstheme="minorHAnsi"/>
                <w:noProof/>
                <w:sz w:val="16"/>
                <w:szCs w:val="16"/>
              </w:rPr>
            </w:pPr>
          </w:p>
        </w:tc>
      </w:tr>
      <w:tr>
        <w:tc>
          <w:tcPr>
            <w:tcW w:w="1773" w:type="dxa"/>
            <w:tcBorders>
              <w:top w:val="single" w:sz="4" w:space="0" w:color="auto"/>
              <w:bottom w:val="single" w:sz="4" w:space="0" w:color="auto"/>
            </w:tcBorders>
            <w:shd w:val="clear" w:color="auto" w:fill="auto"/>
          </w:tcPr>
          <w:p>
            <w:pPr>
              <w:spacing w:afterLines="40" w:after="96"/>
              <w:jc w:val="right"/>
              <w:rPr>
                <w:rFonts w:ascii="Helvetica" w:hAnsi="Helvetica" w:cstheme="minorHAnsi"/>
                <w:noProof/>
                <w:sz w:val="16"/>
                <w:szCs w:val="16"/>
              </w:rPr>
            </w:pPr>
            <w:r>
              <w:rPr>
                <w:rFonts w:ascii="Helvetica" w:hAnsi="Helvetica" w:cstheme="minorHAnsi"/>
                <w:noProof/>
                <w:sz w:val="16"/>
                <w:szCs w:val="16"/>
              </w:rPr>
              <w:t>From sulfur emissions</w:t>
            </w:r>
          </w:p>
        </w:tc>
        <w:tc>
          <w:tcPr>
            <w:tcW w:w="927" w:type="dxa"/>
            <w:tcBorders>
              <w:top w:val="single" w:sz="4" w:space="0" w:color="auto"/>
              <w:bottom w:val="single" w:sz="4" w:space="0" w:color="auto"/>
            </w:tcBorders>
            <w:shd w:val="clear" w:color="auto" w:fill="auto"/>
          </w:tcPr>
          <w:p>
            <w:pPr>
              <w:spacing w:afterLines="40" w:after="96"/>
              <w:jc w:val="center"/>
              <w:rPr>
                <w:rFonts w:ascii="Helvetica" w:hAnsi="Helvetica" w:cstheme="minorHAnsi"/>
                <w:noProof/>
                <w:sz w:val="16"/>
                <w:szCs w:val="16"/>
              </w:rPr>
            </w:pPr>
            <w:r>
              <w:rPr>
                <w:rFonts w:ascii="Helvetica" w:hAnsi="Helvetica" w:cstheme="minorHAnsi"/>
                <w:noProof/>
                <w:sz w:val="16"/>
                <w:szCs w:val="16"/>
              </w:rPr>
              <w:t>Limited</w:t>
            </w:r>
          </w:p>
        </w:tc>
        <w:tc>
          <w:tcPr>
            <w:tcW w:w="810" w:type="dxa"/>
            <w:tcBorders>
              <w:top w:val="single" w:sz="4" w:space="0" w:color="auto"/>
              <w:bottom w:val="single" w:sz="4" w:space="0" w:color="auto"/>
            </w:tcBorders>
            <w:shd w:val="clear" w:color="auto" w:fill="auto"/>
          </w:tcPr>
          <w:p>
            <w:pPr>
              <w:spacing w:afterLines="40" w:after="96"/>
              <w:jc w:val="center"/>
              <w:rPr>
                <w:rFonts w:ascii="Helvetica" w:hAnsi="Helvetica" w:cstheme="minorHAnsi"/>
                <w:noProof/>
                <w:sz w:val="16"/>
                <w:szCs w:val="16"/>
              </w:rPr>
            </w:pPr>
            <w:r>
              <w:rPr>
                <w:rFonts w:ascii="Helvetica" w:hAnsi="Helvetica" w:cstheme="minorHAnsi"/>
                <w:noProof/>
                <w:sz w:val="16"/>
                <w:szCs w:val="16"/>
              </w:rPr>
              <w:t>Low</w:t>
            </w:r>
          </w:p>
        </w:tc>
        <w:tc>
          <w:tcPr>
            <w:tcW w:w="990" w:type="dxa"/>
            <w:tcBorders>
              <w:top w:val="single" w:sz="4" w:space="0" w:color="auto"/>
              <w:bottom w:val="single" w:sz="4" w:space="0" w:color="auto"/>
            </w:tcBorders>
            <w:shd w:val="clear" w:color="auto" w:fill="FF0000"/>
          </w:tcPr>
          <w:p>
            <w:pPr>
              <w:spacing w:afterLines="40" w:after="96"/>
              <w:jc w:val="center"/>
              <w:rPr>
                <w:rFonts w:ascii="Helvetica" w:hAnsi="Helvetica" w:cstheme="minorHAnsi"/>
                <w:noProof/>
                <w:sz w:val="16"/>
                <w:szCs w:val="16"/>
              </w:rPr>
            </w:pPr>
            <w:r>
              <w:rPr>
                <w:rFonts w:ascii="Helvetica" w:hAnsi="Helvetica" w:cstheme="minorHAnsi"/>
                <w:noProof/>
                <w:sz w:val="16"/>
                <w:szCs w:val="16"/>
              </w:rPr>
              <w:t xml:space="preserve">Very </w:t>
            </w:r>
          </w:p>
          <w:p>
            <w:pPr>
              <w:spacing w:afterLines="40" w:after="96"/>
              <w:jc w:val="center"/>
              <w:rPr>
                <w:rFonts w:ascii="Helvetica" w:hAnsi="Helvetica" w:cstheme="minorHAnsi"/>
                <w:noProof/>
                <w:sz w:val="16"/>
                <w:szCs w:val="16"/>
              </w:rPr>
            </w:pPr>
            <w:r>
              <w:rPr>
                <w:rFonts w:ascii="Helvetica" w:hAnsi="Helvetica" w:cstheme="minorHAnsi"/>
                <w:noProof/>
                <w:sz w:val="16"/>
                <w:szCs w:val="16"/>
              </w:rPr>
              <w:t>low</w:t>
            </w:r>
          </w:p>
        </w:tc>
        <w:tc>
          <w:tcPr>
            <w:tcW w:w="3240" w:type="dxa"/>
            <w:tcBorders>
              <w:top w:val="single" w:sz="4" w:space="0" w:color="auto"/>
              <w:bottom w:val="single" w:sz="4" w:space="0" w:color="auto"/>
            </w:tcBorders>
            <w:shd w:val="clear" w:color="auto" w:fill="auto"/>
          </w:tcPr>
          <w:p>
            <w:pPr>
              <w:spacing w:afterLines="40" w:after="96"/>
              <w:rPr>
                <w:rFonts w:ascii="Helvetica" w:hAnsi="Helvetica" w:cstheme="minorHAnsi"/>
                <w:noProof/>
                <w:sz w:val="16"/>
                <w:szCs w:val="16"/>
              </w:rPr>
            </w:pPr>
            <w:r>
              <w:rPr>
                <w:rFonts w:ascii="Helvetica" w:hAnsi="Helvetica" w:cstheme="minorHAnsi"/>
                <w:noProof/>
                <w:sz w:val="16"/>
                <w:szCs w:val="16"/>
              </w:rPr>
              <w:t>None available; few studies, probably a negative ERF</w:t>
            </w:r>
          </w:p>
        </w:tc>
        <w:tc>
          <w:tcPr>
            <w:tcW w:w="2070" w:type="dxa"/>
            <w:tcBorders>
              <w:top w:val="single" w:sz="4" w:space="0" w:color="auto"/>
              <w:bottom w:val="single" w:sz="4" w:space="0" w:color="auto"/>
            </w:tcBorders>
            <w:shd w:val="clear" w:color="auto" w:fill="auto"/>
          </w:tcPr>
          <w:p>
            <w:pPr>
              <w:spacing w:afterLines="40" w:after="96"/>
              <w:rPr>
                <w:rFonts w:ascii="Helvetica" w:hAnsi="Helvetica" w:cstheme="minorHAnsi"/>
                <w:noProof/>
                <w:sz w:val="16"/>
                <w:szCs w:val="16"/>
              </w:rPr>
            </w:pPr>
            <w:r>
              <w:rPr>
                <w:rFonts w:ascii="Helvetica" w:hAnsi="Helvetica" w:cstheme="minorHAnsi"/>
                <w:noProof/>
                <w:sz w:val="16"/>
                <w:szCs w:val="16"/>
              </w:rPr>
              <w:t>Not provided previously</w:t>
            </w:r>
          </w:p>
        </w:tc>
      </w:tr>
      <w:tr>
        <w:trPr>
          <w:trHeight w:val="602"/>
        </w:trPr>
        <w:tc>
          <w:tcPr>
            <w:tcW w:w="1773" w:type="dxa"/>
            <w:tcBorders>
              <w:top w:val="single" w:sz="4" w:space="0" w:color="auto"/>
              <w:bottom w:val="triple" w:sz="4" w:space="0" w:color="auto"/>
            </w:tcBorders>
            <w:shd w:val="clear" w:color="auto" w:fill="auto"/>
          </w:tcPr>
          <w:p>
            <w:pPr>
              <w:spacing w:afterLines="40" w:after="96"/>
              <w:jc w:val="right"/>
              <w:rPr>
                <w:rFonts w:ascii="Helvetica" w:hAnsi="Helvetica" w:cstheme="minorHAnsi"/>
                <w:noProof/>
                <w:sz w:val="16"/>
                <w:szCs w:val="16"/>
              </w:rPr>
            </w:pPr>
            <w:r>
              <w:rPr>
                <w:rFonts w:ascii="Helvetica" w:hAnsi="Helvetica" w:cstheme="minorHAnsi"/>
                <w:noProof/>
                <w:sz w:val="16"/>
                <w:szCs w:val="16"/>
              </w:rPr>
              <w:t>From soot emissions</w:t>
            </w:r>
          </w:p>
        </w:tc>
        <w:tc>
          <w:tcPr>
            <w:tcW w:w="927" w:type="dxa"/>
            <w:tcBorders>
              <w:top w:val="single" w:sz="4" w:space="0" w:color="auto"/>
              <w:bottom w:val="triple" w:sz="4" w:space="0" w:color="auto"/>
            </w:tcBorders>
            <w:shd w:val="clear" w:color="auto" w:fill="auto"/>
          </w:tcPr>
          <w:p>
            <w:pPr>
              <w:spacing w:afterLines="40" w:after="96"/>
              <w:jc w:val="center"/>
              <w:rPr>
                <w:rFonts w:ascii="Helvetica" w:hAnsi="Helvetica" w:cstheme="minorHAnsi"/>
                <w:noProof/>
                <w:sz w:val="16"/>
                <w:szCs w:val="16"/>
              </w:rPr>
            </w:pPr>
            <w:r>
              <w:rPr>
                <w:rFonts w:ascii="Helvetica" w:hAnsi="Helvetica" w:cstheme="minorHAnsi"/>
                <w:noProof/>
                <w:sz w:val="16"/>
                <w:szCs w:val="16"/>
              </w:rPr>
              <w:t>Limited</w:t>
            </w:r>
          </w:p>
        </w:tc>
        <w:tc>
          <w:tcPr>
            <w:tcW w:w="810" w:type="dxa"/>
            <w:tcBorders>
              <w:top w:val="single" w:sz="4" w:space="0" w:color="auto"/>
              <w:bottom w:val="triple" w:sz="4" w:space="0" w:color="auto"/>
            </w:tcBorders>
            <w:shd w:val="clear" w:color="auto" w:fill="auto"/>
          </w:tcPr>
          <w:p>
            <w:pPr>
              <w:spacing w:afterLines="40" w:after="96"/>
              <w:jc w:val="center"/>
              <w:rPr>
                <w:rFonts w:ascii="Helvetica" w:hAnsi="Helvetica" w:cstheme="minorHAnsi"/>
                <w:noProof/>
                <w:sz w:val="16"/>
                <w:szCs w:val="16"/>
              </w:rPr>
            </w:pPr>
            <w:r>
              <w:rPr>
                <w:rFonts w:ascii="Helvetica" w:hAnsi="Helvetica" w:cstheme="minorHAnsi"/>
                <w:noProof/>
                <w:sz w:val="16"/>
                <w:szCs w:val="16"/>
              </w:rPr>
              <w:t>Low</w:t>
            </w:r>
          </w:p>
        </w:tc>
        <w:tc>
          <w:tcPr>
            <w:tcW w:w="990" w:type="dxa"/>
            <w:tcBorders>
              <w:top w:val="single" w:sz="4" w:space="0" w:color="auto"/>
              <w:bottom w:val="triple" w:sz="4" w:space="0" w:color="auto"/>
            </w:tcBorders>
            <w:shd w:val="clear" w:color="auto" w:fill="FF0000"/>
          </w:tcPr>
          <w:p>
            <w:pPr>
              <w:spacing w:afterLines="40" w:after="96"/>
              <w:jc w:val="center"/>
              <w:rPr>
                <w:rFonts w:ascii="Helvetica" w:hAnsi="Helvetica" w:cstheme="minorHAnsi"/>
                <w:noProof/>
                <w:sz w:val="16"/>
                <w:szCs w:val="16"/>
              </w:rPr>
            </w:pPr>
            <w:r>
              <w:rPr>
                <w:rFonts w:ascii="Helvetica" w:hAnsi="Helvetica" w:cstheme="minorHAnsi"/>
                <w:noProof/>
                <w:sz w:val="16"/>
                <w:szCs w:val="16"/>
              </w:rPr>
              <w:t xml:space="preserve">Very </w:t>
            </w:r>
          </w:p>
          <w:p>
            <w:pPr>
              <w:spacing w:afterLines="40" w:after="96"/>
              <w:jc w:val="center"/>
              <w:rPr>
                <w:rFonts w:ascii="Helvetica" w:hAnsi="Helvetica" w:cstheme="minorHAnsi"/>
                <w:noProof/>
                <w:sz w:val="16"/>
                <w:szCs w:val="16"/>
              </w:rPr>
            </w:pPr>
            <w:r>
              <w:rPr>
                <w:rFonts w:ascii="Helvetica" w:hAnsi="Helvetica" w:cstheme="minorHAnsi"/>
                <w:noProof/>
                <w:sz w:val="16"/>
                <w:szCs w:val="16"/>
              </w:rPr>
              <w:t>low</w:t>
            </w:r>
          </w:p>
        </w:tc>
        <w:tc>
          <w:tcPr>
            <w:tcW w:w="3240" w:type="dxa"/>
            <w:tcBorders>
              <w:top w:val="single" w:sz="4" w:space="0" w:color="auto"/>
              <w:bottom w:val="triple" w:sz="4" w:space="0" w:color="auto"/>
            </w:tcBorders>
            <w:shd w:val="clear" w:color="auto" w:fill="auto"/>
          </w:tcPr>
          <w:p>
            <w:pPr>
              <w:spacing w:afterLines="40" w:after="96"/>
              <w:rPr>
                <w:rFonts w:ascii="Helvetica" w:hAnsi="Helvetica" w:cstheme="minorHAnsi"/>
                <w:noProof/>
                <w:sz w:val="16"/>
                <w:szCs w:val="16"/>
              </w:rPr>
            </w:pPr>
            <w:r>
              <w:rPr>
                <w:rFonts w:ascii="Helvetica" w:hAnsi="Helvetica" w:cstheme="minorHAnsi"/>
                <w:noProof/>
                <w:sz w:val="16"/>
                <w:szCs w:val="16"/>
              </w:rPr>
              <w:t>None available; few studies, varying in sign and magnitude of ERF constrained by poor understanding of processes</w:t>
            </w:r>
          </w:p>
        </w:tc>
        <w:tc>
          <w:tcPr>
            <w:tcW w:w="2070" w:type="dxa"/>
            <w:tcBorders>
              <w:top w:val="single" w:sz="4" w:space="0" w:color="auto"/>
              <w:bottom w:val="triple" w:sz="4" w:space="0" w:color="auto"/>
            </w:tcBorders>
            <w:shd w:val="clear" w:color="auto" w:fill="auto"/>
          </w:tcPr>
          <w:p>
            <w:pPr>
              <w:spacing w:afterLines="40" w:after="96"/>
              <w:rPr>
                <w:rFonts w:ascii="Helvetica" w:hAnsi="Helvetica" w:cstheme="minorHAnsi"/>
                <w:noProof/>
                <w:sz w:val="16"/>
                <w:szCs w:val="16"/>
              </w:rPr>
            </w:pPr>
            <w:r>
              <w:rPr>
                <w:rFonts w:ascii="Helvetica" w:hAnsi="Helvetica" w:cstheme="minorHAnsi"/>
                <w:noProof/>
                <w:sz w:val="16"/>
                <w:szCs w:val="16"/>
              </w:rPr>
              <w:t>Not provided previously</w:t>
            </w:r>
          </w:p>
        </w:tc>
      </w:tr>
    </w:tbl>
    <w:p>
      <w:pPr>
        <w:spacing w:line="240" w:lineRule="auto"/>
        <w:rPr>
          <w:rFonts w:ascii="Helvetica" w:hAnsi="Helvetica" w:cstheme="minorHAnsi"/>
          <w:noProof/>
          <w:sz w:val="18"/>
          <w:szCs w:val="18"/>
        </w:rPr>
      </w:pPr>
      <w:r>
        <w:rPr>
          <w:rFonts w:ascii="Helvetica" w:hAnsi="Helvetica" w:cstheme="minorHAnsi"/>
          <w:noProof/>
          <w:sz w:val="18"/>
          <w:szCs w:val="18"/>
        </w:rPr>
        <w:t>* This term has the additional uncertainty of the derivation of an effective radiative forcing from a radiative forcing.</w:t>
      </w:r>
    </w:p>
    <w:p>
      <w:pPr>
        <w:spacing w:line="240" w:lineRule="auto"/>
        <w:rPr>
          <w:rFonts w:ascii="Helvetica" w:hAnsi="Helvetica" w:cstheme="minorHAnsi"/>
          <w:noProof/>
          <w:sz w:val="18"/>
          <w:szCs w:val="18"/>
        </w:rPr>
      </w:pPr>
      <w:r>
        <w:rPr>
          <w:rFonts w:ascii="Helvetica" w:hAnsi="Helvetica" w:cstheme="minorHAnsi"/>
          <w:noProof/>
          <w:sz w:val="18"/>
          <w:szCs w:val="18"/>
        </w:rPr>
        <w:t>** This term differs from ‘Very High’ level in IPCC (2013) because additional uncertainties are introduced by the assessment of marginal aviation CO</w:t>
      </w:r>
      <w:r>
        <w:rPr>
          <w:rFonts w:ascii="Helvetica" w:hAnsi="Helvetica" w:cstheme="minorHAnsi"/>
          <w:noProof/>
          <w:sz w:val="18"/>
          <w:szCs w:val="18"/>
          <w:vertAlign w:val="subscript"/>
        </w:rPr>
        <w:t>2</w:t>
      </w:r>
      <w:r>
        <w:rPr>
          <w:rFonts w:ascii="Helvetica" w:hAnsi="Helvetica" w:cstheme="minorHAnsi"/>
          <w:noProof/>
          <w:sz w:val="18"/>
          <w:szCs w:val="18"/>
        </w:rPr>
        <w:t xml:space="preserve"> emissions and their resultant concentrations in the atmosphere from simplified carbon cycle models.</w:t>
      </w:r>
    </w:p>
    <w:p>
      <w:pPr>
        <w:spacing w:after="0" w:line="240" w:lineRule="auto"/>
        <w:rPr>
          <w:rFonts w:ascii="Calibri" w:eastAsia="Calibri" w:hAnsi="Calibri" w:cs="Times New Roman"/>
          <w:noProof/>
          <w:sz w:val="24"/>
          <w:szCs w:val="24"/>
        </w:rPr>
      </w:pPr>
    </w:p>
    <w:p>
      <w:pPr>
        <w:spacing w:after="0" w:line="240" w:lineRule="auto"/>
        <w:rPr>
          <w:rFonts w:ascii="Helvetica" w:eastAsia="Calibri" w:hAnsi="Helvetica" w:cs="Times New Roman"/>
          <w:b/>
          <w:noProof/>
          <w:sz w:val="20"/>
          <w:szCs w:val="20"/>
        </w:rPr>
      </w:pPr>
      <w:r>
        <w:rPr>
          <w:rFonts w:ascii="Helvetica" w:eastAsia="Calibri" w:hAnsi="Helvetica" w:cs="Times New Roman"/>
          <w:b/>
          <w:noProof/>
          <w:sz w:val="20"/>
          <w:szCs w:val="20"/>
        </w:rPr>
        <w:br w:type="page"/>
      </w:r>
    </w:p>
    <w:p>
      <w:pPr>
        <w:rPr>
          <w:rFonts w:ascii="Helvetica" w:hAnsi="Helvetica"/>
          <w:b/>
          <w:noProof/>
          <w:sz w:val="20"/>
          <w:szCs w:val="20"/>
        </w:rPr>
      </w:pPr>
      <w:r>
        <w:rPr>
          <w:rFonts w:ascii="Helvetica" w:hAnsi="Helvetica"/>
          <w:b/>
          <w:noProof/>
          <w:sz w:val="20"/>
          <w:szCs w:val="20"/>
        </w:rPr>
        <w:t>Table 3.</w:t>
      </w:r>
      <w:r>
        <w:rPr>
          <w:rFonts w:ascii="Helvetica" w:hAnsi="Helvetica"/>
          <w:noProof/>
          <w:sz w:val="20"/>
          <w:szCs w:val="20"/>
        </w:rPr>
        <w:t xml:space="preserve">  Best estimates and low/high limits of the 95% likelihood ranges for aviation RF components derived in this study </w:t>
      </w:r>
      <w:r>
        <w:rPr>
          <w:rFonts w:ascii="Helvetica" w:hAnsi="Helvetica"/>
          <w:noProof/>
          <w:szCs w:val="18"/>
          <w:vertAlign w:val="superscript"/>
        </w:rPr>
        <w:t>a</w:t>
      </w:r>
    </w:p>
    <w:tbl>
      <w:tblPr>
        <w:tblStyle w:val="TableGrid"/>
        <w:tblW w:w="10773"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1440"/>
        <w:gridCol w:w="1593"/>
        <w:gridCol w:w="1560"/>
        <w:gridCol w:w="992"/>
        <w:gridCol w:w="3118"/>
      </w:tblGrid>
      <w:tr>
        <w:tc>
          <w:tcPr>
            <w:tcW w:w="2070" w:type="dxa"/>
            <w:tcBorders>
              <w:top w:val="double" w:sz="4" w:space="0" w:color="auto"/>
              <w:bottom w:val="double" w:sz="4" w:space="0" w:color="auto"/>
            </w:tcBorders>
            <w:tcMar>
              <w:left w:w="14" w:type="dxa"/>
              <w:right w:w="14" w:type="dxa"/>
            </w:tcMar>
            <w:vAlign w:val="bottom"/>
          </w:tcPr>
          <w:p>
            <w:pPr>
              <w:spacing w:before="40" w:after="40"/>
              <w:jc w:val="right"/>
              <w:rPr>
                <w:rFonts w:ascii="Helvetica" w:hAnsi="Helvetica"/>
                <w:b/>
                <w:noProof/>
                <w:sz w:val="18"/>
                <w:szCs w:val="18"/>
              </w:rPr>
            </w:pPr>
            <w:r>
              <w:rPr>
                <w:rFonts w:ascii="Helvetica" w:hAnsi="Helvetica"/>
                <w:b/>
                <w:noProof/>
                <w:sz w:val="18"/>
                <w:szCs w:val="18"/>
              </w:rPr>
              <w:t>RF (mW m</w:t>
            </w:r>
            <w:r>
              <w:rPr>
                <w:rFonts w:ascii="Helvetica" w:hAnsi="Helvetica"/>
                <w:b/>
                <w:noProof/>
                <w:sz w:val="18"/>
                <w:szCs w:val="18"/>
                <w:vertAlign w:val="superscript"/>
              </w:rPr>
              <w:t>-2</w:t>
            </w:r>
            <w:r>
              <w:rPr>
                <w:rFonts w:ascii="Helvetica" w:hAnsi="Helvetica"/>
                <w:b/>
                <w:noProof/>
                <w:sz w:val="18"/>
                <w:szCs w:val="18"/>
              </w:rPr>
              <w:t>)</w:t>
            </w:r>
          </w:p>
        </w:tc>
        <w:tc>
          <w:tcPr>
            <w:tcW w:w="1440" w:type="dxa"/>
            <w:tcBorders>
              <w:top w:val="double" w:sz="4" w:space="0" w:color="auto"/>
              <w:bottom w:val="double" w:sz="4" w:space="0" w:color="auto"/>
            </w:tcBorders>
            <w:tcMar>
              <w:left w:w="14" w:type="dxa"/>
              <w:right w:w="14" w:type="dxa"/>
            </w:tcMar>
            <w:vAlign w:val="bottom"/>
          </w:tcPr>
          <w:p>
            <w:pPr>
              <w:spacing w:before="40" w:after="40"/>
              <w:jc w:val="center"/>
              <w:rPr>
                <w:rFonts w:ascii="Helvetica" w:hAnsi="Helvetica"/>
                <w:b/>
                <w:noProof/>
                <w:sz w:val="18"/>
                <w:szCs w:val="18"/>
              </w:rPr>
            </w:pPr>
            <w:r>
              <w:rPr>
                <w:rFonts w:ascii="Helvetica" w:hAnsi="Helvetica"/>
                <w:b/>
                <w:noProof/>
                <w:sz w:val="18"/>
                <w:szCs w:val="18"/>
              </w:rPr>
              <w:t>2018</w:t>
            </w:r>
            <w:r>
              <w:rPr>
                <w:rFonts w:ascii="Helvetica" w:hAnsi="Helvetica"/>
                <w:noProof/>
                <w:szCs w:val="18"/>
                <w:vertAlign w:val="superscript"/>
              </w:rPr>
              <w:t xml:space="preserve"> b</w:t>
            </w:r>
          </w:p>
        </w:tc>
        <w:tc>
          <w:tcPr>
            <w:tcW w:w="1593" w:type="dxa"/>
            <w:tcBorders>
              <w:top w:val="double" w:sz="4" w:space="0" w:color="auto"/>
              <w:bottom w:val="double" w:sz="4" w:space="0" w:color="auto"/>
            </w:tcBorders>
            <w:vAlign w:val="bottom"/>
          </w:tcPr>
          <w:p>
            <w:pPr>
              <w:spacing w:before="40" w:after="40"/>
              <w:jc w:val="center"/>
              <w:rPr>
                <w:rFonts w:ascii="Helvetica" w:hAnsi="Helvetica"/>
                <w:b/>
                <w:noProof/>
                <w:sz w:val="18"/>
                <w:szCs w:val="18"/>
              </w:rPr>
            </w:pPr>
            <w:r>
              <w:rPr>
                <w:rFonts w:ascii="Helvetica" w:hAnsi="Helvetica"/>
                <w:b/>
                <w:noProof/>
                <w:sz w:val="18"/>
                <w:szCs w:val="18"/>
              </w:rPr>
              <w:t>2011</w:t>
            </w:r>
            <w:r>
              <w:rPr>
                <w:rFonts w:ascii="Helvetica" w:hAnsi="Helvetica"/>
                <w:noProof/>
                <w:szCs w:val="18"/>
                <w:vertAlign w:val="superscript"/>
              </w:rPr>
              <w:t xml:space="preserve"> b</w:t>
            </w:r>
          </w:p>
        </w:tc>
        <w:tc>
          <w:tcPr>
            <w:tcW w:w="1560" w:type="dxa"/>
            <w:tcBorders>
              <w:top w:val="double" w:sz="4" w:space="0" w:color="auto"/>
              <w:bottom w:val="double" w:sz="4" w:space="0" w:color="auto"/>
            </w:tcBorders>
            <w:vAlign w:val="bottom"/>
          </w:tcPr>
          <w:p>
            <w:pPr>
              <w:spacing w:before="40" w:after="40"/>
              <w:jc w:val="center"/>
              <w:rPr>
                <w:rFonts w:ascii="Helvetica" w:hAnsi="Helvetica"/>
                <w:b/>
                <w:noProof/>
                <w:color w:val="FF0000"/>
                <w:sz w:val="18"/>
                <w:szCs w:val="18"/>
              </w:rPr>
            </w:pPr>
            <w:r>
              <w:rPr>
                <w:rFonts w:ascii="Helvetica" w:hAnsi="Helvetica"/>
                <w:b/>
                <w:noProof/>
                <w:sz w:val="18"/>
                <w:szCs w:val="18"/>
              </w:rPr>
              <w:t>2005</w:t>
            </w:r>
            <w:r>
              <w:rPr>
                <w:rFonts w:ascii="Helvetica" w:hAnsi="Helvetica"/>
                <w:noProof/>
                <w:szCs w:val="18"/>
                <w:vertAlign w:val="superscript"/>
              </w:rPr>
              <w:t xml:space="preserve"> b</w:t>
            </w:r>
          </w:p>
        </w:tc>
        <w:tc>
          <w:tcPr>
            <w:tcW w:w="992" w:type="dxa"/>
            <w:tcBorders>
              <w:top w:val="double" w:sz="4" w:space="0" w:color="auto"/>
              <w:bottom w:val="double" w:sz="4" w:space="0" w:color="auto"/>
            </w:tcBorders>
            <w:vAlign w:val="bottom"/>
          </w:tcPr>
          <w:p>
            <w:pPr>
              <w:spacing w:before="40" w:after="40"/>
              <w:jc w:val="center"/>
              <w:rPr>
                <w:rFonts w:ascii="Helvetica" w:hAnsi="Helvetica"/>
                <w:b/>
                <w:noProof/>
                <w:sz w:val="18"/>
                <w:szCs w:val="18"/>
              </w:rPr>
            </w:pPr>
            <w:r>
              <w:rPr>
                <w:rFonts w:ascii="Helvetica" w:hAnsi="Helvetica"/>
                <w:b/>
                <w:noProof/>
                <w:color w:val="000000" w:themeColor="text1"/>
                <w:sz w:val="18"/>
                <w:szCs w:val="18"/>
              </w:rPr>
              <w:t>L09 2005 values</w:t>
            </w:r>
          </w:p>
        </w:tc>
        <w:tc>
          <w:tcPr>
            <w:tcW w:w="3118" w:type="dxa"/>
            <w:tcBorders>
              <w:top w:val="double" w:sz="4" w:space="0" w:color="auto"/>
              <w:bottom w:val="double" w:sz="4" w:space="0" w:color="auto"/>
            </w:tcBorders>
            <w:tcMar>
              <w:left w:w="14" w:type="dxa"/>
              <w:right w:w="14" w:type="dxa"/>
            </w:tcMar>
            <w:vAlign w:val="bottom"/>
          </w:tcPr>
          <w:p>
            <w:pPr>
              <w:spacing w:before="40" w:after="40"/>
              <w:rPr>
                <w:rFonts w:ascii="Helvetica" w:hAnsi="Helvetica"/>
                <w:b/>
                <w:noProof/>
                <w:sz w:val="18"/>
                <w:szCs w:val="18"/>
              </w:rPr>
            </w:pPr>
            <w:r>
              <w:rPr>
                <w:rFonts w:ascii="Helvetica" w:hAnsi="Helvetica"/>
                <w:b/>
                <w:noProof/>
                <w:sz w:val="18"/>
                <w:szCs w:val="18"/>
              </w:rPr>
              <w:t>Sensitivity to emissions (this work)</w:t>
            </w:r>
          </w:p>
        </w:tc>
      </w:tr>
      <w:tr>
        <w:tc>
          <w:tcPr>
            <w:tcW w:w="2070" w:type="dxa"/>
            <w:tcBorders>
              <w:top w:val="double" w:sz="4" w:space="0" w:color="auto"/>
              <w:bottom w:val="nil"/>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Contrail cirrus</w:t>
            </w:r>
          </w:p>
        </w:tc>
        <w:tc>
          <w:tcPr>
            <w:tcW w:w="1440" w:type="dxa"/>
            <w:tcBorders>
              <w:top w:val="double" w:sz="4" w:space="0" w:color="auto"/>
              <w:bottom w:val="nil"/>
            </w:tcBorders>
            <w:tcMar>
              <w:left w:w="14" w:type="dxa"/>
              <w:right w:w="14" w:type="dxa"/>
            </w:tcMar>
          </w:tcPr>
          <w:p>
            <w:pPr>
              <w:tabs>
                <w:tab w:val="left" w:pos="389"/>
              </w:tabs>
              <w:spacing w:before="40" w:after="40"/>
              <w:jc w:val="center"/>
              <w:rPr>
                <w:rFonts w:ascii="Helvetica" w:hAnsi="Helvetica"/>
                <w:noProof/>
                <w:sz w:val="18"/>
                <w:szCs w:val="18"/>
              </w:rPr>
            </w:pPr>
            <w:r>
              <w:rPr>
                <w:rFonts w:ascii="Helvetica" w:hAnsi="Helvetica"/>
                <w:noProof/>
                <w:color w:val="000000" w:themeColor="text1"/>
                <w:sz w:val="18"/>
                <w:szCs w:val="18"/>
              </w:rPr>
              <w:t>111.4 (33, 189)</w:t>
            </w:r>
          </w:p>
        </w:tc>
        <w:tc>
          <w:tcPr>
            <w:tcW w:w="1593" w:type="dxa"/>
            <w:tcBorders>
              <w:top w:val="double" w:sz="4" w:space="0" w:color="auto"/>
              <w:bottom w:val="nil"/>
            </w:tcBorders>
          </w:tcPr>
          <w:p>
            <w:pPr>
              <w:spacing w:before="40" w:after="40"/>
              <w:jc w:val="center"/>
              <w:rPr>
                <w:rFonts w:ascii="Helvetica" w:hAnsi="Helvetica"/>
                <w:noProof/>
                <w:sz w:val="18"/>
                <w:szCs w:val="18"/>
              </w:rPr>
            </w:pPr>
            <w:r>
              <w:rPr>
                <w:rFonts w:ascii="Helvetica" w:hAnsi="Helvetica"/>
                <w:noProof/>
                <w:color w:val="000000" w:themeColor="text1"/>
                <w:sz w:val="18"/>
                <w:szCs w:val="18"/>
              </w:rPr>
              <w:t>85.6 (25, 146)</w:t>
            </w:r>
          </w:p>
        </w:tc>
        <w:tc>
          <w:tcPr>
            <w:tcW w:w="1560" w:type="dxa"/>
            <w:tcBorders>
              <w:top w:val="double" w:sz="4" w:space="0" w:color="auto"/>
              <w:bottom w:val="nil"/>
            </w:tcBorders>
          </w:tcPr>
          <w:p>
            <w:pPr>
              <w:spacing w:before="40" w:after="40"/>
              <w:jc w:val="center"/>
              <w:rPr>
                <w:rFonts w:ascii="Helvetica" w:hAnsi="Helvetica"/>
                <w:noProof/>
                <w:sz w:val="18"/>
                <w:szCs w:val="18"/>
              </w:rPr>
            </w:pPr>
            <w:r>
              <w:rPr>
                <w:rFonts w:ascii="Helvetica" w:hAnsi="Helvetica"/>
                <w:noProof/>
                <w:sz w:val="18"/>
                <w:szCs w:val="18"/>
              </w:rPr>
              <w:t>67.5 (20, 115)</w:t>
            </w:r>
          </w:p>
        </w:tc>
        <w:tc>
          <w:tcPr>
            <w:tcW w:w="992" w:type="dxa"/>
            <w:tcBorders>
              <w:top w:val="double" w:sz="4" w:space="0" w:color="auto"/>
              <w:bottom w:val="nil"/>
            </w:tcBorders>
          </w:tcPr>
          <w:p>
            <w:pPr>
              <w:spacing w:before="40" w:after="40"/>
              <w:jc w:val="center"/>
              <w:rPr>
                <w:rFonts w:ascii="Helvetica" w:hAnsi="Helvetica"/>
                <w:b/>
                <w:noProof/>
                <w:sz w:val="18"/>
                <w:szCs w:val="18"/>
              </w:rPr>
            </w:pPr>
            <w:r>
              <w:rPr>
                <w:rFonts w:ascii="Helvetica" w:hAnsi="Helvetica"/>
                <w:noProof/>
                <w:sz w:val="18"/>
                <w:szCs w:val="18"/>
              </w:rPr>
              <w:t xml:space="preserve">(11.8 </w:t>
            </w:r>
            <w:r>
              <w:rPr>
                <w:rFonts w:ascii="Helvetica" w:hAnsi="Helvetica"/>
                <w:noProof/>
                <w:szCs w:val="18"/>
                <w:vertAlign w:val="superscript"/>
              </w:rPr>
              <w:t>c</w:t>
            </w:r>
            <w:r>
              <w:rPr>
                <w:rFonts w:ascii="Helvetica" w:hAnsi="Helvetica"/>
                <w:noProof/>
                <w:szCs w:val="18"/>
              </w:rPr>
              <w:t>)</w:t>
            </w:r>
          </w:p>
        </w:tc>
        <w:tc>
          <w:tcPr>
            <w:tcW w:w="3118" w:type="dxa"/>
            <w:tcBorders>
              <w:top w:val="double" w:sz="4" w:space="0" w:color="auto"/>
              <w:bottom w:val="nil"/>
            </w:tcBorders>
            <w:tcMar>
              <w:left w:w="14" w:type="dxa"/>
              <w:right w:w="14" w:type="dxa"/>
            </w:tcMar>
          </w:tcPr>
          <w:p>
            <w:pPr>
              <w:spacing w:before="40" w:after="40"/>
              <w:rPr>
                <w:rFonts w:ascii="Helvetica" w:hAnsi="Helvetica"/>
                <w:noProof/>
                <w:sz w:val="18"/>
                <w:szCs w:val="18"/>
              </w:rPr>
            </w:pPr>
            <w:r>
              <w:rPr>
                <w:rFonts w:ascii="Helvetica" w:hAnsi="Helvetica"/>
                <w:noProof/>
                <w:sz w:val="18"/>
                <w:szCs w:val="18"/>
              </w:rPr>
              <w:t>1.82 x 10</w:t>
            </w:r>
            <w:r>
              <w:rPr>
                <w:rFonts w:ascii="Helvetica" w:hAnsi="Helvetica"/>
                <w:noProof/>
                <w:sz w:val="18"/>
                <w:szCs w:val="18"/>
                <w:vertAlign w:val="superscript"/>
              </w:rPr>
              <w:t>-9</w:t>
            </w:r>
            <w:r>
              <w:rPr>
                <w:rFonts w:ascii="Helvetica" w:hAnsi="Helvetica"/>
                <w:noProof/>
                <w:sz w:val="18"/>
                <w:szCs w:val="18"/>
              </w:rPr>
              <w:t xml:space="preserve"> mW m</w:t>
            </w:r>
            <w:r>
              <w:rPr>
                <w:rFonts w:ascii="Helvetica" w:hAnsi="Helvetica"/>
                <w:noProof/>
                <w:sz w:val="18"/>
                <w:szCs w:val="18"/>
                <w:vertAlign w:val="superscript"/>
              </w:rPr>
              <w:t>-2</w:t>
            </w:r>
            <w:r>
              <w:rPr>
                <w:rFonts w:ascii="Helvetica" w:hAnsi="Helvetica"/>
                <w:noProof/>
                <w:sz w:val="18"/>
                <w:szCs w:val="18"/>
              </w:rPr>
              <w:t xml:space="preserve"> km</w:t>
            </w:r>
            <w:r>
              <w:rPr>
                <w:rFonts w:ascii="Helvetica" w:hAnsi="Helvetica"/>
                <w:noProof/>
                <w:sz w:val="18"/>
                <w:szCs w:val="18"/>
                <w:vertAlign w:val="superscript"/>
              </w:rPr>
              <w:t>-1</w:t>
            </w:r>
          </w:p>
        </w:tc>
      </w:tr>
      <w:tr>
        <w:trPr>
          <w:trHeight w:val="306"/>
        </w:trPr>
        <w:tc>
          <w:tcPr>
            <w:tcW w:w="2070" w:type="dxa"/>
            <w:tcBorders>
              <w:bottom w:val="single" w:sz="4" w:space="0" w:color="auto"/>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CO</w:t>
            </w:r>
            <w:r>
              <w:rPr>
                <w:rFonts w:ascii="Helvetica" w:hAnsi="Helvetica"/>
                <w:noProof/>
                <w:sz w:val="18"/>
                <w:szCs w:val="18"/>
                <w:vertAlign w:val="subscript"/>
              </w:rPr>
              <w:t>2</w:t>
            </w:r>
          </w:p>
        </w:tc>
        <w:tc>
          <w:tcPr>
            <w:tcW w:w="1440" w:type="dxa"/>
            <w:tcBorders>
              <w:bottom w:val="single" w:sz="4" w:space="0" w:color="auto"/>
            </w:tcBorders>
            <w:tcMar>
              <w:left w:w="14" w:type="dxa"/>
              <w:right w:w="14" w:type="dxa"/>
            </w:tcMar>
          </w:tcPr>
          <w:p>
            <w:pPr>
              <w:spacing w:before="40" w:after="40"/>
              <w:jc w:val="center"/>
              <w:rPr>
                <w:rFonts w:ascii="Helvetica" w:hAnsi="Helvetica"/>
                <w:bCs/>
                <w:noProof/>
                <w:sz w:val="18"/>
                <w:szCs w:val="18"/>
              </w:rPr>
            </w:pPr>
            <w:r>
              <w:rPr>
                <w:rFonts w:ascii="Helvetica" w:hAnsi="Helvetica"/>
                <w:bCs/>
                <w:noProof/>
                <w:sz w:val="18"/>
                <w:szCs w:val="18"/>
              </w:rPr>
              <w:t>34.3 (31, 38)</w:t>
            </w:r>
          </w:p>
        </w:tc>
        <w:tc>
          <w:tcPr>
            <w:tcW w:w="1593" w:type="dxa"/>
            <w:tcBorders>
              <w:bottom w:val="single" w:sz="4" w:space="0" w:color="auto"/>
            </w:tcBorders>
          </w:tcPr>
          <w:p>
            <w:pPr>
              <w:spacing w:before="40" w:after="40"/>
              <w:jc w:val="center"/>
              <w:rPr>
                <w:rFonts w:ascii="Helvetica" w:hAnsi="Helvetica"/>
                <w:noProof/>
                <w:sz w:val="18"/>
                <w:szCs w:val="18"/>
              </w:rPr>
            </w:pPr>
            <w:r>
              <w:rPr>
                <w:rFonts w:ascii="Helvetica" w:hAnsi="Helvetica"/>
                <w:bCs/>
                <w:noProof/>
                <w:sz w:val="18"/>
                <w:szCs w:val="18"/>
              </w:rPr>
              <w:t>29.0 (26, 32)</w:t>
            </w:r>
          </w:p>
        </w:tc>
        <w:tc>
          <w:tcPr>
            <w:tcW w:w="1560" w:type="dxa"/>
            <w:tcBorders>
              <w:bottom w:val="single" w:sz="4" w:space="0" w:color="auto"/>
            </w:tcBorders>
          </w:tcPr>
          <w:p>
            <w:pPr>
              <w:spacing w:before="40" w:after="40"/>
              <w:jc w:val="center"/>
              <w:rPr>
                <w:rFonts w:ascii="Helvetica" w:hAnsi="Helvetica"/>
                <w:noProof/>
                <w:sz w:val="18"/>
                <w:szCs w:val="18"/>
              </w:rPr>
            </w:pPr>
            <w:r>
              <w:rPr>
                <w:rFonts w:ascii="Helvetica" w:hAnsi="Helvetica"/>
                <w:noProof/>
                <w:sz w:val="18"/>
                <w:szCs w:val="18"/>
              </w:rPr>
              <w:t>25.0 (23, 27)</w:t>
            </w:r>
          </w:p>
        </w:tc>
        <w:tc>
          <w:tcPr>
            <w:tcW w:w="992" w:type="dxa"/>
            <w:tcBorders>
              <w:bottom w:val="single" w:sz="4" w:space="0" w:color="auto"/>
            </w:tcBorders>
          </w:tcPr>
          <w:p>
            <w:pPr>
              <w:spacing w:before="40" w:after="40"/>
              <w:jc w:val="center"/>
              <w:rPr>
                <w:rFonts w:ascii="Helvetica" w:hAnsi="Helvetica"/>
                <w:noProof/>
                <w:sz w:val="18"/>
                <w:szCs w:val="18"/>
              </w:rPr>
            </w:pPr>
            <w:r>
              <w:rPr>
                <w:rFonts w:ascii="Helvetica" w:hAnsi="Helvetica"/>
                <w:noProof/>
                <w:sz w:val="18"/>
                <w:szCs w:val="18"/>
              </w:rPr>
              <w:t>28.0</w:t>
            </w:r>
          </w:p>
        </w:tc>
        <w:tc>
          <w:tcPr>
            <w:tcW w:w="3118" w:type="dxa"/>
            <w:tcBorders>
              <w:bottom w:val="single" w:sz="4" w:space="0" w:color="auto"/>
            </w:tcBorders>
            <w:tcMar>
              <w:left w:w="14" w:type="dxa"/>
              <w:right w:w="14" w:type="dxa"/>
            </w:tcMar>
          </w:tcPr>
          <w:p>
            <w:pPr>
              <w:spacing w:before="40" w:after="40"/>
              <w:rPr>
                <w:rFonts w:ascii="Helvetica" w:hAnsi="Helvetica"/>
                <w:noProof/>
                <w:sz w:val="18"/>
                <w:szCs w:val="18"/>
              </w:rPr>
            </w:pPr>
          </w:p>
        </w:tc>
      </w:tr>
      <w:tr>
        <w:trPr>
          <w:trHeight w:val="332"/>
        </w:trPr>
        <w:tc>
          <w:tcPr>
            <w:tcW w:w="2070" w:type="dxa"/>
            <w:tcBorders>
              <w:top w:val="single" w:sz="4" w:space="0" w:color="auto"/>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Short-term O</w:t>
            </w:r>
            <w:r>
              <w:rPr>
                <w:rFonts w:ascii="Helvetica" w:hAnsi="Helvetica"/>
                <w:noProof/>
                <w:sz w:val="18"/>
                <w:szCs w:val="18"/>
                <w:vertAlign w:val="subscript"/>
              </w:rPr>
              <w:t>3</w:t>
            </w:r>
            <w:r>
              <w:rPr>
                <w:rFonts w:ascii="Helvetica" w:hAnsi="Helvetica"/>
                <w:noProof/>
                <w:sz w:val="18"/>
                <w:szCs w:val="18"/>
              </w:rPr>
              <w:t xml:space="preserve"> increase</w:t>
            </w:r>
          </w:p>
        </w:tc>
        <w:tc>
          <w:tcPr>
            <w:tcW w:w="1440" w:type="dxa"/>
            <w:tcBorders>
              <w:top w:val="sing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36.0 (23, 56)</w:t>
            </w:r>
          </w:p>
        </w:tc>
        <w:tc>
          <w:tcPr>
            <w:tcW w:w="1593" w:type="dxa"/>
            <w:tcBorders>
              <w:top w:val="single" w:sz="4" w:space="0" w:color="auto"/>
            </w:tcBorders>
          </w:tcPr>
          <w:p>
            <w:pPr>
              <w:spacing w:before="40" w:after="40"/>
              <w:jc w:val="center"/>
              <w:rPr>
                <w:rFonts w:ascii="Helvetica" w:hAnsi="Helvetica"/>
                <w:noProof/>
                <w:color w:val="000000" w:themeColor="text1"/>
                <w:sz w:val="18"/>
                <w:szCs w:val="18"/>
              </w:rPr>
            </w:pPr>
            <w:r>
              <w:rPr>
                <w:rFonts w:ascii="Helvetica" w:hAnsi="Helvetica"/>
                <w:noProof/>
                <w:sz w:val="18"/>
                <w:szCs w:val="18"/>
              </w:rPr>
              <w:t>27.3 (17, 42)</w:t>
            </w:r>
          </w:p>
        </w:tc>
        <w:tc>
          <w:tcPr>
            <w:tcW w:w="1560" w:type="dxa"/>
            <w:tcBorders>
              <w:top w:val="single" w:sz="4" w:space="0" w:color="auto"/>
            </w:tcBorders>
          </w:tcPr>
          <w:p>
            <w:pPr>
              <w:spacing w:before="40" w:after="40"/>
              <w:jc w:val="center"/>
              <w:rPr>
                <w:rFonts w:ascii="Helvetica" w:hAnsi="Helvetica"/>
                <w:noProof/>
                <w:color w:val="000000" w:themeColor="text1"/>
                <w:sz w:val="18"/>
                <w:szCs w:val="18"/>
              </w:rPr>
            </w:pPr>
            <w:r>
              <w:rPr>
                <w:rFonts w:ascii="Helvetica" w:hAnsi="Helvetica"/>
                <w:noProof/>
                <w:sz w:val="18"/>
                <w:szCs w:val="18"/>
              </w:rPr>
              <w:t>24.0 (15, 37)</w:t>
            </w:r>
          </w:p>
        </w:tc>
        <w:tc>
          <w:tcPr>
            <w:tcW w:w="992" w:type="dxa"/>
            <w:tcBorders>
              <w:top w:val="single" w:sz="4" w:space="0" w:color="auto"/>
            </w:tcBorders>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26.3</w:t>
            </w:r>
          </w:p>
        </w:tc>
        <w:tc>
          <w:tcPr>
            <w:tcW w:w="3118" w:type="dxa"/>
            <w:tcBorders>
              <w:top w:val="single" w:sz="4" w:space="0" w:color="auto"/>
            </w:tcBorders>
            <w:tcMar>
              <w:left w:w="14" w:type="dxa"/>
              <w:right w:w="14" w:type="dxa"/>
            </w:tcMar>
          </w:tcPr>
          <w:p>
            <w:pPr>
              <w:spacing w:before="40" w:after="40"/>
              <w:rPr>
                <w:rFonts w:ascii="Helvetica" w:hAnsi="Helvetica"/>
                <w:noProof/>
                <w:color w:val="000000" w:themeColor="text1"/>
                <w:sz w:val="18"/>
                <w:szCs w:val="18"/>
              </w:rPr>
            </w:pPr>
            <w:r>
              <w:rPr>
                <w:rFonts w:ascii="Helvetica" w:hAnsi="Helvetica"/>
                <w:noProof/>
                <w:color w:val="000000" w:themeColor="text1"/>
                <w:sz w:val="18"/>
                <w:szCs w:val="18"/>
              </w:rPr>
              <w:t>25.1 ± 7.3 mW m</w:t>
            </w:r>
            <w:r>
              <w:rPr>
                <w:rFonts w:ascii="Helvetica" w:hAnsi="Helvetica"/>
                <w:noProof/>
                <w:color w:val="000000" w:themeColor="text1"/>
                <w:sz w:val="18"/>
                <w:szCs w:val="18"/>
                <w:vertAlign w:val="superscript"/>
              </w:rPr>
              <w:t>-2</w:t>
            </w:r>
            <w:r>
              <w:rPr>
                <w:rFonts w:ascii="Helvetica" w:hAnsi="Helvetica"/>
                <w:noProof/>
                <w:color w:val="000000" w:themeColor="text1"/>
                <w:sz w:val="18"/>
                <w:szCs w:val="18"/>
              </w:rPr>
              <w:t xml:space="preserve"> (Tg (N) yr</w:t>
            </w:r>
            <w:r>
              <w:rPr>
                <w:rFonts w:ascii="Helvetica" w:hAnsi="Helvetica"/>
                <w:noProof/>
                <w:color w:val="000000" w:themeColor="text1"/>
                <w:sz w:val="18"/>
                <w:szCs w:val="18"/>
                <w:vertAlign w:val="superscript"/>
              </w:rPr>
              <w:t>-1</w:t>
            </w:r>
            <w:r>
              <w:rPr>
                <w:rFonts w:ascii="Helvetica" w:hAnsi="Helvetica"/>
                <w:noProof/>
                <w:color w:val="000000" w:themeColor="text1"/>
                <w:sz w:val="18"/>
                <w:szCs w:val="18"/>
              </w:rPr>
              <w:t>)</w:t>
            </w:r>
            <w:r>
              <w:rPr>
                <w:rFonts w:ascii="Helvetica" w:hAnsi="Helvetica"/>
                <w:noProof/>
                <w:color w:val="000000" w:themeColor="text1"/>
                <w:sz w:val="18"/>
                <w:szCs w:val="18"/>
                <w:vertAlign w:val="superscript"/>
              </w:rPr>
              <w:t>-1</w:t>
            </w:r>
          </w:p>
        </w:tc>
      </w:tr>
      <w:tr>
        <w:tc>
          <w:tcPr>
            <w:tcW w:w="2070" w:type="dxa"/>
            <w:tcBorders>
              <w:bottom w:val="nil"/>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Long-term O</w:t>
            </w:r>
            <w:r>
              <w:rPr>
                <w:rFonts w:ascii="Helvetica" w:hAnsi="Helvetica"/>
                <w:noProof/>
                <w:sz w:val="18"/>
                <w:szCs w:val="18"/>
                <w:vertAlign w:val="subscript"/>
              </w:rPr>
              <w:t>3</w:t>
            </w:r>
            <w:r>
              <w:rPr>
                <w:rFonts w:ascii="Helvetica" w:hAnsi="Helvetica"/>
                <w:noProof/>
                <w:sz w:val="20"/>
                <w:szCs w:val="20"/>
              </w:rPr>
              <w:t xml:space="preserve"> </w:t>
            </w:r>
            <w:r>
              <w:rPr>
                <w:rFonts w:ascii="Helvetica" w:hAnsi="Helvetica"/>
                <w:noProof/>
                <w:sz w:val="18"/>
                <w:szCs w:val="18"/>
              </w:rPr>
              <w:t>decrease</w:t>
            </w:r>
          </w:p>
        </w:tc>
        <w:tc>
          <w:tcPr>
            <w:tcW w:w="1440" w:type="dxa"/>
            <w:tcBorders>
              <w:bottom w:val="nil"/>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-9.0 (-17, -6.3)</w:t>
            </w:r>
          </w:p>
        </w:tc>
        <w:tc>
          <w:tcPr>
            <w:tcW w:w="1593" w:type="dxa"/>
            <w:tcBorders>
              <w:bottom w:val="nil"/>
            </w:tcBorders>
          </w:tcPr>
          <w:p>
            <w:pPr>
              <w:spacing w:before="40" w:after="40"/>
              <w:jc w:val="center"/>
              <w:rPr>
                <w:rFonts w:ascii="Helvetica" w:hAnsi="Helvetica"/>
                <w:noProof/>
                <w:color w:val="000000" w:themeColor="text1"/>
                <w:sz w:val="18"/>
                <w:szCs w:val="18"/>
              </w:rPr>
            </w:pPr>
            <w:r>
              <w:rPr>
                <w:rFonts w:ascii="Helvetica" w:hAnsi="Helvetica"/>
                <w:noProof/>
                <w:sz w:val="18"/>
                <w:szCs w:val="18"/>
              </w:rPr>
              <w:t>-6.7 (-13, -4.7)</w:t>
            </w:r>
          </w:p>
        </w:tc>
        <w:tc>
          <w:tcPr>
            <w:tcW w:w="1560" w:type="dxa"/>
            <w:tcBorders>
              <w:bottom w:val="nil"/>
            </w:tcBorders>
          </w:tcPr>
          <w:p>
            <w:pPr>
              <w:spacing w:before="40" w:after="40"/>
              <w:jc w:val="center"/>
              <w:rPr>
                <w:rFonts w:ascii="Helvetica" w:hAnsi="Helvetica"/>
                <w:noProof/>
                <w:color w:val="000000" w:themeColor="text1"/>
                <w:sz w:val="18"/>
                <w:szCs w:val="18"/>
              </w:rPr>
            </w:pPr>
            <w:r>
              <w:rPr>
                <w:rFonts w:ascii="Helvetica" w:hAnsi="Helvetica"/>
                <w:noProof/>
                <w:sz w:val="18"/>
                <w:szCs w:val="18"/>
              </w:rPr>
              <w:t>-5.7 (-11, -4.0)</w:t>
            </w:r>
          </w:p>
        </w:tc>
        <w:tc>
          <w:tcPr>
            <w:tcW w:w="992" w:type="dxa"/>
            <w:tcBorders>
              <w:bottom w:val="nil"/>
            </w:tcBorders>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w:t>
            </w:r>
          </w:p>
        </w:tc>
        <w:tc>
          <w:tcPr>
            <w:tcW w:w="3118" w:type="dxa"/>
            <w:tcBorders>
              <w:bottom w:val="nil"/>
            </w:tcBorders>
            <w:tcMar>
              <w:left w:w="14" w:type="dxa"/>
              <w:right w:w="14" w:type="dxa"/>
            </w:tcMar>
          </w:tcPr>
          <w:p>
            <w:pPr>
              <w:spacing w:before="40" w:after="40"/>
              <w:rPr>
                <w:rFonts w:ascii="Helvetica" w:hAnsi="Helvetica"/>
                <w:noProof/>
                <w:color w:val="000000" w:themeColor="text1"/>
                <w:sz w:val="18"/>
                <w:szCs w:val="18"/>
              </w:rPr>
            </w:pPr>
            <w:r>
              <w:rPr>
                <w:rFonts w:ascii="Helvetica" w:hAnsi="Helvetica"/>
                <w:noProof/>
                <w:color w:val="000000" w:themeColor="text1"/>
                <w:sz w:val="18"/>
                <w:szCs w:val="18"/>
              </w:rPr>
              <w:t>-7.9 ± 2.9 mW m</w:t>
            </w:r>
            <w:r>
              <w:rPr>
                <w:rFonts w:ascii="Helvetica" w:hAnsi="Helvetica"/>
                <w:noProof/>
                <w:color w:val="000000" w:themeColor="text1"/>
                <w:sz w:val="18"/>
                <w:szCs w:val="18"/>
                <w:vertAlign w:val="superscript"/>
              </w:rPr>
              <w:t>-2</w:t>
            </w:r>
            <w:r>
              <w:rPr>
                <w:rFonts w:ascii="Helvetica" w:hAnsi="Helvetica"/>
                <w:noProof/>
                <w:color w:val="000000" w:themeColor="text1"/>
                <w:sz w:val="18"/>
                <w:szCs w:val="18"/>
              </w:rPr>
              <w:t xml:space="preserve"> (Tg (N) yr</w:t>
            </w:r>
            <w:r>
              <w:rPr>
                <w:rFonts w:ascii="Helvetica" w:hAnsi="Helvetica"/>
                <w:noProof/>
                <w:color w:val="000000" w:themeColor="text1"/>
                <w:sz w:val="18"/>
                <w:szCs w:val="18"/>
                <w:vertAlign w:val="superscript"/>
              </w:rPr>
              <w:t>-1</w:t>
            </w:r>
            <w:r>
              <w:rPr>
                <w:rFonts w:ascii="Helvetica" w:hAnsi="Helvetica"/>
                <w:noProof/>
                <w:color w:val="000000" w:themeColor="text1"/>
                <w:sz w:val="18"/>
                <w:szCs w:val="18"/>
              </w:rPr>
              <w:t>)</w:t>
            </w:r>
            <w:r>
              <w:rPr>
                <w:rFonts w:ascii="Helvetica" w:hAnsi="Helvetica"/>
                <w:noProof/>
                <w:color w:val="000000" w:themeColor="text1"/>
                <w:sz w:val="18"/>
                <w:szCs w:val="18"/>
                <w:vertAlign w:val="superscript"/>
              </w:rPr>
              <w:t>-1</w:t>
            </w:r>
          </w:p>
        </w:tc>
      </w:tr>
      <w:tr>
        <w:tc>
          <w:tcPr>
            <w:tcW w:w="2070" w:type="dxa"/>
            <w:tcBorders>
              <w:bottom w:val="nil"/>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CH</w:t>
            </w:r>
            <w:r>
              <w:rPr>
                <w:rFonts w:ascii="Helvetica" w:hAnsi="Helvetica"/>
                <w:noProof/>
                <w:sz w:val="18"/>
                <w:szCs w:val="18"/>
                <w:vertAlign w:val="subscript"/>
              </w:rPr>
              <w:t>4</w:t>
            </w:r>
            <w:r>
              <w:rPr>
                <w:rFonts w:ascii="Helvetica" w:hAnsi="Helvetica"/>
                <w:noProof/>
                <w:sz w:val="18"/>
                <w:szCs w:val="18"/>
              </w:rPr>
              <w:t xml:space="preserve"> decrease</w:t>
            </w:r>
          </w:p>
        </w:tc>
        <w:tc>
          <w:tcPr>
            <w:tcW w:w="1440" w:type="dxa"/>
            <w:tcBorders>
              <w:bottom w:val="nil"/>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-17.9 (-34, -13)</w:t>
            </w:r>
          </w:p>
        </w:tc>
        <w:tc>
          <w:tcPr>
            <w:tcW w:w="1593" w:type="dxa"/>
            <w:tcBorders>
              <w:bottom w:val="nil"/>
            </w:tcBorders>
          </w:tcPr>
          <w:p>
            <w:pPr>
              <w:spacing w:before="40" w:after="40"/>
              <w:jc w:val="center"/>
              <w:rPr>
                <w:rFonts w:ascii="Helvetica" w:hAnsi="Helvetica"/>
                <w:noProof/>
                <w:color w:val="000000" w:themeColor="text1"/>
                <w:sz w:val="18"/>
                <w:szCs w:val="18"/>
              </w:rPr>
            </w:pPr>
            <w:r>
              <w:rPr>
                <w:rFonts w:ascii="Helvetica" w:hAnsi="Helvetica"/>
                <w:noProof/>
                <w:sz w:val="18"/>
                <w:szCs w:val="18"/>
              </w:rPr>
              <w:t>-13.4 (-25, -9.3)</w:t>
            </w:r>
          </w:p>
        </w:tc>
        <w:tc>
          <w:tcPr>
            <w:tcW w:w="1560" w:type="dxa"/>
            <w:tcBorders>
              <w:bottom w:val="nil"/>
            </w:tcBorders>
          </w:tcPr>
          <w:p>
            <w:pPr>
              <w:spacing w:before="40" w:after="40"/>
              <w:jc w:val="center"/>
              <w:rPr>
                <w:rFonts w:ascii="Helvetica" w:hAnsi="Helvetica"/>
                <w:noProof/>
                <w:color w:val="000000" w:themeColor="text1"/>
                <w:sz w:val="18"/>
                <w:szCs w:val="18"/>
              </w:rPr>
            </w:pPr>
            <w:r>
              <w:rPr>
                <w:rFonts w:ascii="Helvetica" w:hAnsi="Helvetica"/>
                <w:noProof/>
                <w:sz w:val="18"/>
                <w:szCs w:val="18"/>
              </w:rPr>
              <w:t>-11.4 (-21, -7.9)</w:t>
            </w:r>
          </w:p>
        </w:tc>
        <w:tc>
          <w:tcPr>
            <w:tcW w:w="992" w:type="dxa"/>
            <w:tcBorders>
              <w:bottom w:val="nil"/>
            </w:tcBorders>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-12.5</w:t>
            </w:r>
          </w:p>
        </w:tc>
        <w:tc>
          <w:tcPr>
            <w:tcW w:w="3118" w:type="dxa"/>
            <w:tcBorders>
              <w:bottom w:val="nil"/>
            </w:tcBorders>
            <w:tcMar>
              <w:left w:w="14" w:type="dxa"/>
              <w:right w:w="14" w:type="dxa"/>
            </w:tcMar>
          </w:tcPr>
          <w:p>
            <w:pPr>
              <w:spacing w:before="40" w:after="40"/>
              <w:rPr>
                <w:rFonts w:ascii="Helvetica" w:hAnsi="Helvetica"/>
                <w:noProof/>
                <w:color w:val="000000" w:themeColor="text1"/>
                <w:sz w:val="18"/>
                <w:szCs w:val="18"/>
              </w:rPr>
            </w:pPr>
            <w:r>
              <w:rPr>
                <w:rFonts w:ascii="Helvetica" w:hAnsi="Helvetica"/>
                <w:noProof/>
                <w:color w:val="000000" w:themeColor="text1"/>
                <w:sz w:val="18"/>
                <w:szCs w:val="18"/>
              </w:rPr>
              <w:t>-15.8 ± 5.9 mW m</w:t>
            </w:r>
            <w:r>
              <w:rPr>
                <w:rFonts w:ascii="Helvetica" w:hAnsi="Helvetica"/>
                <w:noProof/>
                <w:color w:val="000000" w:themeColor="text1"/>
                <w:sz w:val="18"/>
                <w:szCs w:val="18"/>
                <w:vertAlign w:val="superscript"/>
              </w:rPr>
              <w:t>-2</w:t>
            </w:r>
            <w:r>
              <w:rPr>
                <w:rFonts w:ascii="Helvetica" w:hAnsi="Helvetica"/>
                <w:noProof/>
                <w:color w:val="000000" w:themeColor="text1"/>
                <w:sz w:val="18"/>
                <w:szCs w:val="18"/>
              </w:rPr>
              <w:t xml:space="preserve"> (Tg (N) yr</w:t>
            </w:r>
            <w:r>
              <w:rPr>
                <w:rFonts w:ascii="Helvetica" w:hAnsi="Helvetica"/>
                <w:noProof/>
                <w:color w:val="000000" w:themeColor="text1"/>
                <w:sz w:val="18"/>
                <w:szCs w:val="18"/>
                <w:vertAlign w:val="superscript"/>
              </w:rPr>
              <w:noBreakHyphen/>
              <w:t>1</w:t>
            </w:r>
            <w:r>
              <w:rPr>
                <w:rFonts w:ascii="Helvetica" w:hAnsi="Helvetica"/>
                <w:noProof/>
                <w:color w:val="000000" w:themeColor="text1"/>
                <w:sz w:val="18"/>
                <w:szCs w:val="18"/>
              </w:rPr>
              <w:t>)</w:t>
            </w:r>
            <w:r>
              <w:rPr>
                <w:rFonts w:ascii="Helvetica" w:hAnsi="Helvetica"/>
                <w:noProof/>
                <w:color w:val="000000" w:themeColor="text1"/>
                <w:sz w:val="18"/>
                <w:szCs w:val="18"/>
                <w:vertAlign w:val="superscript"/>
              </w:rPr>
              <w:t>-1</w:t>
            </w:r>
          </w:p>
        </w:tc>
      </w:tr>
      <w:tr>
        <w:trPr>
          <w:trHeight w:val="251"/>
        </w:trPr>
        <w:tc>
          <w:tcPr>
            <w:tcW w:w="2070" w:type="dxa"/>
            <w:tcBorders>
              <w:top w:val="nil"/>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Stratospheric water vapor decrease</w:t>
            </w:r>
          </w:p>
        </w:tc>
        <w:tc>
          <w:tcPr>
            <w:tcW w:w="1440" w:type="dxa"/>
            <w:tcBorders>
              <w:top w:val="nil"/>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-2.7 (-5.0 -1.9)</w:t>
            </w:r>
          </w:p>
        </w:tc>
        <w:tc>
          <w:tcPr>
            <w:tcW w:w="1593" w:type="dxa"/>
            <w:tcBorders>
              <w:top w:val="nil"/>
            </w:tcBorders>
          </w:tcPr>
          <w:p>
            <w:pPr>
              <w:spacing w:before="40" w:after="40"/>
              <w:jc w:val="center"/>
              <w:rPr>
                <w:rFonts w:ascii="Helvetica" w:hAnsi="Helvetica"/>
                <w:noProof/>
                <w:color w:val="000000" w:themeColor="text1"/>
                <w:sz w:val="18"/>
                <w:szCs w:val="18"/>
              </w:rPr>
            </w:pPr>
            <w:r>
              <w:rPr>
                <w:rFonts w:ascii="Helvetica" w:hAnsi="Helvetica"/>
                <w:noProof/>
                <w:sz w:val="18"/>
                <w:szCs w:val="18"/>
              </w:rPr>
              <w:t>-2.0 (-3.8, -1.4)</w:t>
            </w:r>
          </w:p>
        </w:tc>
        <w:tc>
          <w:tcPr>
            <w:tcW w:w="1560" w:type="dxa"/>
            <w:tcBorders>
              <w:top w:val="nil"/>
            </w:tcBorders>
          </w:tcPr>
          <w:p>
            <w:pPr>
              <w:spacing w:before="40" w:after="40"/>
              <w:jc w:val="center"/>
              <w:rPr>
                <w:rFonts w:ascii="Helvetica" w:hAnsi="Helvetica"/>
                <w:noProof/>
                <w:color w:val="000000" w:themeColor="text1"/>
                <w:sz w:val="18"/>
                <w:szCs w:val="18"/>
              </w:rPr>
            </w:pPr>
            <w:r>
              <w:rPr>
                <w:rFonts w:ascii="Helvetica" w:hAnsi="Helvetica"/>
                <w:noProof/>
                <w:sz w:val="18"/>
                <w:szCs w:val="18"/>
              </w:rPr>
              <w:t>-1.7 (-3.2, -1.2)</w:t>
            </w:r>
          </w:p>
        </w:tc>
        <w:tc>
          <w:tcPr>
            <w:tcW w:w="992" w:type="dxa"/>
            <w:tcBorders>
              <w:top w:val="nil"/>
            </w:tcBorders>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w:t>
            </w:r>
          </w:p>
        </w:tc>
        <w:tc>
          <w:tcPr>
            <w:tcW w:w="3118" w:type="dxa"/>
            <w:tcBorders>
              <w:top w:val="nil"/>
            </w:tcBorders>
            <w:tcMar>
              <w:left w:w="14" w:type="dxa"/>
              <w:right w:w="14" w:type="dxa"/>
            </w:tcMar>
          </w:tcPr>
          <w:p>
            <w:pPr>
              <w:spacing w:before="40" w:after="40"/>
              <w:rPr>
                <w:rFonts w:ascii="Helvetica" w:hAnsi="Helvetica"/>
                <w:noProof/>
                <w:color w:val="000000" w:themeColor="text1"/>
                <w:sz w:val="18"/>
                <w:szCs w:val="18"/>
              </w:rPr>
            </w:pPr>
            <w:r>
              <w:rPr>
                <w:rFonts w:ascii="Helvetica" w:hAnsi="Helvetica"/>
                <w:noProof/>
                <w:color w:val="000000" w:themeColor="text1"/>
                <w:sz w:val="18"/>
                <w:szCs w:val="18"/>
              </w:rPr>
              <w:t>-2.4 ± 0.9 mW m</w:t>
            </w:r>
            <w:r>
              <w:rPr>
                <w:rFonts w:ascii="Helvetica" w:hAnsi="Helvetica"/>
                <w:noProof/>
                <w:color w:val="000000" w:themeColor="text1"/>
                <w:sz w:val="18"/>
                <w:szCs w:val="18"/>
                <w:vertAlign w:val="superscript"/>
              </w:rPr>
              <w:t>-2</w:t>
            </w:r>
            <w:r>
              <w:rPr>
                <w:rFonts w:ascii="Helvetica" w:hAnsi="Helvetica"/>
                <w:noProof/>
                <w:color w:val="000000" w:themeColor="text1"/>
                <w:sz w:val="18"/>
                <w:szCs w:val="18"/>
              </w:rPr>
              <w:t xml:space="preserve"> (Tg (N) yr</w:t>
            </w:r>
            <w:r>
              <w:rPr>
                <w:rFonts w:ascii="Helvetica" w:hAnsi="Helvetica"/>
                <w:noProof/>
                <w:color w:val="000000" w:themeColor="text1"/>
                <w:sz w:val="18"/>
                <w:szCs w:val="18"/>
                <w:vertAlign w:val="superscript"/>
              </w:rPr>
              <w:t>-1</w:t>
            </w:r>
            <w:r>
              <w:rPr>
                <w:rFonts w:ascii="Helvetica" w:hAnsi="Helvetica"/>
                <w:noProof/>
                <w:color w:val="000000" w:themeColor="text1"/>
                <w:sz w:val="18"/>
                <w:szCs w:val="18"/>
              </w:rPr>
              <w:t>)</w:t>
            </w:r>
            <w:r>
              <w:rPr>
                <w:rFonts w:ascii="Helvetica" w:hAnsi="Helvetica"/>
                <w:noProof/>
                <w:color w:val="000000" w:themeColor="text1"/>
                <w:sz w:val="18"/>
                <w:szCs w:val="18"/>
                <w:vertAlign w:val="superscript"/>
              </w:rPr>
              <w:t>-1</w:t>
            </w:r>
          </w:p>
        </w:tc>
      </w:tr>
      <w:tr>
        <w:tc>
          <w:tcPr>
            <w:tcW w:w="2070" w:type="dxa"/>
            <w:tcBorders>
              <w:top w:val="single" w:sz="4" w:space="0" w:color="auto"/>
              <w:bottom w:val="single" w:sz="4" w:space="0" w:color="auto"/>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Net NO</w:t>
            </w:r>
            <w:r>
              <w:rPr>
                <w:rFonts w:ascii="Helvetica" w:hAnsi="Helvetica"/>
                <w:noProof/>
                <w:sz w:val="18"/>
                <w:szCs w:val="18"/>
                <w:vertAlign w:val="subscript"/>
              </w:rPr>
              <w:t>x</w:t>
            </w:r>
          </w:p>
        </w:tc>
        <w:tc>
          <w:tcPr>
            <w:tcW w:w="1440" w:type="dxa"/>
            <w:tcBorders>
              <w:top w:val="single" w:sz="4" w:space="0" w:color="auto"/>
              <w:bottom w:val="sing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8.2 (-4.8, 16)</w:t>
            </w:r>
          </w:p>
        </w:tc>
        <w:tc>
          <w:tcPr>
            <w:tcW w:w="1593" w:type="dxa"/>
            <w:tcBorders>
              <w:top w:val="single" w:sz="4" w:space="0" w:color="auto"/>
              <w:bottom w:val="single" w:sz="4" w:space="0" w:color="auto"/>
            </w:tcBorders>
          </w:tcPr>
          <w:p>
            <w:pPr>
              <w:spacing w:before="40" w:after="40"/>
              <w:jc w:val="center"/>
              <w:rPr>
                <w:rFonts w:ascii="Helvetica" w:hAnsi="Helvetica"/>
                <w:noProof/>
                <w:color w:val="000000" w:themeColor="text1"/>
                <w:sz w:val="18"/>
                <w:szCs w:val="18"/>
              </w:rPr>
            </w:pPr>
            <w:r>
              <w:rPr>
                <w:rFonts w:ascii="Helvetica" w:hAnsi="Helvetica"/>
                <w:noProof/>
                <w:sz w:val="18"/>
                <w:szCs w:val="18"/>
              </w:rPr>
              <w:t>6.5 (-3.3, 12)</w:t>
            </w:r>
          </w:p>
        </w:tc>
        <w:tc>
          <w:tcPr>
            <w:tcW w:w="1560" w:type="dxa"/>
            <w:tcBorders>
              <w:top w:val="single" w:sz="4" w:space="0" w:color="auto"/>
              <w:bottom w:val="single" w:sz="4" w:space="0" w:color="auto"/>
            </w:tcBorders>
          </w:tcPr>
          <w:p>
            <w:pPr>
              <w:spacing w:before="40" w:after="40"/>
              <w:jc w:val="center"/>
              <w:rPr>
                <w:rFonts w:ascii="Helvetica" w:hAnsi="Helvetica"/>
                <w:noProof/>
                <w:color w:val="000000" w:themeColor="text1"/>
                <w:sz w:val="18"/>
                <w:szCs w:val="18"/>
              </w:rPr>
            </w:pPr>
            <w:r>
              <w:rPr>
                <w:rFonts w:ascii="Helvetica" w:hAnsi="Helvetica"/>
                <w:noProof/>
                <w:sz w:val="18"/>
                <w:szCs w:val="18"/>
              </w:rPr>
              <w:t>6.6 (1.9, 12)</w:t>
            </w:r>
          </w:p>
        </w:tc>
        <w:tc>
          <w:tcPr>
            <w:tcW w:w="992" w:type="dxa"/>
            <w:tcBorders>
              <w:top w:val="single" w:sz="4" w:space="0" w:color="auto"/>
              <w:bottom w:val="single" w:sz="4" w:space="0" w:color="auto"/>
            </w:tcBorders>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 xml:space="preserve">13.8 </w:t>
            </w:r>
            <w:r>
              <w:rPr>
                <w:rFonts w:ascii="Helvetica" w:hAnsi="Helvetica"/>
                <w:noProof/>
                <w:color w:val="000000" w:themeColor="text1"/>
                <w:sz w:val="18"/>
                <w:szCs w:val="18"/>
                <w:vertAlign w:val="superscript"/>
              </w:rPr>
              <w:t>d</w:t>
            </w:r>
          </w:p>
        </w:tc>
        <w:tc>
          <w:tcPr>
            <w:tcW w:w="3118" w:type="dxa"/>
            <w:tcBorders>
              <w:top w:val="single" w:sz="4" w:space="0" w:color="auto"/>
              <w:bottom w:val="single" w:sz="4" w:space="0" w:color="auto"/>
            </w:tcBorders>
            <w:tcMar>
              <w:left w:w="14" w:type="dxa"/>
              <w:right w:w="14" w:type="dxa"/>
            </w:tcMar>
          </w:tcPr>
          <w:p>
            <w:pPr>
              <w:spacing w:before="40" w:after="40"/>
              <w:rPr>
                <w:rFonts w:ascii="Helvetica" w:hAnsi="Helvetica"/>
                <w:noProof/>
                <w:color w:val="000000" w:themeColor="text1"/>
                <w:sz w:val="18"/>
                <w:szCs w:val="18"/>
              </w:rPr>
            </w:pPr>
            <w:r>
              <w:rPr>
                <w:rFonts w:ascii="Helvetica" w:hAnsi="Helvetica"/>
                <w:noProof/>
                <w:color w:val="000000" w:themeColor="text1"/>
                <w:sz w:val="18"/>
                <w:szCs w:val="18"/>
              </w:rPr>
              <w:t>1.0 ± 6.6 mW m</w:t>
            </w:r>
            <w:r>
              <w:rPr>
                <w:rFonts w:ascii="Helvetica" w:hAnsi="Helvetica"/>
                <w:noProof/>
                <w:color w:val="000000" w:themeColor="text1"/>
                <w:sz w:val="18"/>
                <w:szCs w:val="18"/>
                <w:vertAlign w:val="superscript"/>
              </w:rPr>
              <w:t>-2</w:t>
            </w:r>
            <w:r>
              <w:rPr>
                <w:rFonts w:ascii="Helvetica" w:hAnsi="Helvetica"/>
                <w:noProof/>
                <w:color w:val="000000" w:themeColor="text1"/>
                <w:sz w:val="18"/>
                <w:szCs w:val="18"/>
              </w:rPr>
              <w:t xml:space="preserve"> (Tg (N) yr</w:t>
            </w:r>
            <w:r>
              <w:rPr>
                <w:rFonts w:ascii="Helvetica" w:hAnsi="Helvetica"/>
                <w:noProof/>
                <w:color w:val="000000" w:themeColor="text1"/>
                <w:sz w:val="18"/>
                <w:szCs w:val="18"/>
                <w:vertAlign w:val="superscript"/>
              </w:rPr>
              <w:t>-1</w:t>
            </w:r>
            <w:r>
              <w:rPr>
                <w:rFonts w:ascii="Helvetica" w:hAnsi="Helvetica"/>
                <w:noProof/>
                <w:color w:val="000000" w:themeColor="text1"/>
                <w:sz w:val="18"/>
                <w:szCs w:val="18"/>
              </w:rPr>
              <w:t>)</w:t>
            </w:r>
            <w:r>
              <w:rPr>
                <w:rFonts w:ascii="Helvetica" w:hAnsi="Helvetica"/>
                <w:noProof/>
                <w:color w:val="000000" w:themeColor="text1"/>
                <w:sz w:val="18"/>
                <w:szCs w:val="18"/>
                <w:vertAlign w:val="superscript"/>
              </w:rPr>
              <w:t>-1</w:t>
            </w:r>
          </w:p>
        </w:tc>
      </w:tr>
      <w:tr>
        <w:tc>
          <w:tcPr>
            <w:tcW w:w="2070" w:type="dxa"/>
            <w:tcBorders>
              <w:top w:val="single" w:sz="4" w:space="0" w:color="auto"/>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Stratospheric H</w:t>
            </w:r>
            <w:r>
              <w:rPr>
                <w:rFonts w:ascii="Helvetica" w:hAnsi="Helvetica"/>
                <w:noProof/>
                <w:sz w:val="18"/>
                <w:szCs w:val="18"/>
                <w:vertAlign w:val="subscript"/>
              </w:rPr>
              <w:t>2</w:t>
            </w:r>
            <w:r>
              <w:rPr>
                <w:rFonts w:ascii="Helvetica" w:hAnsi="Helvetica"/>
                <w:noProof/>
                <w:sz w:val="18"/>
                <w:szCs w:val="18"/>
              </w:rPr>
              <w:t>O increase</w:t>
            </w:r>
          </w:p>
        </w:tc>
        <w:tc>
          <w:tcPr>
            <w:tcW w:w="1440" w:type="dxa"/>
            <w:tcBorders>
              <w:top w:val="sing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2.0 (0.8, 3.2)</w:t>
            </w:r>
          </w:p>
        </w:tc>
        <w:tc>
          <w:tcPr>
            <w:tcW w:w="1593" w:type="dxa"/>
            <w:tcBorders>
              <w:top w:val="single" w:sz="4" w:space="0" w:color="auto"/>
            </w:tcBorders>
          </w:tcPr>
          <w:p>
            <w:pPr>
              <w:spacing w:before="40" w:after="40"/>
              <w:jc w:val="center"/>
              <w:rPr>
                <w:rFonts w:ascii="Helvetica" w:hAnsi="Helvetica"/>
                <w:noProof/>
                <w:color w:val="000000" w:themeColor="text1"/>
                <w:sz w:val="18"/>
                <w:szCs w:val="18"/>
              </w:rPr>
            </w:pPr>
            <w:r>
              <w:rPr>
                <w:rFonts w:ascii="Helvetica" w:hAnsi="Helvetica"/>
                <w:noProof/>
                <w:sz w:val="18"/>
                <w:szCs w:val="18"/>
              </w:rPr>
              <w:t>1.5 (0.6, 2.4)</w:t>
            </w:r>
          </w:p>
        </w:tc>
        <w:tc>
          <w:tcPr>
            <w:tcW w:w="1560" w:type="dxa"/>
            <w:tcBorders>
              <w:top w:val="single" w:sz="4" w:space="0" w:color="auto"/>
            </w:tcBorders>
          </w:tcPr>
          <w:p>
            <w:pPr>
              <w:spacing w:before="40" w:after="40"/>
              <w:jc w:val="center"/>
              <w:rPr>
                <w:rFonts w:ascii="Helvetica" w:hAnsi="Helvetica"/>
                <w:noProof/>
                <w:color w:val="000000" w:themeColor="text1"/>
                <w:sz w:val="18"/>
                <w:szCs w:val="18"/>
              </w:rPr>
            </w:pPr>
            <w:r>
              <w:rPr>
                <w:rFonts w:ascii="Helvetica" w:hAnsi="Helvetica"/>
                <w:noProof/>
                <w:sz w:val="18"/>
                <w:szCs w:val="18"/>
              </w:rPr>
              <w:t>1.4 (0.6, 2.3)</w:t>
            </w:r>
          </w:p>
        </w:tc>
        <w:tc>
          <w:tcPr>
            <w:tcW w:w="992" w:type="dxa"/>
            <w:tcBorders>
              <w:top w:val="single" w:sz="4" w:space="0" w:color="auto"/>
            </w:tcBorders>
          </w:tcPr>
          <w:p>
            <w:pPr>
              <w:spacing w:before="40" w:after="40"/>
              <w:jc w:val="center"/>
              <w:rPr>
                <w:rFonts w:ascii="Helvetica" w:hAnsi="Helvetica"/>
                <w:noProof/>
                <w:color w:val="000000" w:themeColor="text1"/>
                <w:sz w:val="18"/>
                <w:szCs w:val="18"/>
              </w:rPr>
            </w:pPr>
            <w:r>
              <w:rPr>
                <w:rFonts w:ascii="Helvetica" w:hAnsi="Helvetica"/>
                <w:noProof/>
                <w:color w:val="000000" w:themeColor="text1"/>
                <w:sz w:val="18"/>
                <w:szCs w:val="18"/>
              </w:rPr>
              <w:t>2.8</w:t>
            </w:r>
          </w:p>
        </w:tc>
        <w:tc>
          <w:tcPr>
            <w:tcW w:w="3118" w:type="dxa"/>
            <w:tcBorders>
              <w:top w:val="single" w:sz="4" w:space="0" w:color="auto"/>
            </w:tcBorders>
            <w:tcMar>
              <w:left w:w="14" w:type="dxa"/>
              <w:right w:w="14" w:type="dxa"/>
            </w:tcMar>
          </w:tcPr>
          <w:p>
            <w:pPr>
              <w:spacing w:before="40" w:after="40"/>
              <w:rPr>
                <w:rFonts w:ascii="Helvetica" w:hAnsi="Helvetica"/>
                <w:noProof/>
                <w:color w:val="000000" w:themeColor="text1"/>
                <w:sz w:val="18"/>
                <w:szCs w:val="18"/>
              </w:rPr>
            </w:pPr>
            <w:r>
              <w:rPr>
                <w:rFonts w:ascii="Helvetica" w:hAnsi="Helvetica"/>
                <w:noProof/>
                <w:color w:val="000000" w:themeColor="text1"/>
                <w:sz w:val="18"/>
                <w:szCs w:val="18"/>
              </w:rPr>
              <w:t>0.0052 ± 0.0026 mW m</w:t>
            </w:r>
            <w:r>
              <w:rPr>
                <w:rFonts w:ascii="Helvetica" w:hAnsi="Helvetica"/>
                <w:noProof/>
                <w:color w:val="000000" w:themeColor="text1"/>
                <w:sz w:val="18"/>
                <w:szCs w:val="18"/>
                <w:vertAlign w:val="superscript"/>
              </w:rPr>
              <w:t>-2</w:t>
            </w:r>
            <w:r>
              <w:rPr>
                <w:rFonts w:ascii="Helvetica" w:hAnsi="Helvetica"/>
                <w:noProof/>
                <w:color w:val="000000" w:themeColor="text1"/>
                <w:sz w:val="18"/>
                <w:szCs w:val="18"/>
              </w:rPr>
              <w:t xml:space="preserve"> </w:t>
            </w:r>
          </w:p>
          <w:p>
            <w:pPr>
              <w:spacing w:before="40" w:after="40"/>
              <w:rPr>
                <w:rFonts w:ascii="Helvetica" w:hAnsi="Helvetica"/>
                <w:noProof/>
                <w:color w:val="000000" w:themeColor="text1"/>
                <w:sz w:val="18"/>
                <w:szCs w:val="18"/>
              </w:rPr>
            </w:pPr>
            <w:r>
              <w:rPr>
                <w:rFonts w:ascii="Helvetica" w:hAnsi="Helvetica"/>
                <w:noProof/>
                <w:color w:val="000000" w:themeColor="text1"/>
                <w:sz w:val="18"/>
                <w:szCs w:val="18"/>
              </w:rPr>
              <w:t>(Tg (H</w:t>
            </w:r>
            <w:r>
              <w:rPr>
                <w:rFonts w:ascii="Helvetica" w:hAnsi="Helvetica"/>
                <w:noProof/>
                <w:color w:val="000000" w:themeColor="text1"/>
                <w:sz w:val="18"/>
                <w:szCs w:val="18"/>
                <w:vertAlign w:val="subscript"/>
              </w:rPr>
              <w:t>2</w:t>
            </w:r>
            <w:r>
              <w:rPr>
                <w:rFonts w:ascii="Helvetica" w:hAnsi="Helvetica"/>
                <w:noProof/>
                <w:color w:val="000000" w:themeColor="text1"/>
                <w:sz w:val="18"/>
                <w:szCs w:val="18"/>
              </w:rPr>
              <w:t>O) yr</w:t>
            </w:r>
            <w:r>
              <w:rPr>
                <w:rFonts w:ascii="Helvetica" w:hAnsi="Helvetica"/>
                <w:noProof/>
                <w:color w:val="000000" w:themeColor="text1"/>
                <w:sz w:val="18"/>
                <w:szCs w:val="18"/>
                <w:vertAlign w:val="superscript"/>
              </w:rPr>
              <w:t>-1</w:t>
            </w:r>
            <w:r>
              <w:rPr>
                <w:rFonts w:ascii="Helvetica" w:hAnsi="Helvetica"/>
                <w:noProof/>
                <w:color w:val="000000" w:themeColor="text1"/>
                <w:sz w:val="18"/>
                <w:szCs w:val="18"/>
              </w:rPr>
              <w:t>)</w:t>
            </w:r>
            <w:r>
              <w:rPr>
                <w:rFonts w:ascii="Helvetica" w:hAnsi="Helvetica"/>
                <w:noProof/>
                <w:color w:val="000000" w:themeColor="text1"/>
                <w:sz w:val="18"/>
                <w:szCs w:val="18"/>
                <w:vertAlign w:val="superscript"/>
              </w:rPr>
              <w:t>-1</w:t>
            </w:r>
          </w:p>
        </w:tc>
      </w:tr>
      <w:tr>
        <w:trPr>
          <w:trHeight w:val="233"/>
        </w:trPr>
        <w:tc>
          <w:tcPr>
            <w:tcW w:w="2070" w:type="dxa"/>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Soot (aerosol-radiation)</w:t>
            </w:r>
          </w:p>
        </w:tc>
        <w:tc>
          <w:tcPr>
            <w:tcW w:w="1440" w:type="dxa"/>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0.94 (0.1, 4.0)</w:t>
            </w:r>
          </w:p>
        </w:tc>
        <w:tc>
          <w:tcPr>
            <w:tcW w:w="1593" w:type="dxa"/>
          </w:tcPr>
          <w:p>
            <w:pPr>
              <w:spacing w:before="40" w:after="40"/>
              <w:jc w:val="center"/>
              <w:rPr>
                <w:rFonts w:ascii="Helvetica" w:hAnsi="Helvetica"/>
                <w:noProof/>
                <w:sz w:val="18"/>
                <w:szCs w:val="18"/>
              </w:rPr>
            </w:pPr>
            <w:r>
              <w:rPr>
                <w:rFonts w:ascii="Helvetica" w:hAnsi="Helvetica"/>
                <w:noProof/>
                <w:sz w:val="18"/>
                <w:szCs w:val="18"/>
              </w:rPr>
              <w:t>0.71 (0.1, 3.0)</w:t>
            </w:r>
          </w:p>
        </w:tc>
        <w:tc>
          <w:tcPr>
            <w:tcW w:w="1560" w:type="dxa"/>
          </w:tcPr>
          <w:p>
            <w:pPr>
              <w:spacing w:before="40" w:after="40"/>
              <w:jc w:val="center"/>
              <w:rPr>
                <w:rFonts w:ascii="Helvetica" w:hAnsi="Helvetica"/>
                <w:noProof/>
                <w:sz w:val="18"/>
                <w:szCs w:val="18"/>
              </w:rPr>
            </w:pPr>
            <w:r>
              <w:rPr>
                <w:rFonts w:ascii="Helvetica" w:hAnsi="Helvetica"/>
                <w:noProof/>
                <w:sz w:val="18"/>
                <w:szCs w:val="18"/>
              </w:rPr>
              <w:t>0.67 (0.1, 2.8)</w:t>
            </w:r>
          </w:p>
        </w:tc>
        <w:tc>
          <w:tcPr>
            <w:tcW w:w="992" w:type="dxa"/>
          </w:tcPr>
          <w:p>
            <w:pPr>
              <w:spacing w:before="40" w:after="40"/>
              <w:jc w:val="center"/>
              <w:rPr>
                <w:rFonts w:ascii="Helvetica" w:hAnsi="Helvetica"/>
                <w:noProof/>
                <w:sz w:val="18"/>
                <w:szCs w:val="18"/>
              </w:rPr>
            </w:pPr>
            <w:r>
              <w:rPr>
                <w:rFonts w:ascii="Helvetica" w:hAnsi="Helvetica"/>
                <w:noProof/>
                <w:sz w:val="18"/>
                <w:szCs w:val="18"/>
              </w:rPr>
              <w:t>3.4</w:t>
            </w:r>
          </w:p>
        </w:tc>
        <w:tc>
          <w:tcPr>
            <w:tcW w:w="3118" w:type="dxa"/>
            <w:tcMar>
              <w:left w:w="14" w:type="dxa"/>
              <w:right w:w="14" w:type="dxa"/>
            </w:tcMar>
          </w:tcPr>
          <w:p>
            <w:pPr>
              <w:spacing w:before="40" w:after="40"/>
              <w:rPr>
                <w:rFonts w:ascii="Helvetica" w:hAnsi="Helvetica"/>
                <w:noProof/>
                <w:sz w:val="18"/>
                <w:szCs w:val="18"/>
              </w:rPr>
            </w:pPr>
            <w:r>
              <w:rPr>
                <w:rFonts w:ascii="Helvetica" w:hAnsi="Helvetica"/>
                <w:noProof/>
                <w:sz w:val="18"/>
                <w:szCs w:val="18"/>
              </w:rPr>
              <w:t>100.7 ± 165.5 mW m</w:t>
            </w:r>
            <w:r>
              <w:rPr>
                <w:rFonts w:ascii="Helvetica" w:hAnsi="Helvetica"/>
                <w:noProof/>
                <w:sz w:val="18"/>
                <w:szCs w:val="18"/>
                <w:vertAlign w:val="superscript"/>
              </w:rPr>
              <w:t>-2</w:t>
            </w:r>
            <w:r>
              <w:rPr>
                <w:rFonts w:ascii="Helvetica" w:hAnsi="Helvetica"/>
                <w:noProof/>
                <w:sz w:val="18"/>
                <w:szCs w:val="18"/>
              </w:rPr>
              <w:t xml:space="preserve"> (Tg (BC) yr</w:t>
            </w:r>
            <w:r>
              <w:rPr>
                <w:rFonts w:ascii="Helvetica" w:hAnsi="Helvetica"/>
                <w:noProof/>
                <w:sz w:val="18"/>
                <w:szCs w:val="18"/>
                <w:vertAlign w:val="superscript"/>
              </w:rPr>
              <w:t>-1</w:t>
            </w:r>
            <w:r>
              <w:rPr>
                <w:rFonts w:ascii="Helvetica" w:hAnsi="Helvetica"/>
                <w:noProof/>
                <w:sz w:val="18"/>
                <w:szCs w:val="18"/>
              </w:rPr>
              <w:t>)</w:t>
            </w:r>
            <w:r>
              <w:rPr>
                <w:rFonts w:ascii="Helvetica" w:hAnsi="Helvetica"/>
                <w:noProof/>
                <w:sz w:val="18"/>
                <w:szCs w:val="18"/>
                <w:vertAlign w:val="superscript"/>
              </w:rPr>
              <w:t>-1</w:t>
            </w:r>
          </w:p>
        </w:tc>
      </w:tr>
      <w:tr>
        <w:trPr>
          <w:trHeight w:val="242"/>
        </w:trPr>
        <w:tc>
          <w:tcPr>
            <w:tcW w:w="2070" w:type="dxa"/>
            <w:tcBorders>
              <w:bottom w:val="nil"/>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 xml:space="preserve">Sulfate </w:t>
            </w:r>
            <w:r>
              <w:rPr>
                <w:rFonts w:ascii="Helvetica" w:hAnsi="Helvetica"/>
                <w:noProof/>
                <w:sz w:val="18"/>
                <w:szCs w:val="18"/>
                <w:vertAlign w:val="subscript"/>
              </w:rPr>
              <w:t xml:space="preserve">                          </w:t>
            </w:r>
            <w:r>
              <w:rPr>
                <w:rFonts w:ascii="Helvetica" w:hAnsi="Helvetica"/>
                <w:noProof/>
                <w:sz w:val="18"/>
                <w:szCs w:val="18"/>
              </w:rPr>
              <w:t>(aerosol-radiation)</w:t>
            </w:r>
          </w:p>
        </w:tc>
        <w:tc>
          <w:tcPr>
            <w:tcW w:w="1440" w:type="dxa"/>
            <w:tcBorders>
              <w:bottom w:val="nil"/>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-7.4 (-19, -2.6)</w:t>
            </w:r>
          </w:p>
        </w:tc>
        <w:tc>
          <w:tcPr>
            <w:tcW w:w="1593" w:type="dxa"/>
            <w:tcBorders>
              <w:bottom w:val="nil"/>
            </w:tcBorders>
          </w:tcPr>
          <w:p>
            <w:pPr>
              <w:spacing w:before="40" w:after="40"/>
              <w:jc w:val="center"/>
              <w:rPr>
                <w:rFonts w:ascii="Helvetica" w:hAnsi="Helvetica"/>
                <w:noProof/>
                <w:sz w:val="18"/>
                <w:szCs w:val="18"/>
              </w:rPr>
            </w:pPr>
            <w:r>
              <w:rPr>
                <w:rFonts w:ascii="Helvetica" w:hAnsi="Helvetica"/>
                <w:noProof/>
                <w:sz w:val="18"/>
                <w:szCs w:val="18"/>
              </w:rPr>
              <w:t>-5.6 (-14, -1.9)</w:t>
            </w:r>
          </w:p>
        </w:tc>
        <w:tc>
          <w:tcPr>
            <w:tcW w:w="1560" w:type="dxa"/>
            <w:tcBorders>
              <w:bottom w:val="nil"/>
            </w:tcBorders>
          </w:tcPr>
          <w:p>
            <w:pPr>
              <w:spacing w:before="40" w:after="40"/>
              <w:jc w:val="center"/>
              <w:rPr>
                <w:rFonts w:ascii="Helvetica" w:hAnsi="Helvetica"/>
                <w:noProof/>
                <w:sz w:val="18"/>
                <w:szCs w:val="18"/>
              </w:rPr>
            </w:pPr>
            <w:r>
              <w:rPr>
                <w:rFonts w:ascii="Helvetica" w:hAnsi="Helvetica"/>
                <w:noProof/>
                <w:sz w:val="18"/>
                <w:szCs w:val="18"/>
              </w:rPr>
              <w:t>-5.3 (-13, -1.8)</w:t>
            </w:r>
          </w:p>
        </w:tc>
        <w:tc>
          <w:tcPr>
            <w:tcW w:w="992" w:type="dxa"/>
            <w:tcBorders>
              <w:bottom w:val="nil"/>
            </w:tcBorders>
          </w:tcPr>
          <w:p>
            <w:pPr>
              <w:spacing w:before="40" w:after="40"/>
              <w:jc w:val="center"/>
              <w:rPr>
                <w:rFonts w:ascii="Helvetica" w:hAnsi="Helvetica"/>
                <w:noProof/>
                <w:sz w:val="18"/>
                <w:szCs w:val="18"/>
              </w:rPr>
            </w:pPr>
            <w:r>
              <w:rPr>
                <w:rFonts w:ascii="Helvetica" w:hAnsi="Helvetica"/>
                <w:noProof/>
                <w:sz w:val="18"/>
                <w:szCs w:val="18"/>
              </w:rPr>
              <w:t>-4.8</w:t>
            </w:r>
          </w:p>
        </w:tc>
        <w:tc>
          <w:tcPr>
            <w:tcW w:w="3118" w:type="dxa"/>
            <w:tcBorders>
              <w:bottom w:val="nil"/>
            </w:tcBorders>
            <w:tcMar>
              <w:left w:w="14" w:type="dxa"/>
              <w:right w:w="14" w:type="dxa"/>
            </w:tcMar>
          </w:tcPr>
          <w:p>
            <w:pPr>
              <w:spacing w:before="40" w:after="40"/>
              <w:rPr>
                <w:rFonts w:ascii="Helvetica" w:hAnsi="Helvetica"/>
                <w:noProof/>
                <w:sz w:val="18"/>
                <w:szCs w:val="18"/>
              </w:rPr>
            </w:pPr>
            <w:r>
              <w:rPr>
                <w:rFonts w:ascii="Helvetica" w:hAnsi="Helvetica"/>
                <w:noProof/>
                <w:sz w:val="18"/>
                <w:szCs w:val="18"/>
              </w:rPr>
              <w:t>-19.9 ± 16.0 mW m</w:t>
            </w:r>
            <w:r>
              <w:rPr>
                <w:rFonts w:ascii="Helvetica" w:hAnsi="Helvetica"/>
                <w:noProof/>
                <w:sz w:val="18"/>
                <w:szCs w:val="18"/>
                <w:vertAlign w:val="superscript"/>
              </w:rPr>
              <w:t>-2</w:t>
            </w:r>
            <w:r>
              <w:rPr>
                <w:rFonts w:ascii="Helvetica" w:hAnsi="Helvetica"/>
                <w:noProof/>
                <w:sz w:val="18"/>
                <w:szCs w:val="18"/>
              </w:rPr>
              <w:t xml:space="preserve"> (Tg (SO</w:t>
            </w:r>
            <w:r>
              <w:rPr>
                <w:rFonts w:ascii="Helvetica" w:hAnsi="Helvetica"/>
                <w:noProof/>
                <w:sz w:val="18"/>
                <w:szCs w:val="18"/>
                <w:vertAlign w:val="subscript"/>
              </w:rPr>
              <w:t>2</w:t>
            </w:r>
            <w:r>
              <w:rPr>
                <w:rFonts w:ascii="Helvetica" w:hAnsi="Helvetica"/>
                <w:noProof/>
                <w:sz w:val="18"/>
                <w:szCs w:val="18"/>
              </w:rPr>
              <w:t>) yr</w:t>
            </w:r>
            <w:r>
              <w:rPr>
                <w:rFonts w:ascii="Helvetica" w:hAnsi="Helvetica"/>
                <w:noProof/>
                <w:sz w:val="18"/>
                <w:szCs w:val="18"/>
                <w:vertAlign w:val="superscript"/>
              </w:rPr>
              <w:t>-1</w:t>
            </w:r>
            <w:r>
              <w:rPr>
                <w:rFonts w:ascii="Helvetica" w:hAnsi="Helvetica"/>
                <w:noProof/>
                <w:sz w:val="18"/>
                <w:szCs w:val="18"/>
              </w:rPr>
              <w:t>)</w:t>
            </w:r>
            <w:r>
              <w:rPr>
                <w:rFonts w:ascii="Helvetica" w:hAnsi="Helvetica"/>
                <w:noProof/>
                <w:sz w:val="18"/>
                <w:szCs w:val="18"/>
                <w:vertAlign w:val="superscript"/>
              </w:rPr>
              <w:t>-1</w:t>
            </w:r>
          </w:p>
        </w:tc>
      </w:tr>
      <w:tr>
        <w:tc>
          <w:tcPr>
            <w:tcW w:w="2070" w:type="dxa"/>
            <w:tcBorders>
              <w:bottom w:val="double" w:sz="4" w:space="0" w:color="auto"/>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Sulfate and soot     (aerosol-cloud)</w:t>
            </w:r>
          </w:p>
        </w:tc>
        <w:tc>
          <w:tcPr>
            <w:tcW w:w="1440" w:type="dxa"/>
            <w:tcBorders>
              <w:bottom w:val="doub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w:t>
            </w:r>
          </w:p>
        </w:tc>
        <w:tc>
          <w:tcPr>
            <w:tcW w:w="1593" w:type="dxa"/>
            <w:tcBorders>
              <w:bottom w:val="double" w:sz="4" w:space="0" w:color="auto"/>
            </w:tcBorders>
          </w:tcPr>
          <w:p>
            <w:pPr>
              <w:spacing w:before="40" w:after="40"/>
              <w:jc w:val="center"/>
              <w:rPr>
                <w:rFonts w:ascii="Helvetica" w:hAnsi="Helvetica"/>
                <w:noProof/>
                <w:sz w:val="18"/>
                <w:szCs w:val="18"/>
              </w:rPr>
            </w:pPr>
            <w:r>
              <w:rPr>
                <w:rFonts w:ascii="Helvetica" w:hAnsi="Helvetica"/>
                <w:noProof/>
                <w:sz w:val="18"/>
                <w:szCs w:val="18"/>
              </w:rPr>
              <w:t>----</w:t>
            </w:r>
          </w:p>
        </w:tc>
        <w:tc>
          <w:tcPr>
            <w:tcW w:w="1560" w:type="dxa"/>
            <w:tcBorders>
              <w:bottom w:val="double" w:sz="4" w:space="0" w:color="auto"/>
            </w:tcBorders>
          </w:tcPr>
          <w:p>
            <w:pPr>
              <w:spacing w:before="40" w:after="40"/>
              <w:jc w:val="center"/>
              <w:rPr>
                <w:rFonts w:ascii="Helvetica" w:hAnsi="Helvetica"/>
                <w:noProof/>
                <w:sz w:val="18"/>
                <w:szCs w:val="18"/>
              </w:rPr>
            </w:pPr>
            <w:r>
              <w:rPr>
                <w:rFonts w:ascii="Helvetica" w:hAnsi="Helvetica"/>
                <w:noProof/>
                <w:sz w:val="18"/>
                <w:szCs w:val="18"/>
              </w:rPr>
              <w:t>----</w:t>
            </w:r>
          </w:p>
        </w:tc>
        <w:tc>
          <w:tcPr>
            <w:tcW w:w="992" w:type="dxa"/>
            <w:tcBorders>
              <w:bottom w:val="double" w:sz="4" w:space="0" w:color="auto"/>
            </w:tcBorders>
          </w:tcPr>
          <w:p>
            <w:pPr>
              <w:spacing w:before="40" w:after="40"/>
              <w:jc w:val="center"/>
              <w:rPr>
                <w:rFonts w:ascii="Helvetica" w:hAnsi="Helvetica"/>
                <w:noProof/>
                <w:sz w:val="18"/>
                <w:szCs w:val="18"/>
              </w:rPr>
            </w:pPr>
            <w:r>
              <w:rPr>
                <w:rFonts w:ascii="Helvetica" w:hAnsi="Helvetica"/>
                <w:noProof/>
                <w:sz w:val="18"/>
                <w:szCs w:val="18"/>
              </w:rPr>
              <w:t>----</w:t>
            </w:r>
          </w:p>
        </w:tc>
        <w:tc>
          <w:tcPr>
            <w:tcW w:w="3118" w:type="dxa"/>
            <w:tcBorders>
              <w:bottom w:val="doub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w:t>
            </w:r>
          </w:p>
        </w:tc>
      </w:tr>
      <w:tr>
        <w:tc>
          <w:tcPr>
            <w:tcW w:w="2070" w:type="dxa"/>
            <w:tcBorders>
              <w:top w:val="double" w:sz="4" w:space="0" w:color="auto"/>
              <w:bottom w:val="single" w:sz="4" w:space="0" w:color="auto"/>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Net RF (only non-CO</w:t>
            </w:r>
            <w:r>
              <w:rPr>
                <w:rFonts w:ascii="Helvetica" w:hAnsi="Helvetica"/>
                <w:noProof/>
                <w:sz w:val="18"/>
                <w:szCs w:val="18"/>
                <w:vertAlign w:val="subscript"/>
              </w:rPr>
              <w:t>2</w:t>
            </w:r>
            <w:r>
              <w:rPr>
                <w:rFonts w:ascii="Helvetica" w:hAnsi="Helvetica"/>
                <w:noProof/>
                <w:sz w:val="18"/>
                <w:szCs w:val="18"/>
              </w:rPr>
              <w:t xml:space="preserve"> terms)</w:t>
            </w:r>
          </w:p>
        </w:tc>
        <w:tc>
          <w:tcPr>
            <w:tcW w:w="1440" w:type="dxa"/>
            <w:tcBorders>
              <w:top w:val="double" w:sz="4" w:space="0" w:color="auto"/>
              <w:bottom w:val="sing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114.8 (35, 194)</w:t>
            </w:r>
          </w:p>
        </w:tc>
        <w:tc>
          <w:tcPr>
            <w:tcW w:w="1593" w:type="dxa"/>
            <w:tcBorders>
              <w:top w:val="double" w:sz="4" w:space="0" w:color="auto"/>
              <w:bottom w:val="single" w:sz="4" w:space="0" w:color="auto"/>
            </w:tcBorders>
          </w:tcPr>
          <w:p>
            <w:pPr>
              <w:spacing w:before="40" w:after="40"/>
              <w:jc w:val="center"/>
              <w:rPr>
                <w:rFonts w:ascii="Helvetica" w:hAnsi="Helvetica"/>
                <w:noProof/>
                <w:sz w:val="18"/>
                <w:szCs w:val="18"/>
              </w:rPr>
            </w:pPr>
            <w:r>
              <w:rPr>
                <w:rFonts w:ascii="Helvetica" w:hAnsi="Helvetica"/>
                <w:noProof/>
                <w:sz w:val="18"/>
                <w:szCs w:val="18"/>
              </w:rPr>
              <w:t>88.4 (27, 149)</w:t>
            </w:r>
          </w:p>
        </w:tc>
        <w:tc>
          <w:tcPr>
            <w:tcW w:w="1560" w:type="dxa"/>
            <w:tcBorders>
              <w:top w:val="double" w:sz="4" w:space="0" w:color="auto"/>
              <w:bottom w:val="single" w:sz="4" w:space="0" w:color="auto"/>
            </w:tcBorders>
          </w:tcPr>
          <w:p>
            <w:pPr>
              <w:spacing w:before="40" w:after="40"/>
              <w:jc w:val="center"/>
              <w:rPr>
                <w:rFonts w:ascii="Helvetica" w:hAnsi="Helvetica"/>
                <w:noProof/>
                <w:sz w:val="18"/>
                <w:szCs w:val="18"/>
              </w:rPr>
            </w:pPr>
            <w:r>
              <w:rPr>
                <w:rFonts w:ascii="Helvetica" w:hAnsi="Helvetica"/>
                <w:noProof/>
                <w:sz w:val="18"/>
                <w:szCs w:val="18"/>
              </w:rPr>
              <w:t>70.3 (22, 119)</w:t>
            </w:r>
          </w:p>
        </w:tc>
        <w:tc>
          <w:tcPr>
            <w:tcW w:w="992" w:type="dxa"/>
            <w:tcBorders>
              <w:top w:val="double" w:sz="4" w:space="0" w:color="auto"/>
              <w:bottom w:val="single" w:sz="4" w:space="0" w:color="auto"/>
            </w:tcBorders>
          </w:tcPr>
          <w:p>
            <w:pPr>
              <w:spacing w:before="40" w:after="40"/>
              <w:jc w:val="center"/>
              <w:rPr>
                <w:rFonts w:ascii="Helvetica" w:hAnsi="Helvetica"/>
                <w:noProof/>
                <w:sz w:val="18"/>
                <w:szCs w:val="18"/>
              </w:rPr>
            </w:pPr>
            <w:r>
              <w:rPr>
                <w:rFonts w:ascii="Helvetica" w:hAnsi="Helvetica"/>
                <w:noProof/>
                <w:sz w:val="18"/>
                <w:szCs w:val="18"/>
              </w:rPr>
              <w:t>----</w:t>
            </w:r>
          </w:p>
        </w:tc>
        <w:tc>
          <w:tcPr>
            <w:tcW w:w="3118" w:type="dxa"/>
            <w:tcBorders>
              <w:top w:val="double" w:sz="4" w:space="0" w:color="auto"/>
              <w:bottom w:val="sing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w:t>
            </w:r>
          </w:p>
        </w:tc>
      </w:tr>
      <w:tr>
        <w:tc>
          <w:tcPr>
            <w:tcW w:w="2070" w:type="dxa"/>
            <w:tcBorders>
              <w:top w:val="single" w:sz="4" w:space="0" w:color="auto"/>
              <w:bottom w:val="double" w:sz="4" w:space="0" w:color="auto"/>
            </w:tcBorders>
            <w:tcMar>
              <w:left w:w="14" w:type="dxa"/>
              <w:right w:w="14" w:type="dxa"/>
            </w:tcMar>
          </w:tcPr>
          <w:p>
            <w:pPr>
              <w:spacing w:before="40" w:after="40"/>
              <w:jc w:val="right"/>
              <w:rPr>
                <w:rFonts w:ascii="Helvetica" w:hAnsi="Helvetica"/>
                <w:noProof/>
                <w:sz w:val="18"/>
                <w:szCs w:val="18"/>
              </w:rPr>
            </w:pPr>
            <w:r>
              <w:rPr>
                <w:rFonts w:ascii="Helvetica" w:hAnsi="Helvetica"/>
                <w:noProof/>
                <w:sz w:val="18"/>
                <w:szCs w:val="18"/>
              </w:rPr>
              <w:t>Net aviation RF</w:t>
            </w:r>
          </w:p>
        </w:tc>
        <w:tc>
          <w:tcPr>
            <w:tcW w:w="1440" w:type="dxa"/>
            <w:tcBorders>
              <w:top w:val="single" w:sz="4" w:space="0" w:color="auto"/>
              <w:bottom w:val="doub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149.1 (70, 229)</w:t>
            </w:r>
          </w:p>
        </w:tc>
        <w:tc>
          <w:tcPr>
            <w:tcW w:w="1593" w:type="dxa"/>
            <w:tcBorders>
              <w:top w:val="single" w:sz="4" w:space="0" w:color="auto"/>
              <w:bottom w:val="double" w:sz="4" w:space="0" w:color="auto"/>
            </w:tcBorders>
          </w:tcPr>
          <w:p>
            <w:pPr>
              <w:spacing w:before="40" w:after="40"/>
              <w:jc w:val="center"/>
              <w:rPr>
                <w:rFonts w:ascii="Helvetica" w:hAnsi="Helvetica"/>
                <w:noProof/>
                <w:sz w:val="18"/>
                <w:szCs w:val="18"/>
              </w:rPr>
            </w:pPr>
            <w:r>
              <w:rPr>
                <w:rFonts w:ascii="Helvetica" w:hAnsi="Helvetica"/>
                <w:noProof/>
                <w:sz w:val="18"/>
                <w:szCs w:val="18"/>
              </w:rPr>
              <w:t>117.4 (56, 179)</w:t>
            </w:r>
          </w:p>
        </w:tc>
        <w:tc>
          <w:tcPr>
            <w:tcW w:w="1560" w:type="dxa"/>
            <w:tcBorders>
              <w:top w:val="single" w:sz="4" w:space="0" w:color="auto"/>
              <w:bottom w:val="double" w:sz="4" w:space="0" w:color="auto"/>
            </w:tcBorders>
          </w:tcPr>
          <w:p>
            <w:pPr>
              <w:spacing w:before="40" w:after="40"/>
              <w:jc w:val="center"/>
              <w:rPr>
                <w:rFonts w:ascii="Helvetica" w:hAnsi="Helvetica"/>
                <w:noProof/>
                <w:sz w:val="18"/>
                <w:szCs w:val="18"/>
              </w:rPr>
            </w:pPr>
            <w:r>
              <w:rPr>
                <w:rFonts w:ascii="Helvetica" w:hAnsi="Helvetica"/>
                <w:noProof/>
                <w:sz w:val="18"/>
                <w:szCs w:val="18"/>
              </w:rPr>
              <w:t>95.2 (47, 144)</w:t>
            </w:r>
          </w:p>
        </w:tc>
        <w:tc>
          <w:tcPr>
            <w:tcW w:w="992" w:type="dxa"/>
            <w:tcBorders>
              <w:top w:val="single" w:sz="4" w:space="0" w:color="auto"/>
              <w:bottom w:val="double" w:sz="4" w:space="0" w:color="auto"/>
            </w:tcBorders>
          </w:tcPr>
          <w:p>
            <w:pPr>
              <w:spacing w:before="40" w:after="40"/>
              <w:jc w:val="center"/>
              <w:rPr>
                <w:rFonts w:ascii="Helvetica" w:hAnsi="Helvetica"/>
                <w:noProof/>
                <w:sz w:val="18"/>
                <w:szCs w:val="18"/>
              </w:rPr>
            </w:pPr>
            <w:r>
              <w:rPr>
                <w:rFonts w:ascii="Helvetica" w:hAnsi="Helvetica"/>
                <w:noProof/>
                <w:sz w:val="18"/>
                <w:szCs w:val="18"/>
              </w:rPr>
              <w:t>78.0</w:t>
            </w:r>
          </w:p>
        </w:tc>
        <w:tc>
          <w:tcPr>
            <w:tcW w:w="3118" w:type="dxa"/>
            <w:tcBorders>
              <w:top w:val="single" w:sz="4" w:space="0" w:color="auto"/>
              <w:bottom w:val="double" w:sz="4" w:space="0" w:color="auto"/>
            </w:tcBorders>
            <w:tcMar>
              <w:left w:w="14" w:type="dxa"/>
              <w:right w:w="14" w:type="dxa"/>
            </w:tcMar>
          </w:tcPr>
          <w:p>
            <w:pPr>
              <w:spacing w:before="40" w:after="40"/>
              <w:jc w:val="center"/>
              <w:rPr>
                <w:rFonts w:ascii="Helvetica" w:hAnsi="Helvetica"/>
                <w:noProof/>
                <w:sz w:val="18"/>
                <w:szCs w:val="18"/>
              </w:rPr>
            </w:pPr>
            <w:r>
              <w:rPr>
                <w:rFonts w:ascii="Helvetica" w:hAnsi="Helvetica"/>
                <w:noProof/>
                <w:sz w:val="18"/>
                <w:szCs w:val="18"/>
              </w:rPr>
              <w:t>----</w:t>
            </w:r>
          </w:p>
        </w:tc>
      </w:tr>
    </w:tbl>
    <w:p>
      <w:pPr>
        <w:spacing w:after="40" w:line="240" w:lineRule="auto"/>
        <w:rPr>
          <w:rFonts w:ascii="Helvetica" w:hAnsi="Helvetica"/>
          <w:noProof/>
          <w:szCs w:val="18"/>
          <w:vertAlign w:val="superscript"/>
        </w:rPr>
      </w:pPr>
      <w:r>
        <w:rPr>
          <w:rFonts w:ascii="Helvetica" w:hAnsi="Helvetica"/>
          <w:noProof/>
          <w:szCs w:val="18"/>
          <w:vertAlign w:val="superscript"/>
        </w:rPr>
        <w:t>a</w:t>
      </w:r>
      <w:r>
        <w:rPr>
          <w:rFonts w:ascii="Helvetica" w:hAnsi="Helvetica"/>
          <w:noProof/>
        </w:rPr>
        <w:t xml:space="preserve"> </w:t>
      </w:r>
      <w:r>
        <w:rPr>
          <w:rFonts w:ascii="Helvetica" w:hAnsi="Helvetica"/>
          <w:noProof/>
          <w:sz w:val="18"/>
        </w:rPr>
        <w:t xml:space="preserve">ERF values are shown in </w:t>
      </w:r>
      <w:r>
        <w:rPr>
          <w:rFonts w:ascii="Helvetica" w:hAnsi="Helvetica"/>
          <w:b/>
          <w:noProof/>
          <w:sz w:val="18"/>
        </w:rPr>
        <w:t>Table 2</w:t>
      </w:r>
      <w:r>
        <w:rPr>
          <w:rFonts w:ascii="Helvetica" w:hAnsi="Helvetica"/>
          <w:noProof/>
          <w:sz w:val="18"/>
        </w:rPr>
        <w:t>.</w:t>
      </w:r>
    </w:p>
    <w:p>
      <w:pPr>
        <w:spacing w:after="40" w:line="240" w:lineRule="auto"/>
        <w:rPr>
          <w:rFonts w:ascii="Helvetica" w:hAnsi="Helvetica"/>
          <w:noProof/>
          <w:sz w:val="20"/>
        </w:rPr>
      </w:pPr>
      <w:r>
        <w:rPr>
          <w:rFonts w:ascii="Helvetica" w:hAnsi="Helvetica"/>
          <w:noProof/>
          <w:szCs w:val="18"/>
          <w:vertAlign w:val="superscript"/>
        </w:rPr>
        <w:t>b</w:t>
      </w:r>
      <w:r>
        <w:rPr>
          <w:rFonts w:ascii="Helvetica" w:hAnsi="Helvetica"/>
          <w:noProof/>
        </w:rPr>
        <w:t xml:space="preserve"> </w:t>
      </w:r>
      <w:r>
        <w:rPr>
          <w:rFonts w:ascii="Helvetica" w:hAnsi="Helvetica"/>
          <w:noProof/>
          <w:sz w:val="18"/>
        </w:rPr>
        <w:t>The uncertainty distributions for all forcing terms are lognormal except for CO</w:t>
      </w:r>
      <w:r>
        <w:rPr>
          <w:rFonts w:ascii="Helvetica" w:hAnsi="Helvetica"/>
          <w:noProof/>
          <w:sz w:val="18"/>
          <w:vertAlign w:val="subscript"/>
        </w:rPr>
        <w:t>2</w:t>
      </w:r>
      <w:r>
        <w:rPr>
          <w:rFonts w:ascii="Helvetica" w:hAnsi="Helvetica"/>
          <w:noProof/>
          <w:sz w:val="18"/>
        </w:rPr>
        <w:t xml:space="preserve"> and contrail cirrus (normal) and Net NO</w:t>
      </w:r>
      <w:r>
        <w:rPr>
          <w:rFonts w:ascii="Helvetica" w:hAnsi="Helvetica"/>
          <w:noProof/>
          <w:sz w:val="18"/>
          <w:vertAlign w:val="subscript"/>
        </w:rPr>
        <w:t>x</w:t>
      </w:r>
      <w:r>
        <w:rPr>
          <w:rFonts w:ascii="Helvetica" w:hAnsi="Helvetica"/>
          <w:noProof/>
          <w:sz w:val="18"/>
        </w:rPr>
        <w:t xml:space="preserve"> (discrete pdf).</w:t>
      </w:r>
    </w:p>
    <w:p>
      <w:pPr>
        <w:spacing w:after="40" w:line="240" w:lineRule="auto"/>
        <w:rPr>
          <w:rFonts w:ascii="Helvetica" w:hAnsi="Helvetica"/>
          <w:noProof/>
          <w:sz w:val="18"/>
        </w:rPr>
      </w:pPr>
      <w:r>
        <w:rPr>
          <w:rFonts w:ascii="Helvetica" w:hAnsi="Helvetica"/>
          <w:noProof/>
          <w:szCs w:val="18"/>
          <w:vertAlign w:val="superscript"/>
        </w:rPr>
        <w:t>c</w:t>
      </w:r>
      <w:r>
        <w:rPr>
          <w:rFonts w:ascii="Helvetica" w:hAnsi="Helvetica"/>
          <w:noProof/>
        </w:rPr>
        <w:t xml:space="preserve"> </w:t>
      </w:r>
      <w:r>
        <w:rPr>
          <w:rFonts w:ascii="Helvetica" w:hAnsi="Helvetica"/>
          <w:noProof/>
          <w:sz w:val="18"/>
        </w:rPr>
        <w:t xml:space="preserve">Linear contrails only; </w:t>
      </w:r>
      <w:r>
        <w:rPr>
          <w:rFonts w:ascii="Helvetica" w:hAnsi="Helvetica"/>
          <w:noProof/>
          <w:color w:val="000000" w:themeColor="text1"/>
          <w:sz w:val="18"/>
        </w:rPr>
        <w:t xml:space="preserve">excludes the increase in cirrus </w:t>
      </w:r>
      <w:r>
        <w:rPr>
          <w:rFonts w:ascii="Helvetica" w:hAnsi="Helvetica"/>
          <w:noProof/>
          <w:sz w:val="18"/>
        </w:rPr>
        <w:t>cloudiness due to aged spreading contrails.</w:t>
      </w:r>
    </w:p>
    <w:p>
      <w:pPr>
        <w:spacing w:after="40" w:line="240" w:lineRule="auto"/>
        <w:rPr>
          <w:rFonts w:ascii="Helvetica" w:hAnsi="Helvetica"/>
          <w:noProof/>
          <w:sz w:val="18"/>
        </w:rPr>
      </w:pPr>
      <w:r>
        <w:rPr>
          <w:rFonts w:ascii="Helvetica" w:hAnsi="Helvetica"/>
          <w:noProof/>
          <w:vertAlign w:val="superscript"/>
        </w:rPr>
        <w:t>d</w:t>
      </w:r>
      <w:r>
        <w:rPr>
          <w:rFonts w:ascii="Helvetica" w:hAnsi="Helvetica"/>
          <w:noProof/>
          <w:sz w:val="18"/>
        </w:rPr>
        <w:t xml:space="preserve"> Excludes updated CH</w:t>
      </w:r>
      <w:r>
        <w:rPr>
          <w:rFonts w:ascii="Helvetica" w:hAnsi="Helvetica"/>
          <w:noProof/>
          <w:sz w:val="18"/>
          <w:vertAlign w:val="subscript"/>
        </w:rPr>
        <w:t>4</w:t>
      </w:r>
      <w:r>
        <w:rPr>
          <w:rFonts w:ascii="Helvetica" w:hAnsi="Helvetica"/>
          <w:noProof/>
          <w:sz w:val="18"/>
        </w:rPr>
        <w:t xml:space="preserve"> RF evaluation of Etminan et al. (2016) and equilibrium-to-transient correction.</w:t>
      </w:r>
    </w:p>
    <w:p>
      <w:pPr>
        <w:spacing w:after="0" w:line="240" w:lineRule="auto"/>
        <w:rPr>
          <w:rFonts w:ascii="Calibri" w:eastAsia="Calibri" w:hAnsi="Calibri" w:cs="Times New Roman"/>
          <w:noProof/>
          <w:sz w:val="24"/>
          <w:szCs w:val="24"/>
        </w:rPr>
      </w:pPr>
    </w:p>
    <w:p>
      <w:pPr>
        <w:rPr>
          <w:rFonts w:ascii="Calibri" w:eastAsia="Times New Roman" w:hAnsi="Calibri" w:cs="Times New Roman"/>
          <w:b/>
          <w:noProof/>
          <w:color w:val="222F64"/>
          <w:sz w:val="32"/>
          <w:szCs w:val="32"/>
          <w:lang w:eastAsia="en-GB"/>
        </w:rPr>
      </w:pPr>
      <w:r>
        <w:rPr>
          <w:rFonts w:ascii="Calibri" w:eastAsia="Times New Roman" w:hAnsi="Calibri" w:cs="Times New Roman"/>
          <w:b/>
          <w:noProof/>
          <w:color w:val="222F64"/>
          <w:sz w:val="32"/>
          <w:szCs w:val="32"/>
          <w:lang w:eastAsia="en-GB"/>
        </w:rPr>
        <w:br w:type="page"/>
      </w:r>
    </w:p>
    <w:p>
      <w:pPr>
        <w:rPr>
          <w:rFonts w:ascii="Calibri" w:eastAsia="Times New Roman" w:hAnsi="Calibri" w:cs="Times New Roman"/>
          <w:b/>
          <w:noProof/>
          <w:lang w:eastAsia="en-GB"/>
        </w:rPr>
      </w:pPr>
    </w:p>
    <w:p>
      <w:pPr>
        <w:spacing w:after="0" w:line="240" w:lineRule="auto"/>
        <w:rPr>
          <w:rFonts w:ascii="Calibri" w:eastAsia="Times New Roman" w:hAnsi="Calibri" w:cs="Times New Roman"/>
          <w:b/>
          <w:noProof/>
          <w:color w:val="0099FF"/>
          <w:sz w:val="36"/>
          <w:szCs w:val="32"/>
          <w:lang w:eastAsia="en-GB"/>
        </w:rPr>
      </w:pPr>
      <w:r>
        <w:rPr>
          <w:rFonts w:ascii="Calibri" w:eastAsia="Times New Roman" w:hAnsi="Calibri" w:cs="Times New Roman"/>
          <w:b/>
          <w:noProof/>
          <w:color w:val="0099FF"/>
          <w:sz w:val="36"/>
          <w:szCs w:val="32"/>
          <w:lang w:eastAsia="en-GB"/>
        </w:rPr>
        <w:t>APPENDIX 6 – List of Resources</w:t>
      </w:r>
    </w:p>
    <w:p>
      <w:pPr>
        <w:spacing w:after="60" w:line="240" w:lineRule="auto"/>
        <w:ind w:left="284" w:hanging="284"/>
        <w:rPr>
          <w:rFonts w:ascii="Calibri" w:eastAsia="Times New Roman" w:hAnsi="Calibri" w:cs="Calibri"/>
          <w:noProof/>
          <w:spacing w:val="-8"/>
          <w:sz w:val="24"/>
          <w:szCs w:val="24"/>
        </w:rPr>
      </w:pPr>
    </w:p>
    <w:p>
      <w:pPr>
        <w:spacing w:after="60" w:line="240" w:lineRule="auto"/>
        <w:ind w:left="284" w:hanging="284"/>
        <w:rPr>
          <w:rFonts w:ascii="Calibri" w:eastAsia="Times New Roman" w:hAnsi="Calibri" w:cs="Calibri"/>
          <w:bCs/>
          <w:noProof/>
          <w:spacing w:val="-8"/>
          <w:sz w:val="24"/>
          <w:szCs w:val="24"/>
        </w:rPr>
      </w:pPr>
      <w:r>
        <w:rPr>
          <w:rFonts w:ascii="Calibri" w:eastAsia="Times New Roman" w:hAnsi="Calibri" w:cs="Calibri"/>
          <w:bCs/>
          <w:noProof/>
          <w:spacing w:val="-8"/>
          <w:sz w:val="24"/>
          <w:szCs w:val="24"/>
        </w:rPr>
        <w:t xml:space="preserve">Agarwal A., Speth R. L., Fritz T. M., Jacob S. D., Rindlisbacher T., Iovinelli R., Owen B., Miake-Lye R. C., Sabnis J. S. and Barrett S. R. H. (2019) SCOPE11 method for estimating aircraft black carbon mass and particle number emissions. </w:t>
      </w:r>
      <w:r>
        <w:rPr>
          <w:rFonts w:ascii="Calibri" w:eastAsia="Times New Roman" w:hAnsi="Calibri" w:cs="Calibri"/>
          <w:bCs/>
          <w:i/>
          <w:noProof/>
          <w:spacing w:val="-8"/>
          <w:sz w:val="24"/>
          <w:szCs w:val="24"/>
        </w:rPr>
        <w:t>Environ. Sci. Technol.</w:t>
      </w:r>
      <w:r>
        <w:rPr>
          <w:rFonts w:ascii="Calibri" w:eastAsia="Times New Roman" w:hAnsi="Calibri" w:cs="Calibri"/>
          <w:bCs/>
          <w:noProof/>
          <w:spacing w:val="-8"/>
          <w:sz w:val="24"/>
          <w:szCs w:val="24"/>
        </w:rPr>
        <w:t xml:space="preserve"> 53, 1364 – 1373.</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AINonline, (2019). Sweden makes a sustainability leap. </w:t>
      </w:r>
      <w:hyperlink r:id="rId41" w:history="1">
        <w:r>
          <w:rPr>
            <w:rStyle w:val="Hyperlink"/>
            <w:rFonts w:ascii="Calibri" w:eastAsia="Times New Roman" w:hAnsi="Calibri" w:cs="Calibri"/>
            <w:noProof/>
            <w:spacing w:val="-8"/>
            <w:sz w:val="24"/>
            <w:szCs w:val="24"/>
          </w:rPr>
          <w:t>www.ainonline.com/aviation-news/air-transport/2019-06-13/sweden-makes-sustainability-leap</w:t>
        </w:r>
      </w:hyperlink>
      <w:r>
        <w:rPr>
          <w:rFonts w:ascii="Calibri" w:eastAsia="Times New Roman" w:hAnsi="Calibri" w:cs="Calibri"/>
          <w:noProof/>
          <w:spacing w:val="-8"/>
          <w:sz w:val="24"/>
          <w:szCs w:val="24"/>
        </w:rPr>
        <w:t xml:space="preserve"> [Accessed February 2020].</w:t>
      </w:r>
    </w:p>
    <w:p>
      <w:pPr>
        <w:spacing w:after="60" w:line="240" w:lineRule="auto"/>
        <w:ind w:left="284" w:hanging="284"/>
        <w:rPr>
          <w:rFonts w:ascii="Calibri" w:eastAsia="Times New Roman" w:hAnsi="Calibri" w:cs="Calibri"/>
          <w:bCs/>
          <w:noProof/>
          <w:spacing w:val="-8"/>
          <w:sz w:val="24"/>
          <w:szCs w:val="24"/>
        </w:rPr>
      </w:pPr>
      <w:r>
        <w:rPr>
          <w:rFonts w:ascii="Calibri" w:eastAsia="Times New Roman" w:hAnsi="Calibri" w:cs="Calibri"/>
          <w:bCs/>
          <w:noProof/>
          <w:spacing w:val="-8"/>
          <w:sz w:val="24"/>
          <w:szCs w:val="24"/>
        </w:rPr>
        <w:t xml:space="preserve">Allen M. R., J. S. Fuglestvedt, K. P. Shine, A. Reisinger, R. T. Pierrehumbert, and P. M. Forster (2016) New use of global warming potentials to compare cumulative and short­lived climate pollutants. </w:t>
      </w:r>
      <w:r>
        <w:rPr>
          <w:rFonts w:ascii="Calibri" w:eastAsia="Times New Roman" w:hAnsi="Calibri" w:cs="Calibri"/>
          <w:bCs/>
          <w:i/>
          <w:noProof/>
          <w:spacing w:val="-8"/>
          <w:sz w:val="24"/>
          <w:szCs w:val="24"/>
        </w:rPr>
        <w:t>Nature Climate Change</w:t>
      </w:r>
      <w:r>
        <w:rPr>
          <w:rFonts w:ascii="Calibri" w:eastAsia="Times New Roman" w:hAnsi="Calibri" w:cs="Calibri"/>
          <w:bCs/>
          <w:noProof/>
          <w:spacing w:val="-8"/>
          <w:sz w:val="24"/>
          <w:szCs w:val="24"/>
        </w:rPr>
        <w:t>, 6 (8). pp. 773</w:t>
      </w:r>
      <w:r>
        <w:rPr>
          <w:rFonts w:ascii="Calibri" w:eastAsia="Times New Roman" w:hAnsi="Calibri" w:cs="Calibri"/>
          <w:noProof/>
          <w:spacing w:val="-8"/>
          <w:sz w:val="24"/>
          <w:szCs w:val="24"/>
        </w:rPr>
        <w:t>–</w:t>
      </w:r>
      <w:r>
        <w:rPr>
          <w:rFonts w:ascii="Calibri" w:eastAsia="Times New Roman" w:hAnsi="Calibri" w:cs="Calibri"/>
          <w:bCs/>
          <w:noProof/>
          <w:spacing w:val="-8"/>
          <w:sz w:val="24"/>
          <w:szCs w:val="24"/>
        </w:rPr>
        <w:t xml:space="preserve">776, </w:t>
      </w:r>
      <w:hyperlink r:id="rId42" w:history="1">
        <w:r>
          <w:rPr>
            <w:rStyle w:val="Hyperlink"/>
            <w:rFonts w:ascii="Calibri" w:eastAsia="Times New Roman" w:hAnsi="Calibri" w:cs="Calibri"/>
            <w:bCs/>
            <w:noProof/>
            <w:spacing w:val="-8"/>
            <w:sz w:val="24"/>
            <w:szCs w:val="24"/>
          </w:rPr>
          <w:t>https://doi.org/10.1038/nclimate2998</w:t>
        </w:r>
      </w:hyperlink>
      <w:r>
        <w:rPr>
          <w:rFonts w:ascii="Calibri" w:eastAsia="Times New Roman" w:hAnsi="Calibri" w:cs="Calibri"/>
          <w:bCs/>
          <w:noProof/>
          <w:spacing w:val="-8"/>
          <w:sz w:val="24"/>
          <w:szCs w:val="24"/>
        </w:rPr>
        <w:t>.</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Allen M. R. Shine K. P., Fuglestvedt J. S., Millar R. J., Cain M., Frame D. J. and Macey A. H. (2018) </w:t>
      </w:r>
      <w:r>
        <w:rPr>
          <w:rFonts w:ascii="Calibri" w:eastAsia="Times New Roman" w:hAnsi="Calibri" w:cs="Calibri"/>
          <w:bCs/>
          <w:noProof/>
          <w:spacing w:val="-8"/>
          <w:sz w:val="24"/>
          <w:szCs w:val="24"/>
        </w:rPr>
        <w:t>A solution to the misrepresentations of CO</w:t>
      </w:r>
      <w:r>
        <w:rPr>
          <w:rFonts w:ascii="Calibri" w:eastAsia="Times New Roman" w:hAnsi="Calibri" w:cs="Calibri"/>
          <w:bCs/>
          <w:noProof/>
          <w:spacing w:val="-8"/>
          <w:sz w:val="24"/>
          <w:szCs w:val="24"/>
          <w:vertAlign w:val="subscript"/>
        </w:rPr>
        <w:t>2</w:t>
      </w:r>
      <w:r>
        <w:rPr>
          <w:rFonts w:ascii="Calibri" w:eastAsia="Times New Roman" w:hAnsi="Calibri" w:cs="Calibri"/>
          <w:bCs/>
          <w:noProof/>
          <w:spacing w:val="-8"/>
          <w:sz w:val="24"/>
          <w:szCs w:val="24"/>
        </w:rPr>
        <w:t xml:space="preserve">-equivalent emissions of short-lived climate pollutants under ambitious mitigation. </w:t>
      </w:r>
      <w:r>
        <w:rPr>
          <w:rFonts w:ascii="Calibri" w:eastAsia="Times New Roman" w:hAnsi="Calibri" w:cs="Calibri"/>
          <w:i/>
          <w:noProof/>
          <w:spacing w:val="-8"/>
          <w:sz w:val="24"/>
          <w:szCs w:val="24"/>
        </w:rPr>
        <w:t>Npj Climate and Atmos. Sci.</w:t>
      </w:r>
      <w:r>
        <w:rPr>
          <w:rFonts w:ascii="Calibri" w:eastAsia="Times New Roman" w:hAnsi="Calibri" w:cs="Calibri"/>
          <w:noProof/>
          <w:spacing w:val="-8"/>
          <w:sz w:val="24"/>
          <w:szCs w:val="24"/>
        </w:rPr>
        <w:t xml:space="preserve"> </w:t>
      </w:r>
      <w:r>
        <w:rPr>
          <w:rFonts w:ascii="Calibri" w:eastAsia="Times New Roman" w:hAnsi="Calibri" w:cs="Calibri"/>
          <w:b/>
          <w:noProof/>
          <w:spacing w:val="-8"/>
          <w:sz w:val="24"/>
          <w:szCs w:val="24"/>
        </w:rPr>
        <w:t>1</w:t>
      </w:r>
      <w:r>
        <w:rPr>
          <w:rFonts w:ascii="Calibri" w:eastAsia="Times New Roman" w:hAnsi="Calibri" w:cs="Calibri"/>
          <w:noProof/>
          <w:spacing w:val="-8"/>
          <w:sz w:val="24"/>
          <w:szCs w:val="24"/>
        </w:rPr>
        <w:t>:16.</w:t>
      </w:r>
    </w:p>
    <w:p>
      <w:pPr>
        <w:spacing w:after="60" w:line="240" w:lineRule="auto"/>
        <w:ind w:left="284" w:hanging="284"/>
        <w:rPr>
          <w:rFonts w:ascii="Calibri" w:eastAsia="Times New Roman" w:hAnsi="Calibri" w:cs="Calibri"/>
          <w:bCs/>
          <w:noProof/>
          <w:spacing w:val="-8"/>
          <w:sz w:val="24"/>
          <w:szCs w:val="24"/>
          <w:lang w:val="en-US"/>
        </w:rPr>
      </w:pPr>
      <w:r>
        <w:rPr>
          <w:rFonts w:ascii="Calibri" w:eastAsia="Times New Roman" w:hAnsi="Calibri" w:cs="Calibri"/>
          <w:bCs/>
          <w:noProof/>
          <w:spacing w:val="-8"/>
          <w:sz w:val="24"/>
          <w:szCs w:val="24"/>
          <w:lang w:val="en-US"/>
        </w:rPr>
        <w:t>Anderson, S., (2015). Would a minimum limit on aromatics (&gt;0) impact the manufacture/supply of jet fuel? London, Aviation Fuel Committee Meeting.</w:t>
      </w:r>
    </w:p>
    <w:p>
      <w:pPr>
        <w:spacing w:after="60" w:line="240" w:lineRule="auto"/>
        <w:ind w:left="284" w:hanging="284"/>
        <w:rPr>
          <w:rFonts w:ascii="Calibri" w:eastAsia="Times New Roman" w:hAnsi="Calibri" w:cs="Calibri"/>
          <w:bCs/>
          <w:noProof/>
          <w:spacing w:val="-8"/>
          <w:sz w:val="24"/>
          <w:szCs w:val="24"/>
          <w:lang w:val="en-US"/>
        </w:rPr>
      </w:pPr>
      <w:r>
        <w:rPr>
          <w:rFonts w:ascii="Calibri" w:eastAsia="Times New Roman" w:hAnsi="Calibri" w:cs="Calibri"/>
          <w:bCs/>
          <w:noProof/>
          <w:spacing w:val="-8"/>
          <w:sz w:val="24"/>
          <w:szCs w:val="24"/>
          <w:lang w:val="en-US"/>
        </w:rPr>
        <w:t xml:space="preserve">ASTM, (2007). Synthetic fuels for aviation. </w:t>
      </w:r>
      <w:hyperlink r:id="rId43" w:history="1">
        <w:r>
          <w:rPr>
            <w:rStyle w:val="Hyperlink"/>
            <w:rFonts w:ascii="Calibri" w:eastAsia="Times New Roman" w:hAnsi="Calibri" w:cs="Calibri"/>
            <w:bCs/>
            <w:noProof/>
            <w:spacing w:val="-8"/>
            <w:sz w:val="24"/>
            <w:szCs w:val="24"/>
            <w:lang w:val="en-US"/>
          </w:rPr>
          <w:t>www.astm.org/SNEWS/APRIL_2007/hemighaus_apr07.html</w:t>
        </w:r>
      </w:hyperlink>
      <w:r>
        <w:rPr>
          <w:rFonts w:ascii="Calibri" w:eastAsia="Times New Roman" w:hAnsi="Calibri" w:cs="Calibri"/>
          <w:bCs/>
          <w:noProof/>
          <w:spacing w:val="-8"/>
          <w:sz w:val="24"/>
          <w:szCs w:val="24"/>
          <w:lang w:val="en-US"/>
        </w:rPr>
        <w:t xml:space="preserve"> [Accessed February 2020].</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bCs/>
          <w:noProof/>
          <w:spacing w:val="-8"/>
          <w:sz w:val="24"/>
          <w:szCs w:val="24"/>
          <w:lang w:val="en-US"/>
        </w:rPr>
        <w:t>Beyersdorf, A.J., Timko M.T., Ziemba, L.D., Bulzan, D., Corporan, E., Herndon, S. C., Howard, R. Miake-Lye, R., Thornhill, K. L., Winstead, E., Wey, C.,  Yu, Z. and Anderson B. E.  (2014) Reductions in aircraft particulate emissions due to the use of Fischer–Tropsch fuels, A. J., Atmos. Chem. Phys., 14, 11-23, (2014)</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BioEnergy International, (2018). </w:t>
      </w:r>
      <w:r>
        <w:rPr>
          <w:rFonts w:ascii="Calibri" w:eastAsia="Times New Roman" w:hAnsi="Calibri" w:cs="Calibri"/>
          <w:i/>
          <w:iCs/>
          <w:noProof/>
          <w:spacing w:val="-8"/>
          <w:sz w:val="24"/>
          <w:szCs w:val="24"/>
        </w:rPr>
        <w:t xml:space="preserve">Norway to introduce 0.5% sustainable aviation fuel quota from 2020. </w:t>
      </w:r>
      <w:hyperlink r:id="rId44" w:history="1">
        <w:r>
          <w:rPr>
            <w:rStyle w:val="Hyperlink"/>
            <w:rFonts w:ascii="Calibri" w:eastAsia="Times New Roman" w:hAnsi="Calibri" w:cs="Calibri"/>
            <w:noProof/>
            <w:spacing w:val="-8"/>
            <w:sz w:val="24"/>
            <w:szCs w:val="24"/>
          </w:rPr>
          <w:t>www.bioenergyinternational.com/policy/norway-to-introduce-0-5-sustainable-aviation-fuel-quota-from-2020</w:t>
        </w:r>
      </w:hyperlink>
      <w:r>
        <w:rPr>
          <w:rFonts w:ascii="Calibri" w:eastAsia="Times New Roman" w:hAnsi="Calibri" w:cs="Calibri"/>
          <w:noProof/>
          <w:spacing w:val="-8"/>
          <w:sz w:val="24"/>
          <w:szCs w:val="24"/>
        </w:rPr>
        <w:t xml:space="preserve"> [Accessed February 2020].</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Biofuels Flight Path, (2019). </w:t>
      </w:r>
      <w:r>
        <w:rPr>
          <w:rFonts w:ascii="Calibri" w:eastAsia="Times New Roman" w:hAnsi="Calibri" w:cs="Calibri"/>
          <w:i/>
          <w:iCs/>
          <w:noProof/>
          <w:spacing w:val="-8"/>
          <w:sz w:val="24"/>
          <w:szCs w:val="24"/>
        </w:rPr>
        <w:t xml:space="preserve">Swedish proposal for a sustainable aviation fuel mandate in Sweden. </w:t>
      </w:r>
      <w:hyperlink r:id="rId45" w:history="1">
        <w:r>
          <w:rPr>
            <w:rStyle w:val="Hyperlink"/>
            <w:rFonts w:ascii="Calibri" w:eastAsia="Times New Roman" w:hAnsi="Calibri" w:cs="Calibri"/>
            <w:noProof/>
            <w:spacing w:val="-8"/>
            <w:sz w:val="24"/>
            <w:szCs w:val="24"/>
          </w:rPr>
          <w:t>www.biofuelsflightpath.eu/news/60-swedish-proposal-for-an-alternative-aviation-fuel-mandate-in-sweden</w:t>
        </w:r>
      </w:hyperlink>
      <w:r>
        <w:rPr>
          <w:rFonts w:ascii="Calibri" w:eastAsia="Times New Roman" w:hAnsi="Calibri" w:cs="Calibri"/>
          <w:noProof/>
          <w:spacing w:val="-8"/>
          <w:sz w:val="24"/>
          <w:szCs w:val="24"/>
        </w:rPr>
        <w:t xml:space="preserve"> [Accessed February 2020].</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Bock L. and Burkhardt U. (2016) Reassessing properties and radiative forcing of contrail cirrus using a climate model. </w:t>
      </w:r>
      <w:r>
        <w:rPr>
          <w:rFonts w:ascii="Calibri" w:eastAsia="Times New Roman" w:hAnsi="Calibri" w:cs="Calibri"/>
          <w:i/>
          <w:noProof/>
          <w:spacing w:val="-8"/>
          <w:sz w:val="24"/>
          <w:szCs w:val="24"/>
        </w:rPr>
        <w:t>J. Geophys. Res. Atmos.</w:t>
      </w:r>
      <w:r>
        <w:rPr>
          <w:rFonts w:ascii="Calibri" w:eastAsia="Times New Roman" w:hAnsi="Calibri" w:cs="Calibri"/>
          <w:noProof/>
          <w:spacing w:val="-8"/>
          <w:sz w:val="24"/>
          <w:szCs w:val="24"/>
        </w:rPr>
        <w:t xml:space="preserve"> </w:t>
      </w:r>
      <w:r>
        <w:rPr>
          <w:rFonts w:ascii="Calibri" w:eastAsia="Times New Roman" w:hAnsi="Calibri" w:cs="Calibri"/>
          <w:b/>
          <w:noProof/>
          <w:spacing w:val="-8"/>
          <w:sz w:val="24"/>
          <w:szCs w:val="24"/>
        </w:rPr>
        <w:t>121</w:t>
      </w:r>
      <w:r>
        <w:rPr>
          <w:rFonts w:ascii="Calibri" w:eastAsia="Times New Roman" w:hAnsi="Calibri" w:cs="Calibri"/>
          <w:noProof/>
          <w:spacing w:val="-8"/>
          <w:sz w:val="24"/>
          <w:szCs w:val="24"/>
        </w:rPr>
        <w:t>, 9717 – 9736.</w:t>
      </w:r>
    </w:p>
    <w:p>
      <w:pPr>
        <w:spacing w:after="60" w:line="240" w:lineRule="auto"/>
        <w:ind w:left="284" w:right="-23" w:hanging="284"/>
        <w:rPr>
          <w:rFonts w:ascii="Calibri" w:eastAsia="Calibri" w:hAnsi="Calibri" w:cs="Calibri"/>
          <w:noProof/>
          <w:color w:val="000000"/>
          <w:sz w:val="24"/>
          <w:szCs w:val="24"/>
        </w:rPr>
      </w:pPr>
      <w:r>
        <w:rPr>
          <w:rFonts w:ascii="Calibri" w:eastAsia="Calibri" w:hAnsi="Calibri" w:cs="Calibri"/>
          <w:noProof/>
          <w:color w:val="000000"/>
          <w:sz w:val="24"/>
          <w:szCs w:val="24"/>
          <w:lang w:val="en-US"/>
        </w:rPr>
        <w:t xml:space="preserve">Bond, T.C., et al., (2013). </w:t>
      </w:r>
      <w:r>
        <w:rPr>
          <w:rFonts w:ascii="Calibri" w:eastAsia="Calibri" w:hAnsi="Calibri" w:cs="Calibri"/>
          <w:noProof/>
          <w:sz w:val="24"/>
          <w:szCs w:val="24"/>
        </w:rPr>
        <w:t xml:space="preserve">Bounding the role of black carbon in the climate system: A scientific assessment. </w:t>
      </w:r>
      <w:r>
        <w:rPr>
          <w:rFonts w:ascii="Calibri" w:eastAsia="Calibri" w:hAnsi="Calibri" w:cs="Calibri"/>
          <w:i/>
          <w:noProof/>
          <w:sz w:val="24"/>
          <w:szCs w:val="24"/>
        </w:rPr>
        <w:t>J. Geophys. Res.</w:t>
      </w:r>
      <w:r>
        <w:rPr>
          <w:rFonts w:ascii="Calibri" w:eastAsia="Calibri" w:hAnsi="Calibri" w:cs="Calibri"/>
          <w:noProof/>
          <w:sz w:val="24"/>
          <w:szCs w:val="24"/>
        </w:rPr>
        <w:t xml:space="preserve"> </w:t>
      </w:r>
      <w:r>
        <w:rPr>
          <w:rFonts w:ascii="Calibri" w:eastAsia="Calibri" w:hAnsi="Calibri" w:cs="Calibri"/>
          <w:b/>
          <w:noProof/>
          <w:sz w:val="24"/>
          <w:szCs w:val="24"/>
        </w:rPr>
        <w:t>118</w:t>
      </w:r>
      <w:r>
        <w:rPr>
          <w:rFonts w:ascii="Calibri" w:eastAsia="Calibri" w:hAnsi="Calibri" w:cs="Calibri"/>
          <w:noProof/>
          <w:sz w:val="24"/>
          <w:szCs w:val="24"/>
        </w:rPr>
        <w:t>, 5380-5552.</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Botzen &amp; van den Bergh. (2012). How sensitive is Nordhaus to Weitzman? Climate policy in DICE with an alternative damage function. </w:t>
      </w:r>
      <w:r>
        <w:rPr>
          <w:rFonts w:ascii="Calibri" w:eastAsia="Times New Roman" w:hAnsi="Calibri" w:cs="Calibri"/>
          <w:i/>
          <w:iCs/>
          <w:noProof/>
          <w:spacing w:val="-8"/>
          <w:sz w:val="24"/>
          <w:szCs w:val="24"/>
        </w:rPr>
        <w:t>Economic Letters</w:t>
      </w:r>
      <w:r>
        <w:rPr>
          <w:rFonts w:ascii="Calibri" w:eastAsia="Times New Roman" w:hAnsi="Calibri" w:cs="Calibri"/>
          <w:noProof/>
          <w:spacing w:val="-8"/>
          <w:sz w:val="24"/>
          <w:szCs w:val="24"/>
        </w:rPr>
        <w:t>, 372-374.</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Boucher O., Randall D., Artaxo P., Bretherton C., Feingold G., Forster P., Kerminen V-M., Kondo Y., Liao H., Lohmann U., Rasch P., Sateesh S. K., Sherwood S., Stevens B and Zhang X-Y. (2013) Clouds and aerosols. In ‘</w:t>
      </w:r>
      <w:r>
        <w:rPr>
          <w:rFonts w:ascii="Calibri" w:eastAsia="Times New Roman" w:hAnsi="Calibri" w:cs="Calibri"/>
          <w:i/>
          <w:noProof/>
          <w:spacing w:val="-8"/>
          <w:sz w:val="24"/>
          <w:szCs w:val="24"/>
        </w:rPr>
        <w:t>Climate Change 2013: The Physical Science Basis</w:t>
      </w:r>
      <w:r>
        <w:rPr>
          <w:rFonts w:ascii="Calibri" w:eastAsia="Times New Roman" w:hAnsi="Calibri" w:cs="Calibri"/>
          <w:noProof/>
          <w:spacing w:val="-8"/>
          <w:sz w:val="24"/>
          <w:szCs w:val="24"/>
        </w:rPr>
        <w:t>’. Contribution of Working Group I to the Fifth Assessment Report of the Intergovernmental Panel on Climate Change. Cambridge University Press, Cambridge, United Kingdom and New York, NY, USA.</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Bowman C. T. (1992) Control of combustion-generated nitrogen oxide emissions: technology driven by regulation, Twenty-Fourth Symposium (International) on Combustion, The Combustion Institute, Pittsburgh, pp. 859–878.</w:t>
      </w:r>
    </w:p>
    <w:p>
      <w:pPr>
        <w:overflowPunct w:val="0"/>
        <w:autoSpaceDE w:val="0"/>
        <w:autoSpaceDN w:val="0"/>
        <w:adjustRightInd w:val="0"/>
        <w:spacing w:after="60" w:line="240" w:lineRule="auto"/>
        <w:ind w:left="284" w:hanging="284"/>
        <w:textAlignment w:val="baseline"/>
        <w:rPr>
          <w:rFonts w:ascii="Calibri" w:eastAsia="Times New Roman" w:hAnsi="Calibri" w:cs="Calibri"/>
          <w:noProof/>
          <w:sz w:val="24"/>
          <w:szCs w:val="24"/>
        </w:rPr>
      </w:pPr>
      <w:r>
        <w:rPr>
          <w:rFonts w:ascii="Calibri" w:eastAsia="Times New Roman" w:hAnsi="Calibri" w:cs="Calibri"/>
          <w:noProof/>
          <w:sz w:val="24"/>
          <w:szCs w:val="24"/>
        </w:rPr>
        <w:t xml:space="preserve">Brem et al., (2015). Effects of fuel aromatic content on nonvolatile particulate emissions of an in-production aircraft gas turbine. </w:t>
      </w:r>
      <w:r>
        <w:rPr>
          <w:rFonts w:ascii="Calibri" w:eastAsia="Times New Roman" w:hAnsi="Calibri" w:cs="Calibri"/>
          <w:i/>
          <w:iCs/>
          <w:noProof/>
          <w:sz w:val="24"/>
          <w:szCs w:val="24"/>
        </w:rPr>
        <w:t xml:space="preserve">Environmental Science Technology, </w:t>
      </w:r>
      <w:r>
        <w:rPr>
          <w:rFonts w:ascii="Calibri" w:eastAsia="Times New Roman" w:hAnsi="Calibri" w:cs="Calibri"/>
          <w:noProof/>
          <w:sz w:val="24"/>
          <w:szCs w:val="24"/>
        </w:rPr>
        <w:t>49(22), pp. 13149-13159.</w:t>
      </w:r>
    </w:p>
    <w:p>
      <w:pPr>
        <w:overflowPunct w:val="0"/>
        <w:autoSpaceDE w:val="0"/>
        <w:autoSpaceDN w:val="0"/>
        <w:adjustRightInd w:val="0"/>
        <w:spacing w:after="60" w:line="240" w:lineRule="auto"/>
        <w:ind w:left="284" w:hanging="284"/>
        <w:textAlignment w:val="baseline"/>
        <w:rPr>
          <w:rFonts w:ascii="Calibri" w:eastAsia="Times New Roman" w:hAnsi="Calibri" w:cs="Calibri"/>
          <w:noProof/>
          <w:sz w:val="24"/>
          <w:szCs w:val="24"/>
        </w:rPr>
      </w:pPr>
      <w:r>
        <w:rPr>
          <w:rFonts w:ascii="Calibri" w:eastAsia="Times New Roman" w:hAnsi="Calibri" w:cs="Calibri"/>
          <w:noProof/>
          <w:sz w:val="24"/>
          <w:szCs w:val="24"/>
        </w:rPr>
        <w:t xml:space="preserve">Brown, R.C., Anderson, M.R., Miake-Lye, R.C., Kolb, C.E., Sorokin, A.A., Buriko, Y.Y., 1996. Aircraft exhaust sulfur emissions. </w:t>
      </w:r>
      <w:r>
        <w:rPr>
          <w:rFonts w:ascii="Calibri" w:eastAsia="Times New Roman" w:hAnsi="Calibri" w:cs="Calibri"/>
          <w:i/>
          <w:noProof/>
          <w:sz w:val="24"/>
          <w:szCs w:val="24"/>
        </w:rPr>
        <w:t>Geophys. Res. Lett</w:t>
      </w:r>
      <w:r>
        <w:rPr>
          <w:rFonts w:ascii="Calibri" w:eastAsia="Times New Roman" w:hAnsi="Calibri" w:cs="Calibri"/>
          <w:noProof/>
          <w:sz w:val="24"/>
          <w:szCs w:val="24"/>
        </w:rPr>
        <w:t xml:space="preserve">. </w:t>
      </w:r>
      <w:r>
        <w:rPr>
          <w:rFonts w:ascii="Calibri" w:eastAsia="Times New Roman" w:hAnsi="Calibri" w:cs="Calibri"/>
          <w:b/>
          <w:noProof/>
          <w:sz w:val="24"/>
          <w:szCs w:val="24"/>
        </w:rPr>
        <w:t>23</w:t>
      </w:r>
      <w:r>
        <w:rPr>
          <w:rFonts w:ascii="Calibri" w:eastAsia="Times New Roman" w:hAnsi="Calibri" w:cs="Calibri"/>
          <w:noProof/>
          <w:sz w:val="24"/>
          <w:szCs w:val="24"/>
        </w:rPr>
        <w:t xml:space="preserve"> (24), 3603–3606. </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Burke et al. (2016). Opportunities for advances in climate change economics. </w:t>
      </w:r>
      <w:r>
        <w:rPr>
          <w:rFonts w:ascii="Calibri" w:eastAsia="Times New Roman" w:hAnsi="Calibri" w:cs="Calibri"/>
          <w:i/>
          <w:iCs/>
          <w:noProof/>
          <w:spacing w:val="-8"/>
          <w:sz w:val="24"/>
          <w:szCs w:val="24"/>
        </w:rPr>
        <w:t>Science</w:t>
      </w:r>
      <w:r>
        <w:rPr>
          <w:rFonts w:ascii="Calibri" w:eastAsia="Times New Roman" w:hAnsi="Calibri" w:cs="Calibri"/>
          <w:noProof/>
          <w:spacing w:val="-8"/>
          <w:sz w:val="24"/>
          <w:szCs w:val="24"/>
        </w:rPr>
        <w:t>, 292-293.</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Burkhardt U. and Kärcher B. (2011) Global radiative forcing from contrail cirrus. </w:t>
      </w:r>
      <w:r>
        <w:rPr>
          <w:rFonts w:ascii="Calibri" w:eastAsia="Times New Roman" w:hAnsi="Calibri" w:cs="Calibri"/>
          <w:i/>
          <w:noProof/>
          <w:spacing w:val="-8"/>
          <w:sz w:val="24"/>
          <w:szCs w:val="24"/>
        </w:rPr>
        <w:t>Nature Climate Change</w:t>
      </w:r>
      <w:r>
        <w:rPr>
          <w:rFonts w:ascii="Calibri" w:eastAsia="Times New Roman" w:hAnsi="Calibri" w:cs="Calibri"/>
          <w:noProof/>
          <w:spacing w:val="-8"/>
          <w:sz w:val="24"/>
          <w:szCs w:val="24"/>
        </w:rPr>
        <w:t xml:space="preserve"> </w:t>
      </w:r>
      <w:r>
        <w:rPr>
          <w:rFonts w:ascii="Calibri" w:eastAsia="Times New Roman" w:hAnsi="Calibri" w:cs="Calibri"/>
          <w:b/>
          <w:noProof/>
          <w:spacing w:val="-8"/>
          <w:sz w:val="24"/>
          <w:szCs w:val="24"/>
        </w:rPr>
        <w:t>1</w:t>
      </w:r>
      <w:r>
        <w:rPr>
          <w:rFonts w:ascii="Calibri" w:eastAsia="Times New Roman" w:hAnsi="Calibri" w:cs="Calibri"/>
          <w:noProof/>
          <w:spacing w:val="-8"/>
          <w:sz w:val="24"/>
          <w:szCs w:val="24"/>
        </w:rPr>
        <w:t>, 54 – 58.</w:t>
      </w:r>
    </w:p>
    <w:p>
      <w:pPr>
        <w:overflowPunct w:val="0"/>
        <w:autoSpaceDE w:val="0"/>
        <w:autoSpaceDN w:val="0"/>
        <w:adjustRightInd w:val="0"/>
        <w:spacing w:after="60" w:line="240" w:lineRule="auto"/>
        <w:ind w:left="284" w:hanging="284"/>
        <w:textAlignment w:val="baseline"/>
        <w:rPr>
          <w:rFonts w:ascii="Calibri" w:eastAsia="Times New Roman" w:hAnsi="Calibri" w:cs="Calibri"/>
          <w:noProof/>
          <w:sz w:val="24"/>
          <w:szCs w:val="24"/>
        </w:rPr>
      </w:pPr>
      <w:r>
        <w:rPr>
          <w:rFonts w:ascii="Calibri" w:eastAsia="Times New Roman" w:hAnsi="Calibri" w:cs="Calibri"/>
          <w:noProof/>
          <w:sz w:val="24"/>
          <w:szCs w:val="24"/>
        </w:rPr>
        <w:t xml:space="preserve">Burkhardt, U., Bock, L. &amp; Bier, A., (2018). Mitigating the contrail cirrus climate impact by reducing aircraft soot number emission. </w:t>
      </w:r>
      <w:r>
        <w:rPr>
          <w:rFonts w:ascii="Calibri" w:eastAsia="Times New Roman" w:hAnsi="Calibri" w:cs="Calibri"/>
          <w:i/>
          <w:iCs/>
          <w:noProof/>
          <w:sz w:val="24"/>
          <w:szCs w:val="24"/>
        </w:rPr>
        <w:t xml:space="preserve">Climate and Atmospheric Science, </w:t>
      </w:r>
      <w:r>
        <w:rPr>
          <w:rFonts w:ascii="Calibri" w:eastAsia="Times New Roman" w:hAnsi="Calibri" w:cs="Calibri"/>
          <w:noProof/>
          <w:sz w:val="24"/>
          <w:szCs w:val="24"/>
        </w:rPr>
        <w:t>Volume 37.</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Cain M., J. Lynch, M. R. Allen, J. S. Fuglestvedt, D. J. Frame, A. H. Macey (2019) Improved calculation of warming-equivalent emissions for short-lived climate pollutants. </w:t>
      </w:r>
      <w:r>
        <w:rPr>
          <w:rFonts w:ascii="Calibri" w:eastAsia="Times New Roman" w:hAnsi="Calibri" w:cs="Calibri"/>
          <w:i/>
          <w:iCs/>
          <w:noProof/>
          <w:spacing w:val="-8"/>
          <w:sz w:val="24"/>
          <w:szCs w:val="24"/>
        </w:rPr>
        <w:t>npj Climate and Atmospheric Science,</w:t>
      </w:r>
      <w:r>
        <w:rPr>
          <w:rFonts w:ascii="Calibri" w:eastAsia="Times New Roman" w:hAnsi="Calibri" w:cs="Calibri"/>
          <w:noProof/>
          <w:spacing w:val="-8"/>
          <w:sz w:val="24"/>
          <w:szCs w:val="24"/>
        </w:rPr>
        <w:t xml:space="preserve"> 2:29, </w:t>
      </w:r>
      <w:hyperlink r:id="rId46" w:history="1">
        <w:r>
          <w:rPr>
            <w:rStyle w:val="Hyperlink"/>
            <w:rFonts w:ascii="Calibri" w:eastAsia="Times New Roman" w:hAnsi="Calibri" w:cs="Calibri"/>
            <w:noProof/>
            <w:spacing w:val="-8"/>
            <w:sz w:val="24"/>
            <w:szCs w:val="24"/>
          </w:rPr>
          <w:t>https://doi.org/10.1038/s41612-019-0086-4</w:t>
        </w:r>
      </w:hyperlink>
      <w:r>
        <w:rPr>
          <w:rFonts w:ascii="Calibri" w:eastAsia="Times New Roman" w:hAnsi="Calibri" w:cs="Calibri"/>
          <w:noProof/>
          <w:spacing w:val="-8"/>
          <w:sz w:val="24"/>
          <w:szCs w:val="24"/>
        </w:rPr>
        <w:t>.</w:t>
      </w:r>
    </w:p>
    <w:p>
      <w:pPr>
        <w:spacing w:after="60" w:line="240" w:lineRule="auto"/>
        <w:ind w:left="284" w:hanging="284"/>
        <w:rPr>
          <w:rFonts w:ascii="Calibri" w:eastAsia="Times New Roman" w:hAnsi="Calibri" w:cs="Calibri"/>
          <w:noProof/>
          <w:spacing w:val="-8"/>
          <w:sz w:val="24"/>
          <w:szCs w:val="24"/>
          <w:lang w:val="fr-BE"/>
        </w:rPr>
      </w:pPr>
      <w:r>
        <w:rPr>
          <w:rFonts w:ascii="Calibri" w:eastAsia="Times New Roman" w:hAnsi="Calibri" w:cs="Calibri"/>
          <w:noProof/>
          <w:spacing w:val="-8"/>
          <w:sz w:val="24"/>
          <w:szCs w:val="24"/>
          <w:lang w:val="fr-BE"/>
        </w:rPr>
        <w:t xml:space="preserve">CE Delft et al., (2008). </w:t>
      </w:r>
      <w:r>
        <w:rPr>
          <w:rFonts w:ascii="Calibri" w:eastAsia="Times New Roman" w:hAnsi="Calibri" w:cs="Calibri"/>
          <w:i/>
          <w:iCs/>
          <w:noProof/>
          <w:spacing w:val="-8"/>
          <w:sz w:val="24"/>
          <w:szCs w:val="24"/>
          <w:lang w:val="fr-BE"/>
        </w:rPr>
        <w:t xml:space="preserve">Lower NOx at higher altitudes, </w:t>
      </w:r>
      <w:r>
        <w:rPr>
          <w:rFonts w:ascii="Calibri" w:eastAsia="Times New Roman" w:hAnsi="Calibri" w:cs="Calibri"/>
          <w:noProof/>
          <w:spacing w:val="-8"/>
          <w:sz w:val="24"/>
          <w:szCs w:val="24"/>
          <w:lang w:val="fr-BE"/>
        </w:rPr>
        <w:t>Delft: CE Delft.</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lang w:val="fr-BE"/>
        </w:rPr>
        <w:t xml:space="preserve">CE Delft et al., (2019). </w:t>
      </w:r>
      <w:r>
        <w:rPr>
          <w:rFonts w:ascii="Calibri" w:eastAsia="Times New Roman" w:hAnsi="Calibri" w:cs="Calibri"/>
          <w:i/>
          <w:iCs/>
          <w:noProof/>
          <w:spacing w:val="-8"/>
          <w:sz w:val="24"/>
          <w:szCs w:val="24"/>
        </w:rPr>
        <w:t xml:space="preserve">Handbook on the external costs of transport, </w:t>
      </w:r>
      <w:r>
        <w:rPr>
          <w:rFonts w:ascii="Calibri" w:eastAsia="Times New Roman" w:hAnsi="Calibri" w:cs="Calibri"/>
          <w:noProof/>
          <w:spacing w:val="-8"/>
          <w:sz w:val="24"/>
          <w:szCs w:val="24"/>
        </w:rPr>
        <w:t>Delft: CE Delft.</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CE Delft, (2002). </w:t>
      </w:r>
      <w:r>
        <w:rPr>
          <w:rFonts w:ascii="Calibri" w:eastAsia="Times New Roman" w:hAnsi="Calibri" w:cs="Calibri"/>
          <w:i/>
          <w:iCs/>
          <w:noProof/>
          <w:spacing w:val="-8"/>
          <w:sz w:val="24"/>
          <w:szCs w:val="24"/>
        </w:rPr>
        <w:t xml:space="preserve">Economic incentives to mitigate greenhouse gas emissions from air transport in Europe, </w:t>
      </w:r>
      <w:r>
        <w:rPr>
          <w:rFonts w:ascii="Calibri" w:eastAsia="Times New Roman" w:hAnsi="Calibri" w:cs="Calibri"/>
          <w:noProof/>
          <w:spacing w:val="-8"/>
          <w:sz w:val="24"/>
          <w:szCs w:val="24"/>
        </w:rPr>
        <w:t>Delft: CE Delft.</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CE Delft, (2007). </w:t>
      </w:r>
      <w:r>
        <w:rPr>
          <w:rFonts w:ascii="Calibri" w:eastAsia="Times New Roman" w:hAnsi="Calibri" w:cs="Calibri"/>
          <w:i/>
          <w:iCs/>
          <w:noProof/>
          <w:spacing w:val="-8"/>
          <w:sz w:val="24"/>
          <w:szCs w:val="24"/>
        </w:rPr>
        <w:t xml:space="preserve">Allocation of allowances for aviation in the EU ETS, </w:t>
      </w:r>
      <w:r>
        <w:rPr>
          <w:rFonts w:ascii="Calibri" w:eastAsia="Times New Roman" w:hAnsi="Calibri" w:cs="Calibri"/>
          <w:noProof/>
          <w:spacing w:val="-8"/>
          <w:sz w:val="24"/>
          <w:szCs w:val="24"/>
        </w:rPr>
        <w:t>Delft: CE Delft.</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CE Delft, (2008). </w:t>
      </w:r>
      <w:r>
        <w:rPr>
          <w:rFonts w:ascii="Calibri" w:eastAsia="Times New Roman" w:hAnsi="Calibri" w:cs="Calibri"/>
          <w:i/>
          <w:iCs/>
          <w:noProof/>
          <w:spacing w:val="-8"/>
          <w:sz w:val="24"/>
          <w:szCs w:val="24"/>
        </w:rPr>
        <w:t xml:space="preserve">Competitiveness issues for Dutch aviation from EU ETS, </w:t>
      </w:r>
      <w:r>
        <w:rPr>
          <w:rFonts w:ascii="Calibri" w:eastAsia="Times New Roman" w:hAnsi="Calibri" w:cs="Calibri"/>
          <w:noProof/>
          <w:spacing w:val="-8"/>
          <w:sz w:val="24"/>
          <w:szCs w:val="24"/>
        </w:rPr>
        <w:t>Delft: CE Delft.</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CE Delft, Forthcoming. </w:t>
      </w:r>
      <w:r>
        <w:rPr>
          <w:rFonts w:ascii="Calibri" w:eastAsia="Times New Roman" w:hAnsi="Calibri" w:cs="Calibri"/>
          <w:i/>
          <w:iCs/>
          <w:noProof/>
          <w:spacing w:val="-8"/>
          <w:sz w:val="24"/>
          <w:szCs w:val="24"/>
        </w:rPr>
        <w:t xml:space="preserve">Social costs and benefits of advanced aviation fuels, </w:t>
      </w:r>
      <w:r>
        <w:rPr>
          <w:rFonts w:ascii="Calibri" w:eastAsia="Times New Roman" w:hAnsi="Calibri" w:cs="Calibri"/>
          <w:noProof/>
          <w:spacing w:val="-8"/>
          <w:sz w:val="24"/>
          <w:szCs w:val="24"/>
        </w:rPr>
        <w:t>Delft: CE Delft.</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CE Delft et al. (2019). </w:t>
      </w:r>
      <w:r>
        <w:rPr>
          <w:rFonts w:ascii="Calibri" w:eastAsia="Times New Roman" w:hAnsi="Calibri" w:cs="Calibri"/>
          <w:i/>
          <w:iCs/>
          <w:noProof/>
          <w:spacing w:val="-8"/>
          <w:sz w:val="24"/>
          <w:szCs w:val="24"/>
        </w:rPr>
        <w:t>Handbook on the external costs of transport.</w:t>
      </w:r>
      <w:r>
        <w:rPr>
          <w:rFonts w:ascii="Calibri" w:eastAsia="Times New Roman" w:hAnsi="Calibri" w:cs="Calibri"/>
          <w:noProof/>
          <w:spacing w:val="-8"/>
          <w:sz w:val="24"/>
          <w:szCs w:val="24"/>
        </w:rPr>
        <w:t xml:space="preserve"> Delft: CE Delft.</w:t>
      </w:r>
    </w:p>
    <w:p>
      <w:pPr>
        <w:spacing w:after="60" w:line="240" w:lineRule="auto"/>
        <w:ind w:left="284" w:hanging="284"/>
        <w:rPr>
          <w:rFonts w:ascii="Calibri" w:eastAsia="Times New Roman" w:hAnsi="Calibri" w:cs="Calibri"/>
          <w:noProof/>
          <w:spacing w:val="-8"/>
          <w:sz w:val="24"/>
          <w:szCs w:val="24"/>
          <w:lang w:val="en-US"/>
        </w:rPr>
      </w:pPr>
      <w:r>
        <w:rPr>
          <w:rFonts w:ascii="Calibri" w:eastAsia="Times New Roman" w:hAnsi="Calibri" w:cs="Calibri"/>
          <w:noProof/>
          <w:spacing w:val="-8"/>
          <w:sz w:val="24"/>
          <w:szCs w:val="24"/>
          <w:lang w:val="en-US"/>
        </w:rPr>
        <w:t xml:space="preserve">Chen C.-C., Gettelman A., Craig C., Minnis P., and Duda D. P. (2012), Global contrail coverage simulated by CAM5 with the inventory of 2006 global aircraft emissions. </w:t>
      </w:r>
      <w:r>
        <w:rPr>
          <w:rFonts w:ascii="Calibri" w:eastAsia="Times New Roman" w:hAnsi="Calibri" w:cs="Calibri"/>
          <w:i/>
          <w:noProof/>
          <w:spacing w:val="-8"/>
          <w:sz w:val="24"/>
          <w:szCs w:val="24"/>
          <w:lang w:val="en-US"/>
        </w:rPr>
        <w:t>J. Adv. Model. Earth Syst.</w:t>
      </w:r>
      <w:r>
        <w:rPr>
          <w:rFonts w:ascii="Calibri" w:eastAsia="Times New Roman" w:hAnsi="Calibri" w:cs="Calibri"/>
          <w:noProof/>
          <w:spacing w:val="-8"/>
          <w:sz w:val="24"/>
          <w:szCs w:val="24"/>
          <w:lang w:val="en-US"/>
        </w:rPr>
        <w:t xml:space="preserve"> </w:t>
      </w:r>
      <w:r>
        <w:rPr>
          <w:rFonts w:ascii="Calibri" w:eastAsia="Times New Roman" w:hAnsi="Calibri" w:cs="Calibri"/>
          <w:b/>
          <w:noProof/>
          <w:spacing w:val="-8"/>
          <w:sz w:val="24"/>
          <w:szCs w:val="24"/>
          <w:lang w:val="en-US"/>
        </w:rPr>
        <w:t>4</w:t>
      </w:r>
      <w:r>
        <w:rPr>
          <w:rFonts w:ascii="Calibri" w:eastAsia="Times New Roman" w:hAnsi="Calibri" w:cs="Calibri"/>
          <w:noProof/>
          <w:spacing w:val="-8"/>
          <w:sz w:val="24"/>
          <w:szCs w:val="24"/>
          <w:lang w:val="en-US"/>
        </w:rPr>
        <w:t>, M04003, doi:10.1029/2011MS000105.</w:t>
      </w:r>
    </w:p>
    <w:p>
      <w:pPr>
        <w:spacing w:after="60" w:line="240" w:lineRule="auto"/>
        <w:ind w:left="284" w:hanging="284"/>
        <w:rPr>
          <w:rFonts w:ascii="Calibri" w:eastAsia="Times New Roman" w:hAnsi="Calibri" w:cs="Calibri"/>
          <w:noProof/>
          <w:sz w:val="24"/>
          <w:szCs w:val="24"/>
        </w:rPr>
      </w:pPr>
      <w:r>
        <w:rPr>
          <w:rFonts w:ascii="Calibri" w:eastAsia="Times New Roman" w:hAnsi="Calibri" w:cs="Calibri"/>
          <w:noProof/>
          <w:sz w:val="24"/>
          <w:szCs w:val="24"/>
        </w:rPr>
        <w:t xml:space="preserve">Chan, T. W., Chishty, W., Davison, C. &amp; Buote, D., (2015). Characterization of the Ultrafine and Black Carbon Emissions from Different Aviation Alternative Fuels. </w:t>
      </w:r>
      <w:r>
        <w:rPr>
          <w:rFonts w:ascii="Calibri" w:eastAsia="Times New Roman" w:hAnsi="Calibri" w:cs="Calibri"/>
          <w:i/>
          <w:iCs/>
          <w:noProof/>
          <w:sz w:val="24"/>
          <w:szCs w:val="24"/>
        </w:rPr>
        <w:t xml:space="preserve">SAE International Journal of Fuels and Lubricants, </w:t>
      </w:r>
      <w:r>
        <w:rPr>
          <w:rFonts w:ascii="Calibri" w:eastAsia="Times New Roman" w:hAnsi="Calibri" w:cs="Calibri"/>
          <w:noProof/>
          <w:sz w:val="24"/>
          <w:szCs w:val="24"/>
        </w:rPr>
        <w:t>8(3), pp. 515-526.</w:t>
      </w:r>
    </w:p>
    <w:p>
      <w:pPr>
        <w:spacing w:after="60" w:line="240" w:lineRule="auto"/>
        <w:ind w:left="284" w:hanging="284"/>
        <w:rPr>
          <w:rFonts w:ascii="Calibri" w:eastAsia="Times New Roman" w:hAnsi="Calibri" w:cs="Calibri"/>
          <w:noProof/>
          <w:sz w:val="24"/>
          <w:szCs w:val="24"/>
        </w:rPr>
      </w:pPr>
      <w:r>
        <w:rPr>
          <w:rFonts w:ascii="Calibri" w:eastAsia="Times New Roman" w:hAnsi="Calibri" w:cs="Calibri"/>
          <w:noProof/>
          <w:sz w:val="24"/>
          <w:szCs w:val="24"/>
          <w:lang w:val="en-US"/>
        </w:rPr>
        <w:t xml:space="preserve">Chen, J. T., Abdullah, L. C. &amp; Tahir, P. M., (2019). </w:t>
      </w:r>
      <w:r>
        <w:rPr>
          <w:rFonts w:ascii="Calibri" w:eastAsia="Times New Roman" w:hAnsi="Calibri" w:cs="Calibri"/>
          <w:noProof/>
          <w:sz w:val="24"/>
          <w:szCs w:val="24"/>
        </w:rPr>
        <w:t xml:space="preserve">Biomass valorization for better aviation environmental impact through biocomposites and aviation biofuel. In: </w:t>
      </w:r>
      <w:r>
        <w:rPr>
          <w:rFonts w:ascii="Calibri" w:eastAsia="Times New Roman" w:hAnsi="Calibri" w:cs="Calibri"/>
          <w:i/>
          <w:iCs/>
          <w:noProof/>
          <w:sz w:val="24"/>
          <w:szCs w:val="24"/>
        </w:rPr>
        <w:t xml:space="preserve">Structureal health monitoring of biocomposites, fibre-reinforced composites and hybrid composites. </w:t>
      </w:r>
      <w:r>
        <w:rPr>
          <w:rFonts w:ascii="Calibri" w:eastAsia="Times New Roman" w:hAnsi="Calibri" w:cs="Calibri"/>
          <w:noProof/>
          <w:sz w:val="24"/>
          <w:szCs w:val="24"/>
        </w:rPr>
        <w:t>s.l.:Woodhead Publishing, pp. 19-31.</w:t>
      </w:r>
    </w:p>
    <w:p>
      <w:pPr>
        <w:spacing w:after="60" w:line="240" w:lineRule="auto"/>
        <w:ind w:left="284" w:hanging="284"/>
        <w:rPr>
          <w:rFonts w:ascii="Calibri" w:eastAsia="Times New Roman" w:hAnsi="Calibri" w:cs="Calibri"/>
          <w:noProof/>
          <w:sz w:val="24"/>
          <w:szCs w:val="24"/>
          <w:lang w:val="fr-BE"/>
        </w:rPr>
      </w:pPr>
      <w:r>
        <w:rPr>
          <w:rFonts w:ascii="Calibri" w:eastAsia="Times New Roman" w:hAnsi="Calibri" w:cs="Calibri"/>
          <w:noProof/>
          <w:sz w:val="24"/>
          <w:szCs w:val="24"/>
          <w:lang w:val="fr-BE"/>
        </w:rPr>
        <w:t xml:space="preserve">Chevron, (2006). </w:t>
      </w:r>
      <w:r>
        <w:rPr>
          <w:rFonts w:ascii="Calibri" w:eastAsia="Times New Roman" w:hAnsi="Calibri" w:cs="Calibri"/>
          <w:i/>
          <w:iCs/>
          <w:noProof/>
          <w:sz w:val="24"/>
          <w:szCs w:val="24"/>
          <w:lang w:val="fr-BE"/>
        </w:rPr>
        <w:t xml:space="preserve">Alternative Jet Fuels, </w:t>
      </w:r>
      <w:r>
        <w:rPr>
          <w:rFonts w:ascii="Calibri" w:eastAsia="Times New Roman" w:hAnsi="Calibri" w:cs="Calibri"/>
          <w:noProof/>
          <w:sz w:val="24"/>
          <w:szCs w:val="24"/>
          <w:lang w:val="fr-BE"/>
        </w:rPr>
        <w:t>Houston: Chevron.</w:t>
      </w:r>
    </w:p>
    <w:p>
      <w:pPr>
        <w:spacing w:after="60" w:line="240" w:lineRule="auto"/>
        <w:ind w:left="284" w:hanging="284"/>
        <w:rPr>
          <w:rFonts w:ascii="Calibri" w:eastAsia="Times New Roman" w:hAnsi="Calibri" w:cs="Calibri"/>
          <w:noProof/>
          <w:sz w:val="24"/>
          <w:szCs w:val="24"/>
        </w:rPr>
      </w:pPr>
      <w:r>
        <w:rPr>
          <w:rFonts w:ascii="Calibri" w:eastAsia="Times New Roman" w:hAnsi="Calibri" w:cs="Calibri"/>
          <w:noProof/>
          <w:sz w:val="24"/>
          <w:szCs w:val="24"/>
        </w:rPr>
        <w:t xml:space="preserve">Civil Aviation Authority, (2017). </w:t>
      </w:r>
      <w:r>
        <w:rPr>
          <w:rFonts w:ascii="Calibri" w:eastAsia="Times New Roman" w:hAnsi="Calibri" w:cs="Calibri"/>
          <w:i/>
          <w:iCs/>
          <w:noProof/>
          <w:sz w:val="24"/>
          <w:szCs w:val="24"/>
        </w:rPr>
        <w:t xml:space="preserve">Environmental charging - Review of impact of noise and NOx landing charges: Updat 2017, </w:t>
      </w:r>
      <w:r>
        <w:rPr>
          <w:rFonts w:ascii="Calibri" w:eastAsia="Times New Roman" w:hAnsi="Calibri" w:cs="Calibri"/>
          <w:noProof/>
          <w:sz w:val="24"/>
          <w:szCs w:val="24"/>
        </w:rPr>
        <w:t>West Sussex: Civil Aviation Authority.</w:t>
      </w:r>
    </w:p>
    <w:p>
      <w:pPr>
        <w:spacing w:after="60" w:line="240" w:lineRule="auto"/>
        <w:ind w:left="284" w:hanging="284"/>
        <w:rPr>
          <w:rFonts w:ascii="Calibri" w:eastAsia="Times New Roman" w:hAnsi="Calibri" w:cs="Calibri"/>
          <w:noProof/>
          <w:sz w:val="24"/>
          <w:szCs w:val="24"/>
        </w:rPr>
      </w:pPr>
      <w:r>
        <w:rPr>
          <w:rFonts w:ascii="Calibri" w:eastAsia="Times New Roman" w:hAnsi="Calibri" w:cs="Calibri"/>
          <w:noProof/>
          <w:sz w:val="24"/>
          <w:szCs w:val="24"/>
        </w:rPr>
        <w:t xml:space="preserve">Copenhagen Airport, (2010). </w:t>
      </w:r>
      <w:r>
        <w:rPr>
          <w:rFonts w:ascii="Calibri" w:eastAsia="Times New Roman" w:hAnsi="Calibri" w:cs="Calibri"/>
          <w:i/>
          <w:iCs/>
          <w:noProof/>
          <w:sz w:val="24"/>
          <w:szCs w:val="24"/>
        </w:rPr>
        <w:t xml:space="preserve">Conditions relating to calculation of emissions charge in Copenhagen Airport. </w:t>
      </w:r>
      <w:hyperlink r:id="rId47" w:history="1">
        <w:r>
          <w:rPr>
            <w:rStyle w:val="Hyperlink"/>
            <w:rFonts w:ascii="Calibri" w:eastAsia="Times New Roman" w:hAnsi="Calibri" w:cs="Calibri"/>
            <w:noProof/>
            <w:sz w:val="24"/>
            <w:szCs w:val="24"/>
          </w:rPr>
          <w:t>www.cph.dk/en/cph-business/aviation/charges-and-slot/calculation-of-emission-charges</w:t>
        </w:r>
      </w:hyperlink>
      <w:r>
        <w:rPr>
          <w:rFonts w:ascii="Calibri" w:eastAsia="Times New Roman" w:hAnsi="Calibri" w:cs="Calibri"/>
          <w:noProof/>
          <w:sz w:val="24"/>
          <w:szCs w:val="24"/>
          <w:u w:val="single"/>
        </w:rPr>
        <w:t xml:space="preserve"> </w:t>
      </w:r>
      <w:r>
        <w:rPr>
          <w:rFonts w:ascii="Calibri" w:eastAsia="Times New Roman" w:hAnsi="Calibri" w:cs="Calibri"/>
          <w:noProof/>
          <w:sz w:val="24"/>
          <w:szCs w:val="24"/>
        </w:rPr>
        <w:t>[Accessed January 2020].</w:t>
      </w:r>
    </w:p>
    <w:p>
      <w:pPr>
        <w:spacing w:after="60" w:line="240" w:lineRule="auto"/>
        <w:ind w:left="284" w:hanging="284"/>
        <w:rPr>
          <w:rFonts w:ascii="Calibri" w:eastAsia="Times New Roman" w:hAnsi="Calibri" w:cs="Calibri"/>
          <w:noProof/>
          <w:sz w:val="24"/>
          <w:szCs w:val="24"/>
        </w:rPr>
      </w:pPr>
      <w:r>
        <w:rPr>
          <w:rFonts w:ascii="Calibri" w:eastAsia="Times New Roman" w:hAnsi="Calibri" w:cs="Calibri"/>
          <w:noProof/>
          <w:sz w:val="24"/>
          <w:szCs w:val="24"/>
          <w:lang w:val="de-DE"/>
        </w:rPr>
        <w:t xml:space="preserve">Dahlmann, K., Grewe, V. &amp; Niklaß, M., (2019). </w:t>
      </w:r>
      <w:r>
        <w:rPr>
          <w:rFonts w:ascii="Calibri" w:eastAsia="Times New Roman" w:hAnsi="Calibri" w:cs="Calibri"/>
          <w:i/>
          <w:iCs/>
          <w:noProof/>
          <w:sz w:val="24"/>
          <w:szCs w:val="24"/>
        </w:rPr>
        <w:t xml:space="preserve">Suitable climate metrics for assessing the relation of non-CO2 and CO2 climate effects, </w:t>
      </w:r>
      <w:r>
        <w:rPr>
          <w:rFonts w:ascii="Calibri" w:eastAsia="Times New Roman" w:hAnsi="Calibri" w:cs="Calibri"/>
          <w:noProof/>
          <w:sz w:val="24"/>
          <w:szCs w:val="24"/>
        </w:rPr>
        <w:t>Bonn: German Federal Ministry for the Environment, Nature Conservation and Nuclear Safety.</w:t>
      </w:r>
    </w:p>
    <w:p>
      <w:pPr>
        <w:spacing w:after="60" w:line="240" w:lineRule="auto"/>
        <w:ind w:left="284" w:hanging="284"/>
        <w:rPr>
          <w:rFonts w:ascii="Calibri" w:eastAsia="Times New Roman" w:hAnsi="Calibri" w:cs="Calibri"/>
          <w:b/>
          <w:bCs/>
          <w:noProof/>
          <w:sz w:val="24"/>
          <w:szCs w:val="24"/>
        </w:rPr>
      </w:pPr>
      <w:r>
        <w:rPr>
          <w:rFonts w:ascii="Calibri" w:eastAsia="Times New Roman" w:hAnsi="Calibri" w:cs="Calibri"/>
          <w:noProof/>
          <w:sz w:val="24"/>
          <w:szCs w:val="24"/>
        </w:rPr>
        <w:t xml:space="preserve">Dallara E., Kroo I.M. and Waitz I. A. (2011) </w:t>
      </w:r>
      <w:r>
        <w:rPr>
          <w:rFonts w:ascii="Calibri" w:eastAsia="Times New Roman" w:hAnsi="Calibri" w:cs="Calibri"/>
          <w:bCs/>
          <w:noProof/>
          <w:sz w:val="24"/>
          <w:szCs w:val="24"/>
        </w:rPr>
        <w:t>Metric for Comparing Lifetime Average Climate Impact of Aircraft</w:t>
      </w:r>
      <w:r>
        <w:rPr>
          <w:rFonts w:ascii="Calibri" w:eastAsia="Times New Roman" w:hAnsi="Calibri" w:cs="Calibri"/>
          <w:noProof/>
          <w:sz w:val="24"/>
          <w:szCs w:val="24"/>
        </w:rPr>
        <w:t xml:space="preserve">. </w:t>
      </w:r>
      <w:r>
        <w:rPr>
          <w:rFonts w:ascii="Calibri" w:eastAsia="Times New Roman" w:hAnsi="Calibri" w:cs="Calibri"/>
          <w:i/>
          <w:noProof/>
          <w:sz w:val="24"/>
          <w:szCs w:val="24"/>
        </w:rPr>
        <w:t>AIAA Journal</w:t>
      </w:r>
      <w:r>
        <w:rPr>
          <w:rFonts w:ascii="Calibri" w:eastAsia="Times New Roman" w:hAnsi="Calibri" w:cs="Calibri"/>
          <w:noProof/>
          <w:sz w:val="24"/>
          <w:szCs w:val="24"/>
        </w:rPr>
        <w:t xml:space="preserve"> </w:t>
      </w:r>
      <w:r>
        <w:rPr>
          <w:rFonts w:ascii="Calibri" w:eastAsia="Times New Roman" w:hAnsi="Calibri" w:cs="Calibri"/>
          <w:b/>
          <w:noProof/>
          <w:sz w:val="24"/>
          <w:szCs w:val="24"/>
        </w:rPr>
        <w:t>49</w:t>
      </w:r>
      <w:r>
        <w:rPr>
          <w:rFonts w:ascii="Calibri" w:eastAsia="Times New Roman" w:hAnsi="Calibri" w:cs="Calibri"/>
          <w:noProof/>
          <w:sz w:val="24"/>
          <w:szCs w:val="24"/>
        </w:rPr>
        <w:t>, 1600–1613</w:t>
      </w:r>
    </w:p>
    <w:p>
      <w:pPr>
        <w:spacing w:after="60" w:line="240" w:lineRule="auto"/>
        <w:ind w:left="284" w:hanging="284"/>
        <w:rPr>
          <w:rFonts w:ascii="Calibri" w:eastAsia="Times New Roman" w:hAnsi="Calibri" w:cs="Calibri"/>
          <w:noProof/>
          <w:sz w:val="24"/>
          <w:szCs w:val="24"/>
        </w:rPr>
      </w:pPr>
      <w:r>
        <w:rPr>
          <w:rFonts w:ascii="Calibri" w:eastAsia="Times New Roman" w:hAnsi="Calibri" w:cs="Calibri"/>
          <w:noProof/>
          <w:sz w:val="24"/>
          <w:szCs w:val="24"/>
        </w:rPr>
        <w:t xml:space="preserve">De León R. R., Lim L. L., Lee D. S., Bennet M., Krämer M. (2018) Simple versus complex physical representation of the radiative forcing from linear contrails, an uncertainty analysis. </w:t>
      </w:r>
      <w:r>
        <w:rPr>
          <w:rFonts w:ascii="Calibri" w:eastAsia="Times New Roman" w:hAnsi="Calibri" w:cs="Calibri"/>
          <w:i/>
          <w:noProof/>
          <w:sz w:val="24"/>
          <w:szCs w:val="24"/>
        </w:rPr>
        <w:t>J Geophys. Res.</w:t>
      </w:r>
      <w:r>
        <w:rPr>
          <w:rFonts w:ascii="Calibri" w:eastAsia="Times New Roman" w:hAnsi="Calibri" w:cs="Calibri"/>
          <w:noProof/>
          <w:sz w:val="24"/>
          <w:szCs w:val="24"/>
        </w:rPr>
        <w:t xml:space="preserve"> </w:t>
      </w:r>
      <w:r>
        <w:rPr>
          <w:rFonts w:ascii="Calibri" w:eastAsia="Times New Roman" w:hAnsi="Calibri" w:cs="Calibri"/>
          <w:b/>
          <w:noProof/>
          <w:sz w:val="24"/>
          <w:szCs w:val="24"/>
        </w:rPr>
        <w:t>123</w:t>
      </w:r>
      <w:r>
        <w:rPr>
          <w:rFonts w:ascii="Calibri" w:eastAsia="Times New Roman" w:hAnsi="Calibri" w:cs="Calibri"/>
          <w:noProof/>
          <w:sz w:val="24"/>
          <w:szCs w:val="24"/>
        </w:rPr>
        <w:t xml:space="preserve">, 2831 – 2840. </w:t>
      </w:r>
      <w:r>
        <w:rPr>
          <w:rFonts w:ascii="Calibri" w:eastAsia="Times New Roman" w:hAnsi="Calibri" w:cs="Calibri"/>
          <w:noProof/>
          <w:color w:val="000000"/>
          <w:sz w:val="24"/>
          <w:szCs w:val="24"/>
        </w:rPr>
        <w:t>DOI: 10.1002/2017JD027861</w:t>
      </w:r>
    </w:p>
    <w:p>
      <w:pPr>
        <w:spacing w:after="60" w:line="240" w:lineRule="auto"/>
        <w:ind w:left="284" w:hanging="284"/>
        <w:rPr>
          <w:rFonts w:ascii="Calibri" w:eastAsia="Times New Roman" w:hAnsi="Calibri" w:cs="Calibri"/>
          <w:noProof/>
          <w:color w:val="000000"/>
          <w:sz w:val="24"/>
          <w:szCs w:val="24"/>
        </w:rPr>
      </w:pPr>
      <w:r>
        <w:rPr>
          <w:rFonts w:ascii="Calibri" w:eastAsia="Times New Roman" w:hAnsi="Calibri" w:cs="Calibri"/>
          <w:noProof/>
          <w:color w:val="000000"/>
          <w:sz w:val="24"/>
          <w:szCs w:val="24"/>
        </w:rPr>
        <w:t>DLA Energy, (2013). PQIS 2013 Annual Report, Belvoir, Virginia: Defence Logistics Agency Energy.</w:t>
      </w:r>
    </w:p>
    <w:p>
      <w:pPr>
        <w:spacing w:after="60" w:line="240" w:lineRule="auto"/>
        <w:ind w:left="284" w:hanging="284"/>
        <w:rPr>
          <w:rFonts w:ascii="Calibri" w:eastAsia="Times New Roman" w:hAnsi="Calibri" w:cs="Calibri"/>
          <w:noProof/>
          <w:color w:val="000000"/>
          <w:sz w:val="24"/>
          <w:szCs w:val="24"/>
        </w:rPr>
      </w:pPr>
      <w:r>
        <w:rPr>
          <w:rFonts w:ascii="Calibri" w:eastAsia="Times New Roman" w:hAnsi="Calibri" w:cs="Calibri"/>
          <w:noProof/>
          <w:color w:val="000000"/>
          <w:sz w:val="24"/>
          <w:szCs w:val="24"/>
        </w:rPr>
        <w:t>DLR, (2019). Verifiability of Reporting Aviation's non-CO2 Effects in EU ETS and CORSIA, Bonn: Bundesministerium für Umwelt, Naturschutz und nukleare Sicherheit.EASA (2014) SAMPLE III: Contribution to aircraft engine PM certification requirement and standard Fifth Specific Contract– Final Report.</w:t>
      </w:r>
    </w:p>
    <w:p>
      <w:pPr>
        <w:spacing w:after="60" w:line="240" w:lineRule="auto"/>
        <w:ind w:left="284" w:hanging="284"/>
        <w:rPr>
          <w:rFonts w:ascii="Calibri" w:eastAsia="Times New Roman" w:hAnsi="Calibri" w:cs="Calibri"/>
          <w:noProof/>
          <w:sz w:val="24"/>
          <w:szCs w:val="24"/>
          <w:lang w:val="fr-BE"/>
        </w:rPr>
      </w:pPr>
      <w:r>
        <w:rPr>
          <w:rFonts w:ascii="Calibri" w:eastAsia="Times New Roman" w:hAnsi="Calibri" w:cs="Calibri"/>
          <w:noProof/>
          <w:color w:val="000000"/>
          <w:sz w:val="24"/>
          <w:szCs w:val="24"/>
          <w:lang w:val="fr-BE"/>
        </w:rPr>
        <w:t>EASA (2019) European Aviation Environmental Report.</w:t>
      </w:r>
    </w:p>
    <w:p>
      <w:pPr>
        <w:spacing w:after="60" w:line="240" w:lineRule="auto"/>
        <w:ind w:left="284" w:hanging="284"/>
        <w:rPr>
          <w:rFonts w:ascii="Calibri" w:eastAsia="Times New Roman" w:hAnsi="Calibri" w:cs="Calibri"/>
          <w:noProof/>
          <w:sz w:val="24"/>
          <w:szCs w:val="24"/>
        </w:rPr>
      </w:pPr>
      <w:r>
        <w:rPr>
          <w:rFonts w:ascii="Calibri" w:eastAsia="Times New Roman" w:hAnsi="Calibri" w:cs="Calibri"/>
          <w:noProof/>
          <w:sz w:val="24"/>
          <w:szCs w:val="24"/>
        </w:rPr>
        <w:t xml:space="preserve">EASA, (2020). </w:t>
      </w:r>
      <w:r>
        <w:rPr>
          <w:rFonts w:ascii="Calibri" w:eastAsia="Times New Roman" w:hAnsi="Calibri" w:cs="Calibri"/>
          <w:i/>
          <w:iCs/>
          <w:noProof/>
          <w:sz w:val="24"/>
          <w:szCs w:val="24"/>
        </w:rPr>
        <w:t xml:space="preserve">ICAO Aircraft Engine Emissions Databank. </w:t>
      </w:r>
      <w:hyperlink r:id="rId48" w:history="1">
        <w:r>
          <w:rPr>
            <w:rStyle w:val="Hyperlink"/>
            <w:rFonts w:ascii="Calibri" w:eastAsia="Times New Roman" w:hAnsi="Calibri" w:cs="Calibri"/>
            <w:noProof/>
            <w:sz w:val="24"/>
            <w:szCs w:val="24"/>
          </w:rPr>
          <w:t>www.easa.europa.eu/easa-and-you/environment/icao-aircraft-engine-emissions-databank</w:t>
        </w:r>
      </w:hyperlink>
      <w:r>
        <w:rPr>
          <w:rFonts w:ascii="Calibri" w:eastAsia="Times New Roman" w:hAnsi="Calibri" w:cs="Calibri"/>
          <w:noProof/>
          <w:sz w:val="24"/>
          <w:szCs w:val="24"/>
          <w:u w:val="single"/>
        </w:rPr>
        <w:t xml:space="preserve"> </w:t>
      </w:r>
      <w:r>
        <w:rPr>
          <w:rFonts w:ascii="Calibri" w:eastAsia="Times New Roman" w:hAnsi="Calibri" w:cs="Calibri"/>
          <w:noProof/>
          <w:sz w:val="24"/>
          <w:szCs w:val="24"/>
        </w:rPr>
        <w:t>[Accessed February 2020].</w:t>
      </w:r>
    </w:p>
    <w:p>
      <w:pPr>
        <w:spacing w:after="60" w:line="240" w:lineRule="auto"/>
        <w:ind w:left="284" w:hanging="284"/>
        <w:rPr>
          <w:rFonts w:ascii="Calibri" w:eastAsia="Times New Roman" w:hAnsi="Calibri" w:cs="Calibri"/>
          <w:noProof/>
          <w:sz w:val="24"/>
          <w:szCs w:val="24"/>
        </w:rPr>
      </w:pPr>
      <w:r>
        <w:rPr>
          <w:rFonts w:ascii="Calibri" w:eastAsia="Times New Roman" w:hAnsi="Calibri" w:cs="Calibri"/>
          <w:noProof/>
          <w:sz w:val="24"/>
          <w:szCs w:val="24"/>
        </w:rPr>
        <w:t xml:space="preserve">EASA, (2020). </w:t>
      </w:r>
      <w:r>
        <w:rPr>
          <w:rFonts w:ascii="Calibri" w:eastAsia="Times New Roman" w:hAnsi="Calibri" w:cs="Calibri"/>
          <w:i/>
          <w:iCs/>
          <w:noProof/>
          <w:sz w:val="24"/>
          <w:szCs w:val="24"/>
        </w:rPr>
        <w:t xml:space="preserve">Sustainable Aviation Fuels. </w:t>
      </w:r>
      <w:hyperlink r:id="rId49" w:history="1">
        <w:r>
          <w:rPr>
            <w:rStyle w:val="Hyperlink"/>
            <w:rFonts w:ascii="Calibri" w:eastAsia="Times New Roman" w:hAnsi="Calibri" w:cs="Calibri"/>
            <w:noProof/>
            <w:sz w:val="24"/>
            <w:szCs w:val="24"/>
          </w:rPr>
          <w:t>www.easa.europa.eu/eaer/climate-change/sustainable-aviation-fuels</w:t>
        </w:r>
      </w:hyperlink>
      <w:r>
        <w:rPr>
          <w:rFonts w:ascii="Calibri" w:eastAsia="Times New Roman" w:hAnsi="Calibri" w:cs="Calibri"/>
          <w:noProof/>
          <w:sz w:val="24"/>
          <w:szCs w:val="24"/>
        </w:rPr>
        <w:t xml:space="preserve"> [Accessed February 2020].</w:t>
      </w:r>
    </w:p>
    <w:p>
      <w:pPr>
        <w:spacing w:after="60" w:line="240" w:lineRule="auto"/>
        <w:ind w:left="284" w:hanging="284"/>
        <w:rPr>
          <w:rFonts w:ascii="Calibri" w:eastAsia="Times New Roman" w:hAnsi="Calibri" w:cs="Calibri"/>
          <w:noProof/>
          <w:sz w:val="24"/>
          <w:szCs w:val="24"/>
        </w:rPr>
      </w:pPr>
      <w:r>
        <w:rPr>
          <w:rFonts w:ascii="Calibri" w:eastAsia="Times New Roman" w:hAnsi="Calibri" w:cs="Calibri"/>
          <w:noProof/>
          <w:sz w:val="24"/>
          <w:szCs w:val="24"/>
        </w:rPr>
        <w:t xml:space="preserve">Edwards, T., (2017). </w:t>
      </w:r>
      <w:r>
        <w:rPr>
          <w:rFonts w:ascii="Calibri" w:eastAsia="Times New Roman" w:hAnsi="Calibri" w:cs="Calibri"/>
          <w:i/>
          <w:iCs/>
          <w:noProof/>
          <w:sz w:val="24"/>
          <w:szCs w:val="24"/>
        </w:rPr>
        <w:t xml:space="preserve">Reference Jet Fuels for Combustion Testing, </w:t>
      </w:r>
      <w:r>
        <w:rPr>
          <w:rFonts w:ascii="Calibri" w:eastAsia="Times New Roman" w:hAnsi="Calibri" w:cs="Calibri"/>
          <w:noProof/>
          <w:sz w:val="24"/>
          <w:szCs w:val="24"/>
        </w:rPr>
        <w:t>Reston, Virginia: American Institute of Aeronautics and Astronautics.</w:t>
      </w:r>
    </w:p>
    <w:p>
      <w:pPr>
        <w:spacing w:after="60" w:line="240" w:lineRule="auto"/>
        <w:ind w:left="284" w:hanging="284"/>
        <w:rPr>
          <w:rFonts w:ascii="Calibri" w:eastAsia="Times New Roman" w:hAnsi="Calibri" w:cs="Calibri"/>
          <w:noProof/>
          <w:sz w:val="24"/>
          <w:szCs w:val="24"/>
        </w:rPr>
      </w:pPr>
      <w:r>
        <w:rPr>
          <w:rFonts w:ascii="Calibri" w:eastAsia="Times New Roman" w:hAnsi="Calibri" w:cs="Calibri"/>
          <w:noProof/>
          <w:sz w:val="24"/>
          <w:szCs w:val="24"/>
        </w:rPr>
        <w:t xml:space="preserve">EEA, (2019). </w:t>
      </w:r>
      <w:r>
        <w:rPr>
          <w:rFonts w:ascii="Calibri" w:eastAsia="Times New Roman" w:hAnsi="Calibri" w:cs="Calibri"/>
          <w:i/>
          <w:iCs/>
          <w:noProof/>
          <w:sz w:val="24"/>
          <w:szCs w:val="24"/>
        </w:rPr>
        <w:t xml:space="preserve">The EU Emission Trading System in 2019: Trends and projections, </w:t>
      </w:r>
      <w:r>
        <w:rPr>
          <w:rFonts w:ascii="Calibri" w:eastAsia="Times New Roman" w:hAnsi="Calibri" w:cs="Calibri"/>
          <w:noProof/>
          <w:sz w:val="24"/>
          <w:szCs w:val="24"/>
        </w:rPr>
        <w:t>Copenhagen: European Environment Agency.</w:t>
      </w:r>
    </w:p>
    <w:p>
      <w:pPr>
        <w:spacing w:after="60" w:line="240" w:lineRule="auto"/>
        <w:ind w:left="284" w:hanging="284"/>
        <w:rPr>
          <w:rFonts w:ascii="Calibri" w:eastAsia="Times New Roman" w:hAnsi="Calibri" w:cs="Calibri"/>
          <w:noProof/>
          <w:sz w:val="24"/>
          <w:szCs w:val="24"/>
        </w:rPr>
      </w:pPr>
      <w:r>
        <w:rPr>
          <w:rFonts w:ascii="Calibri" w:eastAsia="Times New Roman" w:hAnsi="Calibri" w:cs="Calibri"/>
          <w:noProof/>
          <w:sz w:val="24"/>
          <w:szCs w:val="24"/>
        </w:rPr>
        <w:t xml:space="preserve">European Commission, (2000). </w:t>
      </w:r>
      <w:r>
        <w:rPr>
          <w:rFonts w:ascii="Calibri" w:eastAsia="Times New Roman" w:hAnsi="Calibri" w:cs="Calibri"/>
          <w:i/>
          <w:noProof/>
          <w:sz w:val="24"/>
          <w:szCs w:val="24"/>
        </w:rPr>
        <w:t>Communication (COM(2000) 1final) on the precautionary principle</w:t>
      </w:r>
      <w:r>
        <w:rPr>
          <w:rFonts w:ascii="Calibri" w:eastAsia="Times New Roman" w:hAnsi="Calibri" w:cs="Calibri"/>
          <w:noProof/>
          <w:sz w:val="24"/>
          <w:szCs w:val="24"/>
        </w:rPr>
        <w:t xml:space="preserve">, Brussels: European Commission.  </w:t>
      </w:r>
    </w:p>
    <w:p>
      <w:pPr>
        <w:spacing w:after="60" w:line="240" w:lineRule="auto"/>
        <w:ind w:left="284" w:hanging="284"/>
        <w:rPr>
          <w:rFonts w:ascii="Calibri" w:eastAsia="Times New Roman" w:hAnsi="Calibri" w:cs="Calibri"/>
          <w:noProof/>
          <w:sz w:val="24"/>
          <w:szCs w:val="24"/>
        </w:rPr>
      </w:pPr>
      <w:r>
        <w:rPr>
          <w:rFonts w:ascii="Calibri" w:eastAsia="Times New Roman" w:hAnsi="Calibri" w:cs="Calibri"/>
          <w:noProof/>
          <w:sz w:val="24"/>
          <w:szCs w:val="24"/>
        </w:rPr>
        <w:t xml:space="preserve">European Parliament, (2009). </w:t>
      </w:r>
      <w:r>
        <w:rPr>
          <w:rFonts w:ascii="Calibri" w:eastAsia="Times New Roman" w:hAnsi="Calibri" w:cs="Calibri"/>
          <w:i/>
          <w:iCs/>
          <w:noProof/>
          <w:sz w:val="24"/>
          <w:szCs w:val="24"/>
        </w:rPr>
        <w:t xml:space="preserve">Directive 2009/12/EC of the European Parliament and of the Council of 11 March 2009 on airport charges, </w:t>
      </w:r>
      <w:r>
        <w:rPr>
          <w:rFonts w:ascii="Calibri" w:eastAsia="Times New Roman" w:hAnsi="Calibri" w:cs="Calibri"/>
          <w:noProof/>
          <w:sz w:val="24"/>
          <w:szCs w:val="24"/>
        </w:rPr>
        <w:t>Strasbourg: European Parliament .</w:t>
      </w:r>
    </w:p>
    <w:p>
      <w:pPr>
        <w:spacing w:after="60" w:line="240" w:lineRule="auto"/>
        <w:ind w:left="284" w:hanging="284"/>
        <w:rPr>
          <w:rFonts w:ascii="Calibri" w:eastAsia="Times New Roman" w:hAnsi="Calibri" w:cs="Calibri"/>
          <w:noProof/>
          <w:sz w:val="24"/>
          <w:szCs w:val="24"/>
        </w:rPr>
      </w:pPr>
      <w:r>
        <w:rPr>
          <w:rFonts w:ascii="Calibri" w:eastAsia="Times New Roman" w:hAnsi="Calibri" w:cs="Calibri"/>
          <w:noProof/>
          <w:sz w:val="24"/>
          <w:szCs w:val="24"/>
        </w:rPr>
        <w:t xml:space="preserve">European Parliament, (2018). </w:t>
      </w:r>
      <w:r>
        <w:rPr>
          <w:rFonts w:ascii="Calibri" w:eastAsia="Times New Roman" w:hAnsi="Calibri" w:cs="Calibri"/>
          <w:i/>
          <w:noProof/>
          <w:sz w:val="24"/>
          <w:szCs w:val="24"/>
        </w:rPr>
        <w:t>Regulation (EU) 2018/1139 of the European Parliament and of the Council on common rules in the field of civil aviation and establishing a European Union Aviation Safety Agency,</w:t>
      </w:r>
      <w:r>
        <w:rPr>
          <w:rFonts w:ascii="Calibri" w:eastAsia="Times New Roman" w:hAnsi="Calibri" w:cs="Calibri"/>
          <w:noProof/>
          <w:sz w:val="24"/>
          <w:szCs w:val="24"/>
        </w:rPr>
        <w:t xml:space="preserve"> Strasbourg: European Parliament.European Commission, (2020). </w:t>
      </w:r>
      <w:r>
        <w:rPr>
          <w:rFonts w:ascii="Calibri" w:eastAsia="Times New Roman" w:hAnsi="Calibri" w:cs="Calibri"/>
          <w:i/>
          <w:iCs/>
          <w:noProof/>
          <w:sz w:val="24"/>
          <w:szCs w:val="24"/>
        </w:rPr>
        <w:t xml:space="preserve">Reducing emissions from aviation. </w:t>
      </w:r>
      <w:hyperlink r:id="rId50" w:history="1">
        <w:r>
          <w:rPr>
            <w:rStyle w:val="Hyperlink"/>
            <w:rFonts w:ascii="Calibri" w:eastAsia="Times New Roman" w:hAnsi="Calibri" w:cs="Calibri"/>
            <w:noProof/>
            <w:sz w:val="24"/>
            <w:szCs w:val="24"/>
          </w:rPr>
          <w:t>www.ec.europa.eu/clima/policies/transport/aviation_en</w:t>
        </w:r>
      </w:hyperlink>
      <w:r>
        <w:rPr>
          <w:rFonts w:ascii="Calibri" w:eastAsia="Times New Roman" w:hAnsi="Calibri" w:cs="Calibri"/>
          <w:noProof/>
          <w:sz w:val="24"/>
          <w:szCs w:val="24"/>
        </w:rPr>
        <w:t xml:space="preserve"> [Accessed February 2020].</w:t>
      </w:r>
    </w:p>
    <w:p>
      <w:pPr>
        <w:spacing w:after="60" w:line="240" w:lineRule="auto"/>
        <w:ind w:left="284" w:hanging="284"/>
        <w:rPr>
          <w:rFonts w:ascii="Calibri" w:eastAsia="Times New Roman" w:hAnsi="Calibri" w:cs="Calibri"/>
          <w:noProof/>
          <w:sz w:val="24"/>
          <w:szCs w:val="24"/>
        </w:rPr>
      </w:pPr>
      <w:r>
        <w:rPr>
          <w:rFonts w:ascii="Calibri" w:eastAsia="Times New Roman" w:hAnsi="Calibri" w:cs="Calibri"/>
          <w:noProof/>
          <w:sz w:val="24"/>
          <w:szCs w:val="24"/>
        </w:rPr>
        <w:t xml:space="preserve">ExternE. (2005). </w:t>
      </w:r>
      <w:r>
        <w:rPr>
          <w:rFonts w:ascii="Calibri" w:eastAsia="Times New Roman" w:hAnsi="Calibri" w:cs="Calibri"/>
          <w:i/>
          <w:iCs/>
          <w:noProof/>
          <w:sz w:val="24"/>
          <w:szCs w:val="24"/>
        </w:rPr>
        <w:t>Externalities of Energy, Methodology 2005 update.</w:t>
      </w:r>
      <w:r>
        <w:rPr>
          <w:rFonts w:ascii="Calibri" w:eastAsia="Times New Roman" w:hAnsi="Calibri" w:cs="Calibri"/>
          <w:noProof/>
          <w:sz w:val="24"/>
          <w:szCs w:val="24"/>
        </w:rPr>
        <w:t xml:space="preserve"> Luxembourg: European Commission.</w:t>
      </w:r>
    </w:p>
    <w:p>
      <w:pPr>
        <w:spacing w:after="60" w:line="240" w:lineRule="auto"/>
        <w:ind w:left="284" w:hanging="284"/>
        <w:rPr>
          <w:rFonts w:ascii="Calibri" w:eastAsia="Times New Roman" w:hAnsi="Calibri" w:cs="Calibri"/>
          <w:noProof/>
          <w:color w:val="000000"/>
          <w:sz w:val="24"/>
          <w:szCs w:val="24"/>
          <w:lang w:val="en-US"/>
        </w:rPr>
      </w:pPr>
      <w:r>
        <w:rPr>
          <w:rFonts w:ascii="Calibri" w:eastAsia="Times New Roman" w:hAnsi="Calibri" w:cs="Calibri"/>
          <w:noProof/>
          <w:sz w:val="24"/>
          <w:szCs w:val="24"/>
          <w:lang w:val="en-US"/>
        </w:rPr>
        <w:t xml:space="preserve">Fahey D. and Lee D. S. (2016) Aviation and climate change: a scientific perspective. </w:t>
      </w:r>
      <w:r>
        <w:rPr>
          <w:rFonts w:ascii="Calibri" w:eastAsia="Times New Roman" w:hAnsi="Calibri" w:cs="Calibri"/>
          <w:i/>
          <w:noProof/>
          <w:color w:val="000000"/>
          <w:sz w:val="24"/>
          <w:szCs w:val="24"/>
          <w:lang w:val="en-US"/>
        </w:rPr>
        <w:t xml:space="preserve">Carbon and Climate Law Review (CCLR) </w:t>
      </w:r>
      <w:r>
        <w:rPr>
          <w:rFonts w:ascii="Calibri" w:eastAsia="Times New Roman" w:hAnsi="Calibri" w:cs="Calibri"/>
          <w:noProof/>
          <w:color w:val="000000"/>
          <w:sz w:val="24"/>
          <w:szCs w:val="24"/>
          <w:lang w:val="en-US"/>
        </w:rPr>
        <w:t>10,</w:t>
      </w:r>
      <w:r>
        <w:rPr>
          <w:rFonts w:ascii="Calibri" w:eastAsia="Times New Roman" w:hAnsi="Calibri" w:cs="Calibri"/>
          <w:i/>
          <w:noProof/>
          <w:color w:val="000000"/>
          <w:sz w:val="24"/>
          <w:szCs w:val="24"/>
          <w:lang w:val="en-US"/>
        </w:rPr>
        <w:t xml:space="preserve"> </w:t>
      </w:r>
      <w:r>
        <w:rPr>
          <w:rFonts w:ascii="Calibri" w:eastAsia="Times New Roman" w:hAnsi="Calibri" w:cs="Calibri"/>
          <w:noProof/>
          <w:color w:val="000000"/>
          <w:sz w:val="24"/>
          <w:szCs w:val="24"/>
          <w:lang w:val="en-US"/>
        </w:rPr>
        <w:t xml:space="preserve">97–104. </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Forster, P. M. d. F. and Shine, K. P. (1997) Radiative forcing and temperature trends from stratospheric ozone changes. </w:t>
      </w:r>
      <w:r>
        <w:rPr>
          <w:rFonts w:ascii="Calibri" w:eastAsia="Times New Roman" w:hAnsi="Calibri" w:cs="Calibri"/>
          <w:i/>
          <w:noProof/>
          <w:spacing w:val="-8"/>
          <w:sz w:val="24"/>
          <w:szCs w:val="24"/>
        </w:rPr>
        <w:t>J. Geophys. Res.</w:t>
      </w:r>
      <w:r>
        <w:rPr>
          <w:rFonts w:ascii="Calibri" w:eastAsia="Times New Roman" w:hAnsi="Calibri" w:cs="Calibri"/>
          <w:noProof/>
          <w:spacing w:val="-8"/>
          <w:sz w:val="24"/>
          <w:szCs w:val="24"/>
        </w:rPr>
        <w:t xml:space="preserve"> </w:t>
      </w:r>
      <w:r>
        <w:rPr>
          <w:rFonts w:ascii="Calibri" w:eastAsia="Times New Roman" w:hAnsi="Calibri" w:cs="Calibri"/>
          <w:b/>
          <w:noProof/>
          <w:spacing w:val="-8"/>
          <w:sz w:val="24"/>
          <w:szCs w:val="24"/>
        </w:rPr>
        <w:t>102</w:t>
      </w:r>
      <w:r>
        <w:rPr>
          <w:rFonts w:ascii="Calibri" w:eastAsia="Times New Roman" w:hAnsi="Calibri" w:cs="Calibri"/>
          <w:noProof/>
          <w:spacing w:val="-8"/>
          <w:sz w:val="24"/>
          <w:szCs w:val="24"/>
        </w:rPr>
        <w:t xml:space="preserve"> (D9), 10841–10855. </w:t>
      </w:r>
    </w:p>
    <w:p>
      <w:pPr>
        <w:overflowPunct w:val="0"/>
        <w:autoSpaceDE w:val="0"/>
        <w:autoSpaceDN w:val="0"/>
        <w:adjustRightInd w:val="0"/>
        <w:spacing w:after="60" w:line="240" w:lineRule="auto"/>
        <w:ind w:left="284" w:hanging="284"/>
        <w:textAlignment w:val="baseline"/>
        <w:rPr>
          <w:rFonts w:ascii="Calibri" w:eastAsia="Times New Roman" w:hAnsi="Calibri" w:cs="Calibri"/>
          <w:noProof/>
          <w:sz w:val="24"/>
          <w:szCs w:val="24"/>
        </w:rPr>
      </w:pPr>
      <w:r>
        <w:rPr>
          <w:rFonts w:ascii="Calibri" w:eastAsia="Times New Roman" w:hAnsi="Calibri" w:cs="Calibri"/>
          <w:noProof/>
          <w:sz w:val="24"/>
          <w:szCs w:val="24"/>
        </w:rPr>
        <w:t>Forster, P., Ramaswamy, V., Artaxo, P., Berntsen, T., Betts, R., Fahey, D.W., Haywood, J., Lean, J., Lowe, D.C., Myhre, G., Nganga, J., Prinn, R., Raga, G., Schulz, M., Van Dorland, R. , 2007a. Changes in atmospheric constituents and in radiative forcing. Climate Change 2007: The Physical Science Basis. Contribution of Working Group I to the Fourth Assessment Report of the Intergovernmental Panel on Climate Change (Solomon, S., Qin, D., Manning, M., Chen, Z., Marquis, M., Avery, K.B., Tignor, M., Miller, H.L. (Eds.)), Cambridge University Press, Cambridge, United Kingdom and New York, NY, USA.</w:t>
      </w:r>
    </w:p>
    <w:p>
      <w:pPr>
        <w:spacing w:after="60" w:line="240" w:lineRule="auto"/>
        <w:ind w:left="284" w:hanging="284"/>
        <w:rPr>
          <w:rFonts w:ascii="Calibri" w:eastAsia="Times New Roman" w:hAnsi="Calibri" w:cs="Calibri"/>
          <w:noProof/>
          <w:sz w:val="24"/>
          <w:szCs w:val="24"/>
        </w:rPr>
      </w:pPr>
      <w:r>
        <w:rPr>
          <w:rFonts w:ascii="Calibri" w:eastAsia="Times New Roman" w:hAnsi="Calibri" w:cs="Calibri"/>
          <w:noProof/>
          <w:sz w:val="24"/>
          <w:szCs w:val="24"/>
        </w:rPr>
        <w:t>Freeman S., Lee D. S., Lim L. L., Skowron A. and De León R. R. (2018) Trading off aircraft fuel burn and NO</w:t>
      </w:r>
      <w:r>
        <w:rPr>
          <w:rFonts w:ascii="Calibri" w:eastAsia="Times New Roman" w:hAnsi="Calibri" w:cs="Calibri"/>
          <w:noProof/>
          <w:sz w:val="24"/>
          <w:szCs w:val="24"/>
          <w:vertAlign w:val="subscript"/>
        </w:rPr>
        <w:t>x</w:t>
      </w:r>
      <w:r>
        <w:rPr>
          <w:rFonts w:ascii="Calibri" w:eastAsia="Times New Roman" w:hAnsi="Calibri" w:cs="Calibri"/>
          <w:noProof/>
          <w:sz w:val="24"/>
          <w:szCs w:val="24"/>
        </w:rPr>
        <w:t xml:space="preserve"> emissions for optimal climate policy. </w:t>
      </w:r>
      <w:r>
        <w:rPr>
          <w:rFonts w:ascii="Calibri" w:eastAsia="Times New Roman" w:hAnsi="Calibri" w:cs="Calibri"/>
          <w:i/>
          <w:noProof/>
          <w:sz w:val="24"/>
          <w:szCs w:val="24"/>
        </w:rPr>
        <w:t>Environ. Sci. Technol.</w:t>
      </w:r>
      <w:r>
        <w:rPr>
          <w:rFonts w:ascii="Calibri" w:eastAsia="Times New Roman" w:hAnsi="Calibri" w:cs="Calibri"/>
          <w:noProof/>
          <w:sz w:val="24"/>
          <w:szCs w:val="24"/>
        </w:rPr>
        <w:t xml:space="preserve"> </w:t>
      </w:r>
      <w:r>
        <w:rPr>
          <w:rFonts w:ascii="Calibri" w:eastAsia="Times New Roman" w:hAnsi="Calibri" w:cs="Calibri"/>
          <w:bCs/>
          <w:noProof/>
          <w:sz w:val="24"/>
          <w:szCs w:val="24"/>
        </w:rPr>
        <w:t xml:space="preserve">DOI: </w:t>
      </w:r>
      <w:r>
        <w:rPr>
          <w:rFonts w:ascii="Calibri" w:eastAsia="Times New Roman" w:hAnsi="Calibri" w:cs="Calibri"/>
          <w:noProof/>
          <w:color w:val="000000"/>
          <w:sz w:val="24"/>
          <w:szCs w:val="24"/>
          <w:u w:val="single"/>
        </w:rPr>
        <w:t>10.1021/acs.est.7b05719.</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Frömming C., Ponater M., Dahlmann K., Grewe V., Lee D. S. and Sausen R. (2012) Aviation-induced radiative forcing and surface temperature change in dependency of the emission altitude. </w:t>
      </w:r>
      <w:r>
        <w:rPr>
          <w:rFonts w:ascii="Calibri" w:eastAsia="Times New Roman" w:hAnsi="Calibri" w:cs="Calibri"/>
          <w:i/>
          <w:noProof/>
          <w:spacing w:val="-8"/>
          <w:sz w:val="24"/>
          <w:szCs w:val="24"/>
        </w:rPr>
        <w:t>J. Geophys. Res.</w:t>
      </w:r>
      <w:r>
        <w:rPr>
          <w:rFonts w:ascii="Calibri" w:eastAsia="Times New Roman" w:hAnsi="Calibri" w:cs="Calibri"/>
          <w:noProof/>
          <w:spacing w:val="-8"/>
          <w:sz w:val="24"/>
          <w:szCs w:val="24"/>
        </w:rPr>
        <w:t xml:space="preserve"> </w:t>
      </w:r>
      <w:r>
        <w:rPr>
          <w:rFonts w:ascii="Calibri" w:eastAsia="Times New Roman" w:hAnsi="Calibri" w:cs="Calibri"/>
          <w:b/>
          <w:noProof/>
          <w:spacing w:val="-8"/>
          <w:sz w:val="24"/>
          <w:szCs w:val="24"/>
        </w:rPr>
        <w:t>117</w:t>
      </w:r>
      <w:r>
        <w:rPr>
          <w:rFonts w:ascii="Calibri" w:eastAsia="Times New Roman" w:hAnsi="Calibri" w:cs="Calibri"/>
          <w:noProof/>
          <w:spacing w:val="-8"/>
          <w:sz w:val="24"/>
          <w:szCs w:val="24"/>
        </w:rPr>
        <w:t xml:space="preserve">, </w:t>
      </w:r>
      <w:r>
        <w:rPr>
          <w:rFonts w:ascii="Calibri" w:eastAsia="Times New Roman" w:hAnsi="Calibri" w:cs="Calibri"/>
          <w:iCs/>
          <w:noProof/>
          <w:spacing w:val="-8"/>
          <w:sz w:val="24"/>
          <w:szCs w:val="24"/>
        </w:rPr>
        <w:t>9717–973</w:t>
      </w:r>
      <w:r>
        <w:rPr>
          <w:rFonts w:ascii="Calibri" w:eastAsia="Times New Roman" w:hAnsi="Calibri" w:cs="Calibri"/>
          <w:noProof/>
          <w:spacing w:val="-8"/>
          <w:sz w:val="24"/>
          <w:szCs w:val="24"/>
        </w:rPr>
        <w:t>6.</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Frontier Economics, (2018). </w:t>
      </w:r>
      <w:r>
        <w:rPr>
          <w:rFonts w:ascii="Calibri" w:eastAsia="Times New Roman" w:hAnsi="Calibri" w:cs="Calibri"/>
          <w:i/>
          <w:iCs/>
          <w:noProof/>
          <w:spacing w:val="-8"/>
          <w:sz w:val="24"/>
          <w:szCs w:val="24"/>
        </w:rPr>
        <w:t xml:space="preserve">Aviation and carbon markets, </w:t>
      </w:r>
      <w:r>
        <w:rPr>
          <w:rFonts w:ascii="Calibri" w:eastAsia="Times New Roman" w:hAnsi="Calibri" w:cs="Calibri"/>
          <w:noProof/>
          <w:spacing w:val="-8"/>
          <w:sz w:val="24"/>
          <w:szCs w:val="24"/>
        </w:rPr>
        <w:t>London: Frontier Economics.</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Fuglestvedt, J. S., Berntsen, T.K., Godal, O., Sausen, R, Shine, K.P. and Skodvin, T. (2003), Metrics of Climate Change: assessing radiative forcing and emission indices, Climatic Change, </w:t>
      </w:r>
      <w:r>
        <w:rPr>
          <w:rFonts w:ascii="Calibri" w:eastAsia="Times New Roman" w:hAnsi="Calibri" w:cs="Calibri"/>
          <w:b/>
          <w:noProof/>
          <w:spacing w:val="-8"/>
          <w:sz w:val="24"/>
          <w:szCs w:val="24"/>
        </w:rPr>
        <w:t>58</w:t>
      </w:r>
      <w:r>
        <w:rPr>
          <w:rFonts w:ascii="Calibri" w:eastAsia="Times New Roman" w:hAnsi="Calibri" w:cs="Calibri"/>
          <w:noProof/>
          <w:spacing w:val="-8"/>
          <w:sz w:val="24"/>
          <w:szCs w:val="24"/>
        </w:rPr>
        <w:t>, 267-331.</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Fuglestvedt, J. S., Shine, K. P., Cook, J., Berntsen, T., Lee, D. S., Stenke, A., Skeie, R. B., Velders, G. J. M. and Waitz, I. A. (2010) Transport impacts on atmosphere and climate: Metrics. </w:t>
      </w:r>
      <w:r>
        <w:rPr>
          <w:rFonts w:ascii="Calibri" w:eastAsia="Times New Roman" w:hAnsi="Calibri" w:cs="Calibri"/>
          <w:i/>
          <w:noProof/>
          <w:spacing w:val="-8"/>
          <w:sz w:val="24"/>
          <w:szCs w:val="24"/>
        </w:rPr>
        <w:t>Atmos. Environ.</w:t>
      </w:r>
      <w:r>
        <w:rPr>
          <w:rFonts w:ascii="Calibri" w:eastAsia="Times New Roman" w:hAnsi="Calibri" w:cs="Calibri"/>
          <w:noProof/>
          <w:spacing w:val="-8"/>
          <w:sz w:val="24"/>
          <w:szCs w:val="24"/>
        </w:rPr>
        <w:t xml:space="preserve"> </w:t>
      </w:r>
      <w:r>
        <w:rPr>
          <w:rFonts w:ascii="Calibri" w:eastAsia="Times New Roman" w:hAnsi="Calibri" w:cs="Calibri"/>
          <w:b/>
          <w:noProof/>
          <w:spacing w:val="-8"/>
          <w:sz w:val="24"/>
          <w:szCs w:val="24"/>
        </w:rPr>
        <w:t>44</w:t>
      </w:r>
      <w:r>
        <w:rPr>
          <w:rFonts w:ascii="Calibri" w:eastAsia="Times New Roman" w:hAnsi="Calibri" w:cs="Calibri"/>
          <w:noProof/>
          <w:spacing w:val="-8"/>
          <w:sz w:val="24"/>
          <w:szCs w:val="24"/>
        </w:rPr>
        <w:t xml:space="preserve">, 4648–4677. </w:t>
      </w:r>
    </w:p>
    <w:p>
      <w:pPr>
        <w:spacing w:after="60" w:line="240" w:lineRule="auto"/>
        <w:ind w:left="284" w:hanging="284"/>
        <w:rPr>
          <w:rFonts w:ascii="Calibri" w:eastAsia="Calibri" w:hAnsi="Calibri" w:cs="Calibri"/>
          <w:noProof/>
          <w:sz w:val="24"/>
          <w:szCs w:val="24"/>
        </w:rPr>
      </w:pPr>
      <w:r>
        <w:rPr>
          <w:rFonts w:ascii="Calibri" w:eastAsia="Calibri" w:hAnsi="Calibri" w:cs="Calibri"/>
          <w:noProof/>
          <w:sz w:val="24"/>
          <w:szCs w:val="24"/>
        </w:rPr>
        <w:t xml:space="preserve">Fuglestvedt J.S., Berntsen T.K., Isaksen I.S.A., Mao H.T. and Liang X.Z. (1999) Climatic forcing of nitrogen oxides through changes in tropospheric ozone and methane; global 3D model studies. </w:t>
      </w:r>
      <w:r>
        <w:rPr>
          <w:rFonts w:ascii="Calibri" w:eastAsia="Calibri" w:hAnsi="Calibri" w:cs="Calibri"/>
          <w:i/>
          <w:noProof/>
          <w:sz w:val="24"/>
          <w:szCs w:val="24"/>
        </w:rPr>
        <w:t>Atmos. Environ.</w:t>
      </w:r>
      <w:r>
        <w:rPr>
          <w:rFonts w:ascii="Calibri" w:eastAsia="Calibri" w:hAnsi="Calibri" w:cs="Calibri"/>
          <w:noProof/>
          <w:sz w:val="24"/>
          <w:szCs w:val="24"/>
        </w:rPr>
        <w:t xml:space="preserve"> </w:t>
      </w:r>
      <w:r>
        <w:rPr>
          <w:rFonts w:ascii="Calibri" w:eastAsia="Calibri" w:hAnsi="Calibri" w:cs="Calibri"/>
          <w:b/>
          <w:noProof/>
          <w:sz w:val="24"/>
          <w:szCs w:val="24"/>
        </w:rPr>
        <w:t>33</w:t>
      </w:r>
      <w:r>
        <w:rPr>
          <w:rFonts w:ascii="Calibri" w:eastAsia="Calibri" w:hAnsi="Calibri" w:cs="Calibri"/>
          <w:noProof/>
          <w:sz w:val="24"/>
          <w:szCs w:val="24"/>
        </w:rPr>
        <w:t>, 961-977.</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Gettelman A. and Chen C. (2013) The climate impact of aviation aerosols. </w:t>
      </w:r>
      <w:r>
        <w:rPr>
          <w:rFonts w:ascii="Calibri" w:eastAsia="Times New Roman" w:hAnsi="Calibri" w:cs="Calibri"/>
          <w:i/>
          <w:noProof/>
          <w:spacing w:val="-8"/>
          <w:sz w:val="24"/>
          <w:szCs w:val="24"/>
        </w:rPr>
        <w:t>G</w:t>
      </w:r>
      <w:r>
        <w:rPr>
          <w:rFonts w:ascii="Calibri" w:eastAsia="Times New Roman" w:hAnsi="Calibri" w:cs="Calibri"/>
          <w:i/>
          <w:iCs/>
          <w:noProof/>
          <w:spacing w:val="-8"/>
          <w:sz w:val="24"/>
          <w:szCs w:val="24"/>
        </w:rPr>
        <w:t>eophys. Res. Lett.</w:t>
      </w:r>
      <w:r>
        <w:rPr>
          <w:rFonts w:ascii="Calibri" w:eastAsia="Times New Roman" w:hAnsi="Calibri" w:cs="Calibri"/>
          <w:noProof/>
          <w:spacing w:val="-8"/>
          <w:sz w:val="24"/>
          <w:szCs w:val="24"/>
        </w:rPr>
        <w:t xml:space="preserve"> </w:t>
      </w:r>
      <w:r>
        <w:rPr>
          <w:rFonts w:ascii="Calibri" w:eastAsia="Times New Roman" w:hAnsi="Calibri" w:cs="Calibri"/>
          <w:b/>
          <w:iCs/>
          <w:noProof/>
          <w:spacing w:val="-8"/>
          <w:sz w:val="24"/>
          <w:szCs w:val="24"/>
        </w:rPr>
        <w:t>40</w:t>
      </w:r>
      <w:r>
        <w:rPr>
          <w:rFonts w:ascii="Calibri" w:eastAsia="Times New Roman" w:hAnsi="Calibri" w:cs="Calibri"/>
          <w:noProof/>
          <w:spacing w:val="-8"/>
          <w:sz w:val="24"/>
          <w:szCs w:val="24"/>
        </w:rPr>
        <w:t xml:space="preserve">, 2785–2789. </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Gettelman A., Fetzer E. J., Eldering A., and Irion F. W. (2006) </w:t>
      </w:r>
      <w:r>
        <w:rPr>
          <w:rFonts w:ascii="Calibri" w:eastAsia="Times New Roman" w:hAnsi="Calibri" w:cs="Calibri"/>
          <w:noProof/>
          <w:spacing w:val="-8"/>
          <w:sz w:val="24"/>
          <w:szCs w:val="24"/>
          <w:lang w:val="en-US"/>
        </w:rPr>
        <w:t xml:space="preserve">The global distribution of supersaturation in the upper troposphere from the atmospheric infrared sounder. </w:t>
      </w:r>
      <w:r>
        <w:rPr>
          <w:rFonts w:ascii="Calibri" w:eastAsia="Times New Roman" w:hAnsi="Calibri" w:cs="Calibri"/>
          <w:i/>
          <w:noProof/>
          <w:spacing w:val="-8"/>
          <w:sz w:val="24"/>
          <w:szCs w:val="24"/>
          <w:lang w:val="en-US"/>
        </w:rPr>
        <w:t>J. Clim.</w:t>
      </w:r>
      <w:r>
        <w:rPr>
          <w:rFonts w:ascii="Calibri" w:eastAsia="Times New Roman" w:hAnsi="Calibri" w:cs="Calibri"/>
          <w:noProof/>
          <w:spacing w:val="-8"/>
          <w:sz w:val="24"/>
          <w:szCs w:val="24"/>
          <w:lang w:val="en-US"/>
        </w:rPr>
        <w:t xml:space="preserve"> </w:t>
      </w:r>
      <w:r>
        <w:rPr>
          <w:rFonts w:ascii="Calibri" w:eastAsia="Times New Roman" w:hAnsi="Calibri" w:cs="Calibri"/>
          <w:b/>
          <w:noProof/>
          <w:spacing w:val="-8"/>
          <w:sz w:val="24"/>
          <w:szCs w:val="24"/>
          <w:lang w:val="en-US"/>
        </w:rPr>
        <w:t>19</w:t>
      </w:r>
      <w:r>
        <w:rPr>
          <w:rFonts w:ascii="Calibri" w:eastAsia="Times New Roman" w:hAnsi="Calibri" w:cs="Calibri"/>
          <w:noProof/>
          <w:spacing w:val="-8"/>
          <w:sz w:val="24"/>
          <w:szCs w:val="24"/>
          <w:lang w:val="en-US"/>
        </w:rPr>
        <w:t xml:space="preserve">, 6089 – 6103. </w:t>
      </w:r>
    </w:p>
    <w:p>
      <w:pPr>
        <w:spacing w:after="60" w:line="240" w:lineRule="auto"/>
        <w:ind w:left="284" w:hanging="284"/>
        <w:rPr>
          <w:rFonts w:ascii="Calibri" w:eastAsia="Times New Roman" w:hAnsi="Calibri" w:cs="Calibri"/>
          <w:noProof/>
          <w:spacing w:val="-8"/>
          <w:sz w:val="24"/>
          <w:szCs w:val="24"/>
          <w:lang w:val="en-US"/>
        </w:rPr>
      </w:pPr>
      <w:r>
        <w:rPr>
          <w:rFonts w:ascii="Calibri" w:eastAsia="Times New Roman" w:hAnsi="Calibri" w:cs="Calibri"/>
          <w:noProof/>
          <w:spacing w:val="-8"/>
          <w:sz w:val="24"/>
          <w:szCs w:val="24"/>
          <w:lang w:val="en-US"/>
        </w:rPr>
        <w:t xml:space="preserve">Gierens K., Sausen R. and Schumann U. (1999) A diagnostic study of the global distribution of contrails part II. Future air traffic scenarios. </w:t>
      </w:r>
      <w:r>
        <w:rPr>
          <w:rFonts w:ascii="Calibri" w:eastAsia="Times New Roman" w:hAnsi="Calibri" w:cs="Calibri"/>
          <w:i/>
          <w:noProof/>
          <w:spacing w:val="-8"/>
          <w:sz w:val="24"/>
          <w:szCs w:val="24"/>
          <w:lang w:val="en-US"/>
        </w:rPr>
        <w:t>Theor. Appl. Climatol.</w:t>
      </w:r>
      <w:r>
        <w:rPr>
          <w:rFonts w:ascii="Calibri" w:eastAsia="Times New Roman" w:hAnsi="Calibri" w:cs="Calibri"/>
          <w:noProof/>
          <w:spacing w:val="-8"/>
          <w:sz w:val="24"/>
          <w:szCs w:val="24"/>
          <w:lang w:val="en-US"/>
        </w:rPr>
        <w:t xml:space="preserve"> </w:t>
      </w:r>
      <w:r>
        <w:rPr>
          <w:rFonts w:ascii="Calibri" w:eastAsia="Times New Roman" w:hAnsi="Calibri" w:cs="Calibri"/>
          <w:b/>
          <w:noProof/>
          <w:spacing w:val="-8"/>
          <w:sz w:val="24"/>
          <w:szCs w:val="24"/>
          <w:lang w:val="en-US"/>
        </w:rPr>
        <w:t>63</w:t>
      </w:r>
      <w:r>
        <w:rPr>
          <w:rFonts w:ascii="Calibri" w:eastAsia="Times New Roman" w:hAnsi="Calibri" w:cs="Calibri"/>
          <w:noProof/>
          <w:spacing w:val="-8"/>
          <w:sz w:val="24"/>
          <w:szCs w:val="24"/>
          <w:lang w:val="en-US"/>
        </w:rPr>
        <w:t>, 1–9.</w:t>
      </w:r>
      <w:r>
        <w:rPr>
          <w:rFonts w:ascii="Calibri" w:eastAsia="Times New Roman" w:hAnsi="Calibri" w:cs="Calibri"/>
          <w:noProof/>
          <w:spacing w:val="-8"/>
          <w:sz w:val="24"/>
          <w:szCs w:val="24"/>
        </w:rPr>
        <w:t xml:space="preserve"> </w:t>
      </w:r>
    </w:p>
    <w:p>
      <w:pPr>
        <w:spacing w:after="60" w:line="240" w:lineRule="auto"/>
        <w:ind w:left="284" w:hanging="284"/>
        <w:rPr>
          <w:rFonts w:ascii="Calibri" w:eastAsia="Times New Roman" w:hAnsi="Calibri" w:cs="Calibri"/>
          <w:noProof/>
          <w:spacing w:val="-8"/>
          <w:sz w:val="24"/>
          <w:szCs w:val="24"/>
          <w:lang w:val="en-US"/>
        </w:rPr>
      </w:pPr>
      <w:r>
        <w:rPr>
          <w:rFonts w:ascii="Calibri" w:eastAsia="Times New Roman" w:hAnsi="Calibri" w:cs="Calibri"/>
          <w:noProof/>
          <w:spacing w:val="-8"/>
          <w:sz w:val="24"/>
          <w:szCs w:val="24"/>
        </w:rPr>
        <w:t xml:space="preserve">Gierens K. and Spichtinger P. (2000) </w:t>
      </w:r>
      <w:r>
        <w:rPr>
          <w:rFonts w:ascii="Calibri" w:eastAsia="Times New Roman" w:hAnsi="Calibri" w:cs="Calibri"/>
          <w:noProof/>
          <w:spacing w:val="-8"/>
          <w:sz w:val="24"/>
          <w:szCs w:val="24"/>
          <w:lang w:val="en-US"/>
        </w:rPr>
        <w:t xml:space="preserve">On the size distribution of ice-supersaturated regions in the upper troposphere and lowermost stratosphere. </w:t>
      </w:r>
      <w:r>
        <w:rPr>
          <w:rFonts w:ascii="Calibri" w:eastAsia="Times New Roman" w:hAnsi="Calibri" w:cs="Calibri"/>
          <w:i/>
          <w:noProof/>
          <w:spacing w:val="-8"/>
          <w:sz w:val="24"/>
          <w:szCs w:val="24"/>
          <w:lang w:val="en-US"/>
        </w:rPr>
        <w:t>Ann. Geophysicae</w:t>
      </w:r>
      <w:r>
        <w:rPr>
          <w:rFonts w:ascii="Calibri" w:eastAsia="Times New Roman" w:hAnsi="Calibri" w:cs="Calibri"/>
          <w:noProof/>
          <w:spacing w:val="-8"/>
          <w:sz w:val="24"/>
          <w:szCs w:val="24"/>
          <w:lang w:val="en-US"/>
        </w:rPr>
        <w:t xml:space="preserve"> </w:t>
      </w:r>
      <w:r>
        <w:rPr>
          <w:rFonts w:ascii="Calibri" w:eastAsia="Times New Roman" w:hAnsi="Calibri" w:cs="Calibri"/>
          <w:b/>
          <w:noProof/>
          <w:spacing w:val="-8"/>
          <w:sz w:val="24"/>
          <w:szCs w:val="24"/>
          <w:lang w:val="en-US"/>
        </w:rPr>
        <w:t>18</w:t>
      </w:r>
      <w:r>
        <w:rPr>
          <w:rFonts w:ascii="Calibri" w:eastAsia="Times New Roman" w:hAnsi="Calibri" w:cs="Calibri"/>
          <w:noProof/>
          <w:spacing w:val="-8"/>
          <w:sz w:val="24"/>
          <w:szCs w:val="24"/>
          <w:lang w:val="en-US"/>
        </w:rPr>
        <w:t>, 499 – 504.</w:t>
      </w:r>
    </w:p>
    <w:p>
      <w:pPr>
        <w:spacing w:after="60" w:line="240" w:lineRule="auto"/>
        <w:ind w:left="284" w:hanging="284"/>
        <w:rPr>
          <w:rFonts w:ascii="Calibri" w:eastAsia="Times New Roman" w:hAnsi="Calibri" w:cs="Calibri"/>
          <w:noProof/>
          <w:spacing w:val="-8"/>
          <w:sz w:val="24"/>
          <w:szCs w:val="24"/>
          <w:lang w:val="en-US"/>
        </w:rPr>
      </w:pPr>
      <w:r>
        <w:rPr>
          <w:rFonts w:ascii="Calibri" w:eastAsia="Times New Roman" w:hAnsi="Calibri" w:cs="Calibri"/>
          <w:noProof/>
          <w:spacing w:val="-8"/>
          <w:sz w:val="24"/>
          <w:szCs w:val="24"/>
          <w:lang w:val="en-US"/>
        </w:rPr>
        <w:t>Gierens K., Matthes S. and Rohs S. (2020) How well can persistent contrails be predicted? In ‘3</w:t>
      </w:r>
      <w:r>
        <w:rPr>
          <w:rFonts w:ascii="Calibri" w:eastAsia="Times New Roman" w:hAnsi="Calibri" w:cs="Calibri"/>
          <w:noProof/>
          <w:spacing w:val="-8"/>
          <w:sz w:val="24"/>
          <w:szCs w:val="24"/>
          <w:vertAlign w:val="superscript"/>
          <w:lang w:val="en-US"/>
        </w:rPr>
        <w:t>rd</w:t>
      </w:r>
      <w:r>
        <w:rPr>
          <w:rFonts w:ascii="Calibri" w:eastAsia="Times New Roman" w:hAnsi="Calibri" w:cs="Calibri"/>
          <w:noProof/>
          <w:spacing w:val="-8"/>
          <w:sz w:val="24"/>
          <w:szCs w:val="24"/>
          <w:lang w:val="en-US"/>
        </w:rPr>
        <w:t xml:space="preserve"> ECATS Conference, Making Aviation Environmentally Sustainable’ Book of Abstracts Matthes S. and Blum A. (eds). </w:t>
      </w:r>
    </w:p>
    <w:p>
      <w:pPr>
        <w:overflowPunct w:val="0"/>
        <w:autoSpaceDE w:val="0"/>
        <w:autoSpaceDN w:val="0"/>
        <w:adjustRightInd w:val="0"/>
        <w:spacing w:after="60" w:line="240" w:lineRule="auto"/>
        <w:ind w:left="284" w:hanging="284"/>
        <w:textAlignment w:val="baseline"/>
        <w:rPr>
          <w:rFonts w:ascii="Calibri" w:eastAsia="Times New Roman" w:hAnsi="Calibri" w:cs="Calibri"/>
          <w:noProof/>
          <w:sz w:val="24"/>
          <w:szCs w:val="24"/>
        </w:rPr>
      </w:pPr>
      <w:r>
        <w:rPr>
          <w:rFonts w:ascii="Calibri" w:eastAsia="Times New Roman" w:hAnsi="Calibri" w:cs="Calibri"/>
          <w:noProof/>
          <w:sz w:val="24"/>
          <w:szCs w:val="24"/>
        </w:rPr>
        <w:t>Grewe , V., Champougny, T., Matthes, S., Frömming, C., Brinkop, S., Søvde, O., Irvine, E., Halscheidt, L. (2014) Reduction of the air traffic's contribution to climate change: A REACT4C case study.  Atmospheric Environment 94 616-625</w:t>
      </w:r>
    </w:p>
    <w:p>
      <w:pPr>
        <w:spacing w:after="60" w:line="240" w:lineRule="auto"/>
        <w:ind w:left="284" w:hanging="284"/>
        <w:rPr>
          <w:rFonts w:ascii="Calibri" w:eastAsia="Times New Roman" w:hAnsi="Calibri" w:cs="Calibri"/>
          <w:noProof/>
          <w:spacing w:val="-8"/>
          <w:sz w:val="24"/>
          <w:szCs w:val="24"/>
          <w:lang w:val="fr-BE"/>
        </w:rPr>
      </w:pPr>
      <w:r>
        <w:rPr>
          <w:rFonts w:ascii="Calibri" w:eastAsia="Times New Roman" w:hAnsi="Calibri" w:cs="Calibri"/>
          <w:noProof/>
          <w:color w:val="000000"/>
          <w:spacing w:val="-8"/>
          <w:sz w:val="24"/>
          <w:szCs w:val="24"/>
        </w:rPr>
        <w:t xml:space="preserve">Grewe V., Matthes S., Frömming C., Brinkop S., Jöckel P., Gierens K., Champougny T., Fuglestvedt J., Haslerud A., Irvine E. and Shine K. (2017) </w:t>
      </w:r>
      <w:r>
        <w:rPr>
          <w:rFonts w:ascii="Calibri" w:eastAsia="Times New Roman" w:hAnsi="Calibri" w:cs="Calibri"/>
          <w:iCs/>
          <w:noProof/>
          <w:color w:val="000000"/>
          <w:spacing w:val="-8"/>
          <w:sz w:val="24"/>
          <w:szCs w:val="24"/>
        </w:rPr>
        <w:t>Feasibility of climate-optimized air traffic routing for trans-Atlantic flights.</w:t>
      </w:r>
      <w:r>
        <w:rPr>
          <w:rFonts w:ascii="Calibri" w:eastAsia="Times New Roman" w:hAnsi="Calibri" w:cs="Calibri"/>
          <w:noProof/>
          <w:color w:val="000000"/>
          <w:spacing w:val="-8"/>
          <w:sz w:val="24"/>
          <w:szCs w:val="24"/>
        </w:rPr>
        <w:t xml:space="preserve"> </w:t>
      </w:r>
      <w:r>
        <w:rPr>
          <w:rFonts w:ascii="Calibri" w:eastAsia="Times New Roman" w:hAnsi="Calibri" w:cs="Calibri"/>
          <w:i/>
          <w:noProof/>
          <w:color w:val="000000"/>
          <w:spacing w:val="-8"/>
          <w:sz w:val="24"/>
          <w:szCs w:val="24"/>
          <w:lang w:val="fr-BE"/>
        </w:rPr>
        <w:t xml:space="preserve">Environ. Res. </w:t>
      </w:r>
      <w:r>
        <w:rPr>
          <w:rFonts w:ascii="Calibri" w:eastAsia="Times New Roman" w:hAnsi="Calibri" w:cs="Calibri"/>
          <w:i/>
          <w:noProof/>
          <w:spacing w:val="-8"/>
          <w:sz w:val="24"/>
          <w:szCs w:val="24"/>
          <w:lang w:val="fr-BE"/>
        </w:rPr>
        <w:t>Lett.</w:t>
      </w:r>
      <w:r>
        <w:rPr>
          <w:rFonts w:ascii="Calibri" w:eastAsia="Times New Roman" w:hAnsi="Calibri" w:cs="Calibri"/>
          <w:noProof/>
          <w:spacing w:val="-8"/>
          <w:sz w:val="24"/>
          <w:szCs w:val="24"/>
          <w:lang w:val="fr-BE"/>
        </w:rPr>
        <w:t xml:space="preserve"> </w:t>
      </w:r>
      <w:r>
        <w:rPr>
          <w:rFonts w:ascii="Calibri" w:eastAsia="Times New Roman" w:hAnsi="Calibri" w:cs="Calibri"/>
          <w:b/>
          <w:noProof/>
          <w:spacing w:val="-8"/>
          <w:sz w:val="24"/>
          <w:szCs w:val="24"/>
          <w:lang w:val="fr-BE"/>
        </w:rPr>
        <w:t>12</w:t>
      </w:r>
      <w:r>
        <w:rPr>
          <w:rFonts w:ascii="Calibri" w:eastAsia="Times New Roman" w:hAnsi="Calibri" w:cs="Calibri"/>
          <w:noProof/>
          <w:spacing w:val="-8"/>
          <w:sz w:val="24"/>
          <w:szCs w:val="24"/>
          <w:lang w:val="fr-BE"/>
        </w:rPr>
        <w:t xml:space="preserve">. 034003. ISSN 1748-9326 doi: </w:t>
      </w:r>
      <w:hyperlink r:id="rId51" w:history="1">
        <w:r>
          <w:rPr>
            <w:rStyle w:val="Hyperlink"/>
            <w:rFonts w:ascii="Calibri" w:eastAsia="Times New Roman" w:hAnsi="Calibri" w:cs="Calibri"/>
            <w:noProof/>
            <w:spacing w:val="-8"/>
            <w:sz w:val="24"/>
            <w:szCs w:val="24"/>
            <w:lang w:val="fr-BE"/>
          </w:rPr>
          <w:t>https://doi.org/10.1088/1748-9326/aa5ba0</w:t>
        </w:r>
      </w:hyperlink>
      <w:r>
        <w:rPr>
          <w:rFonts w:ascii="Calibri" w:eastAsia="Times New Roman" w:hAnsi="Calibri" w:cs="Calibri"/>
          <w:noProof/>
          <w:color w:val="000000"/>
          <w:spacing w:val="-8"/>
          <w:sz w:val="24"/>
          <w:szCs w:val="24"/>
          <w:lang w:val="fr-BE"/>
        </w:rPr>
        <w:t>.</w:t>
      </w:r>
    </w:p>
    <w:p>
      <w:pPr>
        <w:overflowPunct w:val="0"/>
        <w:autoSpaceDE w:val="0"/>
        <w:autoSpaceDN w:val="0"/>
        <w:adjustRightInd w:val="0"/>
        <w:spacing w:after="60" w:line="240" w:lineRule="auto"/>
        <w:ind w:left="284" w:hanging="284"/>
        <w:textAlignment w:val="baseline"/>
        <w:rPr>
          <w:rFonts w:ascii="Calibri" w:eastAsia="Times New Roman" w:hAnsi="Calibri" w:cs="Calibri"/>
          <w:noProof/>
          <w:sz w:val="24"/>
          <w:szCs w:val="24"/>
        </w:rPr>
      </w:pPr>
      <w:r>
        <w:rPr>
          <w:rFonts w:ascii="Calibri" w:eastAsia="Times New Roman" w:hAnsi="Calibri" w:cs="Calibri"/>
          <w:noProof/>
          <w:sz w:val="24"/>
          <w:szCs w:val="24"/>
          <w:lang w:val="fr-BE"/>
        </w:rPr>
        <w:t xml:space="preserve">Grewe et al., (2017). </w:t>
      </w:r>
      <w:r>
        <w:rPr>
          <w:rFonts w:ascii="Calibri" w:eastAsia="Times New Roman" w:hAnsi="Calibri" w:cs="Calibri"/>
          <w:noProof/>
          <w:sz w:val="24"/>
          <w:szCs w:val="24"/>
        </w:rPr>
        <w:t xml:space="preserve">Mitigating the climate impact from aviation: Achievements and Results of the DLR WeCare Project. </w:t>
      </w:r>
      <w:r>
        <w:rPr>
          <w:rFonts w:ascii="Calibri" w:eastAsia="Times New Roman" w:hAnsi="Calibri" w:cs="Calibri"/>
          <w:i/>
          <w:iCs/>
          <w:noProof/>
          <w:sz w:val="24"/>
          <w:szCs w:val="24"/>
        </w:rPr>
        <w:t xml:space="preserve">Aerospace Science and Technology, </w:t>
      </w:r>
      <w:r>
        <w:rPr>
          <w:rFonts w:ascii="Calibri" w:eastAsia="Times New Roman" w:hAnsi="Calibri" w:cs="Calibri"/>
          <w:noProof/>
          <w:sz w:val="24"/>
          <w:szCs w:val="24"/>
        </w:rPr>
        <w:t>4(3).</w:t>
      </w:r>
    </w:p>
    <w:p>
      <w:pPr>
        <w:overflowPunct w:val="0"/>
        <w:autoSpaceDE w:val="0"/>
        <w:autoSpaceDN w:val="0"/>
        <w:adjustRightInd w:val="0"/>
        <w:spacing w:after="60" w:line="240" w:lineRule="auto"/>
        <w:ind w:left="284" w:hanging="284"/>
        <w:textAlignment w:val="baseline"/>
        <w:rPr>
          <w:rFonts w:ascii="Calibri" w:eastAsia="Times New Roman" w:hAnsi="Calibri" w:cs="Calibri"/>
          <w:noProof/>
          <w:sz w:val="24"/>
          <w:szCs w:val="24"/>
        </w:rPr>
      </w:pPr>
      <w:r>
        <w:rPr>
          <w:rFonts w:ascii="Calibri" w:eastAsia="Times New Roman" w:hAnsi="Calibri" w:cs="Calibri"/>
          <w:noProof/>
          <w:sz w:val="24"/>
          <w:szCs w:val="24"/>
        </w:rPr>
        <w:t xml:space="preserve">Hansen J., Sato M., Ruedy R., Nazarenko L., Lacis A., Schmidt G. A., Russell G., Aleinov I., Bauer M., Bauer S., Bell N., Cairns B., Canuto V., Chandler M., Cheng Y., Del Genio A., Faluvegi G., Fleming E., Friend A., Hall T., Jackman C., Kelley M., Kiang N., Koch D., Lean J., Lerner J., Lo K., Menon S., Miller R., Minnis P., Novakov T., Oinas V., Perlwitz Ja., Perlwitz Ju., Rind D., Romanou A., Shindell D., Stone P., Sun S., Tausnev N., Thresher D., Wielicki B., Wong T., Yao M., Zhang S. (2005) Efficacy of climate forcings. </w:t>
      </w:r>
      <w:r>
        <w:rPr>
          <w:rFonts w:ascii="Calibri" w:eastAsia="Times New Roman" w:hAnsi="Calibri" w:cs="Calibri"/>
          <w:i/>
          <w:noProof/>
          <w:sz w:val="24"/>
          <w:szCs w:val="24"/>
        </w:rPr>
        <w:t>J. Geophys. Res.</w:t>
      </w:r>
      <w:r>
        <w:rPr>
          <w:rFonts w:ascii="Calibri" w:eastAsia="Times New Roman" w:hAnsi="Calibri" w:cs="Calibri"/>
          <w:noProof/>
          <w:sz w:val="24"/>
          <w:szCs w:val="24"/>
        </w:rPr>
        <w:t xml:space="preserve"> </w:t>
      </w:r>
      <w:r>
        <w:rPr>
          <w:rFonts w:ascii="Calibri" w:eastAsia="Times New Roman" w:hAnsi="Calibri" w:cs="Calibri"/>
          <w:b/>
          <w:noProof/>
          <w:sz w:val="24"/>
          <w:szCs w:val="24"/>
        </w:rPr>
        <w:t>110</w:t>
      </w:r>
      <w:r>
        <w:rPr>
          <w:rFonts w:ascii="Calibri" w:eastAsia="Times New Roman" w:hAnsi="Calibri" w:cs="Calibri"/>
          <w:noProof/>
          <w:sz w:val="24"/>
          <w:szCs w:val="24"/>
        </w:rPr>
        <w:t>, D18104. DOI: 10.1029/2005JD005776.</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Holmes C. D., Tang Q., and Prather M. J. (2011) Uncertainties in climate assessment for the case of aviation NO</w:t>
      </w:r>
      <w:r>
        <w:rPr>
          <w:rFonts w:ascii="Calibri" w:eastAsia="Times New Roman" w:hAnsi="Calibri" w:cs="Calibri"/>
          <w:noProof/>
          <w:spacing w:val="-8"/>
          <w:sz w:val="24"/>
          <w:szCs w:val="24"/>
          <w:vertAlign w:val="subscript"/>
        </w:rPr>
        <w:t>x</w:t>
      </w:r>
      <w:r>
        <w:rPr>
          <w:rFonts w:ascii="Calibri" w:eastAsia="Times New Roman" w:hAnsi="Calibri" w:cs="Calibri"/>
          <w:noProof/>
          <w:spacing w:val="-8"/>
          <w:sz w:val="24"/>
          <w:szCs w:val="24"/>
        </w:rPr>
        <w:t>, </w:t>
      </w:r>
      <w:r>
        <w:rPr>
          <w:rFonts w:ascii="Calibri" w:eastAsia="Times New Roman" w:hAnsi="Calibri" w:cs="Calibri"/>
          <w:i/>
          <w:iCs/>
          <w:noProof/>
          <w:spacing w:val="-8"/>
          <w:sz w:val="24"/>
          <w:szCs w:val="24"/>
        </w:rPr>
        <w:t>Proc. Nat. Acad. Sci.</w:t>
      </w:r>
      <w:r>
        <w:rPr>
          <w:rFonts w:ascii="Calibri" w:eastAsia="Times New Roman" w:hAnsi="Calibri" w:cs="Calibri"/>
          <w:noProof/>
          <w:spacing w:val="-8"/>
          <w:sz w:val="24"/>
          <w:szCs w:val="24"/>
        </w:rPr>
        <w:t> </w:t>
      </w:r>
      <w:r>
        <w:rPr>
          <w:rFonts w:ascii="Calibri" w:eastAsia="Times New Roman" w:hAnsi="Calibri" w:cs="Calibri"/>
          <w:b/>
          <w:noProof/>
          <w:spacing w:val="-8"/>
          <w:sz w:val="24"/>
          <w:szCs w:val="24"/>
        </w:rPr>
        <w:t>108</w:t>
      </w:r>
      <w:r>
        <w:rPr>
          <w:rFonts w:ascii="Calibri" w:eastAsia="Times New Roman" w:hAnsi="Calibri" w:cs="Calibri"/>
          <w:noProof/>
          <w:spacing w:val="-8"/>
          <w:sz w:val="24"/>
          <w:szCs w:val="24"/>
        </w:rPr>
        <w:t>, 10997</w:t>
      </w:r>
      <w:r>
        <w:rPr>
          <w:rFonts w:ascii="Calibri" w:eastAsia="Times New Roman" w:hAnsi="Calibri" w:cs="Calibri"/>
          <w:noProof/>
          <w:spacing w:val="-8"/>
          <w:sz w:val="24"/>
          <w:szCs w:val="24"/>
          <w:lang w:val="en-US"/>
        </w:rPr>
        <w:t xml:space="preserve"> – </w:t>
      </w:r>
      <w:r>
        <w:rPr>
          <w:rFonts w:ascii="Calibri" w:eastAsia="Times New Roman" w:hAnsi="Calibri" w:cs="Calibri"/>
          <w:noProof/>
          <w:spacing w:val="-8"/>
          <w:sz w:val="24"/>
          <w:szCs w:val="24"/>
        </w:rPr>
        <w:t>11002.</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IATA, (2015). </w:t>
      </w:r>
      <w:r>
        <w:rPr>
          <w:rFonts w:ascii="Calibri" w:eastAsia="Times New Roman" w:hAnsi="Calibri" w:cs="Calibri"/>
          <w:i/>
          <w:iCs/>
          <w:noProof/>
          <w:spacing w:val="-8"/>
          <w:sz w:val="24"/>
          <w:szCs w:val="24"/>
        </w:rPr>
        <w:t xml:space="preserve">Sustainable Aviation Fuel Roadmap, </w:t>
      </w:r>
      <w:r>
        <w:rPr>
          <w:rFonts w:ascii="Calibri" w:eastAsia="Times New Roman" w:hAnsi="Calibri" w:cs="Calibri"/>
          <w:noProof/>
          <w:spacing w:val="-8"/>
          <w:sz w:val="24"/>
          <w:szCs w:val="24"/>
        </w:rPr>
        <w:t>Montreal: IATA.</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IATA, (2015). </w:t>
      </w:r>
      <w:r>
        <w:rPr>
          <w:rFonts w:ascii="Calibri" w:eastAsia="Times New Roman" w:hAnsi="Calibri" w:cs="Calibri"/>
          <w:i/>
          <w:iCs/>
          <w:noProof/>
          <w:spacing w:val="-8"/>
          <w:sz w:val="24"/>
          <w:szCs w:val="24"/>
        </w:rPr>
        <w:t xml:space="preserve">IATA Guidance Materal for Sustainable Aviation Fuel Management, </w:t>
      </w:r>
      <w:r>
        <w:rPr>
          <w:rFonts w:ascii="Calibri" w:eastAsia="Times New Roman" w:hAnsi="Calibri" w:cs="Calibri"/>
          <w:noProof/>
          <w:spacing w:val="-8"/>
          <w:sz w:val="24"/>
          <w:szCs w:val="24"/>
        </w:rPr>
        <w:t>Montreal: IATA.</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ICAO, (2000). </w:t>
      </w:r>
      <w:r>
        <w:rPr>
          <w:rFonts w:ascii="Calibri" w:eastAsia="Times New Roman" w:hAnsi="Calibri" w:cs="Calibri"/>
          <w:i/>
          <w:iCs/>
          <w:noProof/>
          <w:spacing w:val="-8"/>
          <w:sz w:val="24"/>
          <w:szCs w:val="24"/>
        </w:rPr>
        <w:t xml:space="preserve">ICAO's Policies on Taxation in the Field of International Air Transport: DOC 8632. </w:t>
      </w:r>
      <w:r>
        <w:rPr>
          <w:rFonts w:ascii="Calibri" w:eastAsia="Times New Roman" w:hAnsi="Calibri" w:cs="Calibri"/>
          <w:noProof/>
          <w:spacing w:val="-8"/>
          <w:sz w:val="24"/>
          <w:szCs w:val="24"/>
        </w:rPr>
        <w:t>s.l.:s.n.</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ICAO, (2012). </w:t>
      </w:r>
      <w:r>
        <w:rPr>
          <w:rFonts w:ascii="Calibri" w:eastAsia="Times New Roman" w:hAnsi="Calibri" w:cs="Calibri"/>
          <w:i/>
          <w:iCs/>
          <w:noProof/>
          <w:spacing w:val="-8"/>
          <w:sz w:val="24"/>
          <w:szCs w:val="24"/>
        </w:rPr>
        <w:t xml:space="preserve">Policies on Charges for Airports and Air Navigation Services - Doc 9082. </w:t>
      </w:r>
      <w:r>
        <w:rPr>
          <w:rFonts w:ascii="Calibri" w:eastAsia="Times New Roman" w:hAnsi="Calibri" w:cs="Calibri"/>
          <w:noProof/>
          <w:spacing w:val="-8"/>
          <w:sz w:val="24"/>
          <w:szCs w:val="24"/>
        </w:rPr>
        <w:t>s.l.:s.n.</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ICAO (2016) Environmental Report. </w:t>
      </w:r>
      <w:hyperlink r:id="rId52" w:history="1">
        <w:r>
          <w:rPr>
            <w:rStyle w:val="Hyperlink"/>
            <w:rFonts w:ascii="Calibri" w:eastAsia="Times New Roman" w:hAnsi="Calibri" w:cs="Calibri"/>
            <w:noProof/>
            <w:spacing w:val="-8"/>
            <w:sz w:val="24"/>
            <w:szCs w:val="24"/>
          </w:rPr>
          <w:t>www.icao.int/environmental-protection/Pages/env2016</w:t>
        </w:r>
      </w:hyperlink>
      <w:r>
        <w:rPr>
          <w:rFonts w:ascii="Calibri" w:eastAsia="Times New Roman" w:hAnsi="Calibri" w:cs="Calibri"/>
          <w:noProof/>
          <w:spacing w:val="-8"/>
          <w:sz w:val="24"/>
          <w:szCs w:val="24"/>
        </w:rPr>
        <w:t xml:space="preserve"> </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ICAO, UNDP &amp; GEF, (2017). </w:t>
      </w:r>
      <w:r>
        <w:rPr>
          <w:rFonts w:ascii="Calibri" w:eastAsia="Times New Roman" w:hAnsi="Calibri" w:cs="Calibri"/>
          <w:i/>
          <w:iCs/>
          <w:noProof/>
          <w:spacing w:val="-8"/>
          <w:sz w:val="24"/>
          <w:szCs w:val="24"/>
        </w:rPr>
        <w:t xml:space="preserve">Sustainable Aviation Fuels Guide, </w:t>
      </w:r>
      <w:r>
        <w:rPr>
          <w:rFonts w:ascii="Calibri" w:eastAsia="Times New Roman" w:hAnsi="Calibri" w:cs="Calibri"/>
          <w:noProof/>
          <w:spacing w:val="-8"/>
          <w:sz w:val="24"/>
          <w:szCs w:val="24"/>
        </w:rPr>
        <w:t>Montreal: ICAO.</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ICAO, (2017). </w:t>
      </w:r>
      <w:r>
        <w:rPr>
          <w:rFonts w:ascii="Calibri" w:eastAsia="Times New Roman" w:hAnsi="Calibri" w:cs="Calibri"/>
          <w:i/>
          <w:iCs/>
          <w:noProof/>
          <w:spacing w:val="-8"/>
          <w:sz w:val="24"/>
          <w:szCs w:val="24"/>
        </w:rPr>
        <w:t xml:space="preserve">Annex 16 to the Convention on International Civil Aviation - Environmental protection - Volume II: Aircraft Engine Emissions, </w:t>
      </w:r>
      <w:r>
        <w:rPr>
          <w:rFonts w:ascii="Calibri" w:eastAsia="Times New Roman" w:hAnsi="Calibri" w:cs="Calibri"/>
          <w:noProof/>
          <w:spacing w:val="-8"/>
          <w:sz w:val="24"/>
          <w:szCs w:val="24"/>
        </w:rPr>
        <w:t>Montreal: s.n.</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ICAO (2019) Environmental Report Environmental Trends in Aviation to 2050, Montreal, Canada </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ICCT, (2019). </w:t>
      </w:r>
      <w:r>
        <w:rPr>
          <w:rFonts w:ascii="Calibri" w:eastAsia="Times New Roman" w:hAnsi="Calibri" w:cs="Calibri"/>
          <w:i/>
          <w:iCs/>
          <w:noProof/>
          <w:spacing w:val="-8"/>
          <w:sz w:val="24"/>
          <w:szCs w:val="24"/>
        </w:rPr>
        <w:t xml:space="preserve">Long-term aviation fuel decarbonization: Progress, roadblocks, and policy opportunities, </w:t>
      </w:r>
      <w:r>
        <w:rPr>
          <w:rFonts w:ascii="Calibri" w:eastAsia="Times New Roman" w:hAnsi="Calibri" w:cs="Calibri"/>
          <w:noProof/>
          <w:spacing w:val="-8"/>
          <w:sz w:val="24"/>
          <w:szCs w:val="24"/>
        </w:rPr>
        <w:t>Washington: ICCT.</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Infras, CE Delft &amp; TAKS, (2016). </w:t>
      </w:r>
      <w:r>
        <w:rPr>
          <w:rFonts w:ascii="Calibri" w:eastAsia="Times New Roman" w:hAnsi="Calibri" w:cs="Calibri"/>
          <w:i/>
          <w:iCs/>
          <w:noProof/>
          <w:spacing w:val="-8"/>
          <w:sz w:val="24"/>
          <w:szCs w:val="24"/>
        </w:rPr>
        <w:t xml:space="preserve">The EU Emission Trading Schemes' effects on the competitive situation within national and international aviation, </w:t>
      </w:r>
      <w:r>
        <w:rPr>
          <w:rFonts w:ascii="Calibri" w:eastAsia="Times New Roman" w:hAnsi="Calibri" w:cs="Calibri"/>
          <w:noProof/>
          <w:spacing w:val="-8"/>
          <w:sz w:val="24"/>
          <w:szCs w:val="24"/>
        </w:rPr>
        <w:t>Dessau-Roßlau: Umweltbundesamt.</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IPCC (1999) </w:t>
      </w:r>
      <w:r>
        <w:rPr>
          <w:rFonts w:ascii="Calibri" w:eastAsia="Times New Roman" w:hAnsi="Calibri" w:cs="Calibri"/>
          <w:i/>
          <w:noProof/>
          <w:spacing w:val="-8"/>
          <w:sz w:val="24"/>
          <w:szCs w:val="24"/>
        </w:rPr>
        <w:t>Aviation and the Global Atmosphere</w:t>
      </w:r>
      <w:r>
        <w:rPr>
          <w:rFonts w:ascii="Calibri" w:eastAsia="Times New Roman" w:hAnsi="Calibri" w:cs="Calibri"/>
          <w:noProof/>
          <w:spacing w:val="-8"/>
          <w:sz w:val="24"/>
          <w:szCs w:val="24"/>
        </w:rPr>
        <w:t>. Intergovernmental Panel on Climate Change Special Report, eds Penner J. E., Lister D. H., Griggs D. J., Dokken D. J., McFarland M. Cambridge University Press, Cambridge, UK.</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IPCC (2006) Guidelines for National Greenhouse Gas Inventories Volume 2, Energy. Cambridge University Press, Cambridge, UK.</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IPCC (2007) </w:t>
      </w:r>
      <w:r>
        <w:rPr>
          <w:rFonts w:ascii="Calibri" w:eastAsia="Times New Roman" w:hAnsi="Calibri" w:cs="Calibri"/>
          <w:i/>
          <w:noProof/>
          <w:spacing w:val="-8"/>
          <w:sz w:val="24"/>
          <w:szCs w:val="24"/>
        </w:rPr>
        <w:t>Climate Change 2007. The Physical Science Basis</w:t>
      </w:r>
      <w:r>
        <w:rPr>
          <w:rFonts w:ascii="Calibri" w:eastAsia="Times New Roman" w:hAnsi="Calibri" w:cs="Calibri"/>
          <w:noProof/>
          <w:spacing w:val="-8"/>
          <w:sz w:val="24"/>
          <w:szCs w:val="24"/>
        </w:rPr>
        <w:t>. S. Solomon, D. Qin, M. Manning, M. Marquis, K. Averyt, M. M. B. Tignor, H. L. Miller and Z. Chen (eds). Contribution of Working Group I to the Fourth Assessment Report of the Intergovernmental Panel on Climate Change. Cambridge University Press, UK.</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IPCC (2013) </w:t>
      </w:r>
      <w:r>
        <w:rPr>
          <w:rFonts w:ascii="Calibri" w:eastAsia="Times New Roman" w:hAnsi="Calibri" w:cs="Calibri"/>
          <w:i/>
          <w:noProof/>
          <w:spacing w:val="-8"/>
          <w:sz w:val="24"/>
          <w:szCs w:val="24"/>
        </w:rPr>
        <w:t>Climate Change 2013: The Physical Science Basis</w:t>
      </w:r>
      <w:r>
        <w:rPr>
          <w:rFonts w:ascii="Calibri" w:eastAsia="Times New Roman" w:hAnsi="Calibri" w:cs="Calibri"/>
          <w:noProof/>
          <w:spacing w:val="-8"/>
          <w:sz w:val="24"/>
          <w:szCs w:val="24"/>
        </w:rPr>
        <w:t>. In: Contribution of Working Group I to the Fifth Assessment Report of the Intergovernmental Panel on Climate Change. Cambridge University Press, Cambridge, United Kingdom and New York, NY, USA.</w:t>
      </w:r>
    </w:p>
    <w:p>
      <w:pPr>
        <w:overflowPunct w:val="0"/>
        <w:autoSpaceDE w:val="0"/>
        <w:autoSpaceDN w:val="0"/>
        <w:adjustRightInd w:val="0"/>
        <w:spacing w:after="60" w:line="240" w:lineRule="auto"/>
        <w:ind w:left="284" w:hanging="284"/>
        <w:textAlignment w:val="baseline"/>
        <w:rPr>
          <w:rFonts w:ascii="Calibri" w:eastAsia="Times New Roman" w:hAnsi="Calibri" w:cs="Calibri"/>
          <w:noProof/>
          <w:sz w:val="24"/>
          <w:szCs w:val="24"/>
        </w:rPr>
      </w:pPr>
      <w:r>
        <w:rPr>
          <w:rFonts w:ascii="Calibri" w:eastAsia="Times New Roman" w:hAnsi="Calibri" w:cs="Calibri"/>
          <w:noProof/>
          <w:sz w:val="24"/>
          <w:szCs w:val="24"/>
        </w:rPr>
        <w:t xml:space="preserve">Johansson D. J. A. (2012) Economics- and physical-based metrics for comparing greenhouse gases. Climatic Change 110, 123 – 141. </w:t>
      </w:r>
    </w:p>
    <w:p>
      <w:pPr>
        <w:spacing w:after="60" w:line="240" w:lineRule="auto"/>
        <w:ind w:left="284" w:hanging="284"/>
        <w:rPr>
          <w:rFonts w:ascii="Calibri" w:eastAsia="Times New Roman" w:hAnsi="Calibri" w:cs="Calibri"/>
          <w:noProof/>
          <w:spacing w:val="-8"/>
          <w:sz w:val="24"/>
          <w:szCs w:val="24"/>
          <w:lang w:val="en-US"/>
        </w:rPr>
      </w:pPr>
      <w:r>
        <w:rPr>
          <w:rFonts w:ascii="Calibri" w:eastAsia="Times New Roman" w:hAnsi="Calibri" w:cs="Calibri"/>
          <w:noProof/>
          <w:spacing w:val="-8"/>
          <w:sz w:val="24"/>
          <w:szCs w:val="24"/>
          <w:lang w:val="en-US"/>
        </w:rPr>
        <w:t xml:space="preserve">Kapadia, Z. Z., Spracklen D. V., Arnold S. R., Borman D. J., Mann G. W., Pringle K. J., Monks S. A., Reddington C. L., Benduhn F., Rap A., Scott C. E., Butt E.W. and Yoshioka M. (2016) Impacts of aviation fuel sulfur content on climate and human health. </w:t>
      </w:r>
      <w:r>
        <w:rPr>
          <w:rFonts w:ascii="Calibri" w:eastAsia="Times New Roman" w:hAnsi="Calibri" w:cs="Calibri"/>
          <w:i/>
          <w:noProof/>
          <w:spacing w:val="-8"/>
          <w:sz w:val="24"/>
          <w:szCs w:val="24"/>
          <w:lang w:val="en-US"/>
        </w:rPr>
        <w:t>Atmos. Chem. Phys.</w:t>
      </w:r>
      <w:r>
        <w:rPr>
          <w:rFonts w:ascii="Calibri" w:eastAsia="Times New Roman" w:hAnsi="Calibri" w:cs="Calibri"/>
          <w:noProof/>
          <w:spacing w:val="-8"/>
          <w:sz w:val="24"/>
          <w:szCs w:val="24"/>
          <w:lang w:val="en-US"/>
        </w:rPr>
        <w:t xml:space="preserve"> </w:t>
      </w:r>
      <w:r>
        <w:rPr>
          <w:rFonts w:ascii="Calibri" w:eastAsia="Times New Roman" w:hAnsi="Calibri" w:cs="Calibri"/>
          <w:b/>
          <w:noProof/>
          <w:spacing w:val="-8"/>
          <w:sz w:val="24"/>
          <w:szCs w:val="24"/>
          <w:lang w:val="en-US"/>
        </w:rPr>
        <w:t>16</w:t>
      </w:r>
      <w:r>
        <w:rPr>
          <w:rFonts w:ascii="Calibri" w:eastAsia="Times New Roman" w:hAnsi="Calibri" w:cs="Calibri"/>
          <w:noProof/>
          <w:spacing w:val="-8"/>
          <w:sz w:val="24"/>
          <w:szCs w:val="24"/>
          <w:lang w:val="en-US"/>
        </w:rPr>
        <w:t>, 10521–10541, doi:10.5194/acp-16-10521-2016.</w:t>
      </w:r>
    </w:p>
    <w:p>
      <w:pPr>
        <w:spacing w:after="60" w:line="240" w:lineRule="auto"/>
        <w:ind w:left="284" w:hanging="284"/>
        <w:rPr>
          <w:rFonts w:ascii="Calibri" w:eastAsia="Times New Roman" w:hAnsi="Calibri" w:cs="Calibri"/>
          <w:noProof/>
          <w:spacing w:val="-8"/>
          <w:sz w:val="24"/>
          <w:szCs w:val="24"/>
          <w:lang w:val="en-US"/>
        </w:rPr>
      </w:pPr>
      <w:r>
        <w:rPr>
          <w:rFonts w:ascii="Calibri" w:eastAsia="Times New Roman" w:hAnsi="Calibri" w:cs="Calibri"/>
          <w:noProof/>
          <w:spacing w:val="-8"/>
          <w:sz w:val="24"/>
          <w:szCs w:val="24"/>
          <w:lang w:val="en-US"/>
        </w:rPr>
        <w:t>K</w:t>
      </w:r>
      <w:r>
        <w:rPr>
          <w:rFonts w:ascii="Calibri" w:eastAsia="Times New Roman" w:hAnsi="Calibri" w:cs="Calibri"/>
          <w:noProof/>
          <w:spacing w:val="-8"/>
          <w:sz w:val="24"/>
          <w:szCs w:val="24"/>
        </w:rPr>
        <w:t>ä</w:t>
      </w:r>
      <w:r>
        <w:rPr>
          <w:rFonts w:ascii="Calibri" w:eastAsia="Times New Roman" w:hAnsi="Calibri" w:cs="Calibri"/>
          <w:noProof/>
          <w:spacing w:val="-8"/>
          <w:sz w:val="24"/>
          <w:szCs w:val="24"/>
          <w:lang w:val="en-US"/>
        </w:rPr>
        <w:t xml:space="preserve">rcher B. (2017) Cirrus clouds and their response to anthropogenic activities. </w:t>
      </w:r>
      <w:r>
        <w:rPr>
          <w:rFonts w:ascii="Calibri" w:eastAsia="Times New Roman" w:hAnsi="Calibri" w:cs="Calibri"/>
          <w:i/>
          <w:noProof/>
          <w:spacing w:val="-8"/>
          <w:sz w:val="24"/>
          <w:szCs w:val="24"/>
          <w:lang w:val="en-US"/>
        </w:rPr>
        <w:t>Curr. Clim. Change Rep.</w:t>
      </w:r>
      <w:r>
        <w:rPr>
          <w:rFonts w:ascii="Calibri" w:eastAsia="Times New Roman" w:hAnsi="Calibri" w:cs="Calibri"/>
          <w:noProof/>
          <w:spacing w:val="-8"/>
          <w:sz w:val="24"/>
          <w:szCs w:val="24"/>
          <w:lang w:val="en-US"/>
        </w:rPr>
        <w:t xml:space="preserve"> </w:t>
      </w:r>
      <w:r>
        <w:rPr>
          <w:rFonts w:ascii="Calibri" w:eastAsia="Times New Roman" w:hAnsi="Calibri" w:cs="Calibri"/>
          <w:b/>
          <w:noProof/>
          <w:spacing w:val="-8"/>
          <w:sz w:val="24"/>
          <w:szCs w:val="24"/>
          <w:lang w:val="en-US"/>
        </w:rPr>
        <w:t>3</w:t>
      </w:r>
      <w:r>
        <w:rPr>
          <w:rFonts w:ascii="Calibri" w:eastAsia="Times New Roman" w:hAnsi="Calibri" w:cs="Calibri"/>
          <w:noProof/>
          <w:spacing w:val="-8"/>
          <w:sz w:val="24"/>
          <w:szCs w:val="24"/>
          <w:lang w:val="en-US"/>
        </w:rPr>
        <w:t>, 45 – 57.</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Kärcher, B., (2018). Formation and radiative forcing of contrail cirrus. </w:t>
      </w:r>
      <w:r>
        <w:rPr>
          <w:rFonts w:ascii="Calibri" w:eastAsia="Times New Roman" w:hAnsi="Calibri" w:cs="Calibri"/>
          <w:i/>
          <w:iCs/>
          <w:noProof/>
          <w:spacing w:val="-8"/>
          <w:sz w:val="24"/>
          <w:szCs w:val="24"/>
        </w:rPr>
        <w:t xml:space="preserve">Nature Communications, </w:t>
      </w:r>
      <w:r>
        <w:rPr>
          <w:rFonts w:ascii="Calibri" w:eastAsia="Times New Roman" w:hAnsi="Calibri" w:cs="Calibri"/>
          <w:noProof/>
          <w:spacing w:val="-8"/>
          <w:sz w:val="24"/>
          <w:szCs w:val="24"/>
        </w:rPr>
        <w:t>Volume 9, p. 1824.</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Lee D. S., Fahey D., Forster P., Newton P. J., Wit R. C. N., Lim L. L., Owen B., Sausen R. (2009) Aviation and global climate change in the 21st century. </w:t>
      </w:r>
      <w:r>
        <w:rPr>
          <w:rFonts w:ascii="Calibri" w:eastAsia="Times New Roman" w:hAnsi="Calibri" w:cs="Calibri"/>
          <w:i/>
          <w:noProof/>
          <w:spacing w:val="-8"/>
          <w:sz w:val="24"/>
          <w:szCs w:val="24"/>
        </w:rPr>
        <w:t>Atmos. Environ.</w:t>
      </w:r>
      <w:r>
        <w:rPr>
          <w:rFonts w:ascii="Calibri" w:eastAsia="Times New Roman" w:hAnsi="Calibri" w:cs="Calibri"/>
          <w:noProof/>
          <w:spacing w:val="-8"/>
          <w:sz w:val="24"/>
          <w:szCs w:val="24"/>
        </w:rPr>
        <w:t xml:space="preserve"> </w:t>
      </w:r>
      <w:r>
        <w:rPr>
          <w:rFonts w:ascii="Calibri" w:eastAsia="Times New Roman" w:hAnsi="Calibri" w:cs="Calibri"/>
          <w:b/>
          <w:noProof/>
          <w:spacing w:val="-8"/>
          <w:sz w:val="24"/>
          <w:szCs w:val="24"/>
        </w:rPr>
        <w:t xml:space="preserve">43, </w:t>
      </w:r>
      <w:r>
        <w:rPr>
          <w:rFonts w:ascii="Calibri" w:eastAsia="Times New Roman" w:hAnsi="Calibri" w:cs="Calibri"/>
          <w:noProof/>
          <w:spacing w:val="-8"/>
          <w:sz w:val="24"/>
          <w:szCs w:val="24"/>
        </w:rPr>
        <w:t>3520–3537.</w:t>
      </w:r>
    </w:p>
    <w:p>
      <w:pPr>
        <w:spacing w:after="60" w:line="240" w:lineRule="auto"/>
        <w:ind w:left="284" w:hanging="284"/>
        <w:rPr>
          <w:rFonts w:ascii="Calibri" w:eastAsia="Calibri" w:hAnsi="Calibri" w:cs="Calibri"/>
          <w:noProof/>
          <w:sz w:val="24"/>
          <w:szCs w:val="24"/>
        </w:rPr>
      </w:pPr>
      <w:r>
        <w:rPr>
          <w:rFonts w:ascii="Calibri" w:eastAsia="Calibri" w:hAnsi="Calibri" w:cs="Calibri"/>
          <w:noProof/>
          <w:sz w:val="24"/>
          <w:szCs w:val="24"/>
        </w:rPr>
        <w:t xml:space="preserve">Lee D. S., Pitari G., Grewe, V., Gierens K., Penner J. E., Petzold A., Prather M., Schumann U., Bais A., Berntsen T., Iachetti D., Lim L. L. and Sausen R. (2010) Transport impacts on atmosphere and climate: Aviation. </w:t>
      </w:r>
      <w:r>
        <w:rPr>
          <w:rFonts w:ascii="Calibri" w:eastAsia="Calibri" w:hAnsi="Calibri" w:cs="Calibri"/>
          <w:i/>
          <w:noProof/>
          <w:sz w:val="24"/>
          <w:szCs w:val="24"/>
        </w:rPr>
        <w:t>Atmos. Environ.</w:t>
      </w:r>
      <w:r>
        <w:rPr>
          <w:rFonts w:ascii="Calibri" w:eastAsia="Calibri" w:hAnsi="Calibri" w:cs="Calibri"/>
          <w:noProof/>
          <w:sz w:val="24"/>
          <w:szCs w:val="24"/>
        </w:rPr>
        <w:t xml:space="preserve"> </w:t>
      </w:r>
      <w:r>
        <w:rPr>
          <w:rFonts w:ascii="Calibri" w:eastAsia="Calibri" w:hAnsi="Calibri" w:cs="Calibri"/>
          <w:b/>
          <w:noProof/>
          <w:sz w:val="24"/>
          <w:szCs w:val="24"/>
          <w:lang w:val="en-US"/>
        </w:rPr>
        <w:t>44</w:t>
      </w:r>
      <w:r>
        <w:rPr>
          <w:rFonts w:ascii="Calibri" w:eastAsia="Calibri" w:hAnsi="Calibri" w:cs="Calibri"/>
          <w:noProof/>
          <w:sz w:val="24"/>
          <w:szCs w:val="24"/>
          <w:lang w:val="en-US"/>
        </w:rPr>
        <w:t xml:space="preserve">, </w:t>
      </w:r>
      <w:r>
        <w:rPr>
          <w:rFonts w:ascii="Calibri" w:eastAsia="Calibri" w:hAnsi="Calibri" w:cs="Calibri"/>
          <w:noProof/>
          <w:sz w:val="24"/>
          <w:szCs w:val="24"/>
        </w:rPr>
        <w:t>4678–4734</w:t>
      </w:r>
      <w:r>
        <w:rPr>
          <w:rFonts w:ascii="Calibri" w:eastAsia="Calibri" w:hAnsi="Calibri" w:cs="Calibri"/>
          <w:noProof/>
          <w:sz w:val="24"/>
          <w:szCs w:val="24"/>
          <w:lang w:val="en-US"/>
        </w:rPr>
        <w:t>.</w:t>
      </w:r>
      <w:r>
        <w:rPr>
          <w:rFonts w:ascii="Calibri" w:eastAsia="Calibri" w:hAnsi="Calibri" w:cs="Calibri"/>
          <w:noProof/>
          <w:sz w:val="24"/>
          <w:szCs w:val="24"/>
        </w:rPr>
        <w:t xml:space="preserve"> </w:t>
      </w:r>
    </w:p>
    <w:p>
      <w:pPr>
        <w:spacing w:after="60" w:line="240" w:lineRule="auto"/>
        <w:ind w:left="284" w:hanging="284"/>
        <w:rPr>
          <w:rFonts w:ascii="Calibri" w:eastAsia="Calibri" w:hAnsi="Calibri" w:cs="Calibri"/>
          <w:noProof/>
          <w:sz w:val="24"/>
          <w:szCs w:val="24"/>
        </w:rPr>
      </w:pPr>
      <w:r>
        <w:rPr>
          <w:rFonts w:ascii="Calibri" w:eastAsia="Calibri" w:hAnsi="Calibri" w:cs="Calibri"/>
          <w:noProof/>
          <w:sz w:val="24"/>
          <w:szCs w:val="24"/>
        </w:rPr>
        <w:t>Lee D. S., Fahey D. W., Skowron A., Allen M. R., Burkhardt U., Chen Q., Doherty S. J., Freeman S., Forster P. M., Fuglestvedt J., Gettelman A., DeLeon R. R., Lim L. L., Lund M. T., Millar R. J., Owen B., Penner J. E., Pitari G., Prather M. J., Sausen R. and Wilcox L. J. (2020) The contribution of global aviation to anthropogenic climate forcing in 2018. Atmospheric Environment</w:t>
      </w:r>
    </w:p>
    <w:p>
      <w:pPr>
        <w:autoSpaceDE w:val="0"/>
        <w:autoSpaceDN w:val="0"/>
        <w:adjustRightInd w:val="0"/>
        <w:spacing w:after="60" w:line="240" w:lineRule="auto"/>
        <w:ind w:left="284" w:hanging="284"/>
        <w:rPr>
          <w:rFonts w:ascii="Calibri" w:eastAsia="Calibri" w:hAnsi="Calibri" w:cs="Calibri"/>
          <w:noProof/>
          <w:color w:val="000000"/>
          <w:sz w:val="24"/>
          <w:szCs w:val="24"/>
        </w:rPr>
      </w:pPr>
      <w:r>
        <w:rPr>
          <w:rFonts w:ascii="Calibri" w:eastAsia="Calibri" w:hAnsi="Calibri" w:cs="Calibri"/>
          <w:noProof/>
          <w:color w:val="000000"/>
          <w:sz w:val="24"/>
          <w:szCs w:val="24"/>
        </w:rPr>
        <w:t xml:space="preserve">Lim, Y., Gardi, A. &amp; Sabatini, R., (2017). Optimal aircraft trajectories to minimise the radiative impact of contrails and CO2. </w:t>
      </w:r>
      <w:r>
        <w:rPr>
          <w:rFonts w:ascii="Calibri" w:eastAsia="Calibri" w:hAnsi="Calibri" w:cs="Calibri"/>
          <w:i/>
          <w:iCs/>
          <w:noProof/>
          <w:color w:val="000000"/>
          <w:sz w:val="24"/>
          <w:szCs w:val="24"/>
        </w:rPr>
        <w:t xml:space="preserve">Energy Procedia, </w:t>
      </w:r>
      <w:r>
        <w:rPr>
          <w:rFonts w:ascii="Calibri" w:eastAsia="Calibri" w:hAnsi="Calibri" w:cs="Calibri"/>
          <w:noProof/>
          <w:color w:val="000000"/>
          <w:sz w:val="24"/>
          <w:szCs w:val="24"/>
        </w:rPr>
        <w:t>Volume 110, pp. 446-452.</w:t>
      </w:r>
    </w:p>
    <w:p>
      <w:pPr>
        <w:autoSpaceDE w:val="0"/>
        <w:autoSpaceDN w:val="0"/>
        <w:adjustRightInd w:val="0"/>
        <w:spacing w:after="60" w:line="240" w:lineRule="auto"/>
        <w:ind w:left="284" w:hanging="284"/>
        <w:rPr>
          <w:rFonts w:ascii="Calibri" w:eastAsia="Calibri" w:hAnsi="Calibri" w:cs="Calibri"/>
          <w:noProof/>
          <w:color w:val="000000"/>
          <w:sz w:val="24"/>
          <w:szCs w:val="24"/>
        </w:rPr>
      </w:pPr>
      <w:r>
        <w:rPr>
          <w:rFonts w:ascii="Calibri" w:eastAsia="Calibri" w:hAnsi="Calibri" w:cs="Calibri"/>
          <w:noProof/>
          <w:color w:val="000000"/>
          <w:sz w:val="24"/>
          <w:szCs w:val="24"/>
        </w:rPr>
        <w:t>Lobo P., Rye L., Williams P.I., Christie S., Uryga-Bugajska I., Wilson C.W., Hagen D.E., Whitefield P.D., Blakey S., Coe H., Raper D., Pourkashanian M. (2012) Impact of Alternative Fuels on Emissions Characteristics of a Gas Turbine Engine - Part I: Gaseous and PM Emissions. Environ. Sci. Technol. 46, 10805–10811.</w:t>
      </w:r>
    </w:p>
    <w:p>
      <w:pPr>
        <w:overflowPunct w:val="0"/>
        <w:autoSpaceDE w:val="0"/>
        <w:autoSpaceDN w:val="0"/>
        <w:adjustRightInd w:val="0"/>
        <w:spacing w:after="60" w:line="240" w:lineRule="auto"/>
        <w:ind w:left="284" w:hanging="284"/>
        <w:textAlignment w:val="baseline"/>
        <w:rPr>
          <w:rFonts w:ascii="Calibri" w:eastAsia="Times New Roman" w:hAnsi="Calibri" w:cs="Calibri"/>
          <w:noProof/>
          <w:sz w:val="24"/>
          <w:szCs w:val="24"/>
        </w:rPr>
      </w:pPr>
      <w:r>
        <w:rPr>
          <w:rFonts w:ascii="Calibri" w:eastAsia="Times New Roman" w:hAnsi="Calibri" w:cs="Calibri"/>
          <w:noProof/>
          <w:sz w:val="24"/>
          <w:szCs w:val="24"/>
        </w:rPr>
        <w:t xml:space="preserve">Manne A. S. and Richels R. G. (2001). An alternative approach to establishing trade-offs among greenhouse gases. Nature 410, 675 – 677.Joshi M., Shine K., Ponater M., Stuber N., Sausen R. and Li L. (2003) A comparison of climate response to different radiative forcings in three general circulation models: towards an improved metric of climate change. </w:t>
      </w:r>
      <w:r>
        <w:rPr>
          <w:rFonts w:ascii="Calibri" w:eastAsia="Times New Roman" w:hAnsi="Calibri" w:cs="Calibri"/>
          <w:i/>
          <w:noProof/>
          <w:sz w:val="24"/>
          <w:szCs w:val="24"/>
        </w:rPr>
        <w:t>Clim. Dynam.</w:t>
      </w:r>
      <w:r>
        <w:rPr>
          <w:rFonts w:ascii="Calibri" w:eastAsia="Times New Roman" w:hAnsi="Calibri" w:cs="Calibri"/>
          <w:noProof/>
          <w:sz w:val="24"/>
          <w:szCs w:val="24"/>
        </w:rPr>
        <w:t xml:space="preserve"> </w:t>
      </w:r>
      <w:r>
        <w:rPr>
          <w:rFonts w:ascii="Calibri" w:eastAsia="Times New Roman" w:hAnsi="Calibri" w:cs="Calibri"/>
          <w:b/>
          <w:noProof/>
          <w:sz w:val="24"/>
          <w:szCs w:val="24"/>
        </w:rPr>
        <w:t>20</w:t>
      </w:r>
      <w:r>
        <w:rPr>
          <w:rFonts w:ascii="Calibri" w:eastAsia="Times New Roman" w:hAnsi="Calibri" w:cs="Calibri"/>
          <w:noProof/>
          <w:sz w:val="24"/>
          <w:szCs w:val="24"/>
        </w:rPr>
        <w:t>, 843–854. DOI: 10.1007/s00382-003-0305-9.</w:t>
      </w:r>
    </w:p>
    <w:p>
      <w:pPr>
        <w:autoSpaceDE w:val="0"/>
        <w:autoSpaceDN w:val="0"/>
        <w:adjustRightInd w:val="0"/>
        <w:spacing w:after="60" w:line="240" w:lineRule="auto"/>
        <w:ind w:left="284" w:hanging="284"/>
        <w:rPr>
          <w:rFonts w:ascii="Calibri" w:eastAsia="Calibri" w:hAnsi="Calibri" w:cs="Calibri"/>
          <w:noProof/>
          <w:color w:val="000000"/>
          <w:sz w:val="24"/>
          <w:szCs w:val="24"/>
        </w:rPr>
      </w:pPr>
      <w:r>
        <w:rPr>
          <w:rFonts w:ascii="Calibri" w:eastAsia="Calibri" w:hAnsi="Calibri" w:cs="Calibri"/>
          <w:noProof/>
          <w:color w:val="000000"/>
          <w:sz w:val="24"/>
          <w:szCs w:val="24"/>
        </w:rPr>
        <w:t xml:space="preserve">Matthes S., Grewe V., Dahlmann K., Frömming C., Irvine E., Lim L., Linke F., Lührs B., Owen B., Shine K., Stromatas S., Yamashita H. and Yin F. (2017) </w:t>
      </w:r>
      <w:r>
        <w:rPr>
          <w:rFonts w:ascii="Calibri" w:eastAsia="Calibri" w:hAnsi="Calibri" w:cs="Calibri"/>
          <w:iCs/>
          <w:noProof/>
          <w:color w:val="000000"/>
          <w:sz w:val="24"/>
          <w:szCs w:val="24"/>
        </w:rPr>
        <w:t>A concept for multi-criteria environmental assessment of aircraft trajectories.</w:t>
      </w:r>
      <w:r>
        <w:rPr>
          <w:rFonts w:ascii="Calibri" w:eastAsia="Calibri" w:hAnsi="Calibri" w:cs="Calibri"/>
          <w:noProof/>
          <w:color w:val="000000"/>
          <w:sz w:val="24"/>
          <w:szCs w:val="24"/>
        </w:rPr>
        <w:t xml:space="preserve"> </w:t>
      </w:r>
      <w:r>
        <w:rPr>
          <w:rFonts w:ascii="Calibri" w:eastAsia="Calibri" w:hAnsi="Calibri" w:cs="Calibri"/>
          <w:i/>
          <w:noProof/>
          <w:color w:val="000000"/>
          <w:sz w:val="24"/>
          <w:szCs w:val="24"/>
        </w:rPr>
        <w:t>Aerospace</w:t>
      </w:r>
      <w:r>
        <w:rPr>
          <w:rFonts w:ascii="Calibri" w:eastAsia="Calibri" w:hAnsi="Calibri" w:cs="Calibri"/>
          <w:noProof/>
          <w:color w:val="000000"/>
          <w:sz w:val="24"/>
          <w:szCs w:val="24"/>
        </w:rPr>
        <w:t xml:space="preserve"> </w:t>
      </w:r>
      <w:r>
        <w:rPr>
          <w:rFonts w:ascii="Calibri" w:eastAsia="Calibri" w:hAnsi="Calibri" w:cs="Calibri"/>
          <w:b/>
          <w:noProof/>
          <w:color w:val="000000"/>
          <w:sz w:val="24"/>
          <w:szCs w:val="24"/>
        </w:rPr>
        <w:t>4</w:t>
      </w:r>
      <w:r>
        <w:rPr>
          <w:rFonts w:ascii="Calibri" w:eastAsia="Calibri" w:hAnsi="Calibri" w:cs="Calibri"/>
          <w:noProof/>
          <w:color w:val="000000"/>
          <w:sz w:val="24"/>
          <w:szCs w:val="24"/>
        </w:rPr>
        <w:t xml:space="preserve">, 42. ISSN 2226-4310 doi: </w:t>
      </w:r>
      <w:hyperlink r:id="rId53" w:history="1">
        <w:r>
          <w:rPr>
            <w:rStyle w:val="Hyperlink"/>
            <w:rFonts w:ascii="Calibri" w:eastAsia="Calibri" w:hAnsi="Calibri" w:cs="Calibri"/>
            <w:noProof/>
            <w:sz w:val="24"/>
            <w:szCs w:val="24"/>
          </w:rPr>
          <w:t>https://doi.org/10.3390/aerospace4030042</w:t>
        </w:r>
      </w:hyperlink>
      <w:r>
        <w:rPr>
          <w:rFonts w:ascii="Calibri" w:eastAsia="Calibri" w:hAnsi="Calibri" w:cs="Calibri"/>
          <w:noProof/>
          <w:color w:val="000000"/>
          <w:sz w:val="24"/>
          <w:szCs w:val="24"/>
        </w:rPr>
        <w:t xml:space="preserve">  </w:t>
      </w:r>
    </w:p>
    <w:p>
      <w:pPr>
        <w:autoSpaceDE w:val="0"/>
        <w:autoSpaceDN w:val="0"/>
        <w:adjustRightInd w:val="0"/>
        <w:spacing w:after="60" w:line="240" w:lineRule="auto"/>
        <w:ind w:left="284" w:hanging="284"/>
        <w:rPr>
          <w:rFonts w:ascii="Calibri" w:eastAsia="Calibri" w:hAnsi="Calibri" w:cs="Calibri"/>
          <w:noProof/>
          <w:sz w:val="24"/>
          <w:szCs w:val="24"/>
          <w:lang w:val="en-US"/>
        </w:rPr>
      </w:pPr>
      <w:r>
        <w:rPr>
          <w:rFonts w:ascii="Calibri" w:eastAsia="Calibri" w:hAnsi="Calibri" w:cs="Calibri"/>
          <w:noProof/>
          <w:sz w:val="24"/>
          <w:szCs w:val="24"/>
          <w:lang w:val="en-US"/>
        </w:rPr>
        <w:t>Matthes, S., Grewe, V., Linke, F., Shine, K. Lim, L. and Stromatas, S. (2018) Final Project Results Report ATM4E H2020-SESAR-2015-1</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Meerkötter, R. Schumann, U., Dölling D.R., Minnis P., Nakajima T. &amp; Tsushima Y. (1999). Radiative Forcing by Contrails. Annales Geophysicae. 17. 1080-1094. 10.1007/s00585-999-1080-7.</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Miller M., Brook P. and Eyers C. (2010) Sulphur reduction in aviation fuel. EASA research project EASA.2008/C11, European Aviation Safety Agency.</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Myhre G., Nilsen J. S., Gulstad L., Shine K. P., Rognerud B. and Isaksen I. S. A. (2007) Radiative forcing due to stratospheric water vapor from CH</w:t>
      </w:r>
      <w:r>
        <w:rPr>
          <w:rFonts w:ascii="Calibri" w:eastAsia="Times New Roman" w:hAnsi="Calibri" w:cs="Calibri"/>
          <w:noProof/>
          <w:spacing w:val="-8"/>
          <w:sz w:val="24"/>
          <w:szCs w:val="24"/>
          <w:vertAlign w:val="subscript"/>
        </w:rPr>
        <w:t>4</w:t>
      </w:r>
      <w:r>
        <w:rPr>
          <w:rFonts w:ascii="Calibri" w:eastAsia="Times New Roman" w:hAnsi="Calibri" w:cs="Calibri"/>
          <w:noProof/>
          <w:spacing w:val="-8"/>
          <w:sz w:val="24"/>
          <w:szCs w:val="24"/>
        </w:rPr>
        <w:t xml:space="preserve"> oxidation. </w:t>
      </w:r>
      <w:r>
        <w:rPr>
          <w:rFonts w:ascii="Calibri" w:eastAsia="Times New Roman" w:hAnsi="Calibri" w:cs="Calibri"/>
          <w:i/>
          <w:noProof/>
          <w:spacing w:val="-8"/>
          <w:sz w:val="24"/>
          <w:szCs w:val="24"/>
        </w:rPr>
        <w:t>Geophys. Res. Lett.</w:t>
      </w:r>
      <w:r>
        <w:rPr>
          <w:rFonts w:ascii="Calibri" w:eastAsia="Times New Roman" w:hAnsi="Calibri" w:cs="Calibri"/>
          <w:noProof/>
          <w:spacing w:val="-8"/>
          <w:sz w:val="24"/>
          <w:szCs w:val="24"/>
        </w:rPr>
        <w:t xml:space="preserve"> </w:t>
      </w:r>
      <w:r>
        <w:rPr>
          <w:rFonts w:ascii="Calibri" w:eastAsia="Times New Roman" w:hAnsi="Calibri" w:cs="Calibri"/>
          <w:b/>
          <w:noProof/>
          <w:spacing w:val="-8"/>
          <w:sz w:val="24"/>
          <w:szCs w:val="24"/>
        </w:rPr>
        <w:t>34</w:t>
      </w:r>
      <w:r>
        <w:rPr>
          <w:rFonts w:ascii="Calibri" w:eastAsia="Times New Roman" w:hAnsi="Calibri" w:cs="Calibri"/>
          <w:noProof/>
          <w:spacing w:val="-8"/>
          <w:sz w:val="24"/>
          <w:szCs w:val="24"/>
        </w:rPr>
        <w:t>, L01807.</w:t>
      </w:r>
    </w:p>
    <w:p>
      <w:pPr>
        <w:autoSpaceDE w:val="0"/>
        <w:autoSpaceDN w:val="0"/>
        <w:adjustRightInd w:val="0"/>
        <w:spacing w:after="60" w:line="240" w:lineRule="auto"/>
        <w:ind w:left="284" w:hanging="284"/>
        <w:rPr>
          <w:noProof/>
        </w:rPr>
      </w:pPr>
      <w:r>
        <w:rPr>
          <w:noProof/>
        </w:rPr>
        <w:t xml:space="preserve">Myhre G., </w:t>
      </w:r>
      <w:r>
        <w:rPr>
          <w:bCs/>
          <w:iCs/>
          <w:noProof/>
        </w:rPr>
        <w:t>Kvalevåg</w:t>
      </w:r>
      <w:r>
        <w:rPr>
          <w:noProof/>
        </w:rPr>
        <w:t xml:space="preserve"> M.</w:t>
      </w:r>
      <w:r>
        <w:rPr>
          <w:bCs/>
          <w:iCs/>
          <w:noProof/>
        </w:rPr>
        <w:t xml:space="preserve">, Rädel G., Cook J., Shine K. P., Clark H., Karcher F., Markowicz K., Kardas A., Wolkenberg P., Balkanski Y., Ponater M., Forster P., Rap A., de Leon R. R. (2009) </w:t>
      </w:r>
      <w:r>
        <w:rPr>
          <w:iCs/>
          <w:noProof/>
        </w:rPr>
        <w:t xml:space="preserve"> </w:t>
      </w:r>
      <w:r>
        <w:rPr>
          <w:noProof/>
        </w:rPr>
        <w:t>Intercomparison of radiative forcing calculations of stratospheric water vapour and contrails. </w:t>
      </w:r>
      <w:r>
        <w:rPr>
          <w:i/>
          <w:iCs/>
          <w:noProof/>
        </w:rPr>
        <w:t>Meteorol. Z.</w:t>
      </w:r>
      <w:r>
        <w:rPr>
          <w:noProof/>
        </w:rPr>
        <w:t> 18, 585–596.</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Myhre G., Shindell D., Breon F.-M., Collins W., Fuglestvedt J., Huang J., Koch D., Lamarque J.-F., Lee D., Mendoza B., Nakajima T., Robock A., Stephens G., Takemura T. and Zhang H. (2013) Anthropogenic and Natural Radiative Forcing. In ‘</w:t>
      </w:r>
      <w:r>
        <w:rPr>
          <w:rFonts w:ascii="Calibri" w:eastAsia="Times New Roman" w:hAnsi="Calibri" w:cs="Calibri"/>
          <w:i/>
          <w:noProof/>
          <w:spacing w:val="-8"/>
          <w:sz w:val="24"/>
          <w:szCs w:val="24"/>
        </w:rPr>
        <w:t>Climate Change 2013: The Physical Science Basis</w:t>
      </w:r>
      <w:r>
        <w:rPr>
          <w:rFonts w:ascii="Calibri" w:eastAsia="Times New Roman" w:hAnsi="Calibri" w:cs="Calibri"/>
          <w:noProof/>
          <w:spacing w:val="-8"/>
          <w:sz w:val="24"/>
          <w:szCs w:val="24"/>
        </w:rPr>
        <w:t xml:space="preserve">’. Contribution of Working Group I to the Fifth Assessment Report of the Intergovernmental Panel on Climate Change. Cambridge University Press, Cambridge, United Kingdom and New York, NY, USA. </w:t>
      </w:r>
    </w:p>
    <w:p>
      <w:pPr>
        <w:autoSpaceDE w:val="0"/>
        <w:autoSpaceDN w:val="0"/>
        <w:adjustRightInd w:val="0"/>
        <w:spacing w:after="60" w:line="240" w:lineRule="auto"/>
        <w:ind w:left="284" w:hanging="284"/>
        <w:rPr>
          <w:rFonts w:ascii="Calibri" w:eastAsia="Calibri" w:hAnsi="Calibri" w:cs="Calibri"/>
          <w:noProof/>
          <w:sz w:val="24"/>
          <w:szCs w:val="24"/>
        </w:rPr>
      </w:pPr>
      <w:r>
        <w:rPr>
          <w:rFonts w:ascii="Calibri" w:eastAsia="Calibri" w:hAnsi="Calibri" w:cs="Calibri"/>
          <w:noProof/>
          <w:sz w:val="24"/>
          <w:szCs w:val="24"/>
        </w:rPr>
        <w:t xml:space="preserve">Niklaß, M. et al., (2019). </w:t>
      </w:r>
      <w:r>
        <w:rPr>
          <w:rFonts w:ascii="Calibri" w:eastAsia="Calibri" w:hAnsi="Calibri" w:cs="Calibri"/>
          <w:i/>
          <w:iCs/>
          <w:noProof/>
          <w:sz w:val="24"/>
          <w:szCs w:val="24"/>
        </w:rPr>
        <w:t xml:space="preserve">Integration of Non-CO2 effects of aviation in the EU ETS and under CORSIA, </w:t>
      </w:r>
      <w:r>
        <w:rPr>
          <w:rFonts w:ascii="Calibri" w:eastAsia="Calibri" w:hAnsi="Calibri" w:cs="Calibri"/>
          <w:noProof/>
          <w:sz w:val="24"/>
          <w:szCs w:val="24"/>
        </w:rPr>
        <w:t>Dessau-Roßlau: Umweltbundesamt.</w:t>
      </w:r>
    </w:p>
    <w:p>
      <w:pPr>
        <w:autoSpaceDE w:val="0"/>
        <w:autoSpaceDN w:val="0"/>
        <w:adjustRightInd w:val="0"/>
        <w:spacing w:after="60" w:line="240" w:lineRule="auto"/>
        <w:ind w:left="284" w:hanging="284"/>
        <w:rPr>
          <w:rFonts w:ascii="Calibri" w:eastAsia="Calibri" w:hAnsi="Calibri" w:cs="Calibri"/>
          <w:noProof/>
          <w:sz w:val="24"/>
          <w:szCs w:val="24"/>
        </w:rPr>
      </w:pPr>
      <w:r>
        <w:rPr>
          <w:rFonts w:ascii="Calibri" w:eastAsia="Calibri" w:hAnsi="Calibri" w:cs="Calibri"/>
          <w:noProof/>
          <w:sz w:val="24"/>
          <w:szCs w:val="24"/>
        </w:rPr>
        <w:t xml:space="preserve">Norwegian Government, (2018). </w:t>
      </w:r>
      <w:r>
        <w:rPr>
          <w:rFonts w:ascii="Calibri" w:eastAsia="Calibri" w:hAnsi="Calibri" w:cs="Calibri"/>
          <w:i/>
          <w:iCs/>
          <w:noProof/>
          <w:sz w:val="24"/>
          <w:szCs w:val="24"/>
        </w:rPr>
        <w:t xml:space="preserve">Luftfarten skal bruke 0,5 prosent avansert biodrivstoff fra 2020. </w:t>
      </w:r>
      <w:hyperlink r:id="rId54" w:history="1">
        <w:r>
          <w:rPr>
            <w:rStyle w:val="Hyperlink"/>
            <w:rFonts w:ascii="Calibri" w:eastAsia="Calibri" w:hAnsi="Calibri" w:cs="Calibri"/>
            <w:noProof/>
            <w:sz w:val="24"/>
            <w:szCs w:val="24"/>
          </w:rPr>
          <w:t>www.regjeringen.no/no/aktuelt/biodrivstoff-i-luftfarten/id2613122/</w:t>
        </w:r>
      </w:hyperlink>
      <w:r>
        <w:rPr>
          <w:rFonts w:ascii="Calibri" w:eastAsia="Calibri" w:hAnsi="Calibri" w:cs="Calibri"/>
          <w:noProof/>
          <w:sz w:val="24"/>
          <w:szCs w:val="24"/>
          <w:u w:val="single"/>
        </w:rPr>
        <w:t xml:space="preserve"> </w:t>
      </w:r>
      <w:r>
        <w:rPr>
          <w:rFonts w:ascii="Calibri" w:eastAsia="Calibri" w:hAnsi="Calibri" w:cs="Calibri"/>
          <w:noProof/>
          <w:sz w:val="24"/>
          <w:szCs w:val="24"/>
        </w:rPr>
        <w:t>[Accessed February 2020].</w:t>
      </w:r>
    </w:p>
    <w:p>
      <w:pPr>
        <w:autoSpaceDE w:val="0"/>
        <w:autoSpaceDN w:val="0"/>
        <w:adjustRightInd w:val="0"/>
        <w:spacing w:after="60" w:line="240" w:lineRule="auto"/>
        <w:ind w:left="284" w:hanging="284"/>
        <w:rPr>
          <w:rFonts w:ascii="Calibri" w:eastAsia="Calibri" w:hAnsi="Calibri" w:cs="Calibri"/>
          <w:noProof/>
          <w:sz w:val="24"/>
          <w:szCs w:val="24"/>
          <w:lang w:val="en-US"/>
        </w:rPr>
      </w:pPr>
      <w:r>
        <w:rPr>
          <w:rFonts w:ascii="Calibri" w:eastAsia="Calibri" w:hAnsi="Calibri" w:cs="Calibri"/>
          <w:noProof/>
          <w:sz w:val="24"/>
          <w:szCs w:val="24"/>
          <w:lang w:val="en-US"/>
        </w:rPr>
        <w:t xml:space="preserve">Olsen S. C., Brasseur G. P., Wuebbles D. W., Barratt S. R. H., Dang H., Eastham S. D., Jacobson M. Z., Khodayari A., Selkirk H., Sokolov A. and Unger N. (2013) Comparison of model estimates of the effects of aviation emissions on atmospheric ozone and methane. Geophys. Res. Lett. 40, 6004 – 6009. </w:t>
      </w:r>
    </w:p>
    <w:p>
      <w:pPr>
        <w:autoSpaceDE w:val="0"/>
        <w:autoSpaceDN w:val="0"/>
        <w:adjustRightInd w:val="0"/>
        <w:spacing w:after="60" w:line="240" w:lineRule="auto"/>
        <w:ind w:left="284" w:hanging="284"/>
        <w:rPr>
          <w:rFonts w:ascii="Calibri" w:eastAsia="Calibri" w:hAnsi="Calibri" w:cs="Calibri"/>
          <w:noProof/>
          <w:sz w:val="24"/>
          <w:szCs w:val="24"/>
        </w:rPr>
      </w:pPr>
      <w:r>
        <w:rPr>
          <w:rFonts w:ascii="Calibri" w:eastAsia="Calibri" w:hAnsi="Calibri" w:cs="Calibri"/>
          <w:noProof/>
          <w:sz w:val="24"/>
          <w:szCs w:val="24"/>
        </w:rPr>
        <w:t>Petzold A., and 17 others (2015) Global-scale atmosphere monitoring by in-service aircraft -current achievements and future prospects of the European Research Infrastructure IAGOS. Tellus B, 67, 28452.</w:t>
      </w:r>
    </w:p>
    <w:p>
      <w:pPr>
        <w:autoSpaceDE w:val="0"/>
        <w:autoSpaceDN w:val="0"/>
        <w:adjustRightInd w:val="0"/>
        <w:spacing w:after="60" w:line="240" w:lineRule="auto"/>
        <w:ind w:left="284" w:hanging="284"/>
        <w:rPr>
          <w:rFonts w:ascii="Calibri" w:eastAsia="Calibri" w:hAnsi="Calibri" w:cs="Calibri"/>
          <w:noProof/>
          <w:sz w:val="24"/>
          <w:szCs w:val="24"/>
          <w:lang w:val="en-US"/>
        </w:rPr>
      </w:pPr>
      <w:r>
        <w:rPr>
          <w:rFonts w:ascii="Calibri" w:eastAsia="Calibri" w:hAnsi="Calibri" w:cs="Calibri"/>
          <w:noProof/>
          <w:sz w:val="24"/>
          <w:szCs w:val="24"/>
          <w:lang w:val="en-US"/>
        </w:rPr>
        <w:t xml:space="preserve">Petzold A., Gysel M., Vancassel X., Hitzenberger R., Puxbaum H., Vrochticky S., Weingartner E., Baltensperger U. and Mirabel, P. (2005) On the effects of organic matter and sulphur-containing compounds on the CCN activation of combustion particles. </w:t>
      </w:r>
      <w:r>
        <w:rPr>
          <w:rFonts w:ascii="Calibri" w:eastAsia="Calibri" w:hAnsi="Calibri" w:cs="Calibri"/>
          <w:i/>
          <w:noProof/>
          <w:sz w:val="24"/>
          <w:szCs w:val="24"/>
          <w:lang w:val="en-US"/>
        </w:rPr>
        <w:t>Atmos. Chem. Phys.</w:t>
      </w:r>
      <w:r>
        <w:rPr>
          <w:rFonts w:ascii="Calibri" w:eastAsia="Calibri" w:hAnsi="Calibri" w:cs="Calibri"/>
          <w:noProof/>
          <w:sz w:val="24"/>
          <w:szCs w:val="24"/>
          <w:lang w:val="en-US"/>
        </w:rPr>
        <w:t xml:space="preserve"> </w:t>
      </w:r>
      <w:r>
        <w:rPr>
          <w:rFonts w:ascii="Calibri" w:eastAsia="Calibri" w:hAnsi="Calibri" w:cs="Calibri"/>
          <w:b/>
          <w:noProof/>
          <w:sz w:val="24"/>
          <w:szCs w:val="24"/>
          <w:lang w:val="en-US"/>
        </w:rPr>
        <w:t>5</w:t>
      </w:r>
      <w:r>
        <w:rPr>
          <w:rFonts w:ascii="Calibri" w:eastAsia="Calibri" w:hAnsi="Calibri" w:cs="Calibri"/>
          <w:noProof/>
          <w:sz w:val="24"/>
          <w:szCs w:val="24"/>
          <w:lang w:val="en-US"/>
        </w:rPr>
        <w:t>, 3187–3203.</w:t>
      </w:r>
    </w:p>
    <w:p>
      <w:pPr>
        <w:autoSpaceDE w:val="0"/>
        <w:autoSpaceDN w:val="0"/>
        <w:adjustRightInd w:val="0"/>
        <w:spacing w:after="60" w:line="240" w:lineRule="auto"/>
        <w:ind w:left="284" w:hanging="284"/>
        <w:rPr>
          <w:rFonts w:ascii="Calibri" w:eastAsia="Calibri" w:hAnsi="Calibri" w:cs="Calibri"/>
          <w:noProof/>
          <w:sz w:val="24"/>
          <w:szCs w:val="24"/>
        </w:rPr>
      </w:pPr>
      <w:r>
        <w:rPr>
          <w:rFonts w:ascii="Calibri" w:eastAsia="Calibri" w:hAnsi="Calibri" w:cs="Calibri"/>
          <w:noProof/>
          <w:sz w:val="24"/>
          <w:szCs w:val="24"/>
        </w:rPr>
        <w:t>Pitari G., Iachetti D., Genova G., De Luca N., Søvde O. A., Hodnebrog Ø., Lee D. S. &amp; Lim, L. L. (2015) Impact of coupled NO</w:t>
      </w:r>
      <w:r>
        <w:rPr>
          <w:rFonts w:ascii="Calibri" w:eastAsia="Calibri" w:hAnsi="Calibri" w:cs="Calibri"/>
          <w:noProof/>
          <w:sz w:val="24"/>
          <w:szCs w:val="24"/>
          <w:vertAlign w:val="subscript"/>
        </w:rPr>
        <w:t>x</w:t>
      </w:r>
      <w:r>
        <w:rPr>
          <w:rFonts w:ascii="Calibri" w:eastAsia="Calibri" w:hAnsi="Calibri" w:cs="Calibri"/>
          <w:noProof/>
          <w:sz w:val="24"/>
          <w:szCs w:val="24"/>
        </w:rPr>
        <w:t xml:space="preserve">/aerosol aircraft emissions on ozone photochemistry and radiative forcing. </w:t>
      </w:r>
      <w:r>
        <w:rPr>
          <w:rFonts w:ascii="Calibri" w:eastAsia="Calibri" w:hAnsi="Calibri" w:cs="Calibri"/>
          <w:i/>
          <w:noProof/>
          <w:sz w:val="24"/>
          <w:szCs w:val="24"/>
        </w:rPr>
        <w:t>Atmosphere</w:t>
      </w:r>
      <w:r>
        <w:rPr>
          <w:rFonts w:ascii="Calibri" w:eastAsia="Calibri" w:hAnsi="Calibri" w:cs="Calibri"/>
          <w:noProof/>
          <w:sz w:val="24"/>
          <w:szCs w:val="24"/>
        </w:rPr>
        <w:t xml:space="preserve"> </w:t>
      </w:r>
      <w:r>
        <w:rPr>
          <w:rFonts w:ascii="Calibri" w:eastAsia="Calibri" w:hAnsi="Calibri" w:cs="Calibri"/>
          <w:b/>
          <w:noProof/>
          <w:sz w:val="24"/>
          <w:szCs w:val="24"/>
        </w:rPr>
        <w:t>6</w:t>
      </w:r>
      <w:r>
        <w:rPr>
          <w:rFonts w:ascii="Calibri" w:eastAsia="Calibri" w:hAnsi="Calibri" w:cs="Calibri"/>
          <w:noProof/>
          <w:sz w:val="24"/>
          <w:szCs w:val="24"/>
        </w:rPr>
        <w:t>, 751-782, doi:10.3390/atmos60x000x</w:t>
      </w:r>
    </w:p>
    <w:p>
      <w:pPr>
        <w:spacing w:after="60" w:line="240" w:lineRule="auto"/>
        <w:ind w:left="284" w:hanging="284"/>
        <w:rPr>
          <w:rFonts w:ascii="Calibri" w:eastAsia="Calibri" w:hAnsi="Calibri" w:cs="Calibri"/>
          <w:noProof/>
          <w:sz w:val="24"/>
          <w:szCs w:val="24"/>
        </w:rPr>
      </w:pPr>
      <w:r>
        <w:rPr>
          <w:rFonts w:ascii="Calibri" w:eastAsia="Calibri" w:hAnsi="Calibri" w:cs="Calibri"/>
          <w:noProof/>
          <w:sz w:val="24"/>
          <w:szCs w:val="24"/>
        </w:rPr>
        <w:t xml:space="preserve">Plohr, M. et al., (2019). </w:t>
      </w:r>
      <w:r>
        <w:rPr>
          <w:rFonts w:ascii="Calibri" w:eastAsia="Calibri" w:hAnsi="Calibri" w:cs="Calibri"/>
          <w:i/>
          <w:iCs/>
          <w:noProof/>
          <w:sz w:val="24"/>
          <w:szCs w:val="24"/>
        </w:rPr>
        <w:t xml:space="preserve">Determination of data required for consideration of non-CO2 effects of aviation in EU ETS and under CORSIA, </w:t>
      </w:r>
      <w:r>
        <w:rPr>
          <w:rFonts w:ascii="Calibri" w:eastAsia="Calibri" w:hAnsi="Calibri" w:cs="Calibri"/>
          <w:noProof/>
          <w:sz w:val="24"/>
          <w:szCs w:val="24"/>
        </w:rPr>
        <w:t>Dessau-Roßlau: Umweltbundesamt.</w:t>
      </w:r>
    </w:p>
    <w:p>
      <w:pPr>
        <w:spacing w:after="60" w:line="240" w:lineRule="auto"/>
        <w:ind w:left="284" w:hanging="284"/>
        <w:rPr>
          <w:rFonts w:ascii="Calibri" w:eastAsia="Calibri" w:hAnsi="Calibri" w:cs="Calibri"/>
          <w:noProof/>
          <w:sz w:val="24"/>
          <w:szCs w:val="24"/>
          <w:u w:val="single"/>
          <w:lang w:val="fr-FR"/>
        </w:rPr>
      </w:pPr>
      <w:r>
        <w:rPr>
          <w:rFonts w:ascii="Calibri" w:eastAsia="Calibri" w:hAnsi="Calibri" w:cs="Calibri"/>
          <w:noProof/>
          <w:sz w:val="24"/>
          <w:szCs w:val="24"/>
        </w:rPr>
        <w:t xml:space="preserve">Ponater M., Pechtl S., Sausen R., Schumann U., Hüttig G. (2006) Potential of the cryoplane technology to reduce aircraft climate impact: A state-of-the-art assessment. </w:t>
      </w:r>
      <w:r>
        <w:rPr>
          <w:rFonts w:ascii="Calibri" w:eastAsia="Calibri" w:hAnsi="Calibri" w:cs="Calibri"/>
          <w:i/>
          <w:noProof/>
          <w:sz w:val="24"/>
          <w:szCs w:val="24"/>
          <w:lang w:val="fr-FR"/>
        </w:rPr>
        <w:t>Atmos. Environ.</w:t>
      </w:r>
      <w:r>
        <w:rPr>
          <w:rFonts w:ascii="Calibri" w:eastAsia="Calibri" w:hAnsi="Calibri" w:cs="Calibri"/>
          <w:noProof/>
          <w:sz w:val="24"/>
          <w:szCs w:val="24"/>
          <w:lang w:val="fr-FR"/>
        </w:rPr>
        <w:t xml:space="preserve"> </w:t>
      </w:r>
      <w:r>
        <w:rPr>
          <w:rFonts w:ascii="Calibri" w:eastAsia="Calibri" w:hAnsi="Calibri" w:cs="Calibri"/>
          <w:b/>
          <w:noProof/>
          <w:sz w:val="24"/>
          <w:szCs w:val="24"/>
          <w:lang w:val="fr-FR"/>
        </w:rPr>
        <w:t>40</w:t>
      </w:r>
      <w:r>
        <w:rPr>
          <w:rFonts w:ascii="Calibri" w:eastAsia="Calibri" w:hAnsi="Calibri" w:cs="Calibri"/>
          <w:noProof/>
          <w:sz w:val="24"/>
          <w:szCs w:val="24"/>
          <w:lang w:val="fr-FR"/>
        </w:rPr>
        <w:t xml:space="preserve">, 6928–6944. </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lang w:val="fr-FR"/>
        </w:rPr>
        <w:t xml:space="preserve">Le Quéré et al. (2018) Global carbon budget 2018. </w:t>
      </w:r>
      <w:r>
        <w:rPr>
          <w:rFonts w:ascii="Calibri" w:eastAsia="Times New Roman" w:hAnsi="Calibri" w:cs="Calibri"/>
          <w:i/>
          <w:noProof/>
          <w:spacing w:val="-8"/>
          <w:sz w:val="24"/>
          <w:szCs w:val="24"/>
          <w:lang w:val="fr-FR"/>
        </w:rPr>
        <w:t xml:space="preserve">Earth Syst. Sci. </w:t>
      </w:r>
      <w:r>
        <w:rPr>
          <w:rFonts w:ascii="Calibri" w:eastAsia="Times New Roman" w:hAnsi="Calibri" w:cs="Calibri"/>
          <w:i/>
          <w:noProof/>
          <w:spacing w:val="-8"/>
          <w:sz w:val="24"/>
          <w:szCs w:val="24"/>
        </w:rPr>
        <w:t>Data</w:t>
      </w:r>
      <w:r>
        <w:rPr>
          <w:rFonts w:ascii="Calibri" w:eastAsia="Times New Roman" w:hAnsi="Calibri" w:cs="Calibri"/>
          <w:noProof/>
          <w:spacing w:val="-8"/>
          <w:sz w:val="24"/>
          <w:szCs w:val="24"/>
        </w:rPr>
        <w:t xml:space="preserve"> 10, 2141–2194, 2018.</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Rädel, G. &amp; Shine, K. P., (2010). Validating ECMWF forecasts for the occurrence of ice supersaturation using visual observations of persistent contrails and radiosonde measurements over England. </w:t>
      </w:r>
      <w:r>
        <w:rPr>
          <w:rFonts w:ascii="Calibri" w:eastAsia="Times New Roman" w:hAnsi="Calibri" w:cs="Calibri"/>
          <w:i/>
          <w:iCs/>
          <w:noProof/>
          <w:spacing w:val="-8"/>
          <w:sz w:val="24"/>
          <w:szCs w:val="24"/>
        </w:rPr>
        <w:t xml:space="preserve">Quarterly Journal of the Royal Meteorological Society, </w:t>
      </w:r>
      <w:r>
        <w:rPr>
          <w:rFonts w:ascii="Calibri" w:eastAsia="Times New Roman" w:hAnsi="Calibri" w:cs="Calibri"/>
          <w:noProof/>
          <w:spacing w:val="-8"/>
          <w:sz w:val="24"/>
          <w:szCs w:val="24"/>
        </w:rPr>
        <w:t>Volume 136, pp. 1723-1732.</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Rap A. Forster P. M., Haywood J. M., Jones A., Boucher O. (2010) Estimating the climate impact of linear contrails using the UK Met Office climate model. </w:t>
      </w:r>
      <w:r>
        <w:rPr>
          <w:rFonts w:ascii="Calibri" w:eastAsia="Times New Roman" w:hAnsi="Calibri" w:cs="Calibri"/>
          <w:i/>
          <w:iCs/>
          <w:noProof/>
          <w:spacing w:val="-8"/>
          <w:sz w:val="24"/>
          <w:szCs w:val="24"/>
        </w:rPr>
        <w:t>Geophys. Res. Lett.</w:t>
      </w:r>
      <w:r>
        <w:rPr>
          <w:rFonts w:ascii="Calibri" w:eastAsia="Times New Roman" w:hAnsi="Calibri" w:cs="Calibri"/>
          <w:noProof/>
          <w:spacing w:val="-8"/>
          <w:sz w:val="24"/>
          <w:szCs w:val="24"/>
        </w:rPr>
        <w:t> </w:t>
      </w:r>
      <w:r>
        <w:rPr>
          <w:rFonts w:ascii="Calibri" w:eastAsia="Times New Roman" w:hAnsi="Calibri" w:cs="Calibri"/>
          <w:b/>
          <w:bCs/>
          <w:noProof/>
          <w:spacing w:val="-8"/>
          <w:sz w:val="24"/>
          <w:szCs w:val="24"/>
        </w:rPr>
        <w:t>37</w:t>
      </w:r>
      <w:r>
        <w:rPr>
          <w:rFonts w:ascii="Calibri" w:eastAsia="Times New Roman" w:hAnsi="Calibri" w:cs="Calibri"/>
          <w:noProof/>
          <w:spacing w:val="-8"/>
          <w:sz w:val="24"/>
          <w:szCs w:val="24"/>
        </w:rPr>
        <w:t xml:space="preserve">, </w:t>
      </w:r>
      <w:r>
        <w:rPr>
          <w:rFonts w:ascii="Calibri" w:eastAsia="Times New Roman" w:hAnsi="Calibri" w:cs="Calibri"/>
          <w:noProof/>
          <w:color w:val="000000"/>
          <w:spacing w:val="-8"/>
          <w:sz w:val="24"/>
          <w:szCs w:val="24"/>
          <w:u w:val="single"/>
        </w:rPr>
        <w:t>doi:10.1029/2010GL045161.</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Righi M., Hendricks J. and Sausen R. (2013) The global impact of the transport sectors on atmospheric aerosol: simulations for year 2000 emissions. </w:t>
      </w:r>
      <w:r>
        <w:rPr>
          <w:rFonts w:ascii="Calibri" w:eastAsia="Times New Roman" w:hAnsi="Calibri" w:cs="Calibri"/>
          <w:i/>
          <w:iCs/>
          <w:noProof/>
          <w:spacing w:val="-8"/>
          <w:sz w:val="24"/>
          <w:szCs w:val="24"/>
        </w:rPr>
        <w:t>Atmos. Chem. Phys.</w:t>
      </w:r>
      <w:r>
        <w:rPr>
          <w:rFonts w:ascii="Calibri" w:eastAsia="Times New Roman" w:hAnsi="Calibri" w:cs="Calibri"/>
          <w:noProof/>
          <w:spacing w:val="-8"/>
          <w:sz w:val="24"/>
          <w:szCs w:val="24"/>
        </w:rPr>
        <w:t xml:space="preserve"> </w:t>
      </w:r>
      <w:r>
        <w:rPr>
          <w:rFonts w:ascii="Calibri" w:eastAsia="Times New Roman" w:hAnsi="Calibri" w:cs="Calibri"/>
          <w:b/>
          <w:noProof/>
          <w:spacing w:val="-8"/>
          <w:sz w:val="24"/>
          <w:szCs w:val="24"/>
        </w:rPr>
        <w:t>13</w:t>
      </w:r>
      <w:r>
        <w:rPr>
          <w:rFonts w:ascii="Calibri" w:eastAsia="Times New Roman" w:hAnsi="Calibri" w:cs="Calibri"/>
          <w:noProof/>
          <w:spacing w:val="-8"/>
          <w:sz w:val="24"/>
          <w:szCs w:val="24"/>
        </w:rPr>
        <w:t>, 9939 – 9970.</w:t>
      </w:r>
    </w:p>
    <w:p>
      <w:pPr>
        <w:spacing w:after="60" w:line="240" w:lineRule="auto"/>
        <w:ind w:left="284" w:hanging="284"/>
        <w:rPr>
          <w:rFonts w:ascii="Calibri" w:eastAsia="Calibri" w:hAnsi="Calibri" w:cs="Calibri"/>
          <w:noProof/>
          <w:sz w:val="24"/>
          <w:szCs w:val="24"/>
        </w:rPr>
      </w:pPr>
      <w:r>
        <w:rPr>
          <w:rFonts w:ascii="Calibri" w:eastAsia="Calibri" w:hAnsi="Calibri" w:cs="Calibri"/>
          <w:noProof/>
          <w:sz w:val="24"/>
          <w:szCs w:val="24"/>
        </w:rPr>
        <w:t xml:space="preserve">Rosenow et al., (2017). </w:t>
      </w:r>
      <w:r>
        <w:rPr>
          <w:rFonts w:ascii="Calibri" w:eastAsia="Calibri" w:hAnsi="Calibri" w:cs="Calibri"/>
          <w:i/>
          <w:iCs/>
          <w:noProof/>
          <w:sz w:val="24"/>
          <w:szCs w:val="24"/>
        </w:rPr>
        <w:t xml:space="preserve">Impact of multi-criteria optimized trajectories on European air traffic density, efficiency and the environment. </w:t>
      </w:r>
      <w:r>
        <w:rPr>
          <w:rFonts w:ascii="Calibri" w:eastAsia="Calibri" w:hAnsi="Calibri" w:cs="Calibri"/>
          <w:noProof/>
          <w:sz w:val="24"/>
          <w:szCs w:val="24"/>
        </w:rPr>
        <w:t>Seattle, 12th USA/Europe Air Traffic Management Research and Development Seminar.</w:t>
      </w:r>
    </w:p>
    <w:p>
      <w:pPr>
        <w:spacing w:after="60" w:line="240" w:lineRule="auto"/>
        <w:ind w:left="284" w:hanging="284"/>
        <w:rPr>
          <w:rFonts w:ascii="Calibri" w:eastAsia="Calibri" w:hAnsi="Calibri" w:cs="Calibri"/>
          <w:noProof/>
          <w:sz w:val="24"/>
          <w:szCs w:val="24"/>
        </w:rPr>
      </w:pPr>
      <w:r>
        <w:rPr>
          <w:rFonts w:ascii="Calibri" w:eastAsia="Calibri" w:hAnsi="Calibri" w:cs="Calibri"/>
          <w:noProof/>
          <w:sz w:val="24"/>
          <w:szCs w:val="24"/>
        </w:rPr>
        <w:t xml:space="preserve">Rosenow, J., Fricke, H., Luchkova, T. &amp; Schultz, M., (2018). Minimizing contrail formation by rerouting around dynamic ice-supersaturated regions. </w:t>
      </w:r>
      <w:r>
        <w:rPr>
          <w:rFonts w:ascii="Calibri" w:eastAsia="Calibri" w:hAnsi="Calibri" w:cs="Calibri"/>
          <w:i/>
          <w:iCs/>
          <w:noProof/>
          <w:sz w:val="24"/>
          <w:szCs w:val="24"/>
        </w:rPr>
        <w:t xml:space="preserve">Aeronautics and Aerospace Open Access Journal, </w:t>
      </w:r>
      <w:r>
        <w:rPr>
          <w:rFonts w:ascii="Calibri" w:eastAsia="Calibri" w:hAnsi="Calibri" w:cs="Calibri"/>
          <w:noProof/>
          <w:sz w:val="24"/>
          <w:szCs w:val="24"/>
        </w:rPr>
        <w:t>2(3).</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Sausen R., Isaksen I., Grewe V., Hauglustaine D., Lee D. S., Myhre G., Köhler M. O., Pitari G., Schumann U., Stordal F., Zerefos C. (2005) Aviation radiative forcing in 2000: An update on IPCC (1999). </w:t>
      </w:r>
      <w:r>
        <w:rPr>
          <w:rFonts w:ascii="Calibri" w:eastAsia="Times New Roman" w:hAnsi="Calibri" w:cs="Calibri"/>
          <w:i/>
          <w:noProof/>
          <w:spacing w:val="-8"/>
          <w:sz w:val="24"/>
          <w:szCs w:val="24"/>
        </w:rPr>
        <w:t>Meteorol. Z.</w:t>
      </w:r>
      <w:r>
        <w:rPr>
          <w:rFonts w:ascii="Calibri" w:eastAsia="Times New Roman" w:hAnsi="Calibri" w:cs="Calibri"/>
          <w:noProof/>
          <w:spacing w:val="-8"/>
          <w:sz w:val="24"/>
          <w:szCs w:val="24"/>
        </w:rPr>
        <w:t xml:space="preserve"> </w:t>
      </w:r>
      <w:r>
        <w:rPr>
          <w:rFonts w:ascii="Calibri" w:eastAsia="Times New Roman" w:hAnsi="Calibri" w:cs="Calibri"/>
          <w:b/>
          <w:noProof/>
          <w:spacing w:val="-8"/>
          <w:sz w:val="24"/>
          <w:szCs w:val="24"/>
        </w:rPr>
        <w:t xml:space="preserve">14, </w:t>
      </w:r>
      <w:r>
        <w:rPr>
          <w:rFonts w:ascii="Calibri" w:eastAsia="Times New Roman" w:hAnsi="Calibri" w:cs="Calibri"/>
          <w:noProof/>
          <w:spacing w:val="-8"/>
          <w:sz w:val="24"/>
          <w:szCs w:val="24"/>
        </w:rPr>
        <w:t>555–561.</w:t>
      </w:r>
    </w:p>
    <w:p>
      <w:pPr>
        <w:spacing w:after="60" w:line="240" w:lineRule="auto"/>
        <w:ind w:left="284" w:hanging="284"/>
        <w:rPr>
          <w:rFonts w:ascii="Calibri" w:eastAsia="Times New Roman" w:hAnsi="Calibri" w:cs="Calibri"/>
          <w:noProof/>
          <w:spacing w:val="-8"/>
          <w:sz w:val="24"/>
          <w:szCs w:val="24"/>
          <w:lang w:val="en-US"/>
        </w:rPr>
      </w:pPr>
      <w:r>
        <w:rPr>
          <w:rFonts w:ascii="Calibri" w:eastAsia="Times New Roman" w:hAnsi="Calibri" w:cs="Calibri"/>
          <w:noProof/>
          <w:spacing w:val="-8"/>
          <w:sz w:val="24"/>
          <w:szCs w:val="24"/>
          <w:lang w:val="en-US"/>
        </w:rPr>
        <w:t>Sausen R. and Schumann U. (2000) Estimates of the climate response to aircraft CO</w:t>
      </w:r>
      <w:r>
        <w:rPr>
          <w:rFonts w:ascii="Calibri" w:eastAsia="Times New Roman" w:hAnsi="Calibri" w:cs="Calibri"/>
          <w:noProof/>
          <w:spacing w:val="-8"/>
          <w:sz w:val="24"/>
          <w:szCs w:val="24"/>
          <w:vertAlign w:val="subscript"/>
          <w:lang w:val="en-US"/>
        </w:rPr>
        <w:t>2</w:t>
      </w:r>
      <w:r>
        <w:rPr>
          <w:rFonts w:ascii="Calibri" w:eastAsia="Times New Roman" w:hAnsi="Calibri" w:cs="Calibri"/>
          <w:noProof/>
          <w:spacing w:val="-8"/>
          <w:sz w:val="24"/>
          <w:szCs w:val="24"/>
          <w:lang w:val="en-US"/>
        </w:rPr>
        <w:t xml:space="preserve"> and NO</w:t>
      </w:r>
      <w:r>
        <w:rPr>
          <w:rFonts w:ascii="Calibri" w:eastAsia="Times New Roman" w:hAnsi="Calibri" w:cs="Calibri"/>
          <w:noProof/>
          <w:spacing w:val="-8"/>
          <w:sz w:val="24"/>
          <w:szCs w:val="24"/>
          <w:vertAlign w:val="subscript"/>
          <w:lang w:val="en-US"/>
        </w:rPr>
        <w:t>x</w:t>
      </w:r>
      <w:r>
        <w:rPr>
          <w:rFonts w:ascii="Calibri" w:eastAsia="Times New Roman" w:hAnsi="Calibri" w:cs="Calibri"/>
          <w:noProof/>
          <w:spacing w:val="-8"/>
          <w:sz w:val="24"/>
          <w:szCs w:val="24"/>
          <w:lang w:val="en-US"/>
        </w:rPr>
        <w:t xml:space="preserve"> emissions scenarios. </w:t>
      </w:r>
      <w:r>
        <w:rPr>
          <w:rFonts w:ascii="Calibri" w:eastAsia="Times New Roman" w:hAnsi="Calibri" w:cs="Calibri"/>
          <w:i/>
          <w:noProof/>
          <w:spacing w:val="-8"/>
          <w:sz w:val="24"/>
          <w:szCs w:val="24"/>
          <w:lang w:val="en-US"/>
        </w:rPr>
        <w:t>Clim. Change</w:t>
      </w:r>
      <w:r>
        <w:rPr>
          <w:rFonts w:ascii="Calibri" w:eastAsia="Times New Roman" w:hAnsi="Calibri" w:cs="Calibri"/>
          <w:noProof/>
          <w:spacing w:val="-8"/>
          <w:sz w:val="24"/>
          <w:szCs w:val="24"/>
          <w:lang w:val="en-US"/>
        </w:rPr>
        <w:t xml:space="preserve"> </w:t>
      </w:r>
      <w:r>
        <w:rPr>
          <w:rFonts w:ascii="Calibri" w:eastAsia="Times New Roman" w:hAnsi="Calibri" w:cs="Calibri"/>
          <w:b/>
          <w:noProof/>
          <w:spacing w:val="-8"/>
          <w:sz w:val="24"/>
          <w:szCs w:val="24"/>
          <w:lang w:val="en-US"/>
        </w:rPr>
        <w:t>44</w:t>
      </w:r>
      <w:r>
        <w:rPr>
          <w:rFonts w:ascii="Calibri" w:eastAsia="Times New Roman" w:hAnsi="Calibri" w:cs="Calibri"/>
          <w:noProof/>
          <w:spacing w:val="-8"/>
          <w:sz w:val="24"/>
          <w:szCs w:val="24"/>
          <w:lang w:val="en-US"/>
        </w:rPr>
        <w:t>, 27–58.</w:t>
      </w:r>
    </w:p>
    <w:p>
      <w:pPr>
        <w:autoSpaceDE w:val="0"/>
        <w:autoSpaceDN w:val="0"/>
        <w:adjustRightInd w:val="0"/>
        <w:spacing w:after="60" w:line="240" w:lineRule="auto"/>
        <w:ind w:left="284" w:hanging="284"/>
        <w:rPr>
          <w:rFonts w:ascii="Calibri" w:eastAsia="Calibri" w:hAnsi="Calibri" w:cs="Calibri"/>
          <w:noProof/>
          <w:sz w:val="24"/>
          <w:szCs w:val="24"/>
        </w:rPr>
      </w:pPr>
      <w:r>
        <w:rPr>
          <w:rFonts w:ascii="Calibri" w:eastAsia="Calibri" w:hAnsi="Calibri" w:cs="Calibri"/>
          <w:noProof/>
          <w:sz w:val="24"/>
          <w:szCs w:val="24"/>
        </w:rPr>
        <w:t xml:space="preserve">Scheelhaase, J. D., (2019). How to regulate aviation's full climate impact as intented by the EU council from 2020 onwards. </w:t>
      </w:r>
      <w:r>
        <w:rPr>
          <w:rFonts w:ascii="Calibri" w:eastAsia="Calibri" w:hAnsi="Calibri" w:cs="Calibri"/>
          <w:i/>
          <w:iCs/>
          <w:noProof/>
          <w:sz w:val="24"/>
          <w:szCs w:val="24"/>
        </w:rPr>
        <w:t xml:space="preserve">Journal of Air Transport Management, </w:t>
      </w:r>
      <w:r>
        <w:rPr>
          <w:rFonts w:ascii="Calibri" w:eastAsia="Calibri" w:hAnsi="Calibri" w:cs="Calibri"/>
          <w:noProof/>
          <w:sz w:val="24"/>
          <w:szCs w:val="24"/>
        </w:rPr>
        <w:t>Volume 75, pp. 68-74.</w:t>
      </w:r>
    </w:p>
    <w:p>
      <w:pPr>
        <w:autoSpaceDE w:val="0"/>
        <w:autoSpaceDN w:val="0"/>
        <w:adjustRightInd w:val="0"/>
        <w:spacing w:after="60" w:line="240" w:lineRule="auto"/>
        <w:ind w:left="284" w:hanging="284"/>
        <w:rPr>
          <w:rFonts w:ascii="Calibri" w:eastAsia="Calibri" w:hAnsi="Calibri" w:cs="Calibri"/>
          <w:noProof/>
          <w:sz w:val="24"/>
          <w:szCs w:val="24"/>
          <w:lang w:val="en-US"/>
        </w:rPr>
      </w:pPr>
      <w:r>
        <w:rPr>
          <w:rFonts w:ascii="Calibri" w:eastAsia="Calibri" w:hAnsi="Calibri" w:cs="Calibri"/>
          <w:noProof/>
          <w:sz w:val="24"/>
          <w:szCs w:val="24"/>
          <w:lang w:val="en-US"/>
        </w:rPr>
        <w:t xml:space="preserve">Schumann U. (1996) On conditions for contrail formation from aircraft exhausts. </w:t>
      </w:r>
      <w:r>
        <w:rPr>
          <w:rFonts w:ascii="Calibri" w:eastAsia="Calibri" w:hAnsi="Calibri" w:cs="Calibri"/>
          <w:i/>
          <w:noProof/>
          <w:sz w:val="24"/>
          <w:szCs w:val="24"/>
          <w:lang w:val="en-US"/>
        </w:rPr>
        <w:t>Meteorol. Z.</w:t>
      </w:r>
      <w:r>
        <w:rPr>
          <w:rFonts w:ascii="Calibri" w:eastAsia="Calibri" w:hAnsi="Calibri" w:cs="Calibri"/>
          <w:noProof/>
          <w:sz w:val="24"/>
          <w:szCs w:val="24"/>
          <w:lang w:val="en-US"/>
        </w:rPr>
        <w:t xml:space="preserve"> </w:t>
      </w:r>
      <w:r>
        <w:rPr>
          <w:rFonts w:ascii="Calibri" w:eastAsia="Calibri" w:hAnsi="Calibri" w:cs="Calibri"/>
          <w:b/>
          <w:noProof/>
          <w:sz w:val="24"/>
          <w:szCs w:val="24"/>
          <w:lang w:val="en-US"/>
        </w:rPr>
        <w:t>5</w:t>
      </w:r>
      <w:r>
        <w:rPr>
          <w:rFonts w:ascii="Calibri" w:eastAsia="Calibri" w:hAnsi="Calibri" w:cs="Calibri"/>
          <w:noProof/>
          <w:sz w:val="24"/>
          <w:szCs w:val="24"/>
          <w:lang w:val="en-US"/>
        </w:rPr>
        <w:t>, 4–23.</w:t>
      </w:r>
    </w:p>
    <w:p>
      <w:pPr>
        <w:autoSpaceDE w:val="0"/>
        <w:autoSpaceDN w:val="0"/>
        <w:adjustRightInd w:val="0"/>
        <w:spacing w:after="60" w:line="240" w:lineRule="auto"/>
        <w:ind w:left="284" w:hanging="284"/>
        <w:rPr>
          <w:rFonts w:ascii="Calibri" w:eastAsia="Calibri" w:hAnsi="Calibri" w:cs="Calibri"/>
          <w:noProof/>
          <w:sz w:val="24"/>
          <w:szCs w:val="24"/>
          <w:lang w:val="en-US"/>
        </w:rPr>
      </w:pPr>
      <w:r>
        <w:rPr>
          <w:rFonts w:ascii="Calibri" w:eastAsia="Calibri" w:hAnsi="Calibri" w:cs="Calibri"/>
          <w:noProof/>
          <w:sz w:val="24"/>
          <w:szCs w:val="24"/>
          <w:lang w:val="en-US"/>
        </w:rPr>
        <w:t>Schumann U. (2002) Contrail cirrus. In: Lynch, D.K., Sassen, K., Starr, D.O’C, Stephens, G. (Eds), Cirrus. Oxford University Press, pp. 231–255.</w:t>
      </w:r>
    </w:p>
    <w:p>
      <w:pPr>
        <w:autoSpaceDE w:val="0"/>
        <w:autoSpaceDN w:val="0"/>
        <w:adjustRightInd w:val="0"/>
        <w:spacing w:after="60" w:line="240" w:lineRule="auto"/>
        <w:ind w:left="284" w:hanging="284"/>
        <w:rPr>
          <w:rFonts w:ascii="Calibri" w:eastAsia="Calibri" w:hAnsi="Calibri" w:cs="Calibri"/>
          <w:noProof/>
          <w:sz w:val="24"/>
          <w:szCs w:val="24"/>
          <w:lang w:val="en-US"/>
        </w:rPr>
      </w:pPr>
      <w:r>
        <w:rPr>
          <w:rFonts w:ascii="Calibri" w:eastAsia="Calibri" w:hAnsi="Calibri" w:cs="Calibri"/>
          <w:noProof/>
          <w:sz w:val="24"/>
          <w:szCs w:val="24"/>
          <w:lang w:val="en-US"/>
        </w:rPr>
        <w:t xml:space="preserve">Schumann U. and Graf K. (2013) Aviation-induced cirrus and radiation changes at diurnal timescales. </w:t>
      </w:r>
      <w:r>
        <w:rPr>
          <w:rFonts w:ascii="Calibri" w:eastAsia="Calibri" w:hAnsi="Calibri" w:cs="Calibri"/>
          <w:i/>
          <w:iCs/>
          <w:noProof/>
          <w:sz w:val="24"/>
          <w:szCs w:val="24"/>
          <w:lang w:val="en-US"/>
        </w:rPr>
        <w:t>J. Geophys. Res.</w:t>
      </w:r>
      <w:r>
        <w:rPr>
          <w:rFonts w:ascii="Calibri" w:eastAsia="Calibri" w:hAnsi="Calibri" w:cs="Calibri"/>
          <w:noProof/>
          <w:sz w:val="24"/>
          <w:szCs w:val="24"/>
          <w:lang w:val="en-US"/>
        </w:rPr>
        <w:t xml:space="preserve"> </w:t>
      </w:r>
      <w:r>
        <w:rPr>
          <w:rFonts w:ascii="Calibri" w:eastAsia="Calibri" w:hAnsi="Calibri" w:cs="Calibri"/>
          <w:b/>
          <w:bCs/>
          <w:noProof/>
          <w:sz w:val="24"/>
          <w:szCs w:val="24"/>
          <w:lang w:val="en-US"/>
        </w:rPr>
        <w:t>118</w:t>
      </w:r>
      <w:r>
        <w:rPr>
          <w:rFonts w:ascii="Calibri" w:eastAsia="Calibri" w:hAnsi="Calibri" w:cs="Calibri"/>
          <w:noProof/>
          <w:sz w:val="24"/>
          <w:szCs w:val="24"/>
          <w:lang w:val="en-US"/>
        </w:rPr>
        <w:t>, 2404-2421.</w:t>
      </w:r>
    </w:p>
    <w:p>
      <w:pPr>
        <w:spacing w:after="60" w:line="240" w:lineRule="auto"/>
        <w:ind w:left="284" w:hanging="284"/>
        <w:rPr>
          <w:rFonts w:ascii="Calibri" w:eastAsia="Times New Roman" w:hAnsi="Calibri" w:cs="Calibri"/>
          <w:bCs/>
          <w:noProof/>
          <w:spacing w:val="-8"/>
          <w:sz w:val="24"/>
          <w:szCs w:val="24"/>
        </w:rPr>
      </w:pPr>
      <w:r>
        <w:rPr>
          <w:rFonts w:ascii="Calibri" w:eastAsia="Times New Roman" w:hAnsi="Calibri" w:cs="Calibri"/>
          <w:noProof/>
          <w:spacing w:val="-8"/>
          <w:sz w:val="24"/>
          <w:szCs w:val="24"/>
          <w:lang w:val="en-US"/>
        </w:rPr>
        <w:t xml:space="preserve">Schumann U. and Mayer B. (2017) </w:t>
      </w:r>
      <w:r>
        <w:rPr>
          <w:rFonts w:ascii="Calibri" w:eastAsia="Times New Roman" w:hAnsi="Calibri" w:cs="Calibri"/>
          <w:bCs/>
          <w:noProof/>
          <w:spacing w:val="-8"/>
          <w:sz w:val="24"/>
          <w:szCs w:val="24"/>
        </w:rPr>
        <w:t>Sensitivity of surface temperature to radiative forcing by contrail cirrus in a radiative-mixing model. Atmos. Chem. Phys., 17, 13833-13848</w:t>
      </w:r>
    </w:p>
    <w:p>
      <w:pPr>
        <w:spacing w:after="60" w:line="240" w:lineRule="auto"/>
        <w:ind w:left="284" w:hanging="284"/>
        <w:rPr>
          <w:rFonts w:ascii="Calibri" w:eastAsia="Times New Roman" w:hAnsi="Calibri" w:cs="Calibri"/>
          <w:noProof/>
          <w:spacing w:val="-8"/>
          <w:sz w:val="24"/>
          <w:szCs w:val="24"/>
          <w:lang w:val="en-US"/>
        </w:rPr>
      </w:pPr>
      <w:r>
        <w:rPr>
          <w:rFonts w:ascii="Calibri" w:eastAsia="Times New Roman" w:hAnsi="Calibri" w:cs="Calibri"/>
          <w:noProof/>
          <w:spacing w:val="-8"/>
          <w:sz w:val="24"/>
          <w:szCs w:val="24"/>
          <w:lang w:val="en-US"/>
        </w:rPr>
        <w:t xml:space="preserve">Schumann U., Penner J. E., Chen Y., Zhou C. and Graf K. (2015) Dehydration effects from contrails in a coupled contrail-climate model, </w:t>
      </w:r>
      <w:r>
        <w:rPr>
          <w:rFonts w:ascii="Calibri" w:eastAsia="Times New Roman" w:hAnsi="Calibri" w:cs="Calibri"/>
          <w:i/>
          <w:noProof/>
          <w:spacing w:val="-8"/>
          <w:sz w:val="24"/>
          <w:szCs w:val="24"/>
          <w:lang w:val="en-US"/>
        </w:rPr>
        <w:t>Atmos. Chem. Phys.</w:t>
      </w:r>
      <w:r>
        <w:rPr>
          <w:rFonts w:ascii="Calibri" w:eastAsia="Times New Roman" w:hAnsi="Calibri" w:cs="Calibri"/>
          <w:noProof/>
          <w:spacing w:val="-8"/>
          <w:sz w:val="24"/>
          <w:szCs w:val="24"/>
          <w:lang w:val="en-US"/>
        </w:rPr>
        <w:t xml:space="preserve"> </w:t>
      </w:r>
      <w:r>
        <w:rPr>
          <w:rFonts w:ascii="Calibri" w:eastAsia="Times New Roman" w:hAnsi="Calibri" w:cs="Calibri"/>
          <w:b/>
          <w:noProof/>
          <w:spacing w:val="-8"/>
          <w:sz w:val="24"/>
          <w:szCs w:val="24"/>
          <w:lang w:val="en-US"/>
        </w:rPr>
        <w:t>15</w:t>
      </w:r>
      <w:r>
        <w:rPr>
          <w:rFonts w:ascii="Calibri" w:eastAsia="Times New Roman" w:hAnsi="Calibri" w:cs="Calibri"/>
          <w:noProof/>
          <w:spacing w:val="-8"/>
          <w:sz w:val="24"/>
          <w:szCs w:val="24"/>
          <w:lang w:val="en-US"/>
        </w:rPr>
        <w:t xml:space="preserve">, 11179–11199. </w:t>
      </w:r>
    </w:p>
    <w:p>
      <w:pPr>
        <w:spacing w:after="60" w:line="240" w:lineRule="auto"/>
        <w:ind w:left="284" w:hanging="284"/>
        <w:rPr>
          <w:rFonts w:ascii="Calibri" w:eastAsia="Times New Roman" w:hAnsi="Calibri" w:cs="Calibri"/>
          <w:noProof/>
          <w:spacing w:val="-8"/>
          <w:sz w:val="24"/>
          <w:szCs w:val="24"/>
          <w:lang w:val="en-US"/>
        </w:rPr>
      </w:pPr>
      <w:r>
        <w:rPr>
          <w:rFonts w:ascii="Calibri" w:eastAsia="Times New Roman" w:hAnsi="Calibri" w:cs="Calibri"/>
          <w:noProof/>
          <w:spacing w:val="-8"/>
          <w:sz w:val="24"/>
          <w:szCs w:val="24"/>
          <w:lang w:val="en-US"/>
        </w:rPr>
        <w:t xml:space="preserve">Sehra A. K. and Whiltlow, W. (2004) Propulsion and power for 21st century aviation. </w:t>
      </w:r>
      <w:r>
        <w:rPr>
          <w:rFonts w:ascii="Calibri" w:eastAsia="Times New Roman" w:hAnsi="Calibri" w:cs="Calibri"/>
          <w:i/>
          <w:noProof/>
          <w:spacing w:val="-8"/>
          <w:sz w:val="24"/>
          <w:szCs w:val="24"/>
          <w:lang w:val="en-US"/>
        </w:rPr>
        <w:t xml:space="preserve">Prog. Aerospace Sci. </w:t>
      </w:r>
      <w:r>
        <w:rPr>
          <w:rFonts w:ascii="Calibri" w:eastAsia="Times New Roman" w:hAnsi="Calibri" w:cs="Calibri"/>
          <w:b/>
          <w:noProof/>
          <w:spacing w:val="-8"/>
          <w:sz w:val="24"/>
          <w:szCs w:val="24"/>
          <w:lang w:val="en-US"/>
        </w:rPr>
        <w:t>40</w:t>
      </w:r>
      <w:r>
        <w:rPr>
          <w:rFonts w:ascii="Calibri" w:eastAsia="Times New Roman" w:hAnsi="Calibri" w:cs="Calibri"/>
          <w:noProof/>
          <w:spacing w:val="-8"/>
          <w:sz w:val="24"/>
          <w:szCs w:val="24"/>
          <w:lang w:val="en-US"/>
        </w:rPr>
        <w:t>, 199–235.</w:t>
      </w:r>
    </w:p>
    <w:p>
      <w:pPr>
        <w:spacing w:after="60" w:line="240" w:lineRule="auto"/>
        <w:ind w:left="284" w:hanging="284"/>
        <w:rPr>
          <w:rFonts w:ascii="Calibri" w:eastAsia="Calibri" w:hAnsi="Calibri" w:cs="Calibri"/>
          <w:noProof/>
          <w:color w:val="000000"/>
          <w:sz w:val="24"/>
          <w:szCs w:val="24"/>
        </w:rPr>
      </w:pPr>
      <w:r>
        <w:rPr>
          <w:rFonts w:ascii="Calibri" w:eastAsia="Calibri" w:hAnsi="Calibri" w:cs="Calibri"/>
          <w:noProof/>
          <w:color w:val="000000"/>
          <w:sz w:val="24"/>
          <w:szCs w:val="24"/>
        </w:rPr>
        <w:t xml:space="preserve">Shell, 2020. </w:t>
      </w:r>
      <w:r>
        <w:rPr>
          <w:rFonts w:ascii="Calibri" w:eastAsia="Calibri" w:hAnsi="Calibri" w:cs="Calibri"/>
          <w:i/>
          <w:iCs/>
          <w:noProof/>
          <w:color w:val="000000"/>
          <w:sz w:val="24"/>
          <w:szCs w:val="24"/>
        </w:rPr>
        <w:t xml:space="preserve">Civil Jet Fuel. </w:t>
      </w:r>
      <w:hyperlink r:id="rId55" w:history="1">
        <w:r>
          <w:rPr>
            <w:rStyle w:val="Hyperlink"/>
            <w:rFonts w:ascii="Calibri" w:eastAsia="Calibri" w:hAnsi="Calibri" w:cs="Calibri"/>
            <w:noProof/>
            <w:sz w:val="24"/>
            <w:szCs w:val="24"/>
          </w:rPr>
          <w:t>www.shell.com/business-customers/aviation/aviation-fuel/civil-jet-fuel-grades.html</w:t>
        </w:r>
      </w:hyperlink>
      <w:r>
        <w:rPr>
          <w:rFonts w:ascii="Calibri" w:eastAsia="Calibri" w:hAnsi="Calibri" w:cs="Calibri"/>
          <w:noProof/>
          <w:color w:val="000000"/>
          <w:sz w:val="24"/>
          <w:szCs w:val="24"/>
          <w:u w:val="single"/>
        </w:rPr>
        <w:t xml:space="preserve"> </w:t>
      </w:r>
      <w:r>
        <w:rPr>
          <w:rFonts w:ascii="Calibri" w:eastAsia="Calibri" w:hAnsi="Calibri" w:cs="Calibri"/>
          <w:noProof/>
          <w:color w:val="000000"/>
          <w:sz w:val="24"/>
          <w:szCs w:val="24"/>
        </w:rPr>
        <w:t>[Accessed February 2020].</w:t>
      </w:r>
    </w:p>
    <w:p>
      <w:pPr>
        <w:spacing w:after="60" w:line="240" w:lineRule="auto"/>
        <w:ind w:left="284" w:hanging="284"/>
        <w:rPr>
          <w:rFonts w:ascii="Calibri" w:eastAsia="Calibri" w:hAnsi="Calibri" w:cs="Calibri"/>
          <w:noProof/>
          <w:color w:val="000000"/>
          <w:sz w:val="24"/>
          <w:szCs w:val="24"/>
        </w:rPr>
      </w:pPr>
      <w:r>
        <w:rPr>
          <w:rFonts w:ascii="Calibri" w:eastAsia="Calibri" w:hAnsi="Calibri" w:cs="Calibri"/>
          <w:noProof/>
          <w:color w:val="000000"/>
          <w:sz w:val="24"/>
          <w:szCs w:val="24"/>
          <w:lang w:val="en-US"/>
        </w:rPr>
        <w:t xml:space="preserve">Shine K. P. (2009) </w:t>
      </w:r>
      <w:r>
        <w:rPr>
          <w:rFonts w:ascii="Calibri" w:eastAsia="Calibri" w:hAnsi="Calibri" w:cs="Calibri"/>
          <w:iCs/>
          <w:noProof/>
          <w:color w:val="000000"/>
          <w:sz w:val="24"/>
          <w:szCs w:val="24"/>
        </w:rPr>
        <w:t>The global warming potential—the need for an interdisciplinary retrial: an editorial comment.</w:t>
      </w:r>
      <w:r>
        <w:rPr>
          <w:rFonts w:ascii="Calibri" w:eastAsia="Calibri" w:hAnsi="Calibri" w:cs="Calibri"/>
          <w:noProof/>
          <w:color w:val="000000"/>
          <w:sz w:val="24"/>
          <w:szCs w:val="24"/>
        </w:rPr>
        <w:t xml:space="preserve"> </w:t>
      </w:r>
      <w:r>
        <w:rPr>
          <w:rFonts w:ascii="Calibri" w:eastAsia="Calibri" w:hAnsi="Calibri" w:cs="Calibri"/>
          <w:i/>
          <w:noProof/>
          <w:color w:val="000000"/>
          <w:sz w:val="24"/>
          <w:szCs w:val="24"/>
        </w:rPr>
        <w:t>Clim. Change</w:t>
      </w:r>
      <w:r>
        <w:rPr>
          <w:rFonts w:ascii="Calibri" w:eastAsia="Calibri" w:hAnsi="Calibri" w:cs="Calibri"/>
          <w:noProof/>
          <w:color w:val="000000"/>
          <w:sz w:val="24"/>
          <w:szCs w:val="24"/>
        </w:rPr>
        <w:t xml:space="preserve"> </w:t>
      </w:r>
      <w:r>
        <w:rPr>
          <w:rFonts w:ascii="Calibri" w:eastAsia="Calibri" w:hAnsi="Calibri" w:cs="Calibri"/>
          <w:b/>
          <w:noProof/>
          <w:color w:val="000000"/>
          <w:sz w:val="24"/>
          <w:szCs w:val="24"/>
        </w:rPr>
        <w:t>96</w:t>
      </w:r>
      <w:r>
        <w:rPr>
          <w:rFonts w:ascii="Calibri" w:eastAsia="Calibri" w:hAnsi="Calibri" w:cs="Calibri"/>
          <w:noProof/>
          <w:color w:val="000000"/>
          <w:sz w:val="24"/>
          <w:szCs w:val="24"/>
        </w:rPr>
        <w:t xml:space="preserve"> (4). pp. 467-472.</w:t>
      </w:r>
    </w:p>
    <w:p>
      <w:pPr>
        <w:spacing w:after="60" w:line="240" w:lineRule="auto"/>
        <w:ind w:left="284" w:hanging="284"/>
        <w:rPr>
          <w:rFonts w:ascii="Calibri" w:eastAsia="Calibri" w:hAnsi="Calibri" w:cs="Calibri"/>
          <w:noProof/>
          <w:sz w:val="24"/>
          <w:szCs w:val="24"/>
          <w:lang w:val="en-US"/>
        </w:rPr>
      </w:pPr>
      <w:r>
        <w:rPr>
          <w:rFonts w:ascii="Calibri" w:eastAsia="Calibri" w:hAnsi="Calibri" w:cs="Calibri"/>
          <w:noProof/>
          <w:sz w:val="24"/>
          <w:szCs w:val="24"/>
          <w:lang w:val="en-US"/>
        </w:rPr>
        <w:t xml:space="preserve">Shine K. P., Fuglestvedt J. S., Hailemariam K., Stuber N. (2005) Alternatives to the global warming potential for comparing climate impacts of emissions of greenhouse gases. </w:t>
      </w:r>
      <w:r>
        <w:rPr>
          <w:rFonts w:ascii="Calibri" w:eastAsia="Calibri" w:hAnsi="Calibri" w:cs="Calibri"/>
          <w:i/>
          <w:noProof/>
          <w:sz w:val="24"/>
          <w:szCs w:val="24"/>
          <w:lang w:val="en-US"/>
        </w:rPr>
        <w:t>Clim. Change</w:t>
      </w:r>
      <w:r>
        <w:rPr>
          <w:rFonts w:ascii="Calibri" w:eastAsia="Calibri" w:hAnsi="Calibri" w:cs="Calibri"/>
          <w:noProof/>
          <w:sz w:val="24"/>
          <w:szCs w:val="24"/>
          <w:lang w:val="en-US"/>
        </w:rPr>
        <w:t xml:space="preserve"> </w:t>
      </w:r>
      <w:r>
        <w:rPr>
          <w:rFonts w:ascii="Calibri" w:eastAsia="Calibri" w:hAnsi="Calibri" w:cs="Calibri"/>
          <w:b/>
          <w:noProof/>
          <w:sz w:val="24"/>
          <w:szCs w:val="24"/>
          <w:lang w:val="en-US"/>
        </w:rPr>
        <w:t xml:space="preserve">68, </w:t>
      </w:r>
      <w:r>
        <w:rPr>
          <w:rFonts w:ascii="Calibri" w:eastAsia="Calibri" w:hAnsi="Calibri" w:cs="Calibri"/>
          <w:noProof/>
          <w:sz w:val="24"/>
          <w:szCs w:val="24"/>
          <w:lang w:val="en-US"/>
        </w:rPr>
        <w:t>281–302.</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Simos, (2015). </w:t>
      </w:r>
      <w:r>
        <w:rPr>
          <w:rFonts w:ascii="Calibri" w:eastAsia="Times New Roman" w:hAnsi="Calibri" w:cs="Calibri"/>
          <w:i/>
          <w:iCs/>
          <w:noProof/>
          <w:spacing w:val="-8"/>
          <w:sz w:val="24"/>
          <w:szCs w:val="24"/>
        </w:rPr>
        <w:t xml:space="preserve">Piano. </w:t>
      </w:r>
      <w:hyperlink r:id="rId56" w:history="1">
        <w:r>
          <w:rPr>
            <w:rStyle w:val="Hyperlink"/>
            <w:rFonts w:ascii="Calibri" w:eastAsia="Times New Roman" w:hAnsi="Calibri" w:cs="Calibri"/>
            <w:noProof/>
            <w:spacing w:val="-8"/>
            <w:sz w:val="24"/>
            <w:szCs w:val="24"/>
          </w:rPr>
          <w:t>www.piano.aero/</w:t>
        </w:r>
      </w:hyperlink>
      <w:r>
        <w:rPr>
          <w:rFonts w:ascii="Calibri" w:eastAsia="Times New Roman" w:hAnsi="Calibri" w:cs="Calibri"/>
          <w:noProof/>
          <w:spacing w:val="-8"/>
          <w:sz w:val="24"/>
          <w:szCs w:val="24"/>
          <w:u w:val="single"/>
        </w:rPr>
        <w:t xml:space="preserve"> </w:t>
      </w:r>
    </w:p>
    <w:p>
      <w:pPr>
        <w:spacing w:after="60" w:line="240" w:lineRule="auto"/>
        <w:ind w:left="284" w:hanging="284"/>
        <w:rPr>
          <w:rFonts w:ascii="Calibri" w:eastAsia="Calibri" w:hAnsi="Calibri" w:cs="Calibri"/>
          <w:noProof/>
          <w:sz w:val="24"/>
          <w:szCs w:val="24"/>
          <w:lang w:val="en-US"/>
        </w:rPr>
      </w:pPr>
      <w:r>
        <w:rPr>
          <w:rFonts w:ascii="Calibri" w:eastAsia="Calibri" w:hAnsi="Calibri" w:cs="Calibri"/>
          <w:noProof/>
          <w:sz w:val="24"/>
          <w:szCs w:val="24"/>
          <w:lang w:val="en-US"/>
        </w:rPr>
        <w:t>Skowron A., Lee D. S., de Léon, R. R. (2015) Variation of radiative forcings and global warming potentials from regional aviation NO</w:t>
      </w:r>
      <w:r>
        <w:rPr>
          <w:rFonts w:ascii="Calibri" w:eastAsia="Calibri" w:hAnsi="Calibri" w:cs="Calibri"/>
          <w:noProof/>
          <w:sz w:val="24"/>
          <w:szCs w:val="24"/>
          <w:lang w:val="en-US"/>
        </w:rPr>
        <w:softHyphen/>
      </w:r>
      <w:r>
        <w:rPr>
          <w:rFonts w:ascii="Calibri" w:eastAsia="Calibri" w:hAnsi="Calibri" w:cs="Calibri"/>
          <w:noProof/>
          <w:sz w:val="24"/>
          <w:szCs w:val="24"/>
          <w:vertAlign w:val="subscript"/>
          <w:lang w:val="en-US"/>
        </w:rPr>
        <w:t>x</w:t>
      </w:r>
      <w:r>
        <w:rPr>
          <w:rFonts w:ascii="Calibri" w:eastAsia="Calibri" w:hAnsi="Calibri" w:cs="Calibri"/>
          <w:noProof/>
          <w:sz w:val="24"/>
          <w:szCs w:val="24"/>
          <w:lang w:val="en-US"/>
        </w:rPr>
        <w:t xml:space="preserve"> emissions. </w:t>
      </w:r>
      <w:r>
        <w:rPr>
          <w:rFonts w:ascii="Calibri" w:eastAsia="Calibri" w:hAnsi="Calibri" w:cs="Calibri"/>
          <w:i/>
          <w:noProof/>
          <w:color w:val="000000"/>
          <w:sz w:val="24"/>
          <w:szCs w:val="24"/>
          <w:u w:val="single"/>
          <w:lang w:val="en-US"/>
        </w:rPr>
        <w:t>Atmos. Environ.</w:t>
      </w:r>
      <w:r>
        <w:rPr>
          <w:rFonts w:ascii="Calibri" w:eastAsia="Calibri" w:hAnsi="Calibri" w:cs="Calibri"/>
          <w:noProof/>
          <w:color w:val="000000"/>
          <w:sz w:val="24"/>
          <w:szCs w:val="24"/>
          <w:u w:val="single"/>
          <w:lang w:val="en-US"/>
        </w:rPr>
        <w:t xml:space="preserve"> </w:t>
      </w:r>
      <w:r>
        <w:rPr>
          <w:rFonts w:ascii="Calibri" w:eastAsia="Calibri" w:hAnsi="Calibri" w:cs="Calibri"/>
          <w:b/>
          <w:noProof/>
          <w:color w:val="000000"/>
          <w:sz w:val="24"/>
          <w:szCs w:val="24"/>
          <w:u w:val="single"/>
          <w:lang w:val="en-US"/>
        </w:rPr>
        <w:t>104</w:t>
      </w:r>
      <w:r>
        <w:rPr>
          <w:rFonts w:ascii="Calibri" w:eastAsia="Calibri" w:hAnsi="Calibri" w:cs="Calibri"/>
          <w:noProof/>
          <w:color w:val="000000"/>
          <w:sz w:val="24"/>
          <w:szCs w:val="24"/>
          <w:u w:val="single"/>
          <w:lang w:val="en-US"/>
        </w:rPr>
        <w:t>, 69–78</w:t>
      </w:r>
      <w:r>
        <w:rPr>
          <w:rFonts w:ascii="Calibri" w:eastAsia="Calibri" w:hAnsi="Calibri" w:cs="Calibri"/>
          <w:noProof/>
          <w:sz w:val="24"/>
          <w:szCs w:val="24"/>
          <w:lang w:val="en-US"/>
        </w:rPr>
        <w:t>.</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SkyNRG, (2020). </w:t>
      </w:r>
      <w:r>
        <w:rPr>
          <w:rFonts w:ascii="Calibri" w:eastAsia="Times New Roman" w:hAnsi="Calibri" w:cs="Calibri"/>
          <w:i/>
          <w:iCs/>
          <w:noProof/>
          <w:spacing w:val="-8"/>
          <w:sz w:val="24"/>
          <w:szCs w:val="24"/>
        </w:rPr>
        <w:t xml:space="preserve">Technology. </w:t>
      </w:r>
      <w:hyperlink r:id="rId57" w:history="1">
        <w:r>
          <w:rPr>
            <w:rStyle w:val="Hyperlink"/>
            <w:rFonts w:ascii="Calibri" w:eastAsia="Times New Roman" w:hAnsi="Calibri" w:cs="Calibri"/>
            <w:iCs/>
            <w:noProof/>
            <w:spacing w:val="-8"/>
            <w:sz w:val="24"/>
            <w:szCs w:val="24"/>
          </w:rPr>
          <w:t>www.</w:t>
        </w:r>
        <w:r>
          <w:rPr>
            <w:rStyle w:val="Hyperlink"/>
            <w:rFonts w:ascii="Calibri" w:eastAsia="Times New Roman" w:hAnsi="Calibri" w:cs="Calibri"/>
            <w:noProof/>
            <w:spacing w:val="-8"/>
            <w:sz w:val="24"/>
            <w:szCs w:val="24"/>
          </w:rPr>
          <w:t>skynrg.com/sustainable-aviation-fuel/technology/</w:t>
        </w:r>
      </w:hyperlink>
      <w:r>
        <w:rPr>
          <w:rFonts w:ascii="Calibri" w:eastAsia="Times New Roman" w:hAnsi="Calibri" w:cs="Calibri"/>
          <w:noProof/>
          <w:spacing w:val="-8"/>
          <w:sz w:val="24"/>
          <w:szCs w:val="24"/>
        </w:rPr>
        <w:t xml:space="preserve"> [Accessed February 2020].</w:t>
      </w:r>
    </w:p>
    <w:p>
      <w:pPr>
        <w:spacing w:after="60" w:line="240" w:lineRule="auto"/>
        <w:ind w:left="284" w:hanging="284"/>
        <w:rPr>
          <w:rFonts w:ascii="Calibri" w:eastAsia="Calibri" w:hAnsi="Calibri" w:cs="Calibri"/>
          <w:noProof/>
          <w:color w:val="000000"/>
          <w:sz w:val="24"/>
          <w:szCs w:val="24"/>
        </w:rPr>
      </w:pPr>
      <w:r>
        <w:rPr>
          <w:rFonts w:ascii="Calibri" w:eastAsia="Calibri" w:hAnsi="Calibri" w:cs="Calibri"/>
          <w:noProof/>
          <w:color w:val="000000"/>
          <w:sz w:val="24"/>
          <w:szCs w:val="24"/>
        </w:rPr>
        <w:t>Spichtinger, P., Gierens, K., Leiterer, U., and Dier, H.: Ice supersaturation in the tropopause region over Lindenberg, Germany, Meteorol. Z. (2005) 12, 143-156, doi: 10.1127/0941-2948/2003/0012-0143, 2003</w:t>
      </w:r>
    </w:p>
    <w:p>
      <w:pPr>
        <w:spacing w:after="60" w:line="240" w:lineRule="auto"/>
        <w:ind w:left="284" w:hanging="284"/>
        <w:rPr>
          <w:rFonts w:ascii="Calibri" w:eastAsia="Calibri" w:hAnsi="Calibri" w:cs="Calibri"/>
          <w:noProof/>
          <w:sz w:val="24"/>
          <w:szCs w:val="24"/>
        </w:rPr>
      </w:pPr>
      <w:r>
        <w:rPr>
          <w:rFonts w:ascii="Calibri" w:eastAsia="Calibri" w:hAnsi="Calibri" w:cs="Calibri"/>
          <w:noProof/>
          <w:color w:val="000000"/>
          <w:sz w:val="24"/>
          <w:szCs w:val="24"/>
        </w:rPr>
        <w:t xml:space="preserve">Stordal F., Myhre G., Stordal E. J. G., Rossow W. B., Lee D. S., Arlander D. W. and Svenby T. (2005) Is there </w:t>
      </w:r>
      <w:r>
        <w:rPr>
          <w:rFonts w:ascii="Calibri" w:eastAsia="Calibri" w:hAnsi="Calibri" w:cs="Calibri"/>
          <w:noProof/>
          <w:sz w:val="24"/>
          <w:szCs w:val="24"/>
        </w:rPr>
        <w:t xml:space="preserve">a trend in cirrus cloud cover due to aircraft traffic? </w:t>
      </w:r>
      <w:r>
        <w:rPr>
          <w:rFonts w:ascii="Calibri" w:eastAsia="Calibri" w:hAnsi="Calibri" w:cs="Calibri"/>
          <w:i/>
          <w:noProof/>
          <w:sz w:val="24"/>
          <w:szCs w:val="24"/>
        </w:rPr>
        <w:t>Atmos. Chem. Phys.</w:t>
      </w:r>
      <w:r>
        <w:rPr>
          <w:rFonts w:ascii="Calibri" w:eastAsia="Calibri" w:hAnsi="Calibri" w:cs="Calibri"/>
          <w:noProof/>
          <w:sz w:val="24"/>
          <w:szCs w:val="24"/>
        </w:rPr>
        <w:t xml:space="preserve"> </w:t>
      </w:r>
      <w:r>
        <w:rPr>
          <w:rFonts w:ascii="Calibri" w:eastAsia="Calibri" w:hAnsi="Calibri" w:cs="Calibri"/>
          <w:b/>
          <w:noProof/>
          <w:sz w:val="24"/>
          <w:szCs w:val="24"/>
        </w:rPr>
        <w:t>5</w:t>
      </w:r>
      <w:r>
        <w:rPr>
          <w:rFonts w:ascii="Calibri" w:eastAsia="Calibri" w:hAnsi="Calibri" w:cs="Calibri"/>
          <w:noProof/>
          <w:sz w:val="24"/>
          <w:szCs w:val="24"/>
        </w:rPr>
        <w:t>, 2155 – 2162.</w:t>
      </w:r>
    </w:p>
    <w:p>
      <w:pPr>
        <w:overflowPunct w:val="0"/>
        <w:autoSpaceDE w:val="0"/>
        <w:autoSpaceDN w:val="0"/>
        <w:adjustRightInd w:val="0"/>
        <w:spacing w:after="60" w:line="240" w:lineRule="auto"/>
        <w:ind w:left="284" w:hanging="284"/>
        <w:textAlignment w:val="baseline"/>
        <w:rPr>
          <w:rFonts w:ascii="Calibri" w:eastAsia="Times New Roman" w:hAnsi="Calibri" w:cs="Calibri"/>
          <w:noProof/>
          <w:sz w:val="24"/>
          <w:szCs w:val="24"/>
        </w:rPr>
      </w:pPr>
      <w:r>
        <w:rPr>
          <w:rFonts w:ascii="Calibri" w:eastAsia="Times New Roman" w:hAnsi="Calibri" w:cs="Calibri"/>
          <w:noProof/>
          <w:sz w:val="24"/>
          <w:szCs w:val="24"/>
        </w:rPr>
        <w:t xml:space="preserve">Swedavia, (2018). </w:t>
      </w:r>
      <w:r>
        <w:rPr>
          <w:rFonts w:ascii="Calibri" w:eastAsia="Times New Roman" w:hAnsi="Calibri" w:cs="Calibri"/>
          <w:i/>
          <w:iCs/>
          <w:noProof/>
          <w:sz w:val="24"/>
          <w:szCs w:val="24"/>
        </w:rPr>
        <w:t xml:space="preserve">Swedavia's Airport Charges 2019, </w:t>
      </w:r>
      <w:r>
        <w:rPr>
          <w:rFonts w:ascii="Calibri" w:eastAsia="Times New Roman" w:hAnsi="Calibri" w:cs="Calibri"/>
          <w:noProof/>
          <w:sz w:val="24"/>
          <w:szCs w:val="24"/>
        </w:rPr>
        <w:t>s.l.: Swedavia Airports.</w:t>
      </w:r>
    </w:p>
    <w:p>
      <w:pPr>
        <w:overflowPunct w:val="0"/>
        <w:autoSpaceDE w:val="0"/>
        <w:autoSpaceDN w:val="0"/>
        <w:adjustRightInd w:val="0"/>
        <w:spacing w:after="60" w:line="240" w:lineRule="auto"/>
        <w:ind w:left="284" w:hanging="284"/>
        <w:textAlignment w:val="baseline"/>
        <w:rPr>
          <w:rFonts w:ascii="Calibri" w:eastAsia="Times New Roman" w:hAnsi="Calibri" w:cs="Calibri"/>
          <w:noProof/>
          <w:sz w:val="24"/>
          <w:szCs w:val="24"/>
        </w:rPr>
      </w:pPr>
      <w:r>
        <w:rPr>
          <w:rFonts w:ascii="Calibri" w:eastAsia="Times New Roman" w:hAnsi="Calibri" w:cs="Calibri"/>
          <w:noProof/>
          <w:sz w:val="24"/>
          <w:szCs w:val="24"/>
          <w:lang w:val="de-DE"/>
        </w:rPr>
        <w:t xml:space="preserve">Teoh, R., Schumann, U., Majumdar, A. &amp; Stettler, M. E. J., (2020). </w:t>
      </w:r>
      <w:r>
        <w:rPr>
          <w:rFonts w:ascii="Calibri" w:eastAsia="Times New Roman" w:hAnsi="Calibri" w:cs="Calibri"/>
          <w:noProof/>
          <w:sz w:val="24"/>
          <w:szCs w:val="24"/>
        </w:rPr>
        <w:t xml:space="preserve">Mitigating the climate forcing of aircraft contrails by small-scale diversions and technology adoption. </w:t>
      </w:r>
      <w:r>
        <w:rPr>
          <w:rFonts w:ascii="Calibri" w:eastAsia="Times New Roman" w:hAnsi="Calibri" w:cs="Calibri"/>
          <w:i/>
          <w:iCs/>
          <w:noProof/>
          <w:sz w:val="24"/>
          <w:szCs w:val="24"/>
        </w:rPr>
        <w:t xml:space="preserve">Environmental Science and Technology, </w:t>
      </w:r>
      <w:r>
        <w:rPr>
          <w:rFonts w:ascii="Calibri" w:eastAsia="Times New Roman" w:hAnsi="Calibri" w:cs="Calibri"/>
          <w:noProof/>
          <w:sz w:val="24"/>
          <w:szCs w:val="24"/>
        </w:rPr>
        <w:t>54(5), pp. 2941-2950.</w:t>
      </w:r>
    </w:p>
    <w:p>
      <w:pPr>
        <w:overflowPunct w:val="0"/>
        <w:autoSpaceDE w:val="0"/>
        <w:autoSpaceDN w:val="0"/>
        <w:adjustRightInd w:val="0"/>
        <w:spacing w:after="60" w:line="240" w:lineRule="auto"/>
        <w:ind w:left="284" w:hanging="284"/>
        <w:textAlignment w:val="baseline"/>
        <w:rPr>
          <w:rFonts w:ascii="Calibri" w:eastAsia="Times New Roman" w:hAnsi="Calibri" w:cs="Calibri"/>
          <w:noProof/>
          <w:sz w:val="24"/>
          <w:szCs w:val="24"/>
        </w:rPr>
      </w:pPr>
      <w:r>
        <w:rPr>
          <w:rFonts w:ascii="Calibri" w:eastAsia="Times New Roman" w:hAnsi="Calibri" w:cs="Calibri"/>
          <w:noProof/>
          <w:sz w:val="24"/>
          <w:szCs w:val="24"/>
        </w:rPr>
        <w:t>Tesche M., Achtert P., Glantz P., Noone K. J. (2016) Aviation effects on alredy-existing cirrus clouds. Nature Comms. 7: 12016.</w:t>
      </w:r>
    </w:p>
    <w:p>
      <w:pPr>
        <w:overflowPunct w:val="0"/>
        <w:autoSpaceDE w:val="0"/>
        <w:autoSpaceDN w:val="0"/>
        <w:adjustRightInd w:val="0"/>
        <w:spacing w:after="60" w:line="240" w:lineRule="auto"/>
        <w:ind w:left="284" w:hanging="284"/>
        <w:textAlignment w:val="baseline"/>
        <w:rPr>
          <w:rFonts w:ascii="Calibri" w:eastAsia="Times New Roman" w:hAnsi="Calibri" w:cs="Calibri"/>
          <w:noProof/>
          <w:sz w:val="24"/>
          <w:szCs w:val="24"/>
        </w:rPr>
      </w:pPr>
      <w:r>
        <w:rPr>
          <w:rFonts w:ascii="Calibri" w:eastAsia="Times New Roman" w:hAnsi="Calibri" w:cs="Calibri"/>
          <w:noProof/>
          <w:sz w:val="24"/>
          <w:szCs w:val="24"/>
        </w:rPr>
        <w:t xml:space="preserve">Transport &amp; Environment, (2018). </w:t>
      </w:r>
      <w:r>
        <w:rPr>
          <w:rFonts w:ascii="Calibri" w:eastAsia="Times New Roman" w:hAnsi="Calibri" w:cs="Calibri"/>
          <w:i/>
          <w:iCs/>
          <w:noProof/>
          <w:sz w:val="24"/>
          <w:szCs w:val="24"/>
        </w:rPr>
        <w:t xml:space="preserve">Why is palm oil biodiesel bad? </w:t>
      </w:r>
      <w:hyperlink r:id="rId58" w:history="1">
        <w:r>
          <w:rPr>
            <w:rStyle w:val="Hyperlink"/>
            <w:rFonts w:ascii="Calibri" w:eastAsia="Times New Roman" w:hAnsi="Calibri" w:cs="Calibri"/>
            <w:noProof/>
            <w:sz w:val="24"/>
            <w:szCs w:val="24"/>
          </w:rPr>
          <w:t>www.transportenvironment.org/what-we-do/biofuels/why-palm-oil-biodiesel-bad?gclid=EAIaIQobChMIxoqsjrHR5wIV0ed3Ch0VoQRxEAAYASAAEgKXgfD_BwE</w:t>
        </w:r>
      </w:hyperlink>
      <w:r>
        <w:rPr>
          <w:rFonts w:ascii="Calibri" w:eastAsia="Times New Roman" w:hAnsi="Calibri" w:cs="Calibri"/>
          <w:noProof/>
          <w:sz w:val="24"/>
          <w:szCs w:val="24"/>
          <w:u w:val="single"/>
        </w:rPr>
        <w:t xml:space="preserve"> </w:t>
      </w:r>
      <w:r>
        <w:rPr>
          <w:rFonts w:ascii="Calibri" w:eastAsia="Times New Roman" w:hAnsi="Calibri" w:cs="Calibri"/>
          <w:noProof/>
          <w:sz w:val="24"/>
          <w:szCs w:val="24"/>
        </w:rPr>
        <w:br/>
        <w:t>[Accessed February 2020].</w:t>
      </w:r>
    </w:p>
    <w:p>
      <w:pPr>
        <w:overflowPunct w:val="0"/>
        <w:autoSpaceDE w:val="0"/>
        <w:autoSpaceDN w:val="0"/>
        <w:adjustRightInd w:val="0"/>
        <w:spacing w:after="60" w:line="240" w:lineRule="auto"/>
        <w:ind w:left="284" w:hanging="284"/>
        <w:textAlignment w:val="baseline"/>
        <w:rPr>
          <w:rFonts w:ascii="Calibri" w:eastAsia="Times New Roman" w:hAnsi="Calibri" w:cs="Calibri"/>
          <w:noProof/>
          <w:sz w:val="24"/>
          <w:szCs w:val="24"/>
        </w:rPr>
      </w:pPr>
      <w:r>
        <w:rPr>
          <w:rFonts w:ascii="Calibri" w:eastAsia="Times New Roman" w:hAnsi="Calibri" w:cs="Calibri"/>
          <w:noProof/>
          <w:sz w:val="24"/>
          <w:szCs w:val="24"/>
        </w:rPr>
        <w:t xml:space="preserve">Tremmel, H.G. and Schumann, U. (1999) Model simulations of fuel sulfur conversion efficiencies in an aircraft engine: Dependence on reaction rate constants and initial species mixing ratios. </w:t>
      </w:r>
      <w:r>
        <w:rPr>
          <w:rFonts w:ascii="Calibri" w:eastAsia="Times New Roman" w:hAnsi="Calibri" w:cs="Calibri"/>
          <w:i/>
          <w:noProof/>
          <w:sz w:val="24"/>
          <w:szCs w:val="24"/>
        </w:rPr>
        <w:t>Aerosp. Sci. Technol.</w:t>
      </w:r>
      <w:r>
        <w:rPr>
          <w:rFonts w:ascii="Calibri" w:eastAsia="Times New Roman" w:hAnsi="Calibri" w:cs="Calibri"/>
          <w:noProof/>
          <w:sz w:val="24"/>
          <w:szCs w:val="24"/>
        </w:rPr>
        <w:t xml:space="preserve"> </w:t>
      </w:r>
      <w:r>
        <w:rPr>
          <w:rFonts w:ascii="Calibri" w:eastAsia="Times New Roman" w:hAnsi="Calibri" w:cs="Calibri"/>
          <w:b/>
          <w:noProof/>
          <w:sz w:val="24"/>
          <w:szCs w:val="24"/>
        </w:rPr>
        <w:t>3</w:t>
      </w:r>
      <w:r>
        <w:rPr>
          <w:rFonts w:ascii="Calibri" w:eastAsia="Times New Roman" w:hAnsi="Calibri" w:cs="Calibri"/>
          <w:noProof/>
          <w:sz w:val="24"/>
          <w:szCs w:val="24"/>
        </w:rPr>
        <w:t xml:space="preserve">, 417–430. </w:t>
      </w:r>
    </w:p>
    <w:p>
      <w:pPr>
        <w:spacing w:after="60" w:line="240" w:lineRule="auto"/>
        <w:ind w:left="284" w:hanging="284"/>
        <w:rPr>
          <w:rFonts w:ascii="Calibri" w:eastAsia="Times New Roman" w:hAnsi="Calibri" w:cs="Calibri"/>
          <w:noProof/>
          <w:color w:val="000000"/>
          <w:spacing w:val="-8"/>
          <w:sz w:val="24"/>
          <w:szCs w:val="24"/>
          <w:u w:val="single"/>
        </w:rPr>
      </w:pPr>
      <w:r>
        <w:rPr>
          <w:rFonts w:ascii="Calibri" w:eastAsia="Times New Roman" w:hAnsi="Calibri" w:cs="Calibri"/>
          <w:noProof/>
          <w:spacing w:val="-8"/>
          <w:sz w:val="24"/>
          <w:szCs w:val="24"/>
        </w:rPr>
        <w:t xml:space="preserve">UKCCC (2009) Meeting the UK aviation target – options for reducing emissions to 2050. London, UK: Committee on Climate Change (CCC). Available at: </w:t>
      </w:r>
      <w:hyperlink r:id="rId59" w:history="1">
        <w:r>
          <w:rPr>
            <w:rStyle w:val="Hyperlink"/>
            <w:rFonts w:ascii="Calibri" w:eastAsia="Times New Roman" w:hAnsi="Calibri" w:cs="Calibri"/>
            <w:noProof/>
            <w:spacing w:val="-8"/>
            <w:sz w:val="24"/>
            <w:szCs w:val="24"/>
          </w:rPr>
          <w:t>http://downloads.theccc.org.uk/Aviation%20Report%2009/21667B%20CCC%20Aviation%20AW%20COMP%20v8.pdf</w:t>
        </w:r>
      </w:hyperlink>
      <w:r>
        <w:rPr>
          <w:rFonts w:ascii="Calibri" w:eastAsia="Times New Roman" w:hAnsi="Calibri" w:cs="Calibri"/>
          <w:noProof/>
          <w:color w:val="000000"/>
          <w:spacing w:val="-8"/>
          <w:sz w:val="24"/>
          <w:szCs w:val="24"/>
          <w:u w:val="single"/>
        </w:rPr>
        <w:t xml:space="preserve"> </w:t>
      </w:r>
    </w:p>
    <w:p>
      <w:pPr>
        <w:spacing w:after="60" w:line="240" w:lineRule="auto"/>
        <w:ind w:left="284" w:hanging="284"/>
        <w:rPr>
          <w:rFonts w:ascii="Calibri" w:eastAsia="Times New Roman" w:hAnsi="Calibri" w:cs="Calibri"/>
          <w:noProof/>
          <w:spacing w:val="-8"/>
          <w:sz w:val="24"/>
          <w:szCs w:val="24"/>
          <w:lang w:val="en-US"/>
        </w:rPr>
      </w:pPr>
      <w:r>
        <w:rPr>
          <w:rFonts w:ascii="Calibri" w:eastAsia="Times New Roman" w:hAnsi="Calibri" w:cs="Calibri"/>
          <w:noProof/>
          <w:spacing w:val="-8"/>
          <w:sz w:val="24"/>
          <w:szCs w:val="24"/>
        </w:rPr>
        <w:t xml:space="preserve">UK Ministry of Defence, (2015). </w:t>
      </w:r>
      <w:r>
        <w:rPr>
          <w:rFonts w:ascii="Calibri" w:eastAsia="Times New Roman" w:hAnsi="Calibri" w:cs="Calibri"/>
          <w:i/>
          <w:iCs/>
          <w:noProof/>
          <w:spacing w:val="-8"/>
          <w:sz w:val="24"/>
          <w:szCs w:val="24"/>
        </w:rPr>
        <w:t xml:space="preserve">Defence Standard 91-91, </w:t>
      </w:r>
      <w:r>
        <w:rPr>
          <w:rFonts w:ascii="Calibri" w:eastAsia="Times New Roman" w:hAnsi="Calibri" w:cs="Calibri"/>
          <w:noProof/>
          <w:spacing w:val="-8"/>
          <w:sz w:val="24"/>
          <w:szCs w:val="24"/>
        </w:rPr>
        <w:t>London: UK Ministry of Defence.</w:t>
      </w:r>
      <w:r>
        <w:rPr>
          <w:rFonts w:ascii="Calibri" w:eastAsia="Times New Roman" w:hAnsi="Calibri" w:cs="Calibri"/>
          <w:noProof/>
          <w:spacing w:val="-8"/>
          <w:sz w:val="24"/>
          <w:szCs w:val="24"/>
          <w:lang w:val="en-US"/>
        </w:rPr>
        <w:t xml:space="preserve">Wilcox L. J., Shine K. P., Hoskins B. J. (2012) Radiative forcing due to aviation water vapour emissions. </w:t>
      </w:r>
      <w:r>
        <w:rPr>
          <w:rFonts w:ascii="Calibri" w:eastAsia="Times New Roman" w:hAnsi="Calibri" w:cs="Calibri"/>
          <w:i/>
          <w:iCs/>
          <w:noProof/>
          <w:spacing w:val="-8"/>
          <w:sz w:val="24"/>
          <w:szCs w:val="24"/>
          <w:lang w:val="en-US"/>
        </w:rPr>
        <w:t>Atmos. Environ.</w:t>
      </w:r>
      <w:r>
        <w:rPr>
          <w:rFonts w:ascii="Calibri" w:eastAsia="Times New Roman" w:hAnsi="Calibri" w:cs="Calibri"/>
          <w:iCs/>
          <w:noProof/>
          <w:spacing w:val="-8"/>
          <w:sz w:val="24"/>
          <w:szCs w:val="24"/>
          <w:lang w:val="en-US"/>
        </w:rPr>
        <w:t xml:space="preserve"> </w:t>
      </w:r>
      <w:r>
        <w:rPr>
          <w:rFonts w:ascii="Calibri" w:eastAsia="Times New Roman" w:hAnsi="Calibri" w:cs="Calibri"/>
          <w:b/>
          <w:bCs/>
          <w:noProof/>
          <w:spacing w:val="-8"/>
          <w:sz w:val="24"/>
          <w:szCs w:val="24"/>
          <w:lang w:val="en-US"/>
        </w:rPr>
        <w:t>63</w:t>
      </w:r>
      <w:r>
        <w:rPr>
          <w:rFonts w:ascii="Calibri" w:eastAsia="Times New Roman" w:hAnsi="Calibri" w:cs="Calibri"/>
          <w:noProof/>
          <w:spacing w:val="-8"/>
          <w:sz w:val="24"/>
          <w:szCs w:val="24"/>
          <w:lang w:val="en-US"/>
        </w:rPr>
        <w:t>, 1-13.</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Vázquez-Navarro M., Mannstein H. and Kox S., 2015: Contrail life cycle and properties from 1 year of MSG/SEVIRI rapid-scan images. Atmos. Chem. Phys., 15, 8739–8749.</w:t>
      </w:r>
    </w:p>
    <w:p>
      <w:pPr>
        <w:spacing w:after="60" w:line="240" w:lineRule="auto"/>
        <w:ind w:left="284" w:hanging="284"/>
        <w:rPr>
          <w:rFonts w:ascii="Calibri" w:eastAsia="Calibri" w:hAnsi="Calibri" w:cs="Calibri"/>
          <w:noProof/>
          <w:sz w:val="24"/>
          <w:szCs w:val="24"/>
        </w:rPr>
      </w:pPr>
      <w:r>
        <w:rPr>
          <w:rFonts w:ascii="Calibri" w:eastAsia="Calibri" w:hAnsi="Calibri" w:cs="Calibri"/>
          <w:noProof/>
          <w:sz w:val="24"/>
          <w:szCs w:val="24"/>
        </w:rPr>
        <w:t xml:space="preserve">Watkiss et al. (2005a). </w:t>
      </w:r>
      <w:r>
        <w:rPr>
          <w:rFonts w:ascii="Calibri" w:eastAsia="Calibri" w:hAnsi="Calibri" w:cs="Calibri"/>
          <w:i/>
          <w:iCs/>
          <w:noProof/>
          <w:sz w:val="24"/>
          <w:szCs w:val="24"/>
        </w:rPr>
        <w:t>The impacts and costs of climate change.</w:t>
      </w:r>
      <w:r>
        <w:rPr>
          <w:rFonts w:ascii="Calibri" w:eastAsia="Calibri" w:hAnsi="Calibri" w:cs="Calibri"/>
          <w:noProof/>
          <w:sz w:val="24"/>
          <w:szCs w:val="24"/>
        </w:rPr>
        <w:t xml:space="preserve"> Harwell: AEA Technology Environment.</w:t>
      </w:r>
    </w:p>
    <w:p>
      <w:pPr>
        <w:spacing w:after="60" w:line="240" w:lineRule="auto"/>
        <w:ind w:left="284" w:hanging="284"/>
        <w:rPr>
          <w:rFonts w:ascii="Calibri" w:eastAsia="Calibri" w:hAnsi="Calibri" w:cs="Calibri"/>
          <w:noProof/>
          <w:sz w:val="24"/>
          <w:szCs w:val="24"/>
        </w:rPr>
      </w:pPr>
      <w:r>
        <w:rPr>
          <w:rFonts w:ascii="Calibri" w:eastAsia="Calibri" w:hAnsi="Calibri" w:cs="Calibri"/>
          <w:noProof/>
          <w:sz w:val="24"/>
          <w:szCs w:val="24"/>
        </w:rPr>
        <w:t xml:space="preserve">Wuebbles D., Forster P., Rogers H. and HermanR (2010). Issues and Uncertainties Affecting Metrics for Aviation Impacts on </w:t>
      </w:r>
      <w:r>
        <w:rPr>
          <w:rFonts w:ascii="Calibri" w:eastAsia="Calibri" w:hAnsi="Calibri" w:cs="Calibri"/>
          <w:i/>
          <w:noProof/>
          <w:sz w:val="24"/>
          <w:szCs w:val="24"/>
        </w:rPr>
        <w:t>Climate. Bull. Amer. Meteorol. Soc.</w:t>
      </w:r>
      <w:r>
        <w:rPr>
          <w:rFonts w:ascii="Calibri" w:eastAsia="Calibri" w:hAnsi="Calibri" w:cs="Calibri"/>
          <w:noProof/>
          <w:sz w:val="24"/>
          <w:szCs w:val="24"/>
        </w:rPr>
        <w:t xml:space="preserve"> </w:t>
      </w:r>
      <w:r>
        <w:rPr>
          <w:rFonts w:ascii="Calibri" w:eastAsia="Calibri" w:hAnsi="Calibri" w:cs="Calibri"/>
          <w:b/>
          <w:noProof/>
          <w:sz w:val="24"/>
          <w:szCs w:val="24"/>
        </w:rPr>
        <w:t>91,</w:t>
      </w:r>
      <w:r>
        <w:rPr>
          <w:rFonts w:ascii="Calibri" w:eastAsia="Calibri" w:hAnsi="Calibri" w:cs="Calibri"/>
          <w:noProof/>
          <w:sz w:val="24"/>
          <w:szCs w:val="24"/>
        </w:rPr>
        <w:t xml:space="preserve"> 491-496. 10.1175/2009BAMS2840.1.</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Yin, F., Grewe, V., Frömming, C. &amp; Yamashita, H., (2018). Impact on flight trajectory characteristics when avoiding the formation of persistent contrails for transatlantic flights. </w:t>
      </w:r>
      <w:r>
        <w:rPr>
          <w:rFonts w:ascii="Calibri" w:eastAsia="Times New Roman" w:hAnsi="Calibri" w:cs="Calibri"/>
          <w:i/>
          <w:iCs/>
          <w:noProof/>
          <w:spacing w:val="-8"/>
          <w:sz w:val="24"/>
          <w:szCs w:val="24"/>
        </w:rPr>
        <w:t xml:space="preserve">Transportation Research Part D, </w:t>
      </w:r>
      <w:r>
        <w:rPr>
          <w:rFonts w:ascii="Calibri" w:eastAsia="Times New Roman" w:hAnsi="Calibri" w:cs="Calibri"/>
          <w:noProof/>
          <w:spacing w:val="-8"/>
          <w:sz w:val="24"/>
          <w:szCs w:val="24"/>
        </w:rPr>
        <w:t>Volume 65, pp. 466-484.</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Zschocke, A., Scheuermann, S. &amp; Ortner, J., (2012). </w:t>
      </w:r>
      <w:r>
        <w:rPr>
          <w:rFonts w:ascii="Calibri" w:eastAsia="Times New Roman" w:hAnsi="Calibri" w:cs="Calibri"/>
          <w:i/>
          <w:iCs/>
          <w:noProof/>
          <w:spacing w:val="-8"/>
          <w:sz w:val="24"/>
          <w:szCs w:val="24"/>
        </w:rPr>
        <w:t xml:space="preserve">High Biofuel Blends in Aviation (HBBA), </w:t>
      </w:r>
      <w:r>
        <w:rPr>
          <w:rFonts w:ascii="Calibri" w:eastAsia="Times New Roman" w:hAnsi="Calibri" w:cs="Calibri"/>
          <w:noProof/>
          <w:spacing w:val="-8"/>
          <w:sz w:val="24"/>
          <w:szCs w:val="24"/>
        </w:rPr>
        <w:t>Cologne: Lufthansa.</w:t>
      </w:r>
    </w:p>
    <w:p>
      <w:pPr>
        <w:spacing w:after="60" w:line="240" w:lineRule="auto"/>
        <w:ind w:left="284" w:hanging="284"/>
        <w:rPr>
          <w:rFonts w:ascii="Calibri" w:eastAsia="Times New Roman" w:hAnsi="Calibri" w:cs="Calibri"/>
          <w:noProof/>
          <w:spacing w:val="-8"/>
          <w:sz w:val="24"/>
          <w:szCs w:val="24"/>
        </w:rPr>
      </w:pPr>
      <w:r>
        <w:rPr>
          <w:rFonts w:ascii="Calibri" w:eastAsia="Times New Roman" w:hAnsi="Calibri" w:cs="Calibri"/>
          <w:noProof/>
          <w:spacing w:val="-8"/>
          <w:sz w:val="24"/>
          <w:szCs w:val="24"/>
        </w:rPr>
        <w:t xml:space="preserve">Zhou C., and Penner J. E. (2014) Aircraft soot indirect effect on large-scale cirrus clouds: Is the indirect forcing by aircraft soot positive or negative?  </w:t>
      </w:r>
      <w:r>
        <w:rPr>
          <w:rFonts w:ascii="Calibri" w:eastAsia="Times New Roman" w:hAnsi="Calibri" w:cs="Calibri"/>
          <w:i/>
          <w:noProof/>
          <w:spacing w:val="-8"/>
          <w:sz w:val="24"/>
          <w:szCs w:val="24"/>
        </w:rPr>
        <w:t>J. Geophys. Res. Atmos.</w:t>
      </w:r>
      <w:r>
        <w:rPr>
          <w:rFonts w:ascii="Calibri" w:eastAsia="Times New Roman" w:hAnsi="Calibri" w:cs="Calibri"/>
          <w:noProof/>
          <w:spacing w:val="-8"/>
          <w:sz w:val="24"/>
          <w:szCs w:val="24"/>
        </w:rPr>
        <w:t xml:space="preserve"> </w:t>
      </w:r>
      <w:r>
        <w:rPr>
          <w:rFonts w:ascii="Calibri" w:eastAsia="Times New Roman" w:hAnsi="Calibri" w:cs="Calibri"/>
          <w:b/>
          <w:noProof/>
          <w:spacing w:val="-8"/>
          <w:sz w:val="24"/>
          <w:szCs w:val="24"/>
        </w:rPr>
        <w:t>119</w:t>
      </w:r>
      <w:r>
        <w:rPr>
          <w:rFonts w:ascii="Calibri" w:eastAsia="Times New Roman" w:hAnsi="Calibri" w:cs="Calibri"/>
          <w:noProof/>
          <w:spacing w:val="-8"/>
          <w:sz w:val="24"/>
          <w:szCs w:val="24"/>
        </w:rPr>
        <w:t xml:space="preserve">, doi:10.1002/2014JD021914. </w:t>
      </w:r>
    </w:p>
    <w:p>
      <w:pPr>
        <w:spacing w:after="0" w:line="240" w:lineRule="auto"/>
        <w:rPr>
          <w:rFonts w:ascii="Calibri" w:eastAsia="Calibri" w:hAnsi="Calibri" w:cs="Calibri"/>
          <w:noProof/>
          <w:sz w:val="24"/>
          <w:szCs w:val="24"/>
          <w:lang w:val="de-DE"/>
        </w:rPr>
      </w:pPr>
      <w:r>
        <w:rPr>
          <w:rFonts w:ascii="Calibri" w:eastAsia="Calibri" w:hAnsi="Calibri" w:cs="Calibri"/>
          <w:noProof/>
          <w:sz w:val="24"/>
          <w:szCs w:val="24"/>
          <w:lang w:val="en-US"/>
        </w:rPr>
        <w:t xml:space="preserve">Zhou C., Penner J. E., Lin G., Liu X., and Wang M. (2016) What controls the low ice number concentration in the upper troposphere? </w:t>
      </w:r>
      <w:r>
        <w:rPr>
          <w:rFonts w:ascii="Calibri" w:eastAsia="Calibri" w:hAnsi="Calibri" w:cs="Calibri"/>
          <w:i/>
          <w:noProof/>
          <w:sz w:val="24"/>
          <w:szCs w:val="24"/>
          <w:lang w:val="de-DE"/>
        </w:rPr>
        <w:t>Atmos. Chem. Phys.</w:t>
      </w:r>
      <w:r>
        <w:rPr>
          <w:rFonts w:ascii="Calibri" w:eastAsia="Calibri" w:hAnsi="Calibri" w:cs="Calibri"/>
          <w:noProof/>
          <w:sz w:val="24"/>
          <w:szCs w:val="24"/>
          <w:lang w:val="de-DE"/>
        </w:rPr>
        <w:t xml:space="preserve"> </w:t>
      </w:r>
      <w:r>
        <w:rPr>
          <w:rFonts w:ascii="Calibri" w:eastAsia="Calibri" w:hAnsi="Calibri" w:cs="Calibri"/>
          <w:b/>
          <w:noProof/>
          <w:sz w:val="24"/>
          <w:szCs w:val="24"/>
          <w:lang w:val="de-DE"/>
        </w:rPr>
        <w:t>16</w:t>
      </w:r>
      <w:r>
        <w:rPr>
          <w:rFonts w:ascii="Calibri" w:eastAsia="Calibri" w:hAnsi="Calibri" w:cs="Calibri"/>
          <w:noProof/>
          <w:sz w:val="24"/>
          <w:szCs w:val="24"/>
          <w:lang w:val="de-DE"/>
        </w:rPr>
        <w:t xml:space="preserve">, 12411-12424, </w:t>
      </w:r>
      <w:hyperlink r:id="rId60" w:history="1">
        <w:r>
          <w:rPr>
            <w:rFonts w:ascii="Calibri" w:eastAsia="Calibri" w:hAnsi="Calibri" w:cs="Calibri"/>
            <w:noProof/>
            <w:color w:val="0563C1"/>
            <w:sz w:val="24"/>
            <w:szCs w:val="24"/>
            <w:u w:val="single"/>
            <w:lang w:val="de-DE"/>
          </w:rPr>
          <w:t>https://doi.org/10.5194/acp-16-12411-2016</w:t>
        </w:r>
      </w:hyperlink>
      <w:r>
        <w:rPr>
          <w:rFonts w:ascii="Calibri" w:eastAsia="Calibri" w:hAnsi="Calibri" w:cs="Calibri"/>
          <w:noProof/>
          <w:sz w:val="24"/>
          <w:szCs w:val="24"/>
          <w:lang w:val="de-DE"/>
        </w:rPr>
        <w:t>.</w:t>
      </w:r>
    </w:p>
    <w:p>
      <w:pPr>
        <w:spacing w:after="60" w:line="240" w:lineRule="auto"/>
        <w:ind w:left="284" w:hanging="284"/>
        <w:rPr>
          <w:rFonts w:ascii="Calibri" w:eastAsia="Times New Roman" w:hAnsi="Calibri" w:cs="Calibri"/>
          <w:noProof/>
          <w:spacing w:val="-8"/>
          <w:sz w:val="24"/>
          <w:szCs w:val="24"/>
          <w:lang w:val="de-DE"/>
        </w:rPr>
      </w:pPr>
      <w:r>
        <w:rPr>
          <w:rFonts w:ascii="Calibri" w:eastAsia="Times New Roman" w:hAnsi="Calibri" w:cs="Calibri"/>
          <w:noProof/>
          <w:spacing w:val="-8"/>
          <w:sz w:val="24"/>
          <w:szCs w:val="24"/>
          <w:lang w:val="de-DE"/>
        </w:rPr>
        <w:t xml:space="preserve">Zurich Airport, (2010). </w:t>
      </w:r>
      <w:r>
        <w:rPr>
          <w:rFonts w:ascii="Calibri" w:eastAsia="Times New Roman" w:hAnsi="Calibri" w:cs="Calibri"/>
          <w:i/>
          <w:iCs/>
          <w:noProof/>
          <w:spacing w:val="-8"/>
          <w:sz w:val="24"/>
          <w:szCs w:val="24"/>
          <w:lang w:val="de-DE"/>
        </w:rPr>
        <w:t xml:space="preserve">Aircraft Emission Charges Zurich Airport, </w:t>
      </w:r>
      <w:r>
        <w:rPr>
          <w:rFonts w:ascii="Calibri" w:eastAsia="Times New Roman" w:hAnsi="Calibri" w:cs="Calibri"/>
          <w:noProof/>
          <w:spacing w:val="-8"/>
          <w:sz w:val="24"/>
          <w:szCs w:val="24"/>
          <w:lang w:val="de-DE"/>
        </w:rPr>
        <w:t>Zurich: Zurich Airport.</w:t>
      </w:r>
    </w:p>
    <w:p>
      <w:pPr>
        <w:spacing w:after="60" w:line="240" w:lineRule="auto"/>
        <w:ind w:left="284" w:hanging="284"/>
        <w:rPr>
          <w:rFonts w:ascii="Calibri" w:eastAsia="Times New Roman" w:hAnsi="Calibri" w:cs="Calibri"/>
          <w:noProof/>
          <w:spacing w:val="-8"/>
          <w:sz w:val="24"/>
          <w:szCs w:val="24"/>
          <w:lang w:val="de-DE"/>
        </w:rPr>
      </w:pPr>
    </w:p>
    <w:p>
      <w:pPr>
        <w:spacing w:after="60" w:line="240" w:lineRule="auto"/>
        <w:ind w:left="284" w:hanging="284"/>
        <w:rPr>
          <w:rFonts w:ascii="Calibri" w:eastAsia="Times New Roman" w:hAnsi="Calibri" w:cs="Calibri"/>
          <w:noProof/>
          <w:spacing w:val="-8"/>
          <w:sz w:val="24"/>
          <w:szCs w:val="24"/>
          <w:lang w:val="de-DE"/>
        </w:rPr>
      </w:pPr>
    </w:p>
    <w:p>
      <w:pPr>
        <w:rPr>
          <w:b/>
          <w:noProof/>
          <w:lang w:val="de-DE"/>
        </w:rPr>
      </w:pPr>
      <w:r>
        <w:rPr>
          <w:b/>
          <w:noProof/>
          <w:lang w:val="de-DE"/>
        </w:rPr>
        <w:br w:type="page"/>
      </w:r>
    </w:p>
    <w:p>
      <w:pPr>
        <w:spacing w:after="0" w:line="240" w:lineRule="auto"/>
        <w:rPr>
          <w:rFonts w:ascii="Calibri" w:eastAsia="Times New Roman" w:hAnsi="Calibri" w:cs="Times New Roman"/>
          <w:b/>
          <w:noProof/>
          <w:color w:val="007FC2"/>
          <w:sz w:val="40"/>
          <w:szCs w:val="36"/>
          <w:lang w:eastAsia="en-GB"/>
        </w:rPr>
      </w:pPr>
      <w:r>
        <w:rPr>
          <w:rFonts w:ascii="Calibri" w:hAnsi="Calibri"/>
          <w:b/>
          <w:noProof/>
          <w:color w:val="007FC2"/>
          <w:sz w:val="40"/>
          <w:lang w:eastAsia="en-GB"/>
        </w:rPr>
        <w:drawing>
          <wp:inline distT="0" distB="0" distL="0" distR="0">
            <wp:extent cx="2185274" cy="754912"/>
            <wp:effectExtent l="0" t="0" r="5715"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206629" cy="762289"/>
                    </a:xfrm>
                    <a:prstGeom prst="rect">
                      <a:avLst/>
                    </a:prstGeom>
                    <a:noFill/>
                  </pic:spPr>
                </pic:pic>
              </a:graphicData>
            </a:graphic>
          </wp:inline>
        </w:drawing>
      </w:r>
    </w:p>
    <w:p>
      <w:pPr>
        <w:spacing w:after="0" w:line="240" w:lineRule="auto"/>
        <w:rPr>
          <w:rFonts w:ascii="Calibri" w:eastAsia="Times New Roman" w:hAnsi="Calibri" w:cs="Times New Roman"/>
          <w:b/>
          <w:noProof/>
          <w:color w:val="007FC2"/>
          <w:sz w:val="40"/>
          <w:szCs w:val="36"/>
          <w:lang w:eastAsia="en-GB"/>
        </w:rPr>
      </w:pPr>
      <w:r>
        <w:rPr>
          <w:rFonts w:ascii="Calibri" w:eastAsia="Times New Roman" w:hAnsi="Calibri" w:cs="Times New Roman"/>
          <w:b/>
          <w:noProof/>
          <w:color w:val="FFCC00"/>
          <w:sz w:val="24"/>
          <w:szCs w:val="20"/>
          <w:lang w:eastAsia="en-GB"/>
        </w:rPr>
        <w:t>SAFE AND SUSTAINABLE AVIATION</w:t>
      </w: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spacing w:after="0" w:line="240" w:lineRule="auto"/>
        <w:rPr>
          <w:noProof/>
          <w:sz w:val="24"/>
        </w:rPr>
      </w:pPr>
      <w:r>
        <w:rPr>
          <w:noProof/>
          <w:sz w:val="24"/>
        </w:rPr>
        <w:t>European Union Aviation Safety Agency</w:t>
      </w:r>
    </w:p>
    <w:p>
      <w:pPr>
        <w:spacing w:after="0" w:line="240" w:lineRule="auto"/>
        <w:rPr>
          <w:noProof/>
          <w:sz w:val="24"/>
        </w:rPr>
      </w:pPr>
    </w:p>
    <w:p>
      <w:pPr>
        <w:spacing w:after="0" w:line="240" w:lineRule="auto"/>
        <w:rPr>
          <w:noProof/>
          <w:sz w:val="24"/>
        </w:rPr>
      </w:pPr>
      <w:r>
        <w:rPr>
          <w:noProof/>
          <w:sz w:val="24"/>
        </w:rPr>
        <w:t>Konrad-Adenauer-Ufer 3</w:t>
      </w:r>
    </w:p>
    <w:p>
      <w:pPr>
        <w:spacing w:after="0" w:line="240" w:lineRule="auto"/>
        <w:rPr>
          <w:noProof/>
          <w:sz w:val="24"/>
        </w:rPr>
      </w:pPr>
      <w:r>
        <w:rPr>
          <w:noProof/>
          <w:sz w:val="24"/>
        </w:rPr>
        <w:t xml:space="preserve">50668 Cologne </w:t>
      </w:r>
    </w:p>
    <w:p>
      <w:pPr>
        <w:spacing w:after="0" w:line="240" w:lineRule="auto"/>
        <w:rPr>
          <w:noProof/>
          <w:sz w:val="24"/>
        </w:rPr>
      </w:pPr>
      <w:r>
        <w:rPr>
          <w:noProof/>
          <w:sz w:val="24"/>
        </w:rPr>
        <w:t>Germany</w:t>
      </w:r>
    </w:p>
    <w:p>
      <w:pPr>
        <w:spacing w:after="0" w:line="240" w:lineRule="auto"/>
        <w:rPr>
          <w:noProof/>
          <w:sz w:val="24"/>
        </w:rPr>
      </w:pPr>
    </w:p>
    <w:p>
      <w:pPr>
        <w:spacing w:after="0" w:line="240" w:lineRule="auto"/>
        <w:rPr>
          <w:noProof/>
          <w:sz w:val="24"/>
        </w:rPr>
      </w:pPr>
      <w:r>
        <w:rPr>
          <w:noProof/>
          <w:sz w:val="24"/>
        </w:rPr>
        <w:t xml:space="preserve">EASA and Environment </w:t>
      </w:r>
      <w:r>
        <w:rPr>
          <w:noProof/>
          <w:sz w:val="24"/>
        </w:rPr>
        <w:tab/>
      </w:r>
    </w:p>
    <w:p>
      <w:pPr>
        <w:spacing w:after="0" w:line="240" w:lineRule="auto"/>
        <w:rPr>
          <w:noProof/>
          <w:sz w:val="24"/>
        </w:rPr>
      </w:pPr>
      <w:r>
        <w:rPr>
          <w:noProof/>
          <w:sz w:val="24"/>
        </w:rPr>
        <w:t xml:space="preserve">Web: </w:t>
      </w:r>
      <w:r>
        <w:rPr>
          <w:noProof/>
          <w:sz w:val="24"/>
        </w:rPr>
        <w:tab/>
      </w:r>
      <w:hyperlink r:id="rId62" w:history="1">
        <w:r>
          <w:rPr>
            <w:rStyle w:val="Hyperlink"/>
            <w:noProof/>
            <w:sz w:val="24"/>
          </w:rPr>
          <w:t>www.easa.europa.eu/environment</w:t>
        </w:r>
      </w:hyperlink>
      <w:r>
        <w:rPr>
          <w:noProof/>
          <w:sz w:val="24"/>
        </w:rPr>
        <w:t xml:space="preserve"> </w:t>
      </w:r>
      <w:r>
        <w:rPr>
          <w:noProof/>
          <w:sz w:val="24"/>
        </w:rPr>
        <w:cr/>
        <w:t xml:space="preserve">E-mail: </w:t>
      </w:r>
      <w:hyperlink r:id="rId63" w:history="1">
        <w:r>
          <w:rPr>
            <w:rStyle w:val="Hyperlink"/>
            <w:noProof/>
            <w:sz w:val="24"/>
          </w:rPr>
          <w:t>environment@easa.europa.eu</w:t>
        </w:r>
      </w:hyperlink>
    </w:p>
    <w:p>
      <w:pPr>
        <w:spacing w:after="0" w:line="240" w:lineRule="auto"/>
        <w:rPr>
          <w:noProof/>
          <w:sz w:val="24"/>
        </w:rPr>
      </w:pPr>
      <w:r>
        <w:rPr>
          <w:noProof/>
          <w:sz w:val="24"/>
        </w:rPr>
        <w:t>Tel.:</w:t>
      </w:r>
      <w:r>
        <w:rPr>
          <w:noProof/>
          <w:sz w:val="24"/>
        </w:rPr>
        <w:tab/>
        <w:t>+49 221 89990 000</w:t>
      </w:r>
      <w:r>
        <w:rPr>
          <w:noProof/>
          <w:sz w:val="24"/>
        </w:rPr>
        <w:tab/>
      </w:r>
    </w:p>
    <w:p>
      <w:pPr>
        <w:spacing w:after="0" w:line="240" w:lineRule="auto"/>
        <w:rPr>
          <w:noProof/>
          <w:sz w:val="24"/>
        </w:rPr>
      </w:pPr>
    </w:p>
    <w:p>
      <w:pPr>
        <w:spacing w:after="0" w:line="240" w:lineRule="auto"/>
        <w:rPr>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50"/>
      </w:tblGrid>
      <w:tr>
        <w:tc>
          <w:tcPr>
            <w:tcW w:w="8500" w:type="dxa"/>
            <w:vAlign w:val="center"/>
          </w:tcPr>
          <w:p>
            <w:pPr>
              <w:jc w:val="right"/>
              <w:rPr>
                <w:noProof/>
                <w:sz w:val="24"/>
              </w:rPr>
            </w:pPr>
            <w:r>
              <w:rPr>
                <w:noProof/>
                <w:sz w:val="24"/>
              </w:rPr>
              <w:t xml:space="preserve">An Agency of the European Union   </w:t>
            </w:r>
          </w:p>
        </w:tc>
        <w:tc>
          <w:tcPr>
            <w:tcW w:w="850" w:type="dxa"/>
          </w:tcPr>
          <w:p>
            <w:pPr>
              <w:jc w:val="right"/>
              <w:rPr>
                <w:noProof/>
                <w:sz w:val="24"/>
              </w:rPr>
            </w:pPr>
            <w:r>
              <w:rPr>
                <w:rFonts w:ascii="Calibri" w:eastAsia="Times New Roman" w:hAnsi="Calibri" w:cs="Times New Roman"/>
                <w:noProof/>
                <w:color w:val="0088CE"/>
                <w:szCs w:val="24"/>
                <w:lang w:eastAsia="en-GB"/>
              </w:rPr>
              <w:object w:dxaOrig="16110" w:dyaOrig="10770">
                <v:shape id="_x0000_i1026" type="#_x0000_t75" alt="" style="width:30.65pt;height:23.1pt;mso-width-percent:0;mso-height-percent:0;mso-position-vertical:absolute;mso-width-percent:0;mso-height-percent:0" o:ole="">
                  <v:imagedata r:id="rId64" o:title=""/>
                </v:shape>
                <o:OLEObject Type="Embed" ProgID="PBrush" ShapeID="_x0000_i1026" DrawAspect="Content" ObjectID="_1666678687" r:id="rId65"/>
              </w:object>
            </w:r>
          </w:p>
        </w:tc>
      </w:tr>
    </w:tbl>
    <w:p>
      <w:pPr>
        <w:rPr>
          <w:b/>
          <w:noProof/>
        </w:rPr>
      </w:pPr>
    </w:p>
    <w:p>
      <w:pPr>
        <w:spacing w:after="0" w:line="240" w:lineRule="auto"/>
        <w:rPr>
          <w:noProof/>
        </w:rPr>
      </w:pPr>
    </w:p>
    <w:sectPr>
      <w:headerReference w:type="even" r:id="rId66"/>
      <w:headerReference w:type="default" r:id="rId67"/>
      <w:footerReference w:type="even" r:id="rId68"/>
      <w:footerReference w:type="default" r:id="rId69"/>
      <w:headerReference w:type="first" r:id="rId70"/>
      <w:footerReference w:type="first" r:id="rId71"/>
      <w:pgSz w:w="12240" w:h="15840"/>
      <w:pgMar w:top="1440" w:right="1440" w:bottom="1440" w:left="1440"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embo">
    <w:charset w:val="00"/>
    <w:family w:val="roman"/>
    <w:pitch w:val="variable"/>
    <w:sig w:usb0="80000003" w:usb1="00000000" w:usb2="00000000" w:usb3="00000000" w:csb0="00000001" w:csb1="00000000"/>
  </w:font>
  <w:font w:name="Maiandra GD">
    <w:altName w:val="Candara"/>
    <w:charset w:val="00"/>
    <w:family w:val="swiss"/>
    <w:pitch w:val="variable"/>
    <w:sig w:usb0="00000003" w:usb1="00000000" w:usb2="00000000" w:usb3="00000000" w:csb0="00000001" w:csb1="00000000"/>
  </w:font>
  <w:font w:name="Corpid E1s SCd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172</w:t>
    </w:r>
    <w:r>
      <w:rPr>
        <w:rStyle w:val="PageNumber"/>
      </w:rPr>
      <w:fldChar w:fldCharType="end"/>
    </w:r>
  </w:p>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153</w:t>
    </w:r>
    <w:r>
      <w:rPr>
        <w:rStyle w:val="PageNumber"/>
      </w:rP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163</w:t>
    </w:r>
    <w:r>
      <w:rPr>
        <w:rStyle w:val="PageNumber"/>
      </w:rPr>
      <w:fldChar w:fldCharType="end"/>
    </w:r>
  </w:p>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jc w:val="both"/>
        <w:rPr>
          <w:lang w:val="en-US"/>
        </w:rPr>
      </w:pPr>
      <w:r>
        <w:rPr>
          <w:rStyle w:val="FootnoteReference"/>
        </w:rPr>
        <w:footnoteRef/>
      </w:r>
      <w:r>
        <w:t xml:space="preserve"> IPCC terminology:  Estimates are available, but they cannot be synthesised because of uncertainties to give a mean/median number (with uncertainty range). The uncertainties may arise because of wildly disparate results (as is the case of aviation aerosol-ice-cloud interactions of soot), or there are considered to be too few results to give it a ‘reliable’ mean number (as is the case for aviation aerosol-cloud interactions of S with low-level warm clouds).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r>
      <w:rPr>
        <w:sz w:val="16"/>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r>
      <w:rPr>
        <w:sz w:val="16"/>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r>
      <w:rPr>
        <w:sz w:val="16"/>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FF750C"/>
    <w:multiLevelType w:val="hybridMultilevel"/>
    <w:tmpl w:val="29AAC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8A2A0C"/>
    <w:multiLevelType w:val="multilevel"/>
    <w:tmpl w:val="69BCBA26"/>
    <w:styleLink w:val="OpsommingnummerCEDelft"/>
    <w:lvl w:ilvl="0">
      <w:start w:val="1"/>
      <w:numFmt w:val="decimal"/>
      <w:pStyle w:val="Opsommingnummer1eniveauCEDelft"/>
      <w:lvlText w:val="%1."/>
      <w:lvlJc w:val="left"/>
      <w:pPr>
        <w:ind w:left="680" w:hanging="340"/>
      </w:pPr>
      <w:rPr>
        <w:rFonts w:hint="default"/>
      </w:rPr>
    </w:lvl>
    <w:lvl w:ilvl="1">
      <w:start w:val="1"/>
      <w:numFmt w:val="decimal"/>
      <w:pStyle w:val="Opsommingnummer2eniveauCEDelft"/>
      <w:lvlText w:val="%2."/>
      <w:lvlJc w:val="left"/>
      <w:pPr>
        <w:ind w:left="1020" w:hanging="340"/>
      </w:pPr>
      <w:rPr>
        <w:rFonts w:hint="default"/>
      </w:rPr>
    </w:lvl>
    <w:lvl w:ilvl="2">
      <w:start w:val="1"/>
      <w:numFmt w:val="decimal"/>
      <w:pStyle w:val="Opsommingnummer3eniveauCEDelft"/>
      <w:lvlText w:val="%3."/>
      <w:lvlJc w:val="left"/>
      <w:pPr>
        <w:ind w:left="1360" w:hanging="340"/>
      </w:pPr>
      <w:rPr>
        <w:rFonts w:hint="default"/>
      </w:rPr>
    </w:lvl>
    <w:lvl w:ilvl="3">
      <w:start w:val="1"/>
      <w:numFmt w:val="decimal"/>
      <w:lvlText w:val="%4."/>
      <w:lvlJc w:val="left"/>
      <w:pPr>
        <w:ind w:left="1701" w:hanging="341"/>
      </w:pPr>
      <w:rPr>
        <w:rFonts w:hint="default"/>
      </w:rPr>
    </w:lvl>
    <w:lvl w:ilvl="4">
      <w:start w:val="1"/>
      <w:numFmt w:val="decimal"/>
      <w:lvlText w:val="%5."/>
      <w:lvlJc w:val="left"/>
      <w:pPr>
        <w:ind w:left="2041" w:hanging="340"/>
      </w:pPr>
      <w:rPr>
        <w:rFonts w:hint="default"/>
      </w:rPr>
    </w:lvl>
    <w:lvl w:ilvl="5">
      <w:start w:val="1"/>
      <w:numFmt w:val="decimal"/>
      <w:lvlText w:val="%6."/>
      <w:lvlJc w:val="left"/>
      <w:pPr>
        <w:ind w:left="2381" w:hanging="340"/>
      </w:pPr>
      <w:rPr>
        <w:rFonts w:hint="default"/>
      </w:rPr>
    </w:lvl>
    <w:lvl w:ilvl="6">
      <w:start w:val="1"/>
      <w:numFmt w:val="decimal"/>
      <w:lvlText w:val="%7."/>
      <w:lvlJc w:val="left"/>
      <w:pPr>
        <w:ind w:left="2721" w:hanging="340"/>
      </w:pPr>
      <w:rPr>
        <w:rFonts w:hint="default"/>
      </w:rPr>
    </w:lvl>
    <w:lvl w:ilvl="7">
      <w:start w:val="1"/>
      <w:numFmt w:val="decimal"/>
      <w:lvlText w:val="%8."/>
      <w:lvlJc w:val="left"/>
      <w:pPr>
        <w:ind w:left="3061" w:hanging="340"/>
      </w:pPr>
      <w:rPr>
        <w:rFonts w:hint="default"/>
      </w:rPr>
    </w:lvl>
    <w:lvl w:ilvl="8">
      <w:start w:val="1"/>
      <w:numFmt w:val="decimal"/>
      <w:lvlText w:val="%9."/>
      <w:lvlJc w:val="left"/>
      <w:pPr>
        <w:ind w:left="3401" w:hanging="340"/>
      </w:pPr>
      <w:rPr>
        <w:rFonts w:hint="default"/>
      </w:rPr>
    </w:lvl>
  </w:abstractNum>
  <w:abstractNum w:abstractNumId="2">
    <w:nsid w:val="3DFA6659"/>
    <w:multiLevelType w:val="hybridMultilevel"/>
    <w:tmpl w:val="EA123746"/>
    <w:lvl w:ilvl="0" w:tplc="4BD20C8E">
      <w:start w:val="1"/>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3F335A0"/>
    <w:multiLevelType w:val="multilevel"/>
    <w:tmpl w:val="F2B239B2"/>
    <w:styleLink w:val="OpsommingtekenCEDelft"/>
    <w:lvl w:ilvl="0">
      <w:start w:val="1"/>
      <w:numFmt w:val="none"/>
      <w:pStyle w:val="Opsommingteken1eniveauCEDelft"/>
      <w:lvlText w:val="—"/>
      <w:lvlJc w:val="left"/>
      <w:pPr>
        <w:ind w:left="340" w:hanging="340"/>
      </w:pPr>
      <w:rPr>
        <w:rFonts w:ascii="Trebuchet MS" w:hAnsi="Trebuchet MS" w:hint="default"/>
      </w:rPr>
    </w:lvl>
    <w:lvl w:ilvl="1">
      <w:start w:val="1"/>
      <w:numFmt w:val="bullet"/>
      <w:pStyle w:val="Opsommingteken2eniveauCEDelft"/>
      <w:lvlText w:val="•"/>
      <w:lvlJc w:val="left"/>
      <w:pPr>
        <w:ind w:left="680" w:hanging="340"/>
      </w:pPr>
      <w:rPr>
        <w:rFonts w:ascii="Trebuchet MS" w:hAnsi="Trebuchet MS" w:hint="default"/>
        <w:color w:val="auto"/>
      </w:rPr>
    </w:lvl>
    <w:lvl w:ilvl="2">
      <w:start w:val="1"/>
      <w:numFmt w:val="bullet"/>
      <w:pStyle w:val="Opsommingteken3eniveauCEDelft"/>
      <w:lvlText w:val="◦"/>
      <w:lvlJc w:val="left"/>
      <w:pPr>
        <w:ind w:left="1020" w:hanging="340"/>
      </w:pPr>
      <w:rPr>
        <w:rFonts w:ascii="Trebuchet MS" w:hAnsi="Trebuchet MS" w:hint="default"/>
      </w:rPr>
    </w:lvl>
    <w:lvl w:ilvl="3">
      <w:start w:val="1"/>
      <w:numFmt w:val="bullet"/>
      <w:lvlText w:val="»"/>
      <w:lvlJc w:val="left"/>
      <w:pPr>
        <w:ind w:left="1361" w:hanging="341"/>
      </w:pPr>
      <w:rPr>
        <w:rFonts w:hint="default"/>
      </w:rPr>
    </w:lvl>
    <w:lvl w:ilvl="4">
      <w:start w:val="1"/>
      <w:numFmt w:val="bullet"/>
      <w:lvlText w:val="-"/>
      <w:lvlJc w:val="left"/>
      <w:pPr>
        <w:ind w:left="1701" w:hanging="340"/>
      </w:pPr>
      <w:rPr>
        <w:rFonts w:hint="default"/>
      </w:rPr>
    </w:lvl>
    <w:lvl w:ilvl="5">
      <w:start w:val="1"/>
      <w:numFmt w:val="bullet"/>
      <w:lvlText w:val="-"/>
      <w:lvlJc w:val="left"/>
      <w:pPr>
        <w:ind w:left="2041" w:hanging="340"/>
      </w:pPr>
      <w:rPr>
        <w:rFonts w:hint="default"/>
        <w:color w:val="000000" w:themeColor="text1"/>
      </w:rPr>
    </w:lvl>
    <w:lvl w:ilvl="6">
      <w:start w:val="1"/>
      <w:numFmt w:val="bullet"/>
      <w:lvlText w:val="-"/>
      <w:lvlJc w:val="left"/>
      <w:pPr>
        <w:ind w:left="2381" w:hanging="340"/>
      </w:pPr>
      <w:rPr>
        <w:rFonts w:hint="default"/>
        <w:color w:val="000000" w:themeColor="text1"/>
      </w:rPr>
    </w:lvl>
    <w:lvl w:ilvl="7">
      <w:start w:val="1"/>
      <w:numFmt w:val="bullet"/>
      <w:lvlText w:val="-"/>
      <w:lvlJc w:val="left"/>
      <w:pPr>
        <w:ind w:left="2721" w:hanging="340"/>
      </w:pPr>
      <w:rPr>
        <w:rFonts w:hint="default"/>
        <w:color w:val="000000" w:themeColor="text1"/>
      </w:rPr>
    </w:lvl>
    <w:lvl w:ilvl="8">
      <w:start w:val="1"/>
      <w:numFmt w:val="bullet"/>
      <w:lvlText w:val="-"/>
      <w:lvlJc w:val="left"/>
      <w:pPr>
        <w:ind w:left="3061" w:hanging="340"/>
      </w:pPr>
      <w:rPr>
        <w:rFonts w:hint="default"/>
        <w:color w:val="000000" w:themeColor="text1"/>
      </w:rPr>
    </w:lvl>
  </w:abstractNum>
  <w:abstractNum w:abstractNumId="4">
    <w:nsid w:val="7F59552E"/>
    <w:multiLevelType w:val="hybridMultilevel"/>
    <w:tmpl w:val="0F4427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it-IT" w:vendorID="64" w:dllVersion="131078" w:nlCheck="1" w:checkStyle="0"/>
  <w:activeWritingStyle w:appName="MSWord" w:lang="de-DE"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nb-NO" w:vendorID="64" w:dllVersion="131078" w:nlCheck="1" w:checkStyle="0"/>
  <w:revisionView w:markup="0"/>
  <w:defaultTabStop w:val="720"/>
  <w:characterSpacingControl w:val="doNotCompress"/>
  <w:hdrShapeDefaults>
    <o:shapedefaults v:ext="edit" spidmax="1228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960B7AB5-9FC7-4694-B260-86AF35445446"/>
    <w:docVar w:name="LW_COVERPAGE_TYPE" w:val="1"/>
    <w:docVar w:name="LW_CROSSREFERENCE" w:val="{COM(2020) 747 final}"/>
    <w:docVar w:name="LW_DocType" w:val="NORMAL"/>
    <w:docVar w:name="LW_EMISSION" w:val="23.11.2020"/>
    <w:docVar w:name="LW_EMISSION_ISODATE" w:val="2020-11-23"/>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Updated analysis of the non-CO2 climate impacts of aviation and potential policy measures pursuant to EU Emissions Trading System Directive Article 30(4)"/>
    <w:docVar w:name="LW_PART_NBR" w:val="3"/>
    <w:docVar w:name="LW_PART_NBR_TOTAL" w:val="3"/>
    <w:docVar w:name="LW_REF.INST.NEW" w:val="SWD"/>
    <w:docVar w:name="LW_REF.INST.NEW_ADOPTED" w:val="final"/>
    <w:docVar w:name="LW_REF.INST.NEW_TEXT" w:val="(2020) 27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Full-length report"/>
    <w:docVar w:name="LW_TYPE.DOC.CP" w:val="COMMISSION STAFF WORKING DOCUMENT"/>
    <w:docVar w:name="LW_TYPEACTEPRINCIPAL.CP" w:val="Report from the Commission to the European Parliament and the Council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4"/>
    <w:lsdException w:name="caption" w:uiPriority="4"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98"/>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1F4E79" w:themeColor="accent1" w:themeShade="80"/>
    </w:rPr>
  </w:style>
  <w:style w:type="paragraph" w:customStyle="1" w:styleId="Untertitel1">
    <w:name w:val="Untertitel1"/>
    <w:basedOn w:val="Normal"/>
    <w:pPr>
      <w:spacing w:after="0" w:line="240" w:lineRule="auto"/>
      <w:jc w:val="center"/>
    </w:pPr>
    <w:rPr>
      <w:rFonts w:ascii="Calibri" w:eastAsia="Times New Roman" w:hAnsi="Calibri" w:cs="Times New Roman"/>
      <w:color w:val="222F64"/>
      <w:sz w:val="36"/>
      <w:szCs w:val="32"/>
      <w:lang w:eastAsia="en-GB"/>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EastAsia"/>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heme="minorEastAsia" w:hAnsi="Segoe UI" w:cs="Segoe UI"/>
      <w:sz w:val="18"/>
      <w:szCs w:val="18"/>
    </w:rPr>
  </w:style>
  <w:style w:type="paragraph" w:styleId="FootnoteText">
    <w:name w:val="footnote text"/>
    <w:aliases w:val="Voetnoottekst CE Delft"/>
    <w:basedOn w:val="Normal"/>
    <w:link w:val="FootnoteTextChar"/>
    <w:uiPriority w:val="4"/>
    <w:unhideWhenUsed/>
    <w:pPr>
      <w:spacing w:after="0" w:line="240" w:lineRule="auto"/>
    </w:pPr>
    <w:rPr>
      <w:sz w:val="20"/>
      <w:szCs w:val="20"/>
    </w:rPr>
  </w:style>
  <w:style w:type="character" w:customStyle="1" w:styleId="FootnoteTextChar">
    <w:name w:val="Footnote Text Char"/>
    <w:aliases w:val="Voetnoottekst CE Delft Char"/>
    <w:basedOn w:val="DefaultParagraphFont"/>
    <w:link w:val="FootnoteText"/>
    <w:uiPriority w:val="4"/>
    <w:rPr>
      <w:rFonts w:eastAsiaTheme="minorEastAsia"/>
      <w:sz w:val="20"/>
      <w:szCs w:val="20"/>
    </w:rPr>
  </w:style>
  <w:style w:type="character" w:styleId="FootnoteReference">
    <w:name w:val="footnote reference"/>
    <w:aliases w:val="-E Fußnotenzeichen,Voetnootmarkering CE Delft"/>
    <w:basedOn w:val="DefaultParagraphFont"/>
    <w:uiPriority w:val="99"/>
    <w:unhideWhenUsed/>
    <w:rPr>
      <w:vertAlign w:val="superscript"/>
    </w:rPr>
  </w:style>
  <w:style w:type="paragraph" w:customStyle="1" w:styleId="Default">
    <w:name w:val="Default"/>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eastAsiaTheme="minorEastAsia"/>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eastAsiaTheme="minorEastAsia"/>
    </w:r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rPr>
  </w:style>
  <w:style w:type="table" w:styleId="TableGrid">
    <w:name w:val="Table Grid"/>
    <w:basedOn w:val="TableNormal"/>
    <w:uiPriority w:val="5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tyle>
  <w:style w:type="character" w:styleId="Hyperlink">
    <w:name w:val="Hyperlink"/>
    <w:uiPriority w:val="99"/>
    <w:rPr>
      <w:color w:val="0000FF"/>
      <w:u w:val="single"/>
    </w:rPr>
  </w:style>
  <w:style w:type="table" w:customStyle="1" w:styleId="TableGrid1">
    <w:name w:val="Table Grid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0"/>
      <w:szCs w:val="20"/>
      <w:lang w:eastAsia="en-GB"/>
    </w:rPr>
    <w:tblPr>
      <w:tblCellMar>
        <w:left w:w="0" w:type="dxa"/>
        <w:bottom w:w="340" w:type="dxa"/>
        <w:right w:w="0" w:type="dxa"/>
      </w:tblCellMar>
    </w:tblPr>
  </w:style>
  <w:style w:type="paragraph" w:customStyle="1" w:styleId="Heading41">
    <w:name w:val="Heading 41"/>
    <w:basedOn w:val="Normal"/>
    <w:next w:val="Normal"/>
    <w:uiPriority w:val="9"/>
    <w:semiHidden/>
    <w:unhideWhenUsed/>
    <w:pPr>
      <w:keepNext/>
      <w:keepLines/>
      <w:spacing w:before="40" w:after="0" w:line="240" w:lineRule="auto"/>
      <w:outlineLvl w:val="3"/>
    </w:pPr>
    <w:rPr>
      <w:rFonts w:ascii="Calibri Light" w:eastAsia="Times New Roman" w:hAnsi="Calibri Light" w:cs="Times New Roman"/>
      <w:i/>
      <w:iCs/>
      <w:color w:val="2F5496"/>
      <w:sz w:val="24"/>
      <w:szCs w:val="24"/>
    </w:rPr>
  </w:style>
  <w:style w:type="numbering" w:customStyle="1" w:styleId="NoList1">
    <w:name w:val="No List1"/>
    <w:next w:val="NoList"/>
    <w:uiPriority w:val="99"/>
    <w:semiHidden/>
    <w:unhideWhenUsed/>
  </w:style>
  <w:style w:type="paragraph" w:customStyle="1" w:styleId="DraftTextL17">
    <w:name w:val="DraftText_L17"/>
    <w:basedOn w:val="Normal"/>
    <w:next w:val="Normal"/>
    <w:pPr>
      <w:spacing w:after="120" w:line="240" w:lineRule="auto"/>
    </w:pPr>
    <w:rPr>
      <w:rFonts w:ascii="Times New Roman" w:eastAsia="Times New Roman" w:hAnsi="Times New Roman" w:cs="Times New Roman"/>
      <w:spacing w:val="-8"/>
      <w:szCs w:val="24"/>
    </w:rPr>
  </w:style>
  <w:style w:type="paragraph" w:customStyle="1" w:styleId="figure">
    <w:name w:val="figure"/>
    <w:basedOn w:val="Normal"/>
    <w:pPr>
      <w:spacing w:before="120" w:after="120" w:line="240" w:lineRule="auto"/>
      <w:ind w:left="1304" w:hanging="1304"/>
    </w:pPr>
    <w:rPr>
      <w:rFonts w:ascii="Times New Roman" w:eastAsia="Times New Roman" w:hAnsi="Times New Roman" w:cs="Times New Roman"/>
      <w:b/>
      <w:noProof/>
      <w:sz w:val="24"/>
      <w:szCs w:val="20"/>
      <w:lang w:val="de-DE"/>
    </w:rPr>
  </w:style>
  <w:style w:type="paragraph" w:styleId="ListBullet">
    <w:name w:val="List Bullet"/>
    <w:basedOn w:val="Normal"/>
    <w:pPr>
      <w:spacing w:after="0" w:line="240" w:lineRule="auto"/>
      <w:ind w:left="283" w:hanging="283"/>
    </w:pPr>
    <w:rPr>
      <w:rFonts w:ascii="Bembo" w:eastAsia="Times New Roman" w:hAnsi="Bembo" w:cs="Times New Roman"/>
      <w:sz w:val="24"/>
      <w:szCs w:val="20"/>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Revision1">
    <w:name w:val="Revision1"/>
    <w:next w:val="Revision"/>
    <w:hidden/>
    <w:uiPriority w:val="99"/>
    <w:semiHidden/>
    <w:pPr>
      <w:spacing w:after="0" w:line="240" w:lineRule="auto"/>
    </w:pPr>
    <w:rPr>
      <w:rFonts w:eastAsiaTheme="minorEastAsia"/>
      <w:sz w:val="24"/>
      <w:szCs w:val="24"/>
    </w:rPr>
  </w:style>
  <w:style w:type="character" w:customStyle="1" w:styleId="apple-converted-space">
    <w:name w:val="apple-converted-space"/>
    <w:basedOn w:val="DefaultParagraphFont"/>
  </w:style>
  <w:style w:type="character" w:customStyle="1" w:styleId="highlight">
    <w:name w:val="highlight"/>
    <w:basedOn w:val="DefaultParagraphFont"/>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Heading4Char1">
    <w:name w:val="Heading 4 Char1"/>
    <w:basedOn w:val="DefaultParagraphFont"/>
    <w:uiPriority w:val="9"/>
    <w:semiHidden/>
    <w:rPr>
      <w:rFonts w:asciiTheme="majorHAnsi" w:eastAsiaTheme="majorEastAsia" w:hAnsiTheme="majorHAnsi" w:cstheme="majorBidi"/>
      <w:i/>
      <w:iCs/>
      <w:color w:val="2E74B5" w:themeColor="accent1" w:themeShade="BF"/>
    </w:rPr>
  </w:style>
  <w:style w:type="paragraph" w:styleId="Revision">
    <w:name w:val="Revision"/>
    <w:hidden/>
    <w:uiPriority w:val="99"/>
    <w:semiHidden/>
    <w:pPr>
      <w:spacing w:after="0" w:line="240" w:lineRule="auto"/>
    </w:pPr>
    <w:rPr>
      <w:rFonts w:eastAsiaTheme="minorEastAsia"/>
    </w:rPr>
  </w:style>
  <w:style w:type="table" w:customStyle="1" w:styleId="TableGrid11">
    <w:name w:val="Table Grid1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Bijschrift CE Delft"/>
    <w:basedOn w:val="Normal"/>
    <w:next w:val="Normal"/>
    <w:uiPriority w:val="4"/>
    <w:unhideWhenUsed/>
    <w:qFormat/>
    <w:pPr>
      <w:spacing w:line="240" w:lineRule="auto"/>
    </w:pPr>
    <w:rPr>
      <w:b/>
      <w:bCs/>
      <w:smallCaps/>
      <w:color w:val="44546A" w:themeColor="text2"/>
    </w:rPr>
  </w:style>
  <w:style w:type="paragraph" w:styleId="Title">
    <w:name w:val="Title"/>
    <w:basedOn w:val="Normal"/>
    <w:next w:val="Normal"/>
    <w:link w:val="TitleChar"/>
    <w:uiPriority w:val="10"/>
    <w:qFormat/>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29"/>
    <w:qFormat/>
    <w:pPr>
      <w:spacing w:before="120" w:after="120"/>
      <w:ind w:left="720"/>
    </w:pPr>
    <w:rPr>
      <w:color w:val="44546A" w:themeColor="text2"/>
      <w:sz w:val="24"/>
      <w:szCs w:val="24"/>
    </w:rPr>
  </w:style>
  <w:style w:type="character" w:customStyle="1" w:styleId="QuoteChar">
    <w:name w:val="Quote Char"/>
    <w:basedOn w:val="DefaultParagraphFont"/>
    <w:link w:val="Quote"/>
    <w:uiPriority w:val="29"/>
    <w:rPr>
      <w:rFonts w:eastAsiaTheme="minorEastAsia"/>
      <w:color w:val="44546A" w:themeColor="text2"/>
      <w:sz w:val="24"/>
      <w:szCs w:val="24"/>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bCs/>
      <w:smallCaps/>
      <w:color w:val="44546A" w:themeColor="text2"/>
      <w:u w:val="single"/>
    </w:rPr>
  </w:style>
  <w:style w:type="character" w:styleId="BookTitle">
    <w:name w:val="Book Title"/>
    <w:basedOn w:val="DefaultParagraphFont"/>
    <w:uiPriority w:val="33"/>
    <w:qFormat/>
    <w:rPr>
      <w:b/>
      <w:bCs/>
      <w:smallCaps/>
      <w:spacing w:val="10"/>
    </w:rPr>
  </w:style>
  <w:style w:type="paragraph" w:styleId="TOCHeading">
    <w:name w:val="TOC Heading"/>
    <w:basedOn w:val="Heading1"/>
    <w:next w:val="Normal"/>
    <w:uiPriority w:val="39"/>
    <w:semiHidden/>
    <w:unhideWhenUsed/>
    <w:qFormat/>
    <w:pPr>
      <w:outlineLvl w:val="9"/>
    </w:pPr>
  </w:style>
  <w:style w:type="table" w:customStyle="1" w:styleId="TableGrid111">
    <w:name w:val="Table Grid11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style>
  <w:style w:type="table" w:customStyle="1" w:styleId="TableGrid2">
    <w:name w:val="Table Grid2"/>
    <w:basedOn w:val="TableNormal"/>
    <w:next w:val="TableGrid"/>
    <w:uiPriority w:val="59"/>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style>
  <w:style w:type="paragraph" w:customStyle="1" w:styleId="BasistekstCEDelft">
    <w:name w:val="Basistekst CE Delft"/>
    <w:basedOn w:val="Normal"/>
    <w:qFormat/>
    <w:pPr>
      <w:spacing w:after="0" w:line="240" w:lineRule="atLeast"/>
    </w:pPr>
    <w:rPr>
      <w:rFonts w:ascii="Trebuchet MS" w:eastAsia="Times New Roman" w:hAnsi="Trebuchet MS" w:cs="Maiandra GD"/>
      <w:color w:val="000000" w:themeColor="text1"/>
      <w:sz w:val="20"/>
      <w:szCs w:val="18"/>
      <w:lang w:eastAsia="nl-NL"/>
    </w:rPr>
  </w:style>
  <w:style w:type="paragraph" w:customStyle="1" w:styleId="TabeltekstCEDelft">
    <w:name w:val="Tabeltekst CE Delft"/>
    <w:basedOn w:val="Normal"/>
    <w:uiPriority w:val="4"/>
    <w:pPr>
      <w:spacing w:after="0" w:line="240" w:lineRule="atLeast"/>
    </w:pPr>
    <w:rPr>
      <w:rFonts w:ascii="Trebuchet MS" w:eastAsia="Times New Roman" w:hAnsi="Trebuchet MS" w:cs="Maiandra GD"/>
      <w:color w:val="000000" w:themeColor="text1"/>
      <w:sz w:val="16"/>
      <w:szCs w:val="18"/>
      <w:lang w:eastAsia="nl-NL"/>
    </w:rPr>
  </w:style>
  <w:style w:type="paragraph" w:customStyle="1" w:styleId="TabelkopjeCEDelft">
    <w:name w:val="Tabelkopje CE Delft"/>
    <w:basedOn w:val="Normal"/>
    <w:next w:val="TabeltekstCEDelft"/>
    <w:uiPriority w:val="4"/>
    <w:pPr>
      <w:spacing w:after="0" w:line="240" w:lineRule="atLeast"/>
    </w:pPr>
    <w:rPr>
      <w:rFonts w:ascii="Trebuchet MS" w:eastAsia="Times New Roman" w:hAnsi="Trebuchet MS" w:cs="Maiandra GD"/>
      <w:b/>
      <w:color w:val="000000" w:themeColor="text1"/>
      <w:sz w:val="16"/>
      <w:szCs w:val="18"/>
      <w:lang w:eastAsia="nl-NL"/>
    </w:rPr>
  </w:style>
  <w:style w:type="table" w:customStyle="1" w:styleId="TabelstijlCEDelft">
    <w:name w:val="Tabelstijl CE Delft"/>
    <w:basedOn w:val="TableNormal"/>
    <w:uiPriority w:val="99"/>
    <w:pPr>
      <w:spacing w:after="0" w:line="240" w:lineRule="atLeast"/>
    </w:pPr>
    <w:rPr>
      <w:rFonts w:ascii="Times New Roman" w:eastAsia="Times New Roman" w:hAnsi="Times New Roman" w:cs="Times New Roman"/>
      <w:sz w:val="20"/>
      <w:szCs w:val="20"/>
      <w:lang w:val="nl-NL" w:eastAsia="nl-NL"/>
    </w:rPr>
    <w:tblPr>
      <w:tblStyleRow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left w:w="85" w:type="dxa"/>
        <w:right w:w="85" w:type="dxa"/>
      </w:tblCellMar>
    </w:tblPr>
    <w:tblStylePr w:type="firstRow">
      <w:tblPr/>
      <w:tcPr>
        <w:shd w:val="clear" w:color="auto" w:fill="B9E4FF"/>
      </w:tcPr>
    </w:tblStylePr>
    <w:tblStylePr w:type="band2Horz">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single" w:sz="4" w:space="0" w:color="5B9BD5" w:themeColor="accent1"/>
          <w:tl2br w:val="nil"/>
          <w:tr2bl w:val="nil"/>
        </w:tcBorders>
        <w:shd w:val="clear" w:color="auto" w:fill="E1F4FF"/>
      </w:tcPr>
    </w:tblStylePr>
  </w:style>
  <w:style w:type="paragraph" w:customStyle="1" w:styleId="Opsommingteken1eniveauCEDelft">
    <w:name w:val="Opsomming teken 1e niveau CE Delft"/>
    <w:basedOn w:val="Normal"/>
    <w:uiPriority w:val="4"/>
    <w:pPr>
      <w:numPr>
        <w:numId w:val="1"/>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teken2eniveauCEDelft">
    <w:name w:val="Opsomming teken 2e niveau CE Delft"/>
    <w:basedOn w:val="Normal"/>
    <w:uiPriority w:val="4"/>
    <w:pPr>
      <w:numPr>
        <w:ilvl w:val="1"/>
        <w:numId w:val="1"/>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teken3eniveauCEDelft">
    <w:name w:val="Opsomming teken 3e niveau CE Delft"/>
    <w:basedOn w:val="Normal"/>
    <w:uiPriority w:val="4"/>
    <w:pPr>
      <w:numPr>
        <w:ilvl w:val="2"/>
        <w:numId w:val="1"/>
      </w:numPr>
      <w:spacing w:after="0" w:line="240" w:lineRule="atLeast"/>
    </w:pPr>
    <w:rPr>
      <w:rFonts w:ascii="Trebuchet MS" w:eastAsia="Times New Roman" w:hAnsi="Trebuchet MS" w:cs="Maiandra GD"/>
      <w:color w:val="000000" w:themeColor="text1"/>
      <w:sz w:val="20"/>
      <w:szCs w:val="18"/>
      <w:lang w:eastAsia="nl-NL"/>
    </w:rPr>
  </w:style>
  <w:style w:type="numbering" w:customStyle="1" w:styleId="OpsommingtekenCEDelft">
    <w:name w:val="Opsomming teken CE Delft"/>
    <w:uiPriority w:val="4"/>
    <w:semiHidden/>
    <w:pPr>
      <w:numPr>
        <w:numId w:val="1"/>
      </w:numPr>
    </w:pPr>
  </w:style>
  <w:style w:type="paragraph" w:customStyle="1" w:styleId="Opsommingnummer1eniveauCEDelft">
    <w:name w:val="Opsomming nummer 1e niveau CE Delft"/>
    <w:basedOn w:val="Normal"/>
    <w:uiPriority w:val="4"/>
    <w:qFormat/>
    <w:pPr>
      <w:numPr>
        <w:numId w:val="2"/>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nummer2eniveauCEDelft">
    <w:name w:val="Opsomming nummer 2e niveau CE Delft"/>
    <w:basedOn w:val="Normal"/>
    <w:uiPriority w:val="4"/>
    <w:qFormat/>
    <w:pPr>
      <w:numPr>
        <w:ilvl w:val="1"/>
        <w:numId w:val="2"/>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nummer3eniveauCEDelft">
    <w:name w:val="Opsomming nummer 3e niveau CE Delft"/>
    <w:basedOn w:val="Normal"/>
    <w:uiPriority w:val="4"/>
    <w:qFormat/>
    <w:pPr>
      <w:numPr>
        <w:ilvl w:val="2"/>
        <w:numId w:val="2"/>
      </w:numPr>
      <w:spacing w:after="0" w:line="240" w:lineRule="atLeast"/>
    </w:pPr>
    <w:rPr>
      <w:rFonts w:ascii="Trebuchet MS" w:eastAsia="Times New Roman" w:hAnsi="Trebuchet MS" w:cs="Maiandra GD"/>
      <w:color w:val="000000" w:themeColor="text1"/>
      <w:sz w:val="20"/>
      <w:szCs w:val="18"/>
      <w:lang w:eastAsia="nl-NL"/>
    </w:rPr>
  </w:style>
  <w:style w:type="numbering" w:customStyle="1" w:styleId="OpsommingnummerCEDelft">
    <w:name w:val="Opsomming nummer CE Delft"/>
    <w:uiPriority w:val="4"/>
    <w:semiHidden/>
    <w:pPr>
      <w:numPr>
        <w:numId w:val="2"/>
      </w:numPr>
    </w:pPr>
  </w:style>
  <w:style w:type="paragraph" w:styleId="Bibliography">
    <w:name w:val="Bibliography"/>
    <w:basedOn w:val="Normal"/>
    <w:next w:val="BasistekstCEDelft"/>
    <w:uiPriority w:val="98"/>
    <w:semiHidden/>
    <w:pPr>
      <w:spacing w:after="0" w:line="240" w:lineRule="atLeast"/>
    </w:pPr>
    <w:rPr>
      <w:rFonts w:ascii="Trebuchet MS" w:eastAsia="Times New Roman" w:hAnsi="Trebuchet MS" w:cs="Maiandra GD"/>
      <w:color w:val="000000" w:themeColor="text1"/>
      <w:sz w:val="20"/>
      <w:szCs w:val="18"/>
      <w:lang w:eastAsia="nl-NL"/>
    </w:rPr>
  </w:style>
  <w:style w:type="character" w:styleId="PlaceholderText">
    <w:name w:val="Placeholder Text"/>
    <w:basedOn w:val="DefaultParagraphFont"/>
    <w:uiPriority w:val="99"/>
    <w:semiHidden/>
    <w:rPr>
      <w:color w:val="808080"/>
    </w:rPr>
  </w:style>
  <w:style w:type="character" w:customStyle="1" w:styleId="UnresolvedMention4">
    <w:name w:val="Unresolved Mention4"/>
    <w:basedOn w:val="DefaultParagraphFont"/>
    <w:uiPriority w:val="99"/>
    <w:semiHidden/>
    <w:unhideWhenUsed/>
    <w:rPr>
      <w:color w:val="605E5C"/>
      <w:shd w:val="clear" w:color="auto" w:fill="E1DFDD"/>
    </w:rPr>
  </w:style>
  <w:style w:type="table" w:customStyle="1" w:styleId="TabelstijlCEDelft1">
    <w:name w:val="Tabelstijl CE Delft1"/>
    <w:basedOn w:val="TableNormal"/>
    <w:uiPriority w:val="99"/>
    <w:pPr>
      <w:spacing w:after="0" w:line="240" w:lineRule="atLeast"/>
    </w:pPr>
    <w:rPr>
      <w:rFonts w:ascii="Times New Roman" w:eastAsia="Times New Roman" w:hAnsi="Times New Roman" w:cs="Times New Roman"/>
      <w:sz w:val="20"/>
      <w:szCs w:val="20"/>
      <w:lang w:val="nl-NL" w:eastAsia="nl-NL"/>
    </w:rPr>
    <w:tblPr>
      <w:tblStyleRow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left w:w="85" w:type="dxa"/>
        <w:right w:w="85" w:type="dxa"/>
      </w:tblCellMar>
    </w:tblPr>
    <w:tblStylePr w:type="firstRow">
      <w:tblPr/>
      <w:tcPr>
        <w:shd w:val="clear" w:color="auto" w:fill="B9E4FF"/>
      </w:tcPr>
    </w:tblStylePr>
    <w:tblStylePr w:type="band2Horz">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single" w:sz="4" w:space="0" w:color="5B9BD5" w:themeColor="accent1"/>
          <w:tl2br w:val="nil"/>
          <w:tr2bl w:val="nil"/>
        </w:tcBorders>
        <w:shd w:val="clear" w:color="auto" w:fill="E1F4FF"/>
      </w:tcPr>
    </w:tblStylePr>
  </w:style>
  <w:style w:type="character" w:styleId="FollowedHyperlink">
    <w:name w:val="FollowedHyperlink"/>
    <w:basedOn w:val="DefaultParagraphFont"/>
    <w:uiPriority w:val="99"/>
    <w:semiHidden/>
    <w:unhideWhenUsed/>
    <w:rPr>
      <w:color w:val="954F72" w:themeColor="followedHyperlink"/>
      <w:u w:val="single"/>
    </w:rPr>
  </w:style>
  <w:style w:type="table" w:customStyle="1" w:styleId="TablewithLightBlueHeader1">
    <w:name w:val="Table with Light Blue Header1"/>
    <w:basedOn w:val="TableNormal"/>
    <w:next w:val="TableGrid"/>
    <w:semiHidden/>
    <w:locked/>
    <w:pPr>
      <w:spacing w:after="0" w:line="240" w:lineRule="auto"/>
    </w:pPr>
    <w:rPr>
      <w:rFonts w:ascii="Calibri" w:eastAsia="Times New Roman" w:hAnsi="Calibri" w:cs="Times New Roman"/>
      <w:szCs w:val="24"/>
      <w:lang w:val="de-DE" w:eastAsia="de-DE"/>
    </w:rPr>
    <w:tblPr>
      <w:tblStyleRowBandSize w:val="1"/>
      <w:tblBorders>
        <w:insideV w:val="dotted" w:sz="4" w:space="0" w:color="222F64"/>
      </w:tblBorders>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007FC2"/>
      </w:tcPr>
    </w:tblStylePr>
    <w:tblStylePr w:type="band2Horz">
      <w:tblPr/>
      <w:tcPr>
        <w:shd w:val="clear" w:color="auto" w:fill="CCE5F3"/>
      </w:tcPr>
    </w:tblStylePr>
  </w:style>
  <w:style w:type="paragraph" w:customStyle="1" w:styleId="Pa3">
    <w:name w:val="Pa3"/>
    <w:basedOn w:val="Default"/>
    <w:next w:val="Default"/>
    <w:uiPriority w:val="99"/>
    <w:pPr>
      <w:spacing w:line="201" w:lineRule="atLeast"/>
    </w:pPr>
    <w:rPr>
      <w:rFonts w:ascii="Corpid E1s SCd Light" w:hAnsi="Corpid E1s SCd Light" w:cstheme="minorBidi"/>
      <w:color w:val="auto"/>
    </w:rPr>
  </w:style>
  <w:style w:type="character" w:customStyle="1" w:styleId="A9">
    <w:name w:val="A9"/>
    <w:uiPriority w:val="99"/>
    <w:rPr>
      <w:rFonts w:cs="Corpid E1s SCd Light"/>
      <w:color w:val="000000"/>
      <w:sz w:val="11"/>
      <w:szCs w:val="11"/>
    </w:rPr>
  </w:style>
  <w:style w:type="paragraph" w:customStyle="1" w:styleId="Pa11">
    <w:name w:val="Pa11"/>
    <w:basedOn w:val="Default"/>
    <w:next w:val="Default"/>
    <w:uiPriority w:val="99"/>
    <w:pPr>
      <w:spacing w:line="281" w:lineRule="atLeast"/>
    </w:pPr>
    <w:rPr>
      <w:rFonts w:ascii="Corpid E1s SCd Light" w:hAnsi="Corpid E1s SCd Light" w:cstheme="minorBidi"/>
      <w:color w:val="auto"/>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EastAsia"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heme="minorEastAsia"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EastAsia"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heme="minorEastAsia"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heme="minorEastAsia" w:hAnsi="Times New Roman" w:cs="Times New Roman"/>
      <w:sz w:val="28"/>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4"/>
    <w:lsdException w:name="caption" w:uiPriority="4"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98"/>
    <w:lsdException w:name="TOC Heading" w:uiPriority="39" w:qFormat="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1F4E79" w:themeColor="accent1" w:themeShade="80"/>
    </w:rPr>
  </w:style>
  <w:style w:type="paragraph" w:customStyle="1" w:styleId="Untertitel1">
    <w:name w:val="Untertitel1"/>
    <w:basedOn w:val="Normal"/>
    <w:pPr>
      <w:spacing w:after="0" w:line="240" w:lineRule="auto"/>
      <w:jc w:val="center"/>
    </w:pPr>
    <w:rPr>
      <w:rFonts w:ascii="Calibri" w:eastAsia="Times New Roman" w:hAnsi="Calibri" w:cs="Times New Roman"/>
      <w:color w:val="222F64"/>
      <w:sz w:val="36"/>
      <w:szCs w:val="32"/>
      <w:lang w:eastAsia="en-GB"/>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EastAsia"/>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heme="minorEastAsia" w:hAnsi="Segoe UI" w:cs="Segoe UI"/>
      <w:sz w:val="18"/>
      <w:szCs w:val="18"/>
    </w:rPr>
  </w:style>
  <w:style w:type="paragraph" w:styleId="FootnoteText">
    <w:name w:val="footnote text"/>
    <w:aliases w:val="Voetnoottekst CE Delft"/>
    <w:basedOn w:val="Normal"/>
    <w:link w:val="FootnoteTextChar"/>
    <w:uiPriority w:val="4"/>
    <w:unhideWhenUsed/>
    <w:pPr>
      <w:spacing w:after="0" w:line="240" w:lineRule="auto"/>
    </w:pPr>
    <w:rPr>
      <w:sz w:val="20"/>
      <w:szCs w:val="20"/>
    </w:rPr>
  </w:style>
  <w:style w:type="character" w:customStyle="1" w:styleId="FootnoteTextChar">
    <w:name w:val="Footnote Text Char"/>
    <w:aliases w:val="Voetnoottekst CE Delft Char"/>
    <w:basedOn w:val="DefaultParagraphFont"/>
    <w:link w:val="FootnoteText"/>
    <w:uiPriority w:val="4"/>
    <w:rPr>
      <w:rFonts w:eastAsiaTheme="minorEastAsia"/>
      <w:sz w:val="20"/>
      <w:szCs w:val="20"/>
    </w:rPr>
  </w:style>
  <w:style w:type="character" w:styleId="FootnoteReference">
    <w:name w:val="footnote reference"/>
    <w:aliases w:val="-E Fußnotenzeichen,Voetnootmarkering CE Delft"/>
    <w:basedOn w:val="DefaultParagraphFont"/>
    <w:uiPriority w:val="99"/>
    <w:unhideWhenUsed/>
    <w:rPr>
      <w:vertAlign w:val="superscript"/>
    </w:rPr>
  </w:style>
  <w:style w:type="paragraph" w:customStyle="1" w:styleId="Default">
    <w:name w:val="Default"/>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eastAsiaTheme="minorEastAsia"/>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eastAsiaTheme="minorEastAsia"/>
    </w:rPr>
  </w:style>
  <w:style w:type="paragraph" w:styleId="NoSpacing">
    <w:name w:val="No Spacing"/>
    <w:link w:val="NoSpacingChar"/>
    <w:uiPriority w:val="1"/>
    <w:qFormat/>
    <w:pPr>
      <w:spacing w:after="0" w:line="240" w:lineRule="auto"/>
    </w:pPr>
    <w:rPr>
      <w:rFonts w:eastAsiaTheme="minorEastAsia"/>
    </w:rPr>
  </w:style>
  <w:style w:type="character" w:customStyle="1" w:styleId="NoSpacingChar">
    <w:name w:val="No Spacing Char"/>
    <w:basedOn w:val="DefaultParagraphFont"/>
    <w:link w:val="NoSpacing"/>
    <w:uiPriority w:val="1"/>
    <w:rPr>
      <w:rFonts w:eastAsiaTheme="minorEastAsia"/>
    </w:rPr>
  </w:style>
  <w:style w:type="table" w:styleId="TableGrid">
    <w:name w:val="Table Grid"/>
    <w:basedOn w:val="TableNormal"/>
    <w:uiPriority w:val="5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tyle>
  <w:style w:type="character" w:styleId="Hyperlink">
    <w:name w:val="Hyperlink"/>
    <w:uiPriority w:val="99"/>
    <w:rPr>
      <w:color w:val="0000FF"/>
      <w:u w:val="single"/>
    </w:rPr>
  </w:style>
  <w:style w:type="table" w:customStyle="1" w:styleId="TableGrid1">
    <w:name w:val="Table Grid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0"/>
      <w:szCs w:val="20"/>
      <w:lang w:eastAsia="en-GB"/>
    </w:rPr>
    <w:tblPr>
      <w:tblCellMar>
        <w:left w:w="0" w:type="dxa"/>
        <w:bottom w:w="340" w:type="dxa"/>
        <w:right w:w="0" w:type="dxa"/>
      </w:tblCellMar>
    </w:tblPr>
  </w:style>
  <w:style w:type="paragraph" w:customStyle="1" w:styleId="Heading41">
    <w:name w:val="Heading 41"/>
    <w:basedOn w:val="Normal"/>
    <w:next w:val="Normal"/>
    <w:uiPriority w:val="9"/>
    <w:semiHidden/>
    <w:unhideWhenUsed/>
    <w:pPr>
      <w:keepNext/>
      <w:keepLines/>
      <w:spacing w:before="40" w:after="0" w:line="240" w:lineRule="auto"/>
      <w:outlineLvl w:val="3"/>
    </w:pPr>
    <w:rPr>
      <w:rFonts w:ascii="Calibri Light" w:eastAsia="Times New Roman" w:hAnsi="Calibri Light" w:cs="Times New Roman"/>
      <w:i/>
      <w:iCs/>
      <w:color w:val="2F5496"/>
      <w:sz w:val="24"/>
      <w:szCs w:val="24"/>
    </w:rPr>
  </w:style>
  <w:style w:type="numbering" w:customStyle="1" w:styleId="NoList1">
    <w:name w:val="No List1"/>
    <w:next w:val="NoList"/>
    <w:uiPriority w:val="99"/>
    <w:semiHidden/>
    <w:unhideWhenUsed/>
  </w:style>
  <w:style w:type="paragraph" w:customStyle="1" w:styleId="DraftTextL17">
    <w:name w:val="DraftText_L17"/>
    <w:basedOn w:val="Normal"/>
    <w:next w:val="Normal"/>
    <w:pPr>
      <w:spacing w:after="120" w:line="240" w:lineRule="auto"/>
    </w:pPr>
    <w:rPr>
      <w:rFonts w:ascii="Times New Roman" w:eastAsia="Times New Roman" w:hAnsi="Times New Roman" w:cs="Times New Roman"/>
      <w:spacing w:val="-8"/>
      <w:szCs w:val="24"/>
    </w:rPr>
  </w:style>
  <w:style w:type="paragraph" w:customStyle="1" w:styleId="figure">
    <w:name w:val="figure"/>
    <w:basedOn w:val="Normal"/>
    <w:pPr>
      <w:spacing w:before="120" w:after="120" w:line="240" w:lineRule="auto"/>
      <w:ind w:left="1304" w:hanging="1304"/>
    </w:pPr>
    <w:rPr>
      <w:rFonts w:ascii="Times New Roman" w:eastAsia="Times New Roman" w:hAnsi="Times New Roman" w:cs="Times New Roman"/>
      <w:b/>
      <w:noProof/>
      <w:sz w:val="24"/>
      <w:szCs w:val="20"/>
      <w:lang w:val="de-DE"/>
    </w:rPr>
  </w:style>
  <w:style w:type="paragraph" w:styleId="ListBullet">
    <w:name w:val="List Bullet"/>
    <w:basedOn w:val="Normal"/>
    <w:pPr>
      <w:spacing w:after="0" w:line="240" w:lineRule="auto"/>
      <w:ind w:left="283" w:hanging="283"/>
    </w:pPr>
    <w:rPr>
      <w:rFonts w:ascii="Bembo" w:eastAsia="Times New Roman" w:hAnsi="Bembo" w:cs="Times New Roman"/>
      <w:sz w:val="24"/>
      <w:szCs w:val="20"/>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Revision1">
    <w:name w:val="Revision1"/>
    <w:next w:val="Revision"/>
    <w:hidden/>
    <w:uiPriority w:val="99"/>
    <w:semiHidden/>
    <w:pPr>
      <w:spacing w:after="0" w:line="240" w:lineRule="auto"/>
    </w:pPr>
    <w:rPr>
      <w:rFonts w:eastAsiaTheme="minorEastAsia"/>
      <w:sz w:val="24"/>
      <w:szCs w:val="24"/>
    </w:rPr>
  </w:style>
  <w:style w:type="character" w:customStyle="1" w:styleId="apple-converted-space">
    <w:name w:val="apple-converted-space"/>
    <w:basedOn w:val="DefaultParagraphFont"/>
  </w:style>
  <w:style w:type="character" w:customStyle="1" w:styleId="highlight">
    <w:name w:val="highlight"/>
    <w:basedOn w:val="DefaultParagraphFont"/>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Heading4Char1">
    <w:name w:val="Heading 4 Char1"/>
    <w:basedOn w:val="DefaultParagraphFont"/>
    <w:uiPriority w:val="9"/>
    <w:semiHidden/>
    <w:rPr>
      <w:rFonts w:asciiTheme="majorHAnsi" w:eastAsiaTheme="majorEastAsia" w:hAnsiTheme="majorHAnsi" w:cstheme="majorBidi"/>
      <w:i/>
      <w:iCs/>
      <w:color w:val="2E74B5" w:themeColor="accent1" w:themeShade="BF"/>
    </w:rPr>
  </w:style>
  <w:style w:type="paragraph" w:styleId="Revision">
    <w:name w:val="Revision"/>
    <w:hidden/>
    <w:uiPriority w:val="99"/>
    <w:semiHidden/>
    <w:pPr>
      <w:spacing w:after="0" w:line="240" w:lineRule="auto"/>
    </w:pPr>
    <w:rPr>
      <w:rFonts w:eastAsiaTheme="minorEastAsia"/>
    </w:rPr>
  </w:style>
  <w:style w:type="table" w:customStyle="1" w:styleId="TableGrid11">
    <w:name w:val="Table Grid1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Bijschrift CE Delft"/>
    <w:basedOn w:val="Normal"/>
    <w:next w:val="Normal"/>
    <w:uiPriority w:val="4"/>
    <w:unhideWhenUsed/>
    <w:qFormat/>
    <w:pPr>
      <w:spacing w:line="240" w:lineRule="auto"/>
    </w:pPr>
    <w:rPr>
      <w:b/>
      <w:bCs/>
      <w:smallCaps/>
      <w:color w:val="44546A" w:themeColor="text2"/>
    </w:rPr>
  </w:style>
  <w:style w:type="paragraph" w:styleId="Title">
    <w:name w:val="Title"/>
    <w:basedOn w:val="Normal"/>
    <w:next w:val="Normal"/>
    <w:link w:val="TitleChar"/>
    <w:uiPriority w:val="10"/>
    <w:qFormat/>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29"/>
    <w:qFormat/>
    <w:pPr>
      <w:spacing w:before="120" w:after="120"/>
      <w:ind w:left="720"/>
    </w:pPr>
    <w:rPr>
      <w:color w:val="44546A" w:themeColor="text2"/>
      <w:sz w:val="24"/>
      <w:szCs w:val="24"/>
    </w:rPr>
  </w:style>
  <w:style w:type="character" w:customStyle="1" w:styleId="QuoteChar">
    <w:name w:val="Quote Char"/>
    <w:basedOn w:val="DefaultParagraphFont"/>
    <w:link w:val="Quote"/>
    <w:uiPriority w:val="29"/>
    <w:rPr>
      <w:rFonts w:eastAsiaTheme="minorEastAsia"/>
      <w:color w:val="44546A" w:themeColor="text2"/>
      <w:sz w:val="24"/>
      <w:szCs w:val="24"/>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bCs/>
      <w:smallCaps/>
      <w:color w:val="44546A" w:themeColor="text2"/>
      <w:u w:val="single"/>
    </w:rPr>
  </w:style>
  <w:style w:type="character" w:styleId="BookTitle">
    <w:name w:val="Book Title"/>
    <w:basedOn w:val="DefaultParagraphFont"/>
    <w:uiPriority w:val="33"/>
    <w:qFormat/>
    <w:rPr>
      <w:b/>
      <w:bCs/>
      <w:smallCaps/>
      <w:spacing w:val="10"/>
    </w:rPr>
  </w:style>
  <w:style w:type="paragraph" w:styleId="TOCHeading">
    <w:name w:val="TOC Heading"/>
    <w:basedOn w:val="Heading1"/>
    <w:next w:val="Normal"/>
    <w:uiPriority w:val="39"/>
    <w:semiHidden/>
    <w:unhideWhenUsed/>
    <w:qFormat/>
    <w:pPr>
      <w:outlineLvl w:val="9"/>
    </w:pPr>
  </w:style>
  <w:style w:type="table" w:customStyle="1" w:styleId="TableGrid111">
    <w:name w:val="Table Grid111"/>
    <w:basedOn w:val="TableNormal"/>
    <w:next w:val="TableGrid"/>
    <w:pPr>
      <w:spacing w:after="24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style>
  <w:style w:type="table" w:customStyle="1" w:styleId="TableGrid2">
    <w:name w:val="Table Grid2"/>
    <w:basedOn w:val="TableNormal"/>
    <w:next w:val="TableGrid"/>
    <w:uiPriority w:val="59"/>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style>
  <w:style w:type="paragraph" w:customStyle="1" w:styleId="BasistekstCEDelft">
    <w:name w:val="Basistekst CE Delft"/>
    <w:basedOn w:val="Normal"/>
    <w:qFormat/>
    <w:pPr>
      <w:spacing w:after="0" w:line="240" w:lineRule="atLeast"/>
    </w:pPr>
    <w:rPr>
      <w:rFonts w:ascii="Trebuchet MS" w:eastAsia="Times New Roman" w:hAnsi="Trebuchet MS" w:cs="Maiandra GD"/>
      <w:color w:val="000000" w:themeColor="text1"/>
      <w:sz w:val="20"/>
      <w:szCs w:val="18"/>
      <w:lang w:eastAsia="nl-NL"/>
    </w:rPr>
  </w:style>
  <w:style w:type="paragraph" w:customStyle="1" w:styleId="TabeltekstCEDelft">
    <w:name w:val="Tabeltekst CE Delft"/>
    <w:basedOn w:val="Normal"/>
    <w:uiPriority w:val="4"/>
    <w:pPr>
      <w:spacing w:after="0" w:line="240" w:lineRule="atLeast"/>
    </w:pPr>
    <w:rPr>
      <w:rFonts w:ascii="Trebuchet MS" w:eastAsia="Times New Roman" w:hAnsi="Trebuchet MS" w:cs="Maiandra GD"/>
      <w:color w:val="000000" w:themeColor="text1"/>
      <w:sz w:val="16"/>
      <w:szCs w:val="18"/>
      <w:lang w:eastAsia="nl-NL"/>
    </w:rPr>
  </w:style>
  <w:style w:type="paragraph" w:customStyle="1" w:styleId="TabelkopjeCEDelft">
    <w:name w:val="Tabelkopje CE Delft"/>
    <w:basedOn w:val="Normal"/>
    <w:next w:val="TabeltekstCEDelft"/>
    <w:uiPriority w:val="4"/>
    <w:pPr>
      <w:spacing w:after="0" w:line="240" w:lineRule="atLeast"/>
    </w:pPr>
    <w:rPr>
      <w:rFonts w:ascii="Trebuchet MS" w:eastAsia="Times New Roman" w:hAnsi="Trebuchet MS" w:cs="Maiandra GD"/>
      <w:b/>
      <w:color w:val="000000" w:themeColor="text1"/>
      <w:sz w:val="16"/>
      <w:szCs w:val="18"/>
      <w:lang w:eastAsia="nl-NL"/>
    </w:rPr>
  </w:style>
  <w:style w:type="table" w:customStyle="1" w:styleId="TabelstijlCEDelft">
    <w:name w:val="Tabelstijl CE Delft"/>
    <w:basedOn w:val="TableNormal"/>
    <w:uiPriority w:val="99"/>
    <w:pPr>
      <w:spacing w:after="0" w:line="240" w:lineRule="atLeast"/>
    </w:pPr>
    <w:rPr>
      <w:rFonts w:ascii="Times New Roman" w:eastAsia="Times New Roman" w:hAnsi="Times New Roman" w:cs="Times New Roman"/>
      <w:sz w:val="20"/>
      <w:szCs w:val="20"/>
      <w:lang w:val="nl-NL" w:eastAsia="nl-NL"/>
    </w:rPr>
    <w:tblPr>
      <w:tblStyleRow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left w:w="85" w:type="dxa"/>
        <w:right w:w="85" w:type="dxa"/>
      </w:tblCellMar>
    </w:tblPr>
    <w:tblStylePr w:type="firstRow">
      <w:tblPr/>
      <w:tcPr>
        <w:shd w:val="clear" w:color="auto" w:fill="B9E4FF"/>
      </w:tcPr>
    </w:tblStylePr>
    <w:tblStylePr w:type="band2Horz">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single" w:sz="4" w:space="0" w:color="5B9BD5" w:themeColor="accent1"/>
          <w:tl2br w:val="nil"/>
          <w:tr2bl w:val="nil"/>
        </w:tcBorders>
        <w:shd w:val="clear" w:color="auto" w:fill="E1F4FF"/>
      </w:tcPr>
    </w:tblStylePr>
  </w:style>
  <w:style w:type="paragraph" w:customStyle="1" w:styleId="Opsommingteken1eniveauCEDelft">
    <w:name w:val="Opsomming teken 1e niveau CE Delft"/>
    <w:basedOn w:val="Normal"/>
    <w:uiPriority w:val="4"/>
    <w:pPr>
      <w:numPr>
        <w:numId w:val="1"/>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teken2eniveauCEDelft">
    <w:name w:val="Opsomming teken 2e niveau CE Delft"/>
    <w:basedOn w:val="Normal"/>
    <w:uiPriority w:val="4"/>
    <w:pPr>
      <w:numPr>
        <w:ilvl w:val="1"/>
        <w:numId w:val="1"/>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teken3eniveauCEDelft">
    <w:name w:val="Opsomming teken 3e niveau CE Delft"/>
    <w:basedOn w:val="Normal"/>
    <w:uiPriority w:val="4"/>
    <w:pPr>
      <w:numPr>
        <w:ilvl w:val="2"/>
        <w:numId w:val="1"/>
      </w:numPr>
      <w:spacing w:after="0" w:line="240" w:lineRule="atLeast"/>
    </w:pPr>
    <w:rPr>
      <w:rFonts w:ascii="Trebuchet MS" w:eastAsia="Times New Roman" w:hAnsi="Trebuchet MS" w:cs="Maiandra GD"/>
      <w:color w:val="000000" w:themeColor="text1"/>
      <w:sz w:val="20"/>
      <w:szCs w:val="18"/>
      <w:lang w:eastAsia="nl-NL"/>
    </w:rPr>
  </w:style>
  <w:style w:type="numbering" w:customStyle="1" w:styleId="OpsommingtekenCEDelft">
    <w:name w:val="Opsomming teken CE Delft"/>
    <w:uiPriority w:val="4"/>
    <w:semiHidden/>
    <w:pPr>
      <w:numPr>
        <w:numId w:val="1"/>
      </w:numPr>
    </w:pPr>
  </w:style>
  <w:style w:type="paragraph" w:customStyle="1" w:styleId="Opsommingnummer1eniveauCEDelft">
    <w:name w:val="Opsomming nummer 1e niveau CE Delft"/>
    <w:basedOn w:val="Normal"/>
    <w:uiPriority w:val="4"/>
    <w:qFormat/>
    <w:pPr>
      <w:numPr>
        <w:numId w:val="2"/>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nummer2eniveauCEDelft">
    <w:name w:val="Opsomming nummer 2e niveau CE Delft"/>
    <w:basedOn w:val="Normal"/>
    <w:uiPriority w:val="4"/>
    <w:qFormat/>
    <w:pPr>
      <w:numPr>
        <w:ilvl w:val="1"/>
        <w:numId w:val="2"/>
      </w:numPr>
      <w:spacing w:after="0" w:line="240" w:lineRule="atLeast"/>
    </w:pPr>
    <w:rPr>
      <w:rFonts w:ascii="Trebuchet MS" w:eastAsia="Times New Roman" w:hAnsi="Trebuchet MS" w:cs="Maiandra GD"/>
      <w:color w:val="000000" w:themeColor="text1"/>
      <w:sz w:val="20"/>
      <w:szCs w:val="18"/>
      <w:lang w:eastAsia="nl-NL"/>
    </w:rPr>
  </w:style>
  <w:style w:type="paragraph" w:customStyle="1" w:styleId="Opsommingnummer3eniveauCEDelft">
    <w:name w:val="Opsomming nummer 3e niveau CE Delft"/>
    <w:basedOn w:val="Normal"/>
    <w:uiPriority w:val="4"/>
    <w:qFormat/>
    <w:pPr>
      <w:numPr>
        <w:ilvl w:val="2"/>
        <w:numId w:val="2"/>
      </w:numPr>
      <w:spacing w:after="0" w:line="240" w:lineRule="atLeast"/>
    </w:pPr>
    <w:rPr>
      <w:rFonts w:ascii="Trebuchet MS" w:eastAsia="Times New Roman" w:hAnsi="Trebuchet MS" w:cs="Maiandra GD"/>
      <w:color w:val="000000" w:themeColor="text1"/>
      <w:sz w:val="20"/>
      <w:szCs w:val="18"/>
      <w:lang w:eastAsia="nl-NL"/>
    </w:rPr>
  </w:style>
  <w:style w:type="numbering" w:customStyle="1" w:styleId="OpsommingnummerCEDelft">
    <w:name w:val="Opsomming nummer CE Delft"/>
    <w:uiPriority w:val="4"/>
    <w:semiHidden/>
    <w:pPr>
      <w:numPr>
        <w:numId w:val="2"/>
      </w:numPr>
    </w:pPr>
  </w:style>
  <w:style w:type="paragraph" w:styleId="Bibliography">
    <w:name w:val="Bibliography"/>
    <w:basedOn w:val="Normal"/>
    <w:next w:val="BasistekstCEDelft"/>
    <w:uiPriority w:val="98"/>
    <w:semiHidden/>
    <w:pPr>
      <w:spacing w:after="0" w:line="240" w:lineRule="atLeast"/>
    </w:pPr>
    <w:rPr>
      <w:rFonts w:ascii="Trebuchet MS" w:eastAsia="Times New Roman" w:hAnsi="Trebuchet MS" w:cs="Maiandra GD"/>
      <w:color w:val="000000" w:themeColor="text1"/>
      <w:sz w:val="20"/>
      <w:szCs w:val="18"/>
      <w:lang w:eastAsia="nl-NL"/>
    </w:rPr>
  </w:style>
  <w:style w:type="character" w:styleId="PlaceholderText">
    <w:name w:val="Placeholder Text"/>
    <w:basedOn w:val="DefaultParagraphFont"/>
    <w:uiPriority w:val="99"/>
    <w:semiHidden/>
    <w:rPr>
      <w:color w:val="808080"/>
    </w:rPr>
  </w:style>
  <w:style w:type="character" w:customStyle="1" w:styleId="UnresolvedMention4">
    <w:name w:val="Unresolved Mention4"/>
    <w:basedOn w:val="DefaultParagraphFont"/>
    <w:uiPriority w:val="99"/>
    <w:semiHidden/>
    <w:unhideWhenUsed/>
    <w:rPr>
      <w:color w:val="605E5C"/>
      <w:shd w:val="clear" w:color="auto" w:fill="E1DFDD"/>
    </w:rPr>
  </w:style>
  <w:style w:type="table" w:customStyle="1" w:styleId="TabelstijlCEDelft1">
    <w:name w:val="Tabelstijl CE Delft1"/>
    <w:basedOn w:val="TableNormal"/>
    <w:uiPriority w:val="99"/>
    <w:pPr>
      <w:spacing w:after="0" w:line="240" w:lineRule="atLeast"/>
    </w:pPr>
    <w:rPr>
      <w:rFonts w:ascii="Times New Roman" w:eastAsia="Times New Roman" w:hAnsi="Times New Roman" w:cs="Times New Roman"/>
      <w:sz w:val="20"/>
      <w:szCs w:val="20"/>
      <w:lang w:val="nl-NL" w:eastAsia="nl-NL"/>
    </w:rPr>
    <w:tblPr>
      <w:tblStyleRow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left w:w="85" w:type="dxa"/>
        <w:right w:w="85" w:type="dxa"/>
      </w:tblCellMar>
    </w:tblPr>
    <w:tblStylePr w:type="firstRow">
      <w:tblPr/>
      <w:tcPr>
        <w:shd w:val="clear" w:color="auto" w:fill="B9E4FF"/>
      </w:tcPr>
    </w:tblStylePr>
    <w:tblStylePr w:type="band2Horz">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single" w:sz="4" w:space="0" w:color="5B9BD5" w:themeColor="accent1"/>
          <w:tl2br w:val="nil"/>
          <w:tr2bl w:val="nil"/>
        </w:tcBorders>
        <w:shd w:val="clear" w:color="auto" w:fill="E1F4FF"/>
      </w:tcPr>
    </w:tblStylePr>
  </w:style>
  <w:style w:type="character" w:styleId="FollowedHyperlink">
    <w:name w:val="FollowedHyperlink"/>
    <w:basedOn w:val="DefaultParagraphFont"/>
    <w:uiPriority w:val="99"/>
    <w:semiHidden/>
    <w:unhideWhenUsed/>
    <w:rPr>
      <w:color w:val="954F72" w:themeColor="followedHyperlink"/>
      <w:u w:val="single"/>
    </w:rPr>
  </w:style>
  <w:style w:type="table" w:customStyle="1" w:styleId="TablewithLightBlueHeader1">
    <w:name w:val="Table with Light Blue Header1"/>
    <w:basedOn w:val="TableNormal"/>
    <w:next w:val="TableGrid"/>
    <w:semiHidden/>
    <w:locked/>
    <w:pPr>
      <w:spacing w:after="0" w:line="240" w:lineRule="auto"/>
    </w:pPr>
    <w:rPr>
      <w:rFonts w:ascii="Calibri" w:eastAsia="Times New Roman" w:hAnsi="Calibri" w:cs="Times New Roman"/>
      <w:szCs w:val="24"/>
      <w:lang w:val="de-DE" w:eastAsia="de-DE"/>
    </w:rPr>
    <w:tblPr>
      <w:tblStyleRowBandSize w:val="1"/>
      <w:tblBorders>
        <w:insideV w:val="dotted" w:sz="4" w:space="0" w:color="222F64"/>
      </w:tblBorders>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007FC2"/>
      </w:tcPr>
    </w:tblStylePr>
    <w:tblStylePr w:type="band2Horz">
      <w:tblPr/>
      <w:tcPr>
        <w:shd w:val="clear" w:color="auto" w:fill="CCE5F3"/>
      </w:tcPr>
    </w:tblStylePr>
  </w:style>
  <w:style w:type="paragraph" w:customStyle="1" w:styleId="Pa3">
    <w:name w:val="Pa3"/>
    <w:basedOn w:val="Default"/>
    <w:next w:val="Default"/>
    <w:uiPriority w:val="99"/>
    <w:pPr>
      <w:spacing w:line="201" w:lineRule="atLeast"/>
    </w:pPr>
    <w:rPr>
      <w:rFonts w:ascii="Corpid E1s SCd Light" w:hAnsi="Corpid E1s SCd Light" w:cstheme="minorBidi"/>
      <w:color w:val="auto"/>
    </w:rPr>
  </w:style>
  <w:style w:type="character" w:customStyle="1" w:styleId="A9">
    <w:name w:val="A9"/>
    <w:uiPriority w:val="99"/>
    <w:rPr>
      <w:rFonts w:cs="Corpid E1s SCd Light"/>
      <w:color w:val="000000"/>
      <w:sz w:val="11"/>
      <w:szCs w:val="11"/>
    </w:rPr>
  </w:style>
  <w:style w:type="paragraph" w:customStyle="1" w:styleId="Pa11">
    <w:name w:val="Pa11"/>
    <w:basedOn w:val="Default"/>
    <w:next w:val="Default"/>
    <w:uiPriority w:val="99"/>
    <w:pPr>
      <w:spacing w:line="281" w:lineRule="atLeast"/>
    </w:pPr>
    <w:rPr>
      <w:rFonts w:ascii="Corpid E1s SCd Light" w:hAnsi="Corpid E1s SCd Light" w:cstheme="minorBidi"/>
      <w:color w:val="auto"/>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EastAsia"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heme="minorEastAsia"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EastAsia"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heme="minorEastAsia"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heme="minorEastAsia" w:hAnsi="Times New Roman" w:cs="Times New Roman"/>
      <w:sz w:val="28"/>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5.xml"/><Relationship Id="rId39" Type="http://schemas.openxmlformats.org/officeDocument/2006/relationships/footer" Target="footer9.xml"/><Relationship Id="rId21" Type="http://schemas.openxmlformats.org/officeDocument/2006/relationships/image" Target="media/image6.png"/><Relationship Id="rId34" Type="http://schemas.openxmlformats.org/officeDocument/2006/relationships/header" Target="header7.xml"/><Relationship Id="rId42" Type="http://schemas.openxmlformats.org/officeDocument/2006/relationships/hyperlink" Target="https://doi.org/10.1038/nclimate2998" TargetMode="External"/><Relationship Id="rId47" Type="http://schemas.openxmlformats.org/officeDocument/2006/relationships/hyperlink" Target="http://www.cph.dk/en/cph-business/aviation/charges-and-slot/calculation-of-emission-charges" TargetMode="External"/><Relationship Id="rId50" Type="http://schemas.openxmlformats.org/officeDocument/2006/relationships/hyperlink" Target="http://www.ec.europa.eu/clima/policies/transport/aviation_en" TargetMode="External"/><Relationship Id="rId55" Type="http://schemas.openxmlformats.org/officeDocument/2006/relationships/hyperlink" Target="http://www.shell.com/business-customers/aviation/aviation-fuel/civil-jet-fuel-grades.html" TargetMode="External"/><Relationship Id="rId63" Type="http://schemas.openxmlformats.org/officeDocument/2006/relationships/hyperlink" Target="mailto:environment@easa.europa.eu" TargetMode="External"/><Relationship Id="rId68" Type="http://schemas.openxmlformats.org/officeDocument/2006/relationships/footer" Target="footer10.xml"/><Relationship Id="rId7" Type="http://schemas.openxmlformats.org/officeDocument/2006/relationships/webSettings" Target="webSettings.xml"/><Relationship Id="rId71" Type="http://schemas.openxmlformats.org/officeDocument/2006/relationships/footer" Target="footer12.xml"/><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header" Target="header6.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0.emf"/><Relationship Id="rId37" Type="http://schemas.openxmlformats.org/officeDocument/2006/relationships/footer" Target="footer8.xml"/><Relationship Id="rId40" Type="http://schemas.openxmlformats.org/officeDocument/2006/relationships/image" Target="media/image12.emf"/><Relationship Id="rId45" Type="http://schemas.openxmlformats.org/officeDocument/2006/relationships/hyperlink" Target="http://www.biofuelsflightpath.eu/news/60-swedish-proposal-for-an-alternative-aviation-fuel-mandate-in-sweden" TargetMode="External"/><Relationship Id="rId53" Type="http://schemas.openxmlformats.org/officeDocument/2006/relationships/hyperlink" Target="https://doi.org/10.3390/aerospace4030042" TargetMode="External"/><Relationship Id="rId58" Type="http://schemas.openxmlformats.org/officeDocument/2006/relationships/hyperlink" Target="http://www.transportenvironment.org/what-we-do/biofuels/why-palm-oil-biodiesel-bad?gclid=EAIaIQobChMIxoqsjrHR5wIV0ed3Ch0VoQRxEAAYASAAEgKXgfD_BwE" TargetMode="External"/><Relationship Id="rId66" Type="http://schemas.openxmlformats.org/officeDocument/2006/relationships/header" Target="header10.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hyperlink" Target="http://www.easa.europa.eu/eaer/climate-change/sustainable-aviation-fuels" TargetMode="External"/><Relationship Id="rId57" Type="http://schemas.openxmlformats.org/officeDocument/2006/relationships/hyperlink" Target="http://www.skynrg.com/sustainable-aviation-fuel/technology/" TargetMode="External"/><Relationship Id="rId61" Type="http://schemas.openxmlformats.org/officeDocument/2006/relationships/image" Target="media/image13.png"/><Relationship Id="rId10" Type="http://schemas.openxmlformats.org/officeDocument/2006/relationships/image" Target="media/image1.emf"/><Relationship Id="rId19" Type="http://schemas.openxmlformats.org/officeDocument/2006/relationships/image" Target="media/image4.png"/><Relationship Id="rId31" Type="http://schemas.openxmlformats.org/officeDocument/2006/relationships/hyperlink" Target="https://doi.org/10.1016/j.atmosenv.2020.117834" TargetMode="External"/><Relationship Id="rId44" Type="http://schemas.openxmlformats.org/officeDocument/2006/relationships/hyperlink" Target="http://www.bioenergyinternational.com/policy/norway-to-introduce-0-5-sustainable-aviation-fuel-quota-from-2020" TargetMode="External"/><Relationship Id="rId52" Type="http://schemas.openxmlformats.org/officeDocument/2006/relationships/hyperlink" Target="http://www.icao.int/environmental-protection/Pages/env2016" TargetMode="External"/><Relationship Id="rId60" Type="http://schemas.openxmlformats.org/officeDocument/2006/relationships/hyperlink" Target="https://doi.org/10.5194/acp-16-12411-2016" TargetMode="External"/><Relationship Id="rId65" Type="http://schemas.openxmlformats.org/officeDocument/2006/relationships/oleObject" Target="embeddings/oleObject1.bin"/><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8.xml"/><Relationship Id="rId43" Type="http://schemas.openxmlformats.org/officeDocument/2006/relationships/hyperlink" Target="http://www.astm.org/SNEWS/APRIL_2007/hemighaus_apr07.html" TargetMode="External"/><Relationship Id="rId48" Type="http://schemas.openxmlformats.org/officeDocument/2006/relationships/hyperlink" Target="http://www.easa.europa.eu/easa-and-you/environment/icao-aircraft-engine-emissions-databank" TargetMode="External"/><Relationship Id="rId56" Type="http://schemas.openxmlformats.org/officeDocument/2006/relationships/hyperlink" Target="http://www.piano.aero/" TargetMode="External"/><Relationship Id="rId64" Type="http://schemas.openxmlformats.org/officeDocument/2006/relationships/image" Target="media/image14.png"/><Relationship Id="rId69" Type="http://schemas.openxmlformats.org/officeDocument/2006/relationships/footer" Target="footer11.xml"/><Relationship Id="rId8" Type="http://schemas.openxmlformats.org/officeDocument/2006/relationships/footnotes" Target="footnotes.xml"/><Relationship Id="rId51" Type="http://schemas.openxmlformats.org/officeDocument/2006/relationships/hyperlink" Target="https://doi.org/10.1088/1748-9326/aa5ba0"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4.xml"/><Relationship Id="rId33" Type="http://schemas.openxmlformats.org/officeDocument/2006/relationships/image" Target="media/image11.png"/><Relationship Id="rId38" Type="http://schemas.openxmlformats.org/officeDocument/2006/relationships/header" Target="header9.xml"/><Relationship Id="rId46" Type="http://schemas.openxmlformats.org/officeDocument/2006/relationships/hyperlink" Target="https://doi.org/10.1038/s41612-019-0086-4" TargetMode="External"/><Relationship Id="rId59" Type="http://schemas.openxmlformats.org/officeDocument/2006/relationships/hyperlink" Target="http://downloads.theccc.org.uk/Aviation%20Report%2009/21667B%20CCC%20Aviation%20AW%20COMP%20v8.pdf" TargetMode="External"/><Relationship Id="rId67" Type="http://schemas.openxmlformats.org/officeDocument/2006/relationships/header" Target="header11.xml"/><Relationship Id="rId20" Type="http://schemas.openxmlformats.org/officeDocument/2006/relationships/image" Target="media/image5.png"/><Relationship Id="rId41" Type="http://schemas.openxmlformats.org/officeDocument/2006/relationships/hyperlink" Target="http://www.ainonline.com/aviation-news/air-transport/2019-06-13/sweden-makes-sustainability-leap" TargetMode="External"/><Relationship Id="rId54" Type="http://schemas.openxmlformats.org/officeDocument/2006/relationships/hyperlink" Target="http://www.regjeringen.no/no/aktuelt/biodrivstoff-i-luftfarten/id2613122/" TargetMode="External"/><Relationship Id="rId62" Type="http://schemas.openxmlformats.org/officeDocument/2006/relationships/hyperlink" Target="http://www.easa.europa.eu/environment" TargetMode="External"/><Relationship Id="rId70" Type="http://schemas.openxmlformats.org/officeDocument/2006/relationships/header" Target="header12.xml"/><Relationship Id="rId1" Type="http://schemas.microsoft.com/office/2006/relationships/keyMapCustomizations" Target="customizations.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CED082</b:Tag>
    <b:SourceType>Report</b:SourceType>
    <b:Guid>{8630E4AB-C072-4588-9D46-2EED2716E62E}</b:Guid>
    <b:Author>
      <b:Author>
        <b:Corporate>CE Delft et al.</b:Corporate>
      </b:Author>
    </b:Author>
    <b:Title>Lower NOx at higher altitudes</b:Title>
    <b:Year>2008</b:Year>
    <b:Publisher>CE Delft</b:Publisher>
    <b:City>Delft</b:City>
    <b:RefOrder>1</b:RefOrder>
  </b:Source>
  <b:Source>
    <b:Tag>DLR19</b:Tag>
    <b:SourceType>Report</b:SourceType>
    <b:Guid>{5BBB532E-23E9-4AA6-BB78-6BD6AFF31808}</b:Guid>
    <b:Title>Verifiability of Reporting Aviation's non-CO2 Effects in EU ETS and CORSIA</b:Title>
    <b:Year>2019</b:Year>
    <b:Author>
      <b:Author>
        <b:Corporate>DLR</b:Corporate>
      </b:Author>
    </b:Author>
    <b:Publisher>Bundesministerium für Umwelt, Naturschutz und nukleare Sicherheit</b:Publisher>
    <b:City>Bonn</b:City>
    <b:RefOrder>2</b:RefOrder>
  </b:Source>
  <b:Source>
    <b:Tag>EAS201</b:Tag>
    <b:SourceType>InternetSite</b:SourceType>
    <b:Guid>{5C68DB6F-1616-4851-811B-A75C72A78F45}</b:Guid>
    <b:Author>
      <b:Author>
        <b:Corporate>EASA</b:Corporate>
      </b:Author>
    </b:Author>
    <b:Title>ICAO Aircraft Engine Emissions Databank</b:Title>
    <b:Year>2020</b:Year>
    <b:YearAccessed>2020</b:YearAccessed>
    <b:MonthAccessed>February</b:MonthAccessed>
    <b:URL>https://www.easa.europa.eu/easa-and-you/environment/icao-aircraft-engine-emissions-databank</b:URL>
    <b:RefOrder>3</b:RefOrder>
  </b:Source>
  <b:Source>
    <b:Tag>Civ17</b:Tag>
    <b:SourceType>Report</b:SourceType>
    <b:Guid>{7628CF7F-C293-4DAF-8233-CBB8BD8FCE6D}</b:Guid>
    <b:Author>
      <b:Author>
        <b:Corporate>Civil Aviation Authority</b:Corporate>
      </b:Author>
    </b:Author>
    <b:Title>Environmental charging - Review of impact of noise and NOx landing charges: Updat 2017</b:Title>
    <b:Year>2017</b:Year>
    <b:Publisher>Civil Aviation Authority</b:Publisher>
    <b:City>West Sussex</b:City>
    <b:RefOrder>4</b:RefOrder>
  </b:Source>
  <b:Source>
    <b:Tag>Cop10</b:Tag>
    <b:SourceType>InternetSite</b:SourceType>
    <b:Guid>{F986FBA2-BD22-4FA2-827A-CD96FF2C634A}</b:Guid>
    <b:Title>Conditions relating to calculation of emissions charge in Copenhagen Airport</b:Title>
    <b:Year>2010</b:Year>
    <b:Author>
      <b:Author>
        <b:Corporate>Copenhagen Airport</b:Corporate>
      </b:Author>
    </b:Author>
    <b:YearAccessed>2020</b:YearAccessed>
    <b:MonthAccessed>January</b:MonthAccessed>
    <b:URL>https://www.cph.dk/en/cph-business/aviation/charges-and-slot/calculation-of-emission-charges</b:URL>
    <b:RefOrder>5</b:RefOrder>
  </b:Source>
  <b:Source>
    <b:Tag>Swe18</b:Tag>
    <b:SourceType>Report</b:SourceType>
    <b:Guid>{D7DD32D7-E5B7-4A83-9392-8EB879677979}</b:Guid>
    <b:Author>
      <b:Author>
        <b:Corporate>Swedavia</b:Corporate>
      </b:Author>
    </b:Author>
    <b:Title>Swedavia's Airport Charges 2019</b:Title>
    <b:Year>2018</b:Year>
    <b:Publisher>Swedavia Airports</b:Publisher>
    <b:RefOrder>6</b:RefOrder>
  </b:Source>
  <b:Source>
    <b:Tag>Zur10</b:Tag>
    <b:SourceType>Report</b:SourceType>
    <b:Guid>{EC292845-1818-48EB-B4AA-85D766A806AF}</b:Guid>
    <b:Author>
      <b:Author>
        <b:Corporate>Zurich Airport</b:Corporate>
      </b:Author>
    </b:Author>
    <b:Title>Aircraft Emission Charges Zurich Airport</b:Title>
    <b:Year>2010</b:Year>
    <b:Publisher>Zurich Airport</b:Publisher>
    <b:City>Zurich</b:City>
    <b:RefOrder>7</b:RefOrder>
  </b:Source>
  <b:Source>
    <b:Tag>EEA19</b:Tag>
    <b:SourceType>Report</b:SourceType>
    <b:Guid>{225F7A01-157A-467E-B5F8-DF81677B2DE8}</b:Guid>
    <b:Author>
      <b:Author>
        <b:Corporate>EEA</b:Corporate>
      </b:Author>
    </b:Author>
    <b:Title>The EU Emission Trading System in 2019: Trends and projections</b:Title>
    <b:Year>2019</b:Year>
    <b:Publisher>European Environment Agency</b:Publisher>
    <b:City>Copenhagen</b:City>
    <b:RefOrder>13</b:RefOrder>
  </b:Source>
  <b:Source>
    <b:Tag>Eur09</b:Tag>
    <b:SourceType>Report</b:SourceType>
    <b:Guid>{3B185AB9-4080-4D19-A57E-C5E4FF0F1315}</b:Guid>
    <b:Author>
      <b:Author>
        <b:Corporate>European Parliament</b:Corporate>
      </b:Author>
    </b:Author>
    <b:Title>Directive 2009/12/EC of the European Parliament and of the Council of 11 March 2009 on airport charges</b:Title>
    <b:Year>2009</b:Year>
    <b:Publisher>European Parliament </b:Publisher>
    <b:City>Strasbourg</b:City>
    <b:RefOrder>14</b:RefOrder>
  </b:Source>
  <b:Source>
    <b:Tag>ICA00</b:Tag>
    <b:SourceType>Book</b:SourceType>
    <b:Guid>{B9417CFA-0962-4CA0-8D26-AEB3EF2FF087}</b:Guid>
    <b:Author>
      <b:Author>
        <b:NameList>
          <b:Person>
            <b:Last>ICAO</b:Last>
          </b:Person>
        </b:NameList>
      </b:Author>
    </b:Author>
    <b:Title>ICAO's Policies on Taxation in the Field of International Air Transport: DOC 8632</b:Title>
    <b:Year>2000</b:Year>
    <b:RefOrder>15</b:RefOrder>
  </b:Source>
  <b:Source>
    <b:Tag>ICA12</b:Tag>
    <b:SourceType>Book</b:SourceType>
    <b:Guid>{CA21735A-5814-4C18-9DD2-0319E2AF7C37}</b:Guid>
    <b:Author>
      <b:Author>
        <b:NameList>
          <b:Person>
            <b:Last>ICAO</b:Last>
          </b:Person>
        </b:NameList>
      </b:Author>
    </b:Author>
    <b:Title>Policies on Charges for Airports and Air Navigation Services - Doc 9082</b:Title>
    <b:Year>2012</b:Year>
    <b:RefOrder>16</b:RefOrder>
  </b:Source>
  <b:Source>
    <b:Tag>Sch19</b:Tag>
    <b:SourceType>JournalArticle</b:SourceType>
    <b:Guid>{688187CC-5067-4853-8B0C-B0BDDDB5F70E}</b:Guid>
    <b:Title>How to regulate aviation's full climate impact as intented by the EU council from 2020 onwards</b:Title>
    <b:Year>2019</b:Year>
    <b:JournalName>Journal of Air Transport Management</b:JournalName>
    <b:Pages>68-74</b:Pages>
    <b:Volume>75</b:Volume>
    <b:Author>
      <b:Author>
        <b:NameList>
          <b:Person>
            <b:Last>Scheelhaase</b:Last>
            <b:Middle>D.</b:Middle>
            <b:First>J.</b:First>
          </b:Person>
        </b:NameList>
      </b:Author>
    </b:Author>
    <b:RefOrder>17</b:RefOrder>
  </b:Source>
  <b:Source>
    <b:Tag>Nik19</b:Tag>
    <b:SourceType>Report</b:SourceType>
    <b:Guid>{23387660-D851-4B2A-A45E-51402F7DC4FD}</b:Guid>
    <b:Title>Integration of Non-CO2 effects of aviation in the EU ETS and under CORSIA</b:Title>
    <b:Year>2019</b:Year>
    <b:Publisher>Umweltbundesamt</b:Publisher>
    <b:City>Dessau-Roßlau</b:City>
    <b:Author>
      <b:Author>
        <b:NameList>
          <b:Person>
            <b:Last>Niklaß</b:Last>
            <b:First>M.</b:First>
          </b:Person>
          <b:Person>
            <b:Last>Dahlmann</b:Last>
            <b:First>K.</b:First>
          </b:Person>
          <b:Person>
            <b:Last>Grewe</b:Last>
            <b:First>V.</b:First>
          </b:Person>
          <b:Person>
            <b:Last>Maertens</b:Last>
            <b:First>S.</b:First>
          </b:Person>
          <b:Person>
            <b:Last>Plohr</b:Last>
            <b:First>M.</b:First>
          </b:Person>
          <b:Person>
            <b:Last>Scheelhaase</b:Last>
            <b:First>J.</b:First>
          </b:Person>
          <b:Person>
            <b:Last>Schwieger</b:Last>
            <b:First>J.</b:First>
          </b:Person>
          <b:Person>
            <b:Last>Brodmann</b:Last>
            <b:First>U.</b:First>
          </b:Person>
          <b:Person>
            <b:Last>Kurzböck</b:Last>
            <b:First>C.</b:First>
          </b:Person>
          <b:Person>
            <b:Last>Repmann</b:Last>
            <b:First>M.</b:First>
          </b:Person>
          <b:Person>
            <b:Last>Schweizer</b:Last>
            <b:First>N.</b:First>
          </b:Person>
          <b:Person>
            <b:Last>von Unger</b:Last>
            <b:First>M.</b:First>
          </b:Person>
        </b:NameList>
      </b:Author>
    </b:Author>
    <b:RefOrder>18</b:RefOrder>
  </b:Source>
  <b:Source>
    <b:Tag>Eur201</b:Tag>
    <b:SourceType>InternetSite</b:SourceType>
    <b:Guid>{4547F14E-493E-4F38-987C-B09707644F0A}</b:Guid>
    <b:Title>Reducing emissions from aviation</b:Title>
    <b:Year>2020</b:Year>
    <b:Author>
      <b:Author>
        <b:Corporate>European Commission</b:Corporate>
      </b:Author>
    </b:Author>
    <b:YearAccessed>2020</b:YearAccessed>
    <b:MonthAccessed>February</b:MonthAccessed>
    <b:URL>https://ec.europa.eu/clima/policies/transport/aviation_en</b:URL>
    <b:RefOrder>19</b:RefOrder>
  </b:Source>
  <b:Source>
    <b:Tag>CED083</b:Tag>
    <b:SourceType>Report</b:SourceType>
    <b:Guid>{7ACA8A6A-37FA-4460-8641-CCE2EDB2EF0D}</b:Guid>
    <b:Author>
      <b:Author>
        <b:Corporate>CE Delft</b:Corporate>
      </b:Author>
    </b:Author>
    <b:Title>Competitiveness issues for Dutch aviation from EU ETS</b:Title>
    <b:Year>2008</b:Year>
    <b:Publisher>CE Delft</b:Publisher>
    <b:City>Delft</b:City>
    <b:RefOrder>20</b:RefOrder>
  </b:Source>
  <b:Source>
    <b:Tag>CED071</b:Tag>
    <b:SourceType>Report</b:SourceType>
    <b:Guid>{5EE720D1-D205-448E-9AA0-8A30085CDAF5}</b:Guid>
    <b:Author>
      <b:Author>
        <b:Corporate>CE Delft</b:Corporate>
      </b:Author>
    </b:Author>
    <b:Title>Allocation of allowances for aviation in the EU ETS</b:Title>
    <b:Year>2007</b:Year>
    <b:Publisher>CE Delft</b:Publisher>
    <b:City>Delft</b:City>
    <b:RefOrder>21</b:RefOrder>
  </b:Source>
  <b:Source>
    <b:Tag>Inf16</b:Tag>
    <b:SourceType>Report</b:SourceType>
    <b:Guid>{D302EE41-E221-4E7C-8D65-FE43AB237432}</b:Guid>
    <b:Author>
      <b:Author>
        <b:Corporate>Infras, CE Delft &amp; TAKS</b:Corporate>
      </b:Author>
    </b:Author>
    <b:Title>The EU Emission Trading Schemes' effects on the competitive situation within national and international aviation</b:Title>
    <b:Year>2016</b:Year>
    <b:Publisher>Umweltbundesamt</b:Publisher>
    <b:City>Dessau-Roßlau</b:City>
    <b:RefOrder>22</b:RefOrder>
  </b:Source>
  <b:Source>
    <b:Tag>Fro18</b:Tag>
    <b:SourceType>Report</b:SourceType>
    <b:Guid>{82F15566-67DB-4F2A-BF82-A4DE3A4072C8}</b:Guid>
    <b:Author>
      <b:Author>
        <b:Corporate>Frontier Economics</b:Corporate>
      </b:Author>
    </b:Author>
    <b:Title>Aviation and carbon markets</b:Title>
    <b:Year>2018</b:Year>
    <b:Publisher>Frontier Economics</b:Publisher>
    <b:City>London</b:City>
    <b:RefOrder>23</b:RefOrder>
  </b:Source>
  <b:Source>
    <b:Tag>Plo19</b:Tag>
    <b:SourceType>Report</b:SourceType>
    <b:Guid>{54C4DDF3-EF29-4F9A-8EB5-32AA8DD4CD71}</b:Guid>
    <b:Title>Determination of data required for consideration of non-CO2 effects of aviation in EU ETS and under CORSIA</b:Title>
    <b:Year>2019</b:Year>
    <b:Publisher>Umweltbundesamt</b:Publisher>
    <b:City>Dessau-Roßlau</b:City>
    <b:Author>
      <b:Author>
        <b:NameList>
          <b:Person>
            <b:Last>Plohr</b:Last>
            <b:First>M.</b:First>
          </b:Person>
          <b:Person>
            <b:Last>Niklaß</b:Last>
            <b:First>M.</b:First>
          </b:Person>
          <b:Person>
            <b:Last>Scheelhaase</b:Last>
            <b:First>J.</b:First>
          </b:Person>
          <b:Person>
            <b:Last>Schwieger</b:Last>
            <b:First>J.</b:First>
          </b:Person>
          <b:Person>
            <b:Last>Brodmann</b:Last>
            <b:First>U.</b:First>
          </b:Person>
        </b:NameList>
      </b:Author>
    </b:Author>
    <b:RefOrder>24</b:RefOrder>
  </b:Source>
  <b:Source>
    <b:Tag>UKM15</b:Tag>
    <b:SourceType>Report</b:SourceType>
    <b:Guid>{D32D6830-A159-46BA-84CE-EE3CDB73BC9F}</b:Guid>
    <b:Title>Defence Standard 91-91</b:Title>
    <b:Year>2015</b:Year>
    <b:Author>
      <b:Author>
        <b:Corporate>UK Ministry of Defence</b:Corporate>
      </b:Author>
    </b:Author>
    <b:Publisher>UK Ministry of Defence</b:Publisher>
    <b:City>London</b:City>
    <b:RefOrder>25</b:RefOrder>
  </b:Source>
  <b:Source>
    <b:Tag>ICA18</b:Tag>
    <b:SourceType>Report</b:SourceType>
    <b:Guid>{E8B38900-66B0-4FFA-973B-D7BC6FD8A14A}</b:Guid>
    <b:Title>Sustainable Aviation Fuels Guide</b:Title>
    <b:Year>2017</b:Year>
    <b:Author>
      <b:Author>
        <b:Corporate>ICAO, UNDP &amp; GEF</b:Corporate>
      </b:Author>
    </b:Author>
    <b:Publisher>ICAO</b:Publisher>
    <b:City>Montreal</b:City>
    <b:RefOrder>26</b:RefOrder>
  </b:Source>
  <b:Source>
    <b:Tag>DLA13</b:Tag>
    <b:SourceType>Report</b:SourceType>
    <b:Guid>{656C2FE6-02EE-4CD0-8400-2FE8F62C0104}</b:Guid>
    <b:Title>PQIS 2013 Annual Report</b:Title>
    <b:Year>2013</b:Year>
    <b:Author>
      <b:Author>
        <b:Corporate>DLA Energy</b:Corporate>
      </b:Author>
    </b:Author>
    <b:Publisher>Defence Logistics Agency Energy</b:Publisher>
    <b:City>Belvoir, Virginia</b:City>
    <b:RefOrder>27</b:RefOrder>
  </b:Source>
  <b:Source>
    <b:Tag>Bre15</b:Tag>
    <b:SourceType>JournalArticle</b:SourceType>
    <b:Guid>{23F9798D-E41F-408A-A0D8-1B7CF534A51B}</b:Guid>
    <b:Title>Effects of fuel aromatic content on nonvolatile particulate emissions of an in-production aircraft gas turbine</b:Title>
    <b:Year>2015</b:Year>
    <b:Author>
      <b:Author>
        <b:Corporate>Brem et al.</b:Corporate>
      </b:Author>
    </b:Author>
    <b:JournalName>Environmental Science Technology</b:JournalName>
    <b:Pages>13149-13159</b:Pages>
    <b:Volume>49</b:Volume>
    <b:Issue>22</b:Issue>
    <b:RefOrder>28</b:RefOrder>
  </b:Source>
  <b:Source>
    <b:Tag>Edw17</b:Tag>
    <b:SourceType>Report</b:SourceType>
    <b:Guid>{9B6DD135-F9B3-4578-88A6-33617B56DEA4}</b:Guid>
    <b:Title>Reference Jet Fuels for Combustion Testing</b:Title>
    <b:Year>2017</b:Year>
    <b:Publisher>American Institute of Aeronautics and Astronautics</b:Publisher>
    <b:City>Reston, Virginia</b:City>
    <b:Author>
      <b:Author>
        <b:NameList>
          <b:Person>
            <b:Last>Edwards</b:Last>
            <b:First>T.</b:First>
          </b:Person>
        </b:NameList>
      </b:Author>
    </b:Author>
    <b:RefOrder>29</b:RefOrder>
  </b:Source>
  <b:Source>
    <b:Tag>Zsc12</b:Tag>
    <b:SourceType>Report</b:SourceType>
    <b:Guid>{75375D6C-2106-4E05-8768-DADF1E48994B}</b:Guid>
    <b:Title>High Biofuel Blends in Aviation (HBBA)</b:Title>
    <b:Year>2012</b:Year>
    <b:Publisher>Lufthansa</b:Publisher>
    <b:City>Cologne</b:City>
    <b:Author>
      <b:Author>
        <b:NameList>
          <b:Person>
            <b:Last>Zschocke</b:Last>
            <b:First>A.</b:First>
          </b:Person>
          <b:Person>
            <b:Last>Scheuermann</b:Last>
            <b:First>S.</b:First>
          </b:Person>
          <b:Person>
            <b:Last>Ortner</b:Last>
            <b:First>J.</b:First>
          </b:Person>
        </b:NameList>
      </b:Author>
    </b:Author>
    <b:RefOrder>30</b:RefOrder>
  </b:Source>
  <b:Source>
    <b:Tag>Che19</b:Tag>
    <b:SourceType>BookSection</b:SourceType>
    <b:Guid>{BE8EA325-C12E-474F-9AEF-5B0E732C063A}</b:Guid>
    <b:Title>Biomass valorization for better aviation environmental impact through biocomposites and aviation biofuel</b:Title>
    <b:Year>2019</b:Year>
    <b:Publisher>Woodhead Publishing</b:Publisher>
    <b:BookTitle>Structureal health monitoring of biocomposites, fibre-reinforced composites and hybrid composites</b:BookTitle>
    <b:Pages>19-31</b:Pages>
    <b:Author>
      <b:Author>
        <b:NameList>
          <b:Person>
            <b:Last>Chen</b:Last>
            <b:Middle>T.</b:Middle>
            <b:First>J.</b:First>
          </b:Person>
          <b:Person>
            <b:Last>Abdullah</b:Last>
            <b:Middle>C.</b:Middle>
            <b:First>L.</b:First>
          </b:Person>
          <b:Person>
            <b:Last>Tahir</b:Last>
            <b:Middle>M.</b:Middle>
            <b:First>P.</b:First>
          </b:Person>
        </b:NameList>
      </b:Author>
    </b:Author>
    <b:RefOrder>31</b:RefOrder>
  </b:Source>
  <b:Source>
    <b:Tag>EAS20</b:Tag>
    <b:SourceType>InternetSite</b:SourceType>
    <b:Guid>{32DB11F8-AA22-4B24-913D-0D75C90DA201}</b:Guid>
    <b:Title>Sustainable Aviation Fuels</b:Title>
    <b:Year>2020</b:Year>
    <b:Author>
      <b:Author>
        <b:Corporate>EASA</b:Corporate>
      </b:Author>
    </b:Author>
    <b:YearAccessed>2020</b:YearAccessed>
    <b:MonthAccessed>February</b:MonthAccessed>
    <b:URL>https://www.easa.europa.eu/eaer/climate-change/sustainable-aviation-fuels</b:URL>
    <b:RefOrder>32</b:RefOrder>
  </b:Source>
  <b:Source>
    <b:Tag>EEA191</b:Tag>
    <b:SourceType>Report</b:SourceType>
    <b:Guid>{03951374-FB0C-429D-AACC-6C482058FE54}</b:Guid>
    <b:Title>European Aviation Environmental Report 2019</b:Title>
    <b:Year>2019</b:Year>
    <b:City>Copenhagen</b:City>
    <b:Publisher>EEA, EASA &amp; EUROCONTROL</b:Publisher>
    <b:Author>
      <b:Author>
        <b:Corporate>EEA, EASA &amp; EUROCONTROL</b:Corporate>
      </b:Author>
    </b:Author>
    <b:RefOrder>33</b:RefOrder>
  </b:Source>
  <b:Source>
    <b:Tag>Sky20</b:Tag>
    <b:SourceType>InternetSite</b:SourceType>
    <b:Guid>{3004A055-1233-452E-A3AB-CCBDE88E3B81}</b:Guid>
    <b:Author>
      <b:Author>
        <b:Corporate>SkyNRG</b:Corporate>
      </b:Author>
    </b:Author>
    <b:Title>Technology</b:Title>
    <b:Year>2020</b:Year>
    <b:YearAccessed>2020</b:YearAccessed>
    <b:MonthAccessed>February</b:MonthAccessed>
    <b:URL>https://skynrg.com/sustainable-aviation-fuel/technology/</b:URL>
    <b:RefOrder>34</b:RefOrder>
  </b:Source>
  <b:Source>
    <b:Tag>CEDng6</b:Tag>
    <b:SourceType>Report</b:SourceType>
    <b:Guid>{22DAD797-C366-40AF-B501-5CD9D88B9B1A}</b:Guid>
    <b:Author>
      <b:Author>
        <b:Corporate>CE Delft</b:Corporate>
      </b:Author>
    </b:Author>
    <b:Title>Social costs and benefits of advanced aviation fuels</b:Title>
    <b:Year>Forthcoming</b:Year>
    <b:Publisher>CE Delft</b:Publisher>
    <b:City>Delft</b:City>
    <b:RefOrder>35</b:RefOrder>
  </b:Source>
  <b:Source>
    <b:Tag>Cha15</b:Tag>
    <b:SourceType>JournalArticle</b:SourceType>
    <b:Guid>{7B2545E2-7CDD-42F0-99FF-32E5A92705AE}</b:Guid>
    <b:Title>Characterization of the Ultrafine and Black Carbon Emissions from Different Aviation Alternative Fuels</b:Title>
    <b:JournalName>SAE International Journal of Fuels and Lubricants</b:JournalName>
    <b:Year>2015</b:Year>
    <b:Pages>515-526</b:Pages>
    <b:Volume>8</b:Volume>
    <b:Issue>3</b:Issue>
    <b:Author>
      <b:Author>
        <b:NameList>
          <b:Person>
            <b:Last>Chan</b:Last>
            <b:Middle>W.</b:Middle>
            <b:First>T.</b:First>
          </b:Person>
          <b:Person>
            <b:Last>Chishty</b:Last>
            <b:First>W.</b:First>
          </b:Person>
          <b:Person>
            <b:Last>Davison</b:Last>
            <b:First>C.</b:First>
          </b:Person>
          <b:Person>
            <b:Last>Buote</b:Last>
            <b:First>D.</b:First>
          </b:Person>
        </b:NameList>
      </b:Author>
    </b:Author>
    <b:RefOrder>36</b:RefOrder>
  </b:Source>
  <b:Source>
    <b:Tag>Kär18</b:Tag>
    <b:SourceType>JournalArticle</b:SourceType>
    <b:Guid>{93FA642A-444A-4F91-9BBF-9580F0F74F83}</b:Guid>
    <b:Title>Formation and radiative forcing of contrail cirrus</b:Title>
    <b:Year>2018</b:Year>
    <b:JournalName>Nature Communications</b:JournalName>
    <b:Pages>1824</b:Pages>
    <b:Volume>9</b:Volume>
    <b:Author>
      <b:Author>
        <b:NameList>
          <b:Person>
            <b:Last>Kärcher</b:Last>
            <b:First>B.</b:First>
          </b:Person>
        </b:NameList>
      </b:Author>
    </b:Author>
    <b:RefOrder>37</b:RefOrder>
  </b:Source>
  <b:Source>
    <b:Tag>Bur18</b:Tag>
    <b:SourceType>JournalArticle</b:SourceType>
    <b:Guid>{D632441C-0521-4038-9219-8840A6CF2554}</b:Guid>
    <b:Title>Mitigating the contrail cirrus climate impact by reducing aircraft soot number emission</b:Title>
    <b:JournalName>Climate and Atmospheric Science</b:JournalName>
    <b:Year>2018</b:Year>
    <b:Volume>37</b:Volume>
    <b:Author>
      <b:Author>
        <b:NameList>
          <b:Person>
            <b:Last>Burkhardt</b:Last>
            <b:First>U.</b:First>
          </b:Person>
          <b:Person>
            <b:Last>Bock</b:Last>
            <b:First>L.</b:First>
          </b:Person>
          <b:Person>
            <b:Last>Bier</b:Last>
            <b:First>A.</b:First>
          </b:Person>
        </b:NameList>
      </b:Author>
    </b:Author>
    <b:RefOrder>38</b:RefOrder>
  </b:Source>
  <b:Source>
    <b:Tag>Lee10</b:Tag>
    <b:SourceType>JournalArticle</b:SourceType>
    <b:Guid>{A2DFD194-628C-47EF-A843-7F711B08ADE1}</b:Guid>
    <b:Title>Transport impacts on atmosphere and climate: Aviation</b:Title>
    <b:Year>2010</b:Year>
    <b:Author>
      <b:Author>
        <b:NameList>
          <b:Person>
            <b:Last>Lee</b:Last>
            <b:Middle>S.</b:Middle>
            <b:First>D.</b:First>
          </b:Person>
          <b:Person>
            <b:Last>Pitari</b:Last>
            <b:First>G.</b:First>
          </b:Person>
          <b:Person>
            <b:Last>Grewe</b:Last>
            <b:First>V.</b:First>
          </b:Person>
          <b:Person>
            <b:Last>Gierens</b:Last>
            <b:First>K.</b:First>
          </b:Person>
          <b:Person>
            <b:Last>Penner</b:Last>
            <b:Middle>E.</b:Middle>
            <b:First>J.</b:First>
          </b:Person>
          <b:Person>
            <b:Last>Petzold</b:Last>
            <b:First>A.</b:First>
          </b:Person>
          <b:Person>
            <b:Last>Prather</b:Last>
            <b:Middle>J.</b:Middle>
            <b:First>M.</b:First>
          </b:Person>
          <b:Person>
            <b:Last>Schumann</b:Last>
            <b:First>U.</b:First>
          </b:Person>
          <b:Person>
            <b:Last>Bais</b:Last>
            <b:First>A.</b:First>
          </b:Person>
          <b:Person>
            <b:Last>Berntsen</b:Last>
            <b:First>T.</b:First>
          </b:Person>
          <b:Person>
            <b:Last>Iachetti</b:Last>
            <b:First>D.</b:First>
          </b:Person>
          <b:Person>
            <b:Last>Lim</b:Last>
            <b:Middle>L.</b:Middle>
            <b:First>L.</b:First>
          </b:Person>
          <b:Person>
            <b:Last>Sausen</b:Last>
            <b:First>R.</b:First>
          </b:Person>
        </b:NameList>
      </b:Author>
    </b:Author>
    <b:JournalName>Atmospheric Environment</b:JournalName>
    <b:Pages>4678-4734</b:Pages>
    <b:Volume>44</b:Volume>
    <b:RefOrder>39</b:RefOrder>
  </b:Source>
  <b:Source>
    <b:Tag>Che06</b:Tag>
    <b:SourceType>Report</b:SourceType>
    <b:Guid>{2D460705-2890-46B0-9A8D-4BAD6E767897}</b:Guid>
    <b:Title>Alternative Jet Fuels</b:Title>
    <b:Year>2006</b:Year>
    <b:Author>
      <b:Author>
        <b:Corporate>Chevron</b:Corporate>
      </b:Author>
    </b:Author>
    <b:Publisher>Chevron</b:Publisher>
    <b:City>Houston</b:City>
    <b:RefOrder>40</b:RefOrder>
  </b:Source>
  <b:Source>
    <b:Tag>AST07</b:Tag>
    <b:SourceType>InternetSite</b:SourceType>
    <b:Guid>{ACDD84E7-36BD-4EB1-9CDD-1E0945D68484}</b:Guid>
    <b:Title>Synthetic fuels for aviation</b:Title>
    <b:Year>2007</b:Year>
    <b:Author>
      <b:Author>
        <b:Corporate>ASTM</b:Corporate>
      </b:Author>
    </b:Author>
    <b:YearAccessed>2020</b:YearAccessed>
    <b:MonthAccessed>February</b:MonthAccessed>
    <b:URL>https://www.astm.org/SNEWS/APRIL_2007/hemighaus_apr07.html</b:URL>
    <b:RefOrder>41</b:RefOrder>
  </b:Source>
  <b:Source>
    <b:Tag>She20</b:Tag>
    <b:SourceType>InternetSite</b:SourceType>
    <b:Guid>{C7A27007-D23A-4B1C-B0B8-475579E8F072}</b:Guid>
    <b:Title>Civil Jet Fuel</b:Title>
    <b:Year>2020</b:Year>
    <b:Author>
      <b:Author>
        <b:Corporate>Shell</b:Corporate>
      </b:Author>
    </b:Author>
    <b:YearAccessed>2020</b:YearAccessed>
    <b:MonthAccessed>February</b:MonthAccessed>
    <b:URL>https://www.shell.com/business-customers/aviation/aviation-fuel/civil-jet-fuel-grades.html</b:URL>
    <b:RefOrder>42</b:RefOrder>
  </b:Source>
  <b:Source>
    <b:Tag>Kin09</b:Tag>
    <b:SourceType>Report</b:SourceType>
    <b:Guid>{E6356B64-86A4-4DE6-B7BB-731683B34D35}</b:Guid>
    <b:Title>Evaluation of Bio-Derived Synthetic Paraffinic Kerosenes (Bio-SPK)</b:Title>
    <b:Year>2009</b:Year>
    <b:Publisher>The Boeing Company</b:Publisher>
    <b:City>Chicago</b:City>
    <b:Author>
      <b:Author>
        <b:NameList>
          <b:Person>
            <b:Last>Kinder</b:Last>
            <b:Middle>D.</b:Middle>
            <b:First>J.</b:First>
          </b:Person>
          <b:Person>
            <b:Last>Rahmes</b:Last>
            <b:First>T.</b:First>
          </b:Person>
        </b:NameList>
      </b:Author>
    </b:Author>
    <b:RefOrder>43</b:RefOrder>
  </b:Source>
  <b:Source>
    <b:Tag>Bla11</b:Tag>
    <b:SourceType>JournalArticle</b:SourceType>
    <b:Guid>{E65E6BBA-083C-40BC-8FD6-3A8166661F03}</b:Guid>
    <b:Title>Fuel effects on range versus payload for modern jet aircraft</b:Title>
    <b:Year>2011</b:Year>
    <b:JournalName>The Aeronautical Journal</b:JournalName>
    <b:Pages>627-634</b:Pages>
    <b:Author>
      <b:Author>
        <b:NameList>
          <b:Person>
            <b:Last>Blakey</b:Last>
            <b:First>S.</b:First>
          </b:Person>
          <b:Person>
            <b:Last>Wilson</b:Last>
            <b:Middle>W.</b:Middle>
            <b:First>C.</b:First>
          </b:Person>
          <b:Person>
            <b:Last>Farmery</b:Last>
            <b:First>M.</b:First>
          </b:Person>
          <b:Person>
            <b:Last>Midgley</b:Last>
            <b:First>R.</b:First>
          </b:Person>
        </b:NameList>
      </b:Author>
    </b:Author>
    <b:RefOrder>44</b:RefOrder>
  </b:Source>
  <b:Source>
    <b:Tag>ITA15</b:Tag>
    <b:SourceType>Report</b:SourceType>
    <b:Guid>{608EE197-F815-4309-9253-71EF973F86FE}</b:Guid>
    <b:Author>
      <b:Author>
        <b:Corporate>ITAKA</b:Corporate>
      </b:Author>
    </b:Author>
    <b:Title>Emissions report and database of systems key performance parameters</b:Title>
    <b:Year>2015</b:Year>
    <b:Publisher>Manchester Metropolitan University</b:Publisher>
    <b:City>Manchester</b:City>
    <b:RefOrder>45</b:RefOrder>
  </b:Source>
  <b:Source>
    <b:Tag>Nor18</b:Tag>
    <b:SourceType>InternetSite</b:SourceType>
    <b:Guid>{350B4CA5-79AD-464D-9D0D-BFEA4162ABD4}</b:Guid>
    <b:Author>
      <b:Author>
        <b:Corporate>Norwegian Government</b:Corporate>
      </b:Author>
    </b:Author>
    <b:Title>Luftfarten skal bruke 0,5 prosent avansert biodrivstoff fra 2020</b:Title>
    <b:Year>2018</b:Year>
    <b:YearAccessed>2020</b:YearAccessed>
    <b:MonthAccessed>February</b:MonthAccessed>
    <b:URL>https://www.regjeringen.no/no/aktuelt/biodrivstoff-i-luftfarten/id2613122/</b:URL>
    <b:RefOrder>46</b:RefOrder>
  </b:Source>
  <b:Source>
    <b:Tag>Bio19</b:Tag>
    <b:SourceType>InternetSite</b:SourceType>
    <b:Guid>{FCBF1FC5-4CF2-406B-B336-11E241424D06}</b:Guid>
    <b:Author>
      <b:Author>
        <b:Corporate>Biofuels Flight Path</b:Corporate>
      </b:Author>
    </b:Author>
    <b:Title>Swedish proposal for a sustainable aviation fuel mandate in Sweden</b:Title>
    <b:Year>2019</b:Year>
    <b:YearAccessed>2020</b:YearAccessed>
    <b:MonthAccessed>February</b:MonthAccessed>
    <b:URL>https://www.biofuelsflightpath.eu/news/60-swedish-proposal-for-an-alternative-aviation-fuel-mandate-in-sweden</b:URL>
    <b:RefOrder>47</b:RefOrder>
  </b:Source>
  <b:Source>
    <b:Tag>AIN19</b:Tag>
    <b:SourceType>InternetSite</b:SourceType>
    <b:Guid>{8A004E95-92AB-4D56-A5E0-2DBF011DD6C4}</b:Guid>
    <b:Author>
      <b:Author>
        <b:Corporate>AINonline</b:Corporate>
      </b:Author>
    </b:Author>
    <b:Title>Sweden makes a sustainability leap</b:Title>
    <b:Year>2019</b:Year>
    <b:YearAccessed>2020</b:YearAccessed>
    <b:MonthAccessed>February</b:MonthAccessed>
    <b:URL>https://www.ainonline.com/aviation-news/air-transport/2019-06-13/sweden-makes-sustainability-leap</b:URL>
    <b:RefOrder>48</b:RefOrder>
  </b:Source>
  <b:Source>
    <b:Tag>Bio18</b:Tag>
    <b:SourceType>InternetSite</b:SourceType>
    <b:Guid>{E6DC1616-BABA-469C-B439-D8BC959EBE9D}</b:Guid>
    <b:Author>
      <b:Author>
        <b:Corporate>BioEnergy International</b:Corporate>
      </b:Author>
    </b:Author>
    <b:Title>Norway to introduce 0.5% sustainable aviation fuel quota from 2020</b:Title>
    <b:Year>2018</b:Year>
    <b:YearAccessed>2020</b:YearAccessed>
    <b:MonthAccessed>February</b:MonthAccessed>
    <b:URL>https://bioenergyinternational.com/policy/norway-to-introduce-0-5-sustainable-aviation-fuel-quota-from-2020</b:URL>
    <b:RefOrder>49</b:RefOrder>
  </b:Source>
  <b:Source>
    <b:Tag>IAT152</b:Tag>
    <b:SourceType>Report</b:SourceType>
    <b:Guid>{5B8BA15D-2FF9-4F0A-AAED-A4451DD7A59B}</b:Guid>
    <b:Title>Sustainable Aviation Fuel Roadmap</b:Title>
    <b:Year>2015</b:Year>
    <b:Author>
      <b:Author>
        <b:Corporate>IATA</b:Corporate>
      </b:Author>
    </b:Author>
    <b:Publisher>IATA</b:Publisher>
    <b:City>Montreal</b:City>
    <b:RefOrder>50</b:RefOrder>
  </b:Source>
  <b:Source>
    <b:Tag>ICC191</b:Tag>
    <b:SourceType>Report</b:SourceType>
    <b:Guid>{292EAFF6-A6DF-429B-85B1-2F240B6A27D2}</b:Guid>
    <b:Title>Long-term aviation fuel decarbonization: Progress, roadblocks, and policy opportunities</b:Title>
    <b:Year>2019</b:Year>
    <b:Author>
      <b:Author>
        <b:Corporate>ICCT</b:Corporate>
      </b:Author>
    </b:Author>
    <b:Publisher>ICCT</b:Publisher>
    <b:City>Washington</b:City>
    <b:RefOrder>51</b:RefOrder>
  </b:Source>
  <b:Source>
    <b:Tag>Tra181</b:Tag>
    <b:SourceType>InternetSite</b:SourceType>
    <b:Guid>{EFDB6C6D-5A78-4566-9371-00D6FBD08FCA}</b:Guid>
    <b:Title>Why is palm oil biodiesel bad?</b:Title>
    <b:Year>2018</b:Year>
    <b:Author>
      <b:Author>
        <b:Corporate>Transport &amp; Environment</b:Corporate>
      </b:Author>
    </b:Author>
    <b:YearAccessed>2020</b:YearAccessed>
    <b:MonthAccessed>February</b:MonthAccessed>
    <b:URL>https://www.transportenvironment.org/what-we-do/biofuels/why-palm-oil-biodiesel-bad?gclid=EAIaIQobChMIxoqsjrHR5wIV0ed3Ch0VoQRxEAAYASAAEgKXgfD_BwE</b:URL>
    <b:RefOrder>52</b:RefOrder>
  </b:Source>
  <b:Source>
    <b:Tag>Yin18</b:Tag>
    <b:SourceType>JournalArticle</b:SourceType>
    <b:Guid>{0893ABFE-DBA9-478D-86B8-B51FDFF0AD45}</b:Guid>
    <b:Title>Impact on flight trajectory characteristics when avoiding the formation of persistent contrails for transatlantic flights</b:Title>
    <b:Year>2018</b:Year>
    <b:JournalName>Transportation Research Part D</b:JournalName>
    <b:Pages>466-484</b:Pages>
    <b:Volume>65</b:Volume>
    <b:Author>
      <b:Author>
        <b:NameList>
          <b:Person>
            <b:Last>Yin</b:Last>
            <b:First>F.</b:First>
          </b:Person>
          <b:Person>
            <b:Last>Grewe</b:Last>
            <b:First>V.</b:First>
          </b:Person>
          <b:Person>
            <b:Last>Frömming</b:Last>
            <b:First>C.</b:First>
          </b:Person>
          <b:Person>
            <b:Last>Yamashita</b:Last>
            <b:First>H.</b:First>
          </b:Person>
        </b:NameList>
      </b:Author>
    </b:Author>
    <b:RefOrder>53</b:RefOrder>
  </b:Source>
  <b:Source>
    <b:Tag>Mat17</b:Tag>
    <b:SourceType>JournalArticle</b:SourceType>
    <b:Guid>{FF26F870-F836-4E68-A9BC-85951D84C88C}</b:Guid>
    <b:Author>
      <b:Author>
        <b:Corporate>Matthes et al.</b:Corporate>
      </b:Author>
    </b:Author>
    <b:Title>A concept for multi-criteria envrionmental assessment of aircraft trajectories</b:Title>
    <b:JournalName>Aerospace</b:JournalName>
    <b:Year>2017</b:Year>
    <b:Volume>4</b:Volume>
    <b:Issue>3</b:Issue>
    <b:RefOrder>54</b:RefOrder>
  </b:Source>
  <b:Source>
    <b:Tag>Ros17</b:Tag>
    <b:SourceType>ConferenceProceedings</b:SourceType>
    <b:Guid>{39EB6381-F4CA-4F73-9E12-4B881AD9718E}</b:Guid>
    <b:Title>Impact of multi-criteria optimized trajectories on European air traffic density, efficiency and the environment</b:Title>
    <b:Year>2017</b:Year>
    <b:Author>
      <b:Author>
        <b:Corporate>Rosenow et al.</b:Corporate>
      </b:Author>
    </b:Author>
    <b:City>Seattle</b:City>
    <b:Publisher>12th USA/Europe Air Traffic Management Research and Development Seminar</b:Publisher>
    <b:RefOrder>55</b:RefOrder>
  </b:Source>
  <b:Source>
    <b:Tag>Lim17</b:Tag>
    <b:SourceType>JournalArticle</b:SourceType>
    <b:Guid>{7C0AD37F-180A-409D-BA65-C114927F17EE}</b:Guid>
    <b:Title>Optimal aircraft trajectories to minimise the radiative impact of contrails and CO2</b:Title>
    <b:Year>2017</b:Year>
    <b:JournalName>Energy Procedia</b:JournalName>
    <b:Pages>446-452</b:Pages>
    <b:Volume>110</b:Volume>
    <b:Author>
      <b:Author>
        <b:NameList>
          <b:Person>
            <b:Last>Lim</b:Last>
            <b:First>Y.</b:First>
          </b:Person>
          <b:Person>
            <b:Last>Gardi</b:Last>
            <b:First>A.</b:First>
          </b:Person>
          <b:Person>
            <b:Last>Sabatini</b:Last>
            <b:First>R.</b:First>
          </b:Person>
        </b:NameList>
      </b:Author>
    </b:Author>
    <b:RefOrder>56</b:RefOrder>
  </b:Source>
  <b:Source>
    <b:Tag>Gre17</b:Tag>
    <b:SourceType>JournalArticle</b:SourceType>
    <b:Guid>{16833696-93A8-4507-8409-0BFB0E175032}</b:Guid>
    <b:Author>
      <b:Author>
        <b:Corporate>Grewe et al.</b:Corporate>
      </b:Author>
    </b:Author>
    <b:Title>Mitigating the climate impact from aviation: Achievements and Results of the DLR WeCare Project</b:Title>
    <b:JournalName>Aerospace Science and Technology</b:JournalName>
    <b:Year>2017</b:Year>
    <b:Volume>4</b:Volume>
    <b:Issue>3</b:Issue>
    <b:RefOrder>57</b:RefOrder>
  </b:Source>
  <b:Source>
    <b:Tag>Ros18</b:Tag>
    <b:SourceType>JournalArticle</b:SourceType>
    <b:Guid>{6AEDDA60-181F-4C38-B9BC-DBDC8A103387}</b:Guid>
    <b:Title>Minimizing contrail formation by rerouting around dynamic ice-supersaturated regions</b:Title>
    <b:JournalName>Aeronautics and Aerospace Open Access Journal</b:JournalName>
    <b:Year>2018</b:Year>
    <b:Volume>2</b:Volume>
    <b:Issue>3</b:Issue>
    <b:Author>
      <b:Author>
        <b:NameList>
          <b:Person>
            <b:Last>Rosenow</b:Last>
            <b:First>J.</b:First>
          </b:Person>
          <b:Person>
            <b:Last>Fricke</b:Last>
            <b:First>H.</b:First>
          </b:Person>
          <b:Person>
            <b:Last>Luchkova</b:Last>
            <b:First>T.</b:First>
          </b:Person>
          <b:Person>
            <b:Last>Schultz</b:Last>
            <b:First>M.</b:First>
          </b:Person>
        </b:NameList>
      </b:Author>
    </b:Author>
    <b:RefOrder>58</b:RefOrder>
  </b:Source>
  <b:Source>
    <b:Tag>Teo20</b:Tag>
    <b:SourceType>JournalArticle</b:SourceType>
    <b:Guid>{CA7DBBEB-E6A1-4EDF-9E06-4F6B17C93BCF}</b:Guid>
    <b:Title>Mitigating the climate forcing of aircraft contrails by small-scale diversions and technology adoption</b:Title>
    <b:JournalName>Environmental Science and Technology</b:JournalName>
    <b:Year>2020</b:Year>
    <b:Pages>2941-2950</b:Pages>
    <b:Volume>54</b:Volume>
    <b:Issue>5</b:Issue>
    <b:Author>
      <b:Author>
        <b:NameList>
          <b:Person>
            <b:Last>Teoh</b:Last>
            <b:First>R.</b:First>
          </b:Person>
          <b:Person>
            <b:Last>Schumann</b:Last>
            <b:First>U.</b:First>
          </b:Person>
          <b:Person>
            <b:Last>Majumdar</b:Last>
            <b:First>A.</b:First>
          </b:Person>
          <b:Person>
            <b:Last>Stettler</b:Last>
            <b:Middle>E. J.</b:Middle>
            <b:First>M.</b:First>
          </b:Person>
        </b:NameList>
      </b:Author>
    </b:Author>
    <b:RefOrder>59</b:RefOrder>
  </b:Source>
  <b:Source>
    <b:Tag>Dah19</b:Tag>
    <b:SourceType>Report</b:SourceType>
    <b:Guid>{C3A9320D-D539-454A-A6A2-945BDA37F3DE}</b:Guid>
    <b:Title>Suitable climate metrics for assessing the relation of non-CO2 and CO2 climate effects</b:Title>
    <b:Year>2019</b:Year>
    <b:Author>
      <b:Author>
        <b:NameList>
          <b:Person>
            <b:Last>Dahlmann</b:Last>
            <b:First>K.</b:First>
          </b:Person>
          <b:Person>
            <b:Last>Grewe</b:Last>
            <b:First>V.</b:First>
          </b:Person>
          <b:Person>
            <b:Last>Niklaß</b:Last>
            <b:First>M.</b:First>
          </b:Person>
        </b:NameList>
      </b:Author>
    </b:Author>
    <b:Publisher>German Federal Ministry for the Environment, Nature Conservation and Nuclear Safety</b:Publisher>
    <b:City>Bonn</b:City>
    <b:RefOrder>60</b:RefOrder>
  </b:Source>
  <b:Source>
    <b:Tag>Räd10</b:Tag>
    <b:SourceType>JournalArticle</b:SourceType>
    <b:Guid>{F57DE942-7669-4480-8DB7-DA405BEC391A}</b:Guid>
    <b:Title>Validating ECMWF forecasts for the occurrence of ice supersaturation using visual observations of persistent contrails and radiosonde measurements over England</b:Title>
    <b:Year>2010</b:Year>
    <b:JournalName>Quarterly Journal of the Royal Meteorological Society</b:JournalName>
    <b:Pages>1723-1732</b:Pages>
    <b:Volume>136</b:Volume>
    <b:Author>
      <b:Author>
        <b:NameList>
          <b:Person>
            <b:Last>Rädel</b:Last>
            <b:First>G.</b:First>
          </b:Person>
          <b:Person>
            <b:Last>Shine</b:Last>
            <b:Middle>P.</b:Middle>
            <b:First>K.</b:First>
          </b:Person>
        </b:NameList>
      </b:Author>
    </b:Author>
    <b:RefOrder>61</b:RefOrder>
  </b:Source>
  <b:Source>
    <b:Tag>CED02</b:Tag>
    <b:SourceType>Report</b:SourceType>
    <b:Guid>{AB28644D-5065-4232-BD79-99CC9BE8E632}</b:Guid>
    <b:Author>
      <b:Author>
        <b:Corporate>CE Delft</b:Corporate>
      </b:Author>
    </b:Author>
    <b:Title>Economic incentives to mitigate greenhouse gas emissions from air transport in Europe</b:Title>
    <b:Year>2002</b:Year>
    <b:Publisher>CE Delft</b:Publisher>
    <b:City>Delft</b:City>
    <b:RefOrder>62</b:RefOrder>
  </b:Source>
</b:Sources>
</file>

<file path=customXml/itemProps1.xml><?xml version="1.0" encoding="utf-8"?>
<ds:datastoreItem xmlns:ds="http://schemas.openxmlformats.org/officeDocument/2006/customXml" ds:itemID="{8F39EA8A-CB18-4DD1-94DC-9E578F90E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8029</Words>
  <Characters>44642</Characters>
  <Application>Microsoft Office Word</Application>
  <DocSecurity>0</DocSecurity>
  <Lines>1240</Lines>
  <Paragraphs>786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18</cp:revision>
  <dcterms:created xsi:type="dcterms:W3CDTF">2020-10-12T13:58:00Z</dcterms:created>
  <dcterms:modified xsi:type="dcterms:W3CDTF">2020-11-12T08:31:00Z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99ea95d8-ac88-4230-9c53-f3514ac93ced</vt:lpwstr>
  </property>
  <property fmtid="{D5CDD505-2E9C-101B-9397-08002B2CF9AE}" pid="3" name="Level of sensitivity">
    <vt:lpwstr>Standard treatment</vt:lpwstr>
  </property>
  <property fmtid="{D5CDD505-2E9C-101B-9397-08002B2CF9AE}" pid="4" name="Part">
    <vt:lpwstr>3</vt:lpwstr>
  </property>
  <property fmtid="{D5CDD505-2E9C-101B-9397-08002B2CF9AE}" pid="5" name="Total parts">
    <vt:lpwstr>3</vt:lpwstr>
  </property>
  <property fmtid="{D5CDD505-2E9C-101B-9397-08002B2CF9AE}" pid="6" name="DocStatus">
    <vt:lpwstr>Green</vt:lpwstr>
  </property>
  <property fmtid="{D5CDD505-2E9C-101B-9397-08002B2CF9AE}" pid="7" name="CPTemplateID">
    <vt:lpwstr>CP-025</vt:lpwstr>
  </property>
  <property fmtid="{D5CDD505-2E9C-101B-9397-08002B2CF9AE}" pid="8" name="Last edited using">
    <vt:lpwstr>LW 7.0, Build 20190717</vt:lpwstr>
  </property>
  <property fmtid="{D5CDD505-2E9C-101B-9397-08002B2CF9AE}" pid="9" name="Created using">
    <vt:lpwstr>LW 7.0, Build 20190717</vt:lpwstr>
  </property>
</Properties>
</file>