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2240DE7-E435-4431-AFA9-8A20CEC541F3" style="width:450.55pt;height:348pt">
            <v:imagedata r:id="rId10" o:title=""/>
          </v:shape>
        </w:pict>
      </w:r>
    </w:p>
    <w:bookmarkEnd w:id="0"/>
    <w:p>
      <w:pPr>
        <w:rPr>
          <w:noProof/>
          <w:lang w:val="en-I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NormalWeb"/>
        <w:spacing w:before="0" w:beforeAutospacing="0" w:after="0" w:afterAutospacing="0"/>
        <w:jc w:val="center"/>
        <w:rPr>
          <w:b/>
          <w:caps/>
          <w:noProof/>
          <w:lang w:val="en-IE"/>
        </w:rPr>
      </w:pPr>
      <w:bookmarkStart w:id="1" w:name="_GoBack"/>
      <w:bookmarkEnd w:id="1"/>
      <w:r>
        <w:rPr>
          <w:b/>
          <w:caps/>
          <w:noProof/>
          <w:lang w:val="en-IE"/>
        </w:rPr>
        <w:lastRenderedPageBreak/>
        <w:t>Updated analysis of the non-CO</w:t>
      </w:r>
      <w:r>
        <w:rPr>
          <w:b/>
          <w:caps/>
          <w:noProof/>
          <w:vertAlign w:val="subscript"/>
          <w:lang w:val="en-IE"/>
        </w:rPr>
        <w:t>2</w:t>
      </w:r>
      <w:r>
        <w:rPr>
          <w:b/>
          <w:caps/>
          <w:noProof/>
          <w:lang w:val="en-IE"/>
        </w:rPr>
        <w:t xml:space="preserve"> climate impacts of aviation and potential policy measures pursuant to EU Emissions Trading System Directive Article 30(4)</w:t>
      </w:r>
    </w:p>
    <w:p>
      <w:pPr>
        <w:pStyle w:val="NormalWeb"/>
        <w:spacing w:before="0" w:beforeAutospacing="0" w:after="0" w:afterAutospacing="0"/>
        <w:rPr>
          <w:caps/>
          <w:noProof/>
        </w:rPr>
      </w:pPr>
      <w:r>
        <w:rPr>
          <w:caps/>
          <w:noProof/>
        </w:rPr>
        <w:t> </w:t>
      </w:r>
    </w:p>
    <w:p>
      <w:pPr>
        <w:jc w:val="both"/>
        <w:textAlignment w:val="center"/>
        <w:rPr>
          <w:rFonts w:eastAsia="Times New Roman"/>
          <w:noProof/>
          <w:lang w:val="en-IE"/>
        </w:rPr>
      </w:pPr>
    </w:p>
    <w:p>
      <w:pPr>
        <w:jc w:val="both"/>
        <w:textAlignment w:val="center"/>
        <w:rPr>
          <w:rFonts w:eastAsia="Times New Roman"/>
          <w:b/>
          <w:noProof/>
          <w:lang w:val="en-IE"/>
        </w:rPr>
      </w:pPr>
      <w:r>
        <w:rPr>
          <w:rFonts w:eastAsia="Times New Roman"/>
          <w:b/>
          <w:noProof/>
          <w:lang w:val="en-IE"/>
        </w:rPr>
        <w:t>1. Introduction</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As part of the 2017-revision of the EU Emissions Trading System (ETS) regarding aviation, the co-legislators tasked the European Commission with presenting “an updated analysis of the non-CO</w:t>
      </w:r>
      <w:r>
        <w:rPr>
          <w:rFonts w:eastAsia="Times New Roman"/>
          <w:noProof/>
          <w:vertAlign w:val="subscript"/>
          <w:lang w:val="en-IE"/>
        </w:rPr>
        <w:t>2</w:t>
      </w:r>
      <w:r>
        <w:rPr>
          <w:rFonts w:eastAsia="Times New Roman"/>
          <w:noProof/>
          <w:lang w:val="en-IE"/>
        </w:rPr>
        <w:t xml:space="preserve"> effects of aviation, accompanied, where appropriate, by a proposal on how best to address those effects”, as per Article 30(4) of Directive 2003/87/EC. </w:t>
      </w:r>
    </w:p>
    <w:p>
      <w:pPr>
        <w:jc w:val="both"/>
        <w:textAlignment w:val="center"/>
        <w:rPr>
          <w:rFonts w:eastAsia="Times New Roman"/>
          <w:noProof/>
          <w:lang w:val="en-IE"/>
        </w:rPr>
      </w:pPr>
    </w:p>
    <w:p>
      <w:pPr>
        <w:jc w:val="both"/>
        <w:textAlignment w:val="center"/>
        <w:rPr>
          <w:rFonts w:eastAsia="Times New Roman"/>
          <w:noProof/>
          <w:lang w:val="en-GB"/>
        </w:rPr>
      </w:pPr>
      <w:r>
        <w:rPr>
          <w:rFonts w:eastAsia="Times New Roman"/>
          <w:noProof/>
          <w:lang w:val="en-IE"/>
        </w:rPr>
        <w:t xml:space="preserve">Previous analyses date back to the </w:t>
      </w:r>
      <w:r>
        <w:rPr>
          <w:rFonts w:eastAsia="Times New Roman"/>
          <w:noProof/>
          <w:lang w:val="en-GB"/>
        </w:rPr>
        <w:t xml:space="preserve">2006 Impact Assessment for the </w:t>
      </w:r>
      <w:r>
        <w:rPr>
          <w:noProof/>
        </w:rPr>
        <w:t xml:space="preserve">inclusion of aviation in the </w:t>
      </w:r>
      <w:r>
        <w:rPr>
          <w:rFonts w:eastAsia="Times New Roman"/>
          <w:noProof/>
          <w:lang w:val="en-GB"/>
        </w:rPr>
        <w:t>EU ETS that examined the possibility of regulating oxides of nitrogen (NOx),</w:t>
      </w:r>
      <w:r>
        <w:rPr>
          <w:rStyle w:val="FootnoteReference"/>
          <w:rFonts w:eastAsia="Times New Roman"/>
          <w:noProof/>
          <w:lang w:val="en-GB"/>
        </w:rPr>
        <w:footnoteReference w:id="1"/>
      </w:r>
      <w:r>
        <w:rPr>
          <w:rFonts w:eastAsia="Times New Roman"/>
          <w:noProof/>
          <w:lang w:val="en-GB"/>
        </w:rPr>
        <w:t xml:space="preserve"> and the 2008 study ‘Lower NOx at Higher Altitudes: Policies to Reduce the Climate Impact of Aviation NOx Emission’.</w:t>
      </w:r>
      <w:r>
        <w:rPr>
          <w:rStyle w:val="FootnoteReference"/>
          <w:rFonts w:eastAsia="Times New Roman"/>
          <w:noProof/>
          <w:lang w:val="en-GB"/>
        </w:rPr>
        <w:footnoteReference w:id="2"/>
      </w:r>
      <w:r>
        <w:rPr>
          <w:rFonts w:eastAsia="Times New Roman"/>
          <w:noProof/>
          <w:lang w:val="en-GB"/>
        </w:rPr>
        <w:t xml:space="preserve"> At the time of those analyses, the scientific understanding was not considered sufficiently mature to propose policies to address these impacts. </w:t>
      </w:r>
      <w:r>
        <w:rPr>
          <w:rFonts w:eastAsia="Times New Roman"/>
          <w:noProof/>
          <w:lang w:val="en-IE"/>
        </w:rPr>
        <w:t>Instead, since 2012, the EU ETS as the cornerstone of the EU’s climate policy regulates solely carbon dioxide (CO</w:t>
      </w:r>
      <w:r>
        <w:rPr>
          <w:rFonts w:eastAsia="Times New Roman"/>
          <w:noProof/>
          <w:vertAlign w:val="subscript"/>
          <w:lang w:val="en-IE"/>
        </w:rPr>
        <w:t>2</w:t>
      </w:r>
      <w:r>
        <w:rPr>
          <w:rFonts w:eastAsia="Times New Roman"/>
          <w:noProof/>
          <w:lang w:val="en-IE"/>
        </w:rPr>
        <w:t>) emissions from covered flights, which, in contrast to non-CO</w:t>
      </w:r>
      <w:r>
        <w:rPr>
          <w:rFonts w:eastAsia="Times New Roman"/>
          <w:noProof/>
          <w:vertAlign w:val="subscript"/>
          <w:lang w:val="en-IE"/>
        </w:rPr>
        <w:t>2</w:t>
      </w:r>
      <w:r>
        <w:rPr>
          <w:rFonts w:eastAsia="Times New Roman"/>
          <w:noProof/>
          <w:lang w:val="en-IE"/>
        </w:rPr>
        <w:t xml:space="preserve"> impacts, directly correlate with the amount of fuel burned.</w:t>
      </w:r>
    </w:p>
    <w:p>
      <w:pPr>
        <w:jc w:val="both"/>
        <w:textAlignment w:val="center"/>
        <w:rPr>
          <w:rFonts w:eastAsia="Times New Roman"/>
          <w:noProof/>
          <w:lang w:val="en-GB"/>
        </w:rPr>
      </w:pPr>
    </w:p>
    <w:p>
      <w:pPr>
        <w:jc w:val="both"/>
        <w:textAlignment w:val="center"/>
        <w:rPr>
          <w:rFonts w:eastAsia="Times New Roman"/>
          <w:noProof/>
          <w:lang w:val="en-IE"/>
        </w:rPr>
      </w:pPr>
      <w:r>
        <w:rPr>
          <w:rFonts w:eastAsia="Times New Roman"/>
          <w:noProof/>
          <w:lang w:val="en-GB"/>
        </w:rPr>
        <w:t xml:space="preserve">To fulfil the </w:t>
      </w:r>
      <w:r>
        <w:rPr>
          <w:rFonts w:eastAsia="Times New Roman"/>
          <w:noProof/>
          <w:lang w:val="en-IE"/>
        </w:rPr>
        <w:t xml:space="preserve">requirement of </w:t>
      </w:r>
      <w:r>
        <w:rPr>
          <w:rFonts w:eastAsia="Times New Roman"/>
          <w:noProof/>
          <w:lang w:val="en-GB"/>
        </w:rPr>
        <w:t xml:space="preserve">Article 30(4) of </w:t>
      </w:r>
      <w:r>
        <w:rPr>
          <w:rFonts w:eastAsia="Times New Roman"/>
          <w:noProof/>
          <w:lang w:val="en-IE"/>
        </w:rPr>
        <w:t>the EU ETS Directive</w:t>
      </w:r>
      <w:r>
        <w:rPr>
          <w:rFonts w:eastAsia="Times New Roman"/>
          <w:noProof/>
          <w:lang w:val="en-GB"/>
        </w:rPr>
        <w:t xml:space="preserve">, a report was commissioned by the </w:t>
      </w:r>
      <w:r>
        <w:rPr>
          <w:rFonts w:eastAsia="Times New Roman"/>
          <w:noProof/>
          <w:lang w:val="en-IE"/>
        </w:rPr>
        <w:t>European Commission to the European Union Aviation Safety Agency (EASA).</w:t>
      </w:r>
      <w:r>
        <w:rPr>
          <w:noProof/>
        </w:rPr>
        <w:t xml:space="preserve"> </w:t>
      </w:r>
      <w:r>
        <w:rPr>
          <w:rFonts w:eastAsia="Times New Roman"/>
          <w:noProof/>
          <w:lang w:val="en-IE"/>
        </w:rPr>
        <w:t>The report captures the much-evolved scientific understanding, presenting an updated analysis of the main climate impacts associated with air traffic, besides CO</w:t>
      </w:r>
      <w:r>
        <w:rPr>
          <w:rFonts w:eastAsia="Times New Roman"/>
          <w:noProof/>
          <w:vertAlign w:val="subscript"/>
          <w:lang w:val="en-IE"/>
        </w:rPr>
        <w:t>2</w:t>
      </w:r>
      <w:r>
        <w:rPr>
          <w:rFonts w:eastAsia="Times New Roman"/>
          <w:noProof/>
          <w:lang w:val="en-IE"/>
        </w:rPr>
        <w:t xml:space="preserve"> emissions. EASA conducted the work through a project team comprising renowned experts in this field from the EU, Norway and UK,</w:t>
      </w:r>
      <w:r>
        <w:rPr>
          <w:noProof/>
        </w:rPr>
        <w:t xml:space="preserve"> </w:t>
      </w:r>
      <w:r>
        <w:rPr>
          <w:rFonts w:eastAsia="Times New Roman"/>
          <w:noProof/>
          <w:lang w:val="en-IE"/>
        </w:rPr>
        <w:t>covering the whole spectrum of different schools of thought in the climate science domain. This allowed for open-minded discussions and the consideration of diverging opinions in the analysis of all issues identified. Combined with the validation of this work through two peer reviews, this ensured the scientific rigour of the provided analyses.</w:t>
      </w:r>
    </w:p>
    <w:p>
      <w:pPr>
        <w:jc w:val="both"/>
        <w:textAlignment w:val="center"/>
        <w:rPr>
          <w:rFonts w:eastAsia="Times New Roman"/>
          <w:noProof/>
          <w:lang w:val="en-IE"/>
        </w:rPr>
      </w:pPr>
    </w:p>
    <w:p>
      <w:pPr>
        <w:spacing w:after="240"/>
        <w:ind w:left="720" w:hanging="720"/>
        <w:jc w:val="both"/>
        <w:textAlignment w:val="center"/>
        <w:rPr>
          <w:rFonts w:eastAsia="Times New Roman"/>
          <w:noProof/>
          <w:lang w:val="en-IE"/>
        </w:rPr>
      </w:pPr>
      <w:r>
        <w:rPr>
          <w:rFonts w:eastAsia="Times New Roman"/>
          <w:noProof/>
          <w:lang w:val="en-IE"/>
        </w:rPr>
        <w:t>The following guiding research questions structured the work of the experts:</w:t>
      </w:r>
    </w:p>
    <w:p>
      <w:pPr>
        <w:pStyle w:val="ListParagraph"/>
        <w:numPr>
          <w:ilvl w:val="0"/>
          <w:numId w:val="3"/>
        </w:numPr>
        <w:spacing w:after="240"/>
        <w:jc w:val="both"/>
        <w:textAlignment w:val="center"/>
        <w:rPr>
          <w:rFonts w:eastAsia="Times New Roman"/>
          <w:noProof/>
          <w:lang w:val="en-IE"/>
        </w:rPr>
      </w:pPr>
      <w:r>
        <w:rPr>
          <w:rFonts w:eastAsia="Times New Roman"/>
          <w:noProof/>
          <w:lang w:val="en-IE"/>
        </w:rPr>
        <w:t>What is the most recent knowledge on the climate change effects of non-CO</w:t>
      </w:r>
      <w:r>
        <w:rPr>
          <w:rFonts w:eastAsia="Times New Roman"/>
          <w:noProof/>
          <w:vertAlign w:val="subscript"/>
          <w:lang w:val="en-IE"/>
        </w:rPr>
        <w:t>2</w:t>
      </w:r>
      <w:r>
        <w:rPr>
          <w:rFonts w:eastAsia="Times New Roman"/>
          <w:noProof/>
          <w:lang w:val="en-IE"/>
        </w:rPr>
        <w:t xml:space="preserve"> emissions from aviation activities?</w:t>
      </w:r>
    </w:p>
    <w:p>
      <w:pPr>
        <w:pStyle w:val="ListParagraph"/>
        <w:numPr>
          <w:ilvl w:val="0"/>
          <w:numId w:val="3"/>
        </w:numPr>
        <w:jc w:val="both"/>
        <w:textAlignment w:val="center"/>
        <w:rPr>
          <w:rFonts w:eastAsia="Times New Roman"/>
          <w:noProof/>
          <w:lang w:val="en-IE"/>
        </w:rPr>
      </w:pPr>
      <w:r>
        <w:rPr>
          <w:rFonts w:eastAsia="Times New Roman"/>
          <w:noProof/>
          <w:lang w:val="en-IE"/>
        </w:rPr>
        <w:t>What factors/variables have had an impact on these effects - e.g. technology/design, operations, fuel, market-based measures? What is the level of that impact? Do these factors/variables exhibit trade-offs or interdependencies between different impacts?</w:t>
      </w:r>
    </w:p>
    <w:p>
      <w:pPr>
        <w:pStyle w:val="ListParagraph"/>
        <w:numPr>
          <w:ilvl w:val="0"/>
          <w:numId w:val="3"/>
        </w:numPr>
        <w:jc w:val="both"/>
        <w:textAlignment w:val="center"/>
        <w:rPr>
          <w:rFonts w:eastAsia="Times New Roman"/>
          <w:noProof/>
          <w:lang w:val="en-IE"/>
        </w:rPr>
      </w:pPr>
      <w:r>
        <w:rPr>
          <w:rFonts w:eastAsia="Times New Roman"/>
          <w:noProof/>
          <w:lang w:val="en-IE"/>
        </w:rPr>
        <w:t>What research has been undertaken on potential policy action to reduce non-CO</w:t>
      </w:r>
      <w:r>
        <w:rPr>
          <w:rFonts w:eastAsia="Times New Roman"/>
          <w:noProof/>
          <w:vertAlign w:val="subscript"/>
          <w:lang w:val="en-IE"/>
        </w:rPr>
        <w:t>2</w:t>
      </w:r>
      <w:r>
        <w:rPr>
          <w:rFonts w:eastAsia="Times New Roman"/>
          <w:noProof/>
          <w:lang w:val="en-IE"/>
        </w:rPr>
        <w:t xml:space="preserve"> climate impacts? What are the pros and cons of policy options in terms of implementation? What knowledge gaps still exist?</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The non-CO</w:t>
      </w:r>
      <w:r>
        <w:rPr>
          <w:rFonts w:eastAsia="Times New Roman"/>
          <w:noProof/>
          <w:vertAlign w:val="subscript"/>
          <w:lang w:val="en-IE"/>
        </w:rPr>
        <w:t xml:space="preserve">2 </w:t>
      </w:r>
      <w:r>
        <w:rPr>
          <w:rFonts w:eastAsia="Times New Roman"/>
          <w:noProof/>
          <w:lang w:val="en-IE"/>
        </w:rPr>
        <w:t xml:space="preserve">impacts assessed by the experts arise namely from emissions by aircraft of oxides of nitrogen (NOx), soot particles, oxidised sulphur species, and water vapour. Their net impact is a warming effect on the climate, although there are a number of individual </w:t>
      </w:r>
      <w:r>
        <w:rPr>
          <w:rFonts w:eastAsia="Times New Roman"/>
          <w:noProof/>
          <w:lang w:val="en-IE"/>
        </w:rPr>
        <w:lastRenderedPageBreak/>
        <w:t>warming and cooling effects from the respective aviation non-CO</w:t>
      </w:r>
      <w:r>
        <w:rPr>
          <w:rFonts w:eastAsia="Times New Roman"/>
          <w:noProof/>
          <w:vertAlign w:val="subscript"/>
          <w:lang w:val="en-IE"/>
        </w:rPr>
        <w:t>2</w:t>
      </w:r>
      <w:r>
        <w:rPr>
          <w:rFonts w:eastAsia="Times New Roman"/>
          <w:noProof/>
          <w:lang w:val="en-IE"/>
        </w:rPr>
        <w:t xml:space="preserve"> emissions, with trade–offs and uncertainties of different degrees.</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The authors note that the scientific understanding on the climate change effects of non-CO</w:t>
      </w:r>
      <w:r>
        <w:rPr>
          <w:rFonts w:eastAsia="Times New Roman"/>
          <w:noProof/>
          <w:vertAlign w:val="subscript"/>
          <w:lang w:val="en-IE"/>
        </w:rPr>
        <w:t>2</w:t>
      </w:r>
      <w:r>
        <w:rPr>
          <w:rFonts w:eastAsia="Times New Roman"/>
          <w:noProof/>
          <w:lang w:val="en-IE"/>
        </w:rPr>
        <w:t xml:space="preserve"> emissions from aviation activities has advanced over the last ten years. With regard to these impacts, and how to assess them in terms of CO</w:t>
      </w:r>
      <w:r>
        <w:rPr>
          <w:rFonts w:eastAsia="Times New Roman"/>
          <w:noProof/>
          <w:vertAlign w:val="subscript"/>
          <w:lang w:val="en-IE"/>
        </w:rPr>
        <w:t>2</w:t>
      </w:r>
      <w:r>
        <w:rPr>
          <w:rFonts w:eastAsia="Times New Roman"/>
          <w:noProof/>
          <w:lang w:val="en-IE"/>
        </w:rPr>
        <w:t xml:space="preserve">-equivalent emissions metrics, several uncertainties remain and new ones have emerged. The report identifies and evaluates a range of policy options as well as research areas to be tackled to address these uncertainties. </w:t>
      </w:r>
    </w:p>
    <w:p>
      <w:pPr>
        <w:ind w:left="720" w:hanging="720"/>
        <w:jc w:val="both"/>
        <w:textAlignment w:val="center"/>
        <w:rPr>
          <w:rFonts w:eastAsia="Times New Roman"/>
          <w:noProof/>
          <w:lang w:val="en-GB"/>
        </w:rPr>
      </w:pPr>
    </w:p>
    <w:p>
      <w:pPr>
        <w:pStyle w:val="NormalWeb"/>
        <w:spacing w:before="0" w:beforeAutospacing="0" w:after="0" w:afterAutospacing="0"/>
        <w:jc w:val="both"/>
        <w:rPr>
          <w:b/>
          <w:bCs/>
          <w:noProof/>
          <w:lang w:val="en-IE"/>
        </w:rPr>
      </w:pPr>
    </w:p>
    <w:p>
      <w:pPr>
        <w:pStyle w:val="NormalWeb"/>
        <w:spacing w:before="0" w:beforeAutospacing="0" w:after="0" w:afterAutospacing="0"/>
        <w:jc w:val="both"/>
        <w:rPr>
          <w:b/>
          <w:bCs/>
          <w:noProof/>
          <w:lang w:val="en-IE"/>
        </w:rPr>
      </w:pPr>
      <w:r>
        <w:rPr>
          <w:b/>
          <w:bCs/>
          <w:noProof/>
          <w:lang w:val="en-IE"/>
        </w:rPr>
        <w:t xml:space="preserve">2. Summary of the report’s findings on policies </w:t>
      </w:r>
    </w:p>
    <w:p>
      <w:pPr>
        <w:pStyle w:val="NormalWeb"/>
        <w:spacing w:before="0" w:beforeAutospacing="0" w:after="0" w:afterAutospacing="0"/>
        <w:jc w:val="both"/>
        <w:rPr>
          <w:b/>
          <w:i/>
          <w:noProof/>
          <w:lang w:val="en-IE"/>
        </w:rPr>
      </w:pPr>
    </w:p>
    <w:p>
      <w:pPr>
        <w:jc w:val="both"/>
        <w:textAlignment w:val="center"/>
        <w:rPr>
          <w:rFonts w:eastAsia="Times New Roman"/>
          <w:noProof/>
          <w:lang w:val="en-IE"/>
        </w:rPr>
      </w:pPr>
      <w:r>
        <w:rPr>
          <w:rFonts w:eastAsia="Times New Roman"/>
          <w:noProof/>
          <w:lang w:val="en-IE"/>
        </w:rPr>
        <w:t>The report acknowledges that there are already a number of measures in place that also contribute to reducing the climate impacts of aviation non-CO</w:t>
      </w:r>
      <w:r>
        <w:rPr>
          <w:rFonts w:eastAsia="Times New Roman"/>
          <w:noProof/>
          <w:vertAlign w:val="subscript"/>
          <w:lang w:val="en-IE"/>
        </w:rPr>
        <w:t>2</w:t>
      </w:r>
      <w:r>
        <w:rPr>
          <w:rFonts w:eastAsia="Times New Roman"/>
          <w:noProof/>
          <w:lang w:val="en-IE"/>
        </w:rPr>
        <w:t xml:space="preserve"> emissions such as EASA environmental certification standards for aircraft engine emissions of NOx and non-volatile Particulate Matter (nvPM</w:t>
      </w:r>
      <w:r>
        <w:rPr>
          <w:rFonts w:eastAsia="Times New Roman"/>
          <w:noProof/>
        </w:rPr>
        <w:t xml:space="preserve">). </w:t>
      </w:r>
      <w:r>
        <w:rPr>
          <w:rFonts w:eastAsia="Times New Roman"/>
          <w:noProof/>
          <w:lang w:val="en-IE"/>
        </w:rPr>
        <w:t>Reductions in fuel burn, and thereby CO</w:t>
      </w:r>
      <w:r>
        <w:rPr>
          <w:rFonts w:eastAsia="Times New Roman"/>
          <w:noProof/>
          <w:vertAlign w:val="subscript"/>
          <w:lang w:val="en-IE"/>
        </w:rPr>
        <w:t>2</w:t>
      </w:r>
      <w:r>
        <w:rPr>
          <w:rFonts w:eastAsia="Times New Roman"/>
          <w:noProof/>
          <w:lang w:val="en-IE"/>
        </w:rPr>
        <w:t xml:space="preserve"> emissions, from improvements in air traffic management through the Single European Sky will also generally reduce non-CO</w:t>
      </w:r>
      <w:r>
        <w:rPr>
          <w:rFonts w:eastAsia="Times New Roman"/>
          <w:noProof/>
          <w:vertAlign w:val="subscript"/>
          <w:lang w:val="en-IE"/>
        </w:rPr>
        <w:t>2</w:t>
      </w:r>
      <w:r>
        <w:rPr>
          <w:rFonts w:eastAsia="Times New Roman"/>
          <w:noProof/>
          <w:lang w:val="en-IE"/>
        </w:rPr>
        <w:t xml:space="preserve"> emissions.</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Possible additional policy options to address non-CO</w:t>
      </w:r>
      <w:r>
        <w:rPr>
          <w:rFonts w:eastAsia="Times New Roman"/>
          <w:noProof/>
          <w:vertAlign w:val="subscript"/>
          <w:lang w:val="en-IE"/>
        </w:rPr>
        <w:t>2</w:t>
      </w:r>
      <w:r>
        <w:rPr>
          <w:rFonts w:eastAsia="Times New Roman"/>
          <w:noProof/>
          <w:lang w:val="en-IE"/>
        </w:rPr>
        <w:t xml:space="preserve"> climate impacts from aviation assessed in the report are divided into three categories: financial/market-related, fuel, and air traffic management (ATM), with two options under each of these. In principle, the options could co-exist with one another. </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 xml:space="preserve">The two </w:t>
      </w:r>
      <w:r>
        <w:rPr>
          <w:rFonts w:eastAsia="Times New Roman"/>
          <w:noProof/>
          <w:u w:val="single"/>
          <w:lang w:val="en-IE"/>
        </w:rPr>
        <w:t>financial measures</w:t>
      </w:r>
      <w:r>
        <w:rPr>
          <w:rFonts w:eastAsia="Times New Roman"/>
          <w:noProof/>
          <w:lang w:val="en-IE"/>
        </w:rPr>
        <w:t xml:space="preserve"> analysed consist in a </w:t>
      </w:r>
      <w:r>
        <w:rPr>
          <w:rFonts w:eastAsia="Times New Roman"/>
          <w:b/>
          <w:bCs/>
          <w:noProof/>
          <w:lang w:val="en-IE"/>
        </w:rPr>
        <w:t>monetary charge levied on aircraft NOx emissions</w:t>
      </w:r>
      <w:r>
        <w:rPr>
          <w:rFonts w:eastAsia="Times New Roman"/>
          <w:noProof/>
          <w:lang w:val="en-IE"/>
        </w:rPr>
        <w:t xml:space="preserve"> on one side and/or the </w:t>
      </w:r>
      <w:r>
        <w:rPr>
          <w:rFonts w:eastAsia="Times New Roman"/>
          <w:b/>
          <w:bCs/>
          <w:noProof/>
          <w:lang w:val="en-IE"/>
        </w:rPr>
        <w:t xml:space="preserve">inclusion of such emissions under the EU ETS </w:t>
      </w:r>
      <w:r>
        <w:rPr>
          <w:rFonts w:eastAsia="Times New Roman"/>
          <w:bCs/>
          <w:noProof/>
          <w:lang w:val="en-IE"/>
        </w:rPr>
        <w:t>on the other side</w:t>
      </w:r>
      <w:r>
        <w:rPr>
          <w:rFonts w:eastAsia="Times New Roman"/>
          <w:noProof/>
          <w:lang w:val="en-IE"/>
        </w:rPr>
        <w:t>. These would further incentivise manufacturers and airlines to reduce these emissions and need to take account of the associated trade-offs. Outstanding research issues towards making any such policies implementable include the need to better understand the potential net cooling effect from aircraft NOx emissions under certain future scenarios of declining emissions of tropospheric ozone precursors from surface (non-aircraft) sources; the need for an accurate, internationally recognised methodology for estimating cruise NOx emissions; the need for an appropriate CO</w:t>
      </w:r>
      <w:r>
        <w:rPr>
          <w:rFonts w:eastAsia="Times New Roman"/>
          <w:noProof/>
          <w:vertAlign w:val="subscript"/>
          <w:lang w:val="en-IE"/>
        </w:rPr>
        <w:t>2</w:t>
      </w:r>
      <w:r>
        <w:rPr>
          <w:rFonts w:eastAsia="Times New Roman"/>
          <w:noProof/>
          <w:lang w:val="en-IE"/>
        </w:rPr>
        <w:t xml:space="preserve">-equivalent emissions metric and time horizon for NOx emissions, taking into account the trade-off between </w:t>
      </w:r>
      <w:r>
        <w:rPr>
          <w:rFonts w:eastAsiaTheme="minorHAnsi"/>
          <w:noProof/>
        </w:rPr>
        <w:t>NO</w:t>
      </w:r>
      <w:r>
        <w:rPr>
          <w:rFonts w:eastAsiaTheme="minorHAnsi"/>
          <w:noProof/>
          <w:vertAlign w:val="subscript"/>
        </w:rPr>
        <w:t>X</w:t>
      </w:r>
      <w:r>
        <w:rPr>
          <w:rFonts w:eastAsiaTheme="minorHAnsi"/>
          <w:noProof/>
        </w:rPr>
        <w:t xml:space="preserve"> and CO</w:t>
      </w:r>
      <w:r>
        <w:rPr>
          <w:rFonts w:eastAsiaTheme="minorHAnsi"/>
          <w:noProof/>
          <w:vertAlign w:val="subscript"/>
        </w:rPr>
        <w:t>2</w:t>
      </w:r>
      <w:r>
        <w:rPr>
          <w:rFonts w:eastAsiaTheme="minorHAnsi"/>
          <w:noProof/>
        </w:rPr>
        <w:t xml:space="preserve"> emissions in engine design</w:t>
      </w:r>
      <w:r>
        <w:rPr>
          <w:rFonts w:eastAsia="Times New Roman"/>
          <w:noProof/>
          <w:lang w:val="en-IE"/>
        </w:rPr>
        <w:t>; as well as identifying an appropriate level of a charge. Given these outstanding research issues, the report estimates that these financial measures could potentially be implemented in the mid-term, i.e. in 5 to 8 years.</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 xml:space="preserve">The </w:t>
      </w:r>
      <w:r>
        <w:rPr>
          <w:rFonts w:eastAsia="Times New Roman"/>
          <w:noProof/>
          <w:u w:val="single"/>
          <w:lang w:val="en-IE"/>
        </w:rPr>
        <w:t>fuel-related measures</w:t>
      </w:r>
      <w:r>
        <w:rPr>
          <w:rFonts w:eastAsia="Times New Roman"/>
          <w:noProof/>
          <w:lang w:val="en-IE"/>
        </w:rPr>
        <w:t xml:space="preserve"> comprise the </w:t>
      </w:r>
      <w:r>
        <w:rPr>
          <w:rFonts w:eastAsia="Times New Roman"/>
          <w:b/>
          <w:bCs/>
          <w:noProof/>
          <w:lang w:val="en-IE"/>
        </w:rPr>
        <w:t xml:space="preserve">reduction of </w:t>
      </w:r>
      <w:r>
        <w:rPr>
          <w:rFonts w:eastAsia="Times New Roman"/>
          <w:b/>
          <w:bCs/>
          <w:i/>
          <w:iCs/>
          <w:noProof/>
          <w:lang w:val="en-IE"/>
        </w:rPr>
        <w:t>aromatics</w:t>
      </w:r>
      <w:r>
        <w:rPr>
          <w:rFonts w:eastAsia="Times New Roman"/>
          <w:noProof/>
          <w:lang w:val="en-IE"/>
        </w:rPr>
        <w:t xml:space="preserve"> within fuel (leading to cleaner fuel burn and reduced nvPM emissions) and the </w:t>
      </w:r>
      <w:r>
        <w:rPr>
          <w:rFonts w:eastAsia="Times New Roman"/>
          <w:b/>
          <w:bCs/>
          <w:noProof/>
          <w:lang w:val="en-IE"/>
        </w:rPr>
        <w:t>mandatory use of Sustainable Aviation Fuels</w:t>
      </w:r>
      <w:r>
        <w:rPr>
          <w:rFonts w:eastAsia="Times New Roman"/>
          <w:noProof/>
          <w:lang w:val="en-IE"/>
        </w:rPr>
        <w:t xml:space="preserve"> (SAF). Both measures target emissions of soot particulates and contrail cirrus clouds. Reducing aromatics content would require fuel producers to adapt their production processes and a system to monitor the aromatics content of fuels. Given a set of research issues that would need to be addressed according to the experts and the preference for an international standard, this measure could potentially be introduced in the mid- (i.e. 5 to 8 years) to long-term (i.e. 8+ years). The mandatory use of SAFs could be implemented through an EU blending mandate specifying that a certain gradually increasing percentage of the total jet fuel sold over a set time period would have to be SAF. If well designed, this should lead to simultaneous reductions in nvPM and sulphur emissions (though not NOx emissions)</w:t>
      </w:r>
      <w:r>
        <w:rPr>
          <w:noProof/>
        </w:rPr>
        <w:t xml:space="preserve"> </w:t>
      </w:r>
      <w:r>
        <w:rPr>
          <w:rFonts w:eastAsia="Times New Roman"/>
          <w:noProof/>
          <w:lang w:val="en-IE"/>
        </w:rPr>
        <w:t>and CO</w:t>
      </w:r>
      <w:r>
        <w:rPr>
          <w:rFonts w:eastAsia="Times New Roman"/>
          <w:noProof/>
          <w:vertAlign w:val="subscript"/>
          <w:lang w:val="en-IE"/>
        </w:rPr>
        <w:t>2</w:t>
      </w:r>
      <w:r>
        <w:rPr>
          <w:rFonts w:eastAsia="Times New Roman"/>
          <w:noProof/>
          <w:lang w:val="en-IE"/>
        </w:rPr>
        <w:t xml:space="preserve"> emissions. The experts consider that this measure could potentially be implemented in the short- (i.e. 2 to 5 years) to mid-term (i.e. 5 to 8 years). </w:t>
      </w:r>
    </w:p>
    <w:p>
      <w:pPr>
        <w:jc w:val="both"/>
        <w:textAlignment w:val="center"/>
        <w:rPr>
          <w:rFonts w:eastAsia="Times New Roman"/>
          <w:noProof/>
          <w:lang w:val="en-IE"/>
        </w:rPr>
      </w:pPr>
    </w:p>
    <w:p>
      <w:pPr>
        <w:jc w:val="both"/>
        <w:textAlignment w:val="center"/>
        <w:rPr>
          <w:rFonts w:eastAsia="Times New Roman"/>
          <w:noProof/>
          <w:lang w:val="en-IE"/>
        </w:rPr>
      </w:pPr>
      <w:r>
        <w:rPr>
          <w:rFonts w:eastAsia="Times New Roman"/>
          <w:noProof/>
          <w:lang w:val="en-IE"/>
        </w:rPr>
        <w:t xml:space="preserve">The measures in the </w:t>
      </w:r>
      <w:r>
        <w:rPr>
          <w:rFonts w:eastAsia="Times New Roman"/>
          <w:noProof/>
          <w:u w:val="single"/>
          <w:lang w:val="en-IE"/>
        </w:rPr>
        <w:t>ATM</w:t>
      </w:r>
      <w:r>
        <w:rPr>
          <w:rFonts w:eastAsia="Times New Roman"/>
          <w:noProof/>
          <w:lang w:val="en-IE"/>
        </w:rPr>
        <w:t xml:space="preserve"> category are </w:t>
      </w:r>
      <w:r>
        <w:rPr>
          <w:rFonts w:eastAsia="Times New Roman"/>
          <w:b/>
          <w:bCs/>
          <w:noProof/>
          <w:lang w:val="en-IE"/>
        </w:rPr>
        <w:t xml:space="preserve">avoidance of ice-supersaturated areas </w:t>
      </w:r>
      <w:r>
        <w:rPr>
          <w:rFonts w:eastAsia="Times New Roman"/>
          <w:noProof/>
          <w:lang w:val="en-IE"/>
        </w:rPr>
        <w:t>and a</w:t>
      </w:r>
      <w:r>
        <w:rPr>
          <w:rFonts w:eastAsia="Times New Roman"/>
          <w:b/>
          <w:bCs/>
          <w:noProof/>
          <w:lang w:val="en-IE"/>
        </w:rPr>
        <w:t xml:space="preserve"> “climate charge”. </w:t>
      </w:r>
      <w:r>
        <w:rPr>
          <w:rFonts w:eastAsia="Times New Roman"/>
          <w:noProof/>
          <w:lang w:val="en-IE"/>
        </w:rPr>
        <w:t>While optimizing the flight trajectory to avoid ice-supersaturated areas and other regions considered climate-sensitive, would reduce the formation of contrail-cirrus clouds, a climate charge would address all non-CO</w:t>
      </w:r>
      <w:r>
        <w:rPr>
          <w:rFonts w:eastAsia="Times New Roman"/>
          <w:noProof/>
          <w:vertAlign w:val="subscript"/>
          <w:lang w:val="en-IE"/>
        </w:rPr>
        <w:t>2</w:t>
      </w:r>
      <w:r>
        <w:rPr>
          <w:rFonts w:eastAsia="Times New Roman"/>
          <w:noProof/>
          <w:lang w:val="en-IE"/>
        </w:rPr>
        <w:t xml:space="preserve"> effects (NOx, water vapour, soot, sulphates, contrails).</w:t>
      </w:r>
      <w:r>
        <w:rPr>
          <w:rStyle w:val="FootnoteReference"/>
          <w:rFonts w:eastAsia="Times New Roman"/>
          <w:noProof/>
          <w:lang w:val="en-IE"/>
        </w:rPr>
        <w:footnoteReference w:id="3"/>
      </w:r>
      <w:r>
        <w:rPr>
          <w:rFonts w:eastAsia="Times New Roman"/>
          <w:noProof/>
          <w:lang w:val="en-IE"/>
        </w:rPr>
        <w:t xml:space="preserve"> As a series of research issues that would first need to be addressed, the measure to avoid ice-supersaturated areas could potentially be introduced in the midterm, i.e. 5 to 8 years, according to the experts. Regarding a climate charge, the experts deem that given the broader nature of the measure and the associated "significant" research needed, it could potentially be implemented in the long-term, i.e. 8+ years.</w:t>
      </w:r>
    </w:p>
    <w:p>
      <w:pPr>
        <w:jc w:val="both"/>
        <w:textAlignment w:val="center"/>
        <w:rPr>
          <w:rFonts w:eastAsia="Times New Roman"/>
          <w:noProof/>
          <w:lang w:val="en-IE"/>
        </w:rPr>
      </w:pPr>
    </w:p>
    <w:p>
      <w:pPr>
        <w:jc w:val="both"/>
        <w:textAlignment w:val="center"/>
        <w:rPr>
          <w:rFonts w:eastAsia="Times New Roman"/>
          <w:noProof/>
          <w:lang w:val="en-IE"/>
        </w:rPr>
      </w:pPr>
    </w:p>
    <w:p>
      <w:pPr>
        <w:ind w:left="720" w:hanging="720"/>
        <w:jc w:val="both"/>
        <w:textAlignment w:val="center"/>
        <w:rPr>
          <w:rFonts w:eastAsia="Times New Roman"/>
          <w:b/>
          <w:noProof/>
          <w:lang w:val="en-GB"/>
        </w:rPr>
      </w:pPr>
      <w:r>
        <w:rPr>
          <w:rFonts w:eastAsia="Times New Roman"/>
          <w:b/>
          <w:noProof/>
          <w:lang w:val="en-GB"/>
        </w:rPr>
        <w:t>3. Towards policies targeting aviation’s full climate impacts</w:t>
      </w:r>
    </w:p>
    <w:p>
      <w:pPr>
        <w:ind w:left="720" w:hanging="720"/>
        <w:jc w:val="both"/>
        <w:textAlignment w:val="center"/>
        <w:rPr>
          <w:rFonts w:eastAsia="Times New Roman"/>
          <w:noProof/>
          <w:lang w:val="en-GB"/>
        </w:rPr>
      </w:pPr>
    </w:p>
    <w:p>
      <w:pPr>
        <w:jc w:val="both"/>
        <w:textAlignment w:val="center"/>
        <w:rPr>
          <w:rFonts w:eastAsia="Times New Roman"/>
          <w:noProof/>
          <w:lang w:val="en-IE"/>
        </w:rPr>
      </w:pPr>
      <w:r>
        <w:rPr>
          <w:rFonts w:eastAsia="Times New Roman"/>
          <w:noProof/>
          <w:lang w:val="en-IE"/>
        </w:rPr>
        <w:t>The significance of non-CO</w:t>
      </w:r>
      <w:r>
        <w:rPr>
          <w:rFonts w:eastAsia="Times New Roman"/>
          <w:noProof/>
          <w:vertAlign w:val="subscript"/>
          <w:lang w:val="en-IE"/>
        </w:rPr>
        <w:t>2</w:t>
      </w:r>
      <w:r>
        <w:rPr>
          <w:rFonts w:eastAsia="Times New Roman"/>
          <w:noProof/>
          <w:lang w:val="en-IE"/>
        </w:rPr>
        <w:t xml:space="preserve"> climate impacts from aviation activities, previously estimated to be at least as important in total as those of CO</w:t>
      </w:r>
      <w:r>
        <w:rPr>
          <w:rFonts w:eastAsia="Times New Roman"/>
          <w:noProof/>
          <w:vertAlign w:val="subscript"/>
          <w:lang w:val="en-IE"/>
        </w:rPr>
        <w:t>2</w:t>
      </w:r>
      <w:r>
        <w:rPr>
          <w:rFonts w:eastAsia="Times New Roman"/>
          <w:noProof/>
          <w:lang w:val="en-IE"/>
        </w:rPr>
        <w:t xml:space="preserve"> alone is fully confirmed by the report. This results in a need to consider how to best to address them further to contribute to the EU's climate objectives and the Paris Agreement, complementary to climate action already being taken. This would allow moving towards policies targeting aviation’s full climate impacts. This would also result in co-benefits regarding local air quality.</w:t>
      </w:r>
    </w:p>
    <w:p>
      <w:pPr>
        <w:jc w:val="both"/>
        <w:textAlignment w:val="center"/>
        <w:rPr>
          <w:rFonts w:eastAsia="Times New Roman"/>
          <w:noProof/>
          <w:lang w:val="en-IE"/>
        </w:rPr>
      </w:pPr>
    </w:p>
    <w:p>
      <w:pPr>
        <w:jc w:val="both"/>
        <w:textAlignment w:val="center"/>
        <w:rPr>
          <w:rFonts w:eastAsia="Times New Roman"/>
          <w:noProof/>
          <w:lang w:val="en-GB"/>
        </w:rPr>
      </w:pPr>
      <w:r>
        <w:rPr>
          <w:rFonts w:eastAsia="Times New Roman"/>
          <w:noProof/>
          <w:lang w:val="en-IE"/>
        </w:rPr>
        <w:t>However, the complexity of non-CO</w:t>
      </w:r>
      <w:r>
        <w:rPr>
          <w:rFonts w:eastAsia="Times New Roman"/>
          <w:noProof/>
          <w:vertAlign w:val="subscript"/>
          <w:lang w:val="en-IE"/>
        </w:rPr>
        <w:t>2</w:t>
      </w:r>
      <w:r>
        <w:rPr>
          <w:rFonts w:eastAsia="Times New Roman"/>
          <w:noProof/>
          <w:lang w:val="en-IE"/>
        </w:rPr>
        <w:t xml:space="preserve"> climate impacts relative to CO</w:t>
      </w:r>
      <w:r>
        <w:rPr>
          <w:rFonts w:eastAsia="Times New Roman"/>
          <w:noProof/>
          <w:vertAlign w:val="subscript"/>
          <w:lang w:val="en-IE"/>
        </w:rPr>
        <w:t>2</w:t>
      </w:r>
      <w:r>
        <w:rPr>
          <w:rFonts w:eastAsia="Times New Roman"/>
          <w:noProof/>
          <w:lang w:val="en-IE"/>
        </w:rPr>
        <w:t xml:space="preserve"> ones and the trade-offs between various impacts, poses a challenge to the policy measures analysed in the report and summarised above. This report is an important step towards better knowledge, both on the science and on policy measures</w:t>
      </w:r>
      <w:r>
        <w:rPr>
          <w:rFonts w:eastAsia="Times New Roman"/>
          <w:noProof/>
          <w:lang w:val="en-GB"/>
        </w:rPr>
        <w:t xml:space="preserve"> and the Commission will further examine the measures suggested by the experts, each with its associated advantages and drawbacks. The specific issues identified in the report need to be addressed in order to take these potential measures forward at EU level. Without necessarily being exhaustive, three main dimensions for further work could be envisaged:</w:t>
      </w:r>
    </w:p>
    <w:p>
      <w:pPr>
        <w:jc w:val="both"/>
        <w:textAlignment w:val="center"/>
        <w:rPr>
          <w:rFonts w:eastAsia="Times New Roman"/>
          <w:noProof/>
          <w:lang w:val="en-GB"/>
        </w:rPr>
      </w:pPr>
    </w:p>
    <w:p>
      <w:pPr>
        <w:jc w:val="both"/>
        <w:textAlignment w:val="center"/>
        <w:rPr>
          <w:rFonts w:eastAsia="Times New Roman"/>
          <w:noProof/>
          <w:lang w:val="en-GB"/>
        </w:rPr>
      </w:pPr>
      <w:r>
        <w:rPr>
          <w:rFonts w:eastAsia="Times New Roman"/>
          <w:noProof/>
          <w:lang w:val="en-GB"/>
        </w:rPr>
        <w:t>First, the scientific consensus indicates that – from measurements at ground and altitude – the use of sustainable aviation fuels – be it advanced biofuels or power-to-liquid fuels – reduce soot particulate emissions. The ReFuelEU Aviation initiative, already announced under the European Green Deal, aims to provide climate benefits through both lower life-cycle CO</w:t>
      </w:r>
      <w:r>
        <w:rPr>
          <w:rFonts w:eastAsia="Times New Roman"/>
          <w:noProof/>
          <w:vertAlign w:val="subscript"/>
          <w:lang w:val="en-GB"/>
        </w:rPr>
        <w:t>2</w:t>
      </w:r>
      <w:r>
        <w:rPr>
          <w:rFonts w:eastAsia="Times New Roman"/>
          <w:noProof/>
          <w:lang w:val="en-GB"/>
        </w:rPr>
        <w:t xml:space="preserve"> emissions and lower nvPM emissions. In addition, Commission services could further explore the possibility to make the current global standard for maximum aromatics content in aviation fuels more stringent.</w:t>
      </w:r>
    </w:p>
    <w:p>
      <w:pPr>
        <w:jc w:val="both"/>
        <w:textAlignment w:val="center"/>
        <w:rPr>
          <w:rFonts w:eastAsia="Times New Roman"/>
          <w:noProof/>
          <w:lang w:val="en-GB"/>
        </w:rPr>
      </w:pPr>
    </w:p>
    <w:p>
      <w:pPr>
        <w:jc w:val="both"/>
        <w:textAlignment w:val="center"/>
        <w:rPr>
          <w:rFonts w:eastAsia="Times New Roman"/>
          <w:noProof/>
          <w:lang w:val="en-GB"/>
        </w:rPr>
      </w:pPr>
      <w:r>
        <w:rPr>
          <w:rFonts w:eastAsia="Times New Roman"/>
          <w:noProof/>
          <w:lang w:val="en-GB"/>
        </w:rPr>
        <w:t>Secondly, there is a clear need for additional research, to increase knowledge and certainty of the various non-CO</w:t>
      </w:r>
      <w:r>
        <w:rPr>
          <w:rFonts w:eastAsia="Times New Roman"/>
          <w:noProof/>
          <w:vertAlign w:val="subscript"/>
          <w:lang w:val="en-GB"/>
        </w:rPr>
        <w:t>2</w:t>
      </w:r>
      <w:r>
        <w:rPr>
          <w:rFonts w:eastAsia="Times New Roman"/>
          <w:noProof/>
          <w:lang w:val="en-GB"/>
        </w:rPr>
        <w:t xml:space="preserve"> impacts and trade-offs between them. This requires measuring emissions at the different stages of flights and related to different types of fuels. Related and </w:t>
      </w:r>
      <w:r>
        <w:rPr>
          <w:noProof/>
        </w:rPr>
        <w:t>of crucial importance</w:t>
      </w:r>
      <w:r>
        <w:rPr>
          <w:rFonts w:eastAsia="Times New Roman"/>
          <w:noProof/>
          <w:lang w:val="en-GB"/>
        </w:rPr>
        <w:t xml:space="preserve"> are </w:t>
      </w:r>
      <w:r>
        <w:rPr>
          <w:noProof/>
        </w:rPr>
        <w:t>accurate factors that compare the climate change impact of non-CO</w:t>
      </w:r>
      <w:r>
        <w:rPr>
          <w:noProof/>
          <w:vertAlign w:val="subscript"/>
        </w:rPr>
        <w:t>2</w:t>
      </w:r>
      <w:r>
        <w:rPr>
          <w:noProof/>
        </w:rPr>
        <w:t xml:space="preserve"> emissions to CO</w:t>
      </w:r>
      <w:r>
        <w:rPr>
          <w:noProof/>
          <w:vertAlign w:val="subscript"/>
        </w:rPr>
        <w:t>2</w:t>
      </w:r>
      <w:r>
        <w:rPr>
          <w:noProof/>
        </w:rPr>
        <w:t xml:space="preserve"> emissions, due to the different timescales on which these pollutants operate. Further research on metrics and time horizons could be used to assess the impact of potential policy measures. </w:t>
      </w:r>
      <w:r>
        <w:rPr>
          <w:rFonts w:eastAsia="Times New Roman"/>
          <w:noProof/>
          <w:lang w:val="en-GB"/>
        </w:rPr>
        <w:t xml:space="preserve">Horizon Europe provides a suitable platform at EU level for supporting such research. </w:t>
      </w:r>
    </w:p>
    <w:p>
      <w:pPr>
        <w:jc w:val="both"/>
        <w:textAlignment w:val="center"/>
        <w:rPr>
          <w:rFonts w:eastAsia="Times New Roman"/>
          <w:noProof/>
          <w:lang w:val="en-GB"/>
        </w:rPr>
      </w:pPr>
    </w:p>
    <w:p>
      <w:pPr>
        <w:jc w:val="both"/>
        <w:textAlignment w:val="center"/>
        <w:rPr>
          <w:rFonts w:eastAsia="Times New Roman"/>
          <w:noProof/>
          <w:lang w:val="en-GB"/>
        </w:rPr>
      </w:pPr>
      <w:r>
        <w:rPr>
          <w:rFonts w:eastAsia="Times New Roman"/>
          <w:noProof/>
          <w:lang w:val="en-GB"/>
        </w:rPr>
        <w:t>Thirdly, increasing the efficiency of operational measures, in particular Air Traffic Management is key and needs European coordination. For instance, a potential first step towards full optimisation of flight profiles for lower climate impacts could focus on ways to avoid ice-supersaturated areas and the formation of persistent contrails over the Atlantic airspace, in order to complement the work carried out since 2013 in this area.</w:t>
      </w:r>
      <w:r>
        <w:rPr>
          <w:rStyle w:val="FootnoteReference"/>
          <w:rFonts w:eastAsia="Times New Roman"/>
          <w:noProof/>
          <w:lang w:val="en-GB"/>
        </w:rPr>
        <w:footnoteReference w:id="4"/>
      </w:r>
      <w:r>
        <w:rPr>
          <w:rFonts w:eastAsia="Times New Roman"/>
          <w:noProof/>
          <w:lang w:val="en-GB"/>
        </w:rPr>
        <w:t xml:space="preserve"> An enhanced capability to predict accurately the formation of persistent contrails would be needed to support the implementation of this policy option.   </w:t>
      </w:r>
    </w:p>
    <w:p>
      <w:pPr>
        <w:jc w:val="both"/>
        <w:textAlignment w:val="center"/>
        <w:rPr>
          <w:rFonts w:eastAsia="Times New Roman"/>
          <w:noProof/>
          <w:lang w:val="en-GB"/>
        </w:rPr>
      </w:pPr>
    </w:p>
    <w:p>
      <w:pPr>
        <w:jc w:val="both"/>
        <w:textAlignment w:val="center"/>
        <w:rPr>
          <w:rFonts w:eastAsia="Times New Roman"/>
          <w:noProof/>
          <w:lang w:val="en-IE"/>
        </w:rPr>
      </w:pPr>
      <w:r>
        <w:rPr>
          <w:rFonts w:eastAsia="Times New Roman"/>
          <w:noProof/>
          <w:lang w:val="en-IE"/>
        </w:rPr>
        <w:t>In conclusion, the Commission takes note of the findings of the report consolidating the state of the art of the climate science on the subject, as well as identifying potential measures to address these. The Commission commends the enclosed EASA report as an updated analysis of the non-CO</w:t>
      </w:r>
      <w:r>
        <w:rPr>
          <w:rFonts w:eastAsia="Times New Roman"/>
          <w:noProof/>
          <w:vertAlign w:val="subscript"/>
          <w:lang w:val="en-IE"/>
        </w:rPr>
        <w:t>2</w:t>
      </w:r>
      <w:r>
        <w:rPr>
          <w:rFonts w:eastAsia="Times New Roman"/>
          <w:noProof/>
          <w:lang w:val="en-IE"/>
        </w:rPr>
        <w:t xml:space="preserve"> effects of aviation under Article 30(4) of Directive 2003/87/EC, and will further examine the measures suggested therein.</w:t>
      </w:r>
    </w:p>
    <w:p>
      <w:pPr>
        <w:jc w:val="both"/>
        <w:textAlignment w:val="center"/>
        <w:rPr>
          <w:rFonts w:eastAsia="Times New Roman"/>
          <w:noProof/>
          <w:lang w:val="en-IE"/>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89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hyperlink r:id="rId1" w:history="1">
        <w:r>
          <w:rPr>
            <w:rStyle w:val="Hyperlink"/>
          </w:rPr>
          <w:t>https://ec.europa.eu/clima/sites/clima/files/transport/aviation/docs/sec_2006_1684_en.pdf</w:t>
        </w:r>
      </w:hyperlink>
    </w:p>
  </w:footnote>
  <w:footnote w:id="2">
    <w:p>
      <w:pPr>
        <w:pStyle w:val="FootnoteText"/>
      </w:pPr>
      <w:r>
        <w:rPr>
          <w:rStyle w:val="FootnoteReference"/>
        </w:rPr>
        <w:footnoteRef/>
      </w:r>
      <w:r>
        <w:t xml:space="preserve"> </w:t>
      </w:r>
      <w:hyperlink r:id="rId2" w:history="1">
        <w:r>
          <w:rPr>
            <w:rStyle w:val="Hyperlink"/>
          </w:rPr>
          <w:t>https://ec.europa.eu/transport/sites/transport/files/modes/air/studies/doc/environment/oct_2008_nox_final_report.pdf</w:t>
        </w:r>
      </w:hyperlink>
    </w:p>
  </w:footnote>
  <w:footnote w:id="3">
    <w:p>
      <w:pPr>
        <w:pStyle w:val="FootnoteText"/>
        <w:rPr>
          <w:lang w:val="en-IE"/>
        </w:rPr>
      </w:pPr>
      <w:r>
        <w:rPr>
          <w:rStyle w:val="FootnoteReference"/>
        </w:rPr>
        <w:footnoteRef/>
      </w:r>
      <w:r>
        <w:t xml:space="preserve"> The concept of a climate charge is to levy a charge on the full climate impact of each individual flight (separate from the EU ETS). This makes it the measure with the broadest coverage.</w:t>
      </w:r>
    </w:p>
  </w:footnote>
  <w:footnote w:id="4">
    <w:p>
      <w:pPr>
        <w:pStyle w:val="FootnoteText"/>
        <w:rPr>
          <w:lang w:val="en-IE"/>
        </w:rPr>
      </w:pPr>
      <w:r>
        <w:rPr>
          <w:rStyle w:val="FootnoteReference"/>
        </w:rPr>
        <w:footnoteRef/>
      </w:r>
      <w:r>
        <w:t xml:space="preserve"> </w:t>
      </w:r>
      <w:r>
        <w:rPr>
          <w:lang w:val="en-IE"/>
        </w:rPr>
        <w:t xml:space="preserve">See, for instance, the project ATM4E at: </w:t>
      </w:r>
      <w:hyperlink r:id="rId3" w:history="1">
        <w:r>
          <w:rPr>
            <w:rStyle w:val="Hyperlink"/>
            <w:lang w:val="en-IE"/>
          </w:rPr>
          <w:t>https://www.atm4e.eu</w:t>
        </w:r>
      </w:hyperlink>
      <w:r>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3C1"/>
    <w:multiLevelType w:val="hybridMultilevel"/>
    <w:tmpl w:val="49E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D2009"/>
    <w:multiLevelType w:val="hybridMultilevel"/>
    <w:tmpl w:val="7898F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F25838"/>
    <w:multiLevelType w:val="multilevel"/>
    <w:tmpl w:val="645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3B50CE"/>
    <w:multiLevelType w:val="multilevel"/>
    <w:tmpl w:val="788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revisionView w:markup="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240DE7-E435-4431-AFA9-8A20CEC541F3"/>
    <w:docVar w:name="LW_COVERPAGE_TYPE" w:val="1"/>
    <w:docVar w:name="LW_CROSSREFERENCE" w:val="{SWD(2020) 277 final}"/>
    <w:docVar w:name="LW_DocType" w:val="NORMAL"/>
    <w:docVar w:name="LW_EMISSION" w:val="23.11.2020"/>
    <w:docVar w:name="LW_EMISSION_ISODATE" w:val="2020-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pdated analysis of the non-CO2 climate impacts of aviation and potential policy measures pursuant to EU Emissions Trading System Directive Article 30(4)&lt;/FMT&gt;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tm4e.eu" TargetMode="External"/><Relationship Id="rId2" Type="http://schemas.openxmlformats.org/officeDocument/2006/relationships/hyperlink" Target="https://ec.europa.eu/transport/sites/transport/files/modes/air/studies/doc/environment/oct_2008_nox_final_report.pdf" TargetMode="External"/><Relationship Id="rId1" Type="http://schemas.openxmlformats.org/officeDocument/2006/relationships/hyperlink" Target="https://ec.europa.eu/clima/sites/clima/files/transport/aviation/docs/sec_2006_168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647E-76EC-4397-8D4D-19B1248E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1645</Words>
  <Characters>9265</Characters>
  <Application>Microsoft Office Word</Application>
  <DocSecurity>0</DocSecurity>
  <Lines>159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2020-08-06T16:12:00Z</cp:lastPrinted>
  <dcterms:created xsi:type="dcterms:W3CDTF">2020-10-12T09:19:00Z</dcterms:created>
  <dcterms:modified xsi:type="dcterms:W3CDTF">2020-11-12T08:31:00Z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5cb1fdd9-b448-439f-be96-da891b8dc8dd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7.0.1, Build 20190916</vt:lpwstr>
  </property>
  <property fmtid="{D5CDD505-2E9C-101B-9397-08002B2CF9AE}" pid="9" name="Created using">
    <vt:lpwstr>LW 7.0, Build 20190717</vt:lpwstr>
  </property>
</Properties>
</file>