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E515B5A-7710-4F7D-B89C-9BCD83EFE1C0" style="width:450.75pt;height:363pt">
            <v:imagedata r:id="rId9" o:title=""/>
          </v:shape>
        </w:pict>
      </w:r>
    </w:p>
    <w:bookmarkEnd w:id="0"/>
    <w:p>
      <w:pPr>
        <w:rPr>
          <w:rFonts w:ascii="EC Square Sans Pro" w:hAnsi="EC Square Sans Pro"/>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jc w:val="both"/>
        <w:rPr>
          <w:rFonts w:ascii="Times New Roman" w:hAnsi="Times New Roman"/>
          <w:noProof/>
          <w:szCs w:val="24"/>
        </w:rPr>
      </w:pPr>
      <w:bookmarkStart w:id="1" w:name="_Toc46332892"/>
      <w:bookmarkStart w:id="2" w:name="_GoBack"/>
      <w:bookmarkEnd w:id="2"/>
      <w:r>
        <w:rPr>
          <w:rFonts w:ascii="Times New Roman" w:hAnsi="Times New Roman"/>
          <w:noProof/>
          <w:szCs w:val="24"/>
        </w:rPr>
        <w:lastRenderedPageBreak/>
        <w:t>Съдържание</w:t>
      </w:r>
    </w:p>
    <w:p>
      <w:pPr>
        <w:pStyle w:val="TOC1"/>
        <w:rPr>
          <w:rFonts w:asciiTheme="minorHAnsi" w:eastAsiaTheme="minorEastAsia" w:hAnsiTheme="minorHAnsi" w:cstheme="minorBidi"/>
          <w:caps w:val="0"/>
          <w:noProof/>
          <w:sz w:val="22"/>
          <w:szCs w:val="22"/>
          <w:lang w:val="en-US" w:eastAsia="en-US"/>
        </w:rPr>
      </w:pPr>
      <w:r>
        <w:rPr>
          <w:noProof/>
          <w:szCs w:val="24"/>
        </w:rPr>
        <w:fldChar w:fldCharType="begin"/>
      </w:r>
      <w:r>
        <w:rPr>
          <w:noProof/>
          <w:szCs w:val="24"/>
        </w:rPr>
        <w:instrText xml:space="preserve"> TOC \o "1-4" \h \z \u </w:instrText>
      </w:r>
      <w:r>
        <w:rPr>
          <w:noProof/>
          <w:szCs w:val="24"/>
        </w:rPr>
        <w:fldChar w:fldCharType="separate"/>
      </w:r>
      <w:hyperlink w:anchor="_Toc56004434" w:history="1">
        <w:r>
          <w:rPr>
            <w:rStyle w:val="Hyperlink"/>
            <w:noProof/>
          </w:rPr>
          <w:t>1.</w:t>
        </w:r>
        <w:r>
          <w:rPr>
            <w:rFonts w:asciiTheme="minorHAnsi" w:eastAsiaTheme="minorEastAsia" w:hAnsiTheme="minorHAnsi" w:cstheme="minorBidi"/>
            <w:caps w:val="0"/>
            <w:noProof/>
            <w:sz w:val="22"/>
            <w:szCs w:val="22"/>
            <w:lang w:val="en-US" w:eastAsia="en-US"/>
          </w:rPr>
          <w:tab/>
        </w:r>
        <w:r>
          <w:rPr>
            <w:rStyle w:val="Hyperlink"/>
            <w:noProof/>
          </w:rPr>
          <w:t>Резюме</w:t>
        </w:r>
        <w:r>
          <w:rPr>
            <w:noProof/>
            <w:webHidden/>
          </w:rPr>
          <w:tab/>
        </w:r>
        <w:r>
          <w:rPr>
            <w:noProof/>
            <w:webHidden/>
          </w:rPr>
          <w:fldChar w:fldCharType="begin"/>
        </w:r>
        <w:r>
          <w:rPr>
            <w:noProof/>
            <w:webHidden/>
          </w:rPr>
          <w:instrText xml:space="preserve"> PAGEREF _Toc56004434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6004435" w:history="1">
        <w:r>
          <w:rPr>
            <w:rStyle w:val="Hyperlink"/>
            <w:noProof/>
          </w:rPr>
          <w:t>2.</w:t>
        </w:r>
        <w:r>
          <w:rPr>
            <w:rFonts w:asciiTheme="minorHAnsi" w:eastAsiaTheme="minorEastAsia" w:hAnsiTheme="minorHAnsi" w:cstheme="minorBidi"/>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_Toc56004435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6004436" w:history="1">
        <w:r>
          <w:rPr>
            <w:rStyle w:val="Hyperlink"/>
            <w:noProof/>
          </w:rPr>
          <w:t>3.</w:t>
        </w:r>
        <w:r>
          <w:rPr>
            <w:rFonts w:asciiTheme="minorHAnsi" w:eastAsiaTheme="minorEastAsia" w:hAnsiTheme="minorHAnsi" w:cstheme="minorBidi"/>
            <w:caps w:val="0"/>
            <w:noProof/>
            <w:sz w:val="22"/>
            <w:szCs w:val="22"/>
            <w:lang w:val="en-US" w:eastAsia="en-US"/>
          </w:rPr>
          <w:tab/>
        </w:r>
        <w:r>
          <w:rPr>
            <w:rStyle w:val="Hyperlink"/>
            <w:noProof/>
          </w:rPr>
          <w:t>Правна рамка</w:t>
        </w:r>
        <w:r>
          <w:rPr>
            <w:noProof/>
            <w:webHidden/>
          </w:rPr>
          <w:tab/>
        </w:r>
        <w:r>
          <w:rPr>
            <w:noProof/>
            <w:webHidden/>
          </w:rPr>
          <w:fldChar w:fldCharType="begin"/>
        </w:r>
        <w:r>
          <w:rPr>
            <w:noProof/>
            <w:webHidden/>
          </w:rPr>
          <w:instrText xml:space="preserve"> PAGEREF _Toc56004436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6004437" w:history="1">
        <w:r>
          <w:rPr>
            <w:rStyle w:val="Hyperlink"/>
            <w:noProof/>
          </w:rPr>
          <w:t>4.</w:t>
        </w:r>
        <w:r>
          <w:rPr>
            <w:rFonts w:asciiTheme="minorHAnsi" w:eastAsiaTheme="minorEastAsia" w:hAnsiTheme="minorHAnsi" w:cstheme="minorBidi"/>
            <w:caps w:val="0"/>
            <w:noProof/>
            <w:sz w:val="22"/>
            <w:szCs w:val="22"/>
            <w:lang w:val="en-US" w:eastAsia="en-US"/>
          </w:rPr>
          <w:tab/>
        </w:r>
        <w:r>
          <w:rPr>
            <w:rStyle w:val="Hyperlink"/>
            <w:noProof/>
          </w:rPr>
          <w:t>Преглед на годишните доклади на държавите членки</w:t>
        </w:r>
        <w:r>
          <w:rPr>
            <w:noProof/>
            <w:webHidden/>
          </w:rPr>
          <w:tab/>
        </w:r>
        <w:r>
          <w:rPr>
            <w:noProof/>
            <w:webHidden/>
          </w:rPr>
          <w:fldChar w:fldCharType="begin"/>
        </w:r>
        <w:r>
          <w:rPr>
            <w:noProof/>
            <w:webHidden/>
          </w:rPr>
          <w:instrText xml:space="preserve"> PAGEREF _Toc56004437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38" w:history="1">
        <w:r>
          <w:rPr>
            <w:rStyle w:val="Hyperlink"/>
          </w:rPr>
          <w:t>4.1.</w:t>
        </w:r>
        <w:r>
          <w:rPr>
            <w:rFonts w:asciiTheme="minorHAnsi" w:eastAsiaTheme="minorEastAsia" w:hAnsiTheme="minorHAnsi" w:cstheme="minorBidi"/>
            <w:sz w:val="22"/>
            <w:szCs w:val="22"/>
            <w:lang w:val="en-US" w:eastAsia="en-US"/>
          </w:rPr>
          <w:tab/>
        </w:r>
        <w:r>
          <w:rPr>
            <w:rStyle w:val="Hyperlink"/>
          </w:rPr>
          <w:t>Получаване и преглед на годишните доклади на държавите членки</w:t>
        </w:r>
        <w:r>
          <w:rPr>
            <w:webHidden/>
          </w:rPr>
          <w:tab/>
        </w:r>
        <w:r>
          <w:rPr>
            <w:webHidden/>
          </w:rPr>
          <w:fldChar w:fldCharType="begin"/>
        </w:r>
        <w:r>
          <w:rPr>
            <w:webHidden/>
          </w:rPr>
          <w:instrText xml:space="preserve"> PAGEREF _Toc56004438 \h </w:instrText>
        </w:r>
        <w:r>
          <w:rPr>
            <w:webHidden/>
          </w:rPr>
        </w:r>
        <w:r>
          <w:rPr>
            <w:webHidden/>
          </w:rPr>
          <w:fldChar w:fldCharType="separate"/>
        </w:r>
        <w:r>
          <w:rPr>
            <w:webHidden/>
          </w:rPr>
          <w:t>4</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39" w:history="1">
        <w:r>
          <w:rPr>
            <w:rStyle w:val="Hyperlink"/>
          </w:rPr>
          <w:t>4.2.</w:t>
        </w:r>
        <w:r>
          <w:rPr>
            <w:rFonts w:asciiTheme="minorHAnsi" w:eastAsiaTheme="minorEastAsia" w:hAnsiTheme="minorHAnsi" w:cstheme="minorBidi"/>
            <w:sz w:val="22"/>
            <w:szCs w:val="22"/>
            <w:lang w:val="en-US" w:eastAsia="en-US"/>
          </w:rPr>
          <w:tab/>
        </w:r>
        <w:r>
          <w:rPr>
            <w:rStyle w:val="Hyperlink"/>
          </w:rPr>
          <w:t>Организация и извършване на официалния контрол</w:t>
        </w:r>
        <w:r>
          <w:rPr>
            <w:webHidden/>
          </w:rPr>
          <w:tab/>
        </w:r>
        <w:r>
          <w:rPr>
            <w:webHidden/>
          </w:rPr>
          <w:fldChar w:fldCharType="begin"/>
        </w:r>
        <w:r>
          <w:rPr>
            <w:webHidden/>
          </w:rPr>
          <w:instrText xml:space="preserve"> PAGEREF _Toc56004439 \h </w:instrText>
        </w:r>
        <w:r>
          <w:rPr>
            <w:webHidden/>
          </w:rPr>
        </w:r>
        <w:r>
          <w:rPr>
            <w:webHidden/>
          </w:rPr>
          <w:fldChar w:fldCharType="separate"/>
        </w:r>
        <w:r>
          <w:rPr>
            <w:webHidden/>
          </w:rPr>
          <w:t>6</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0" w:history="1">
        <w:r>
          <w:rPr>
            <w:rStyle w:val="Hyperlink"/>
            <w:noProof/>
          </w:rPr>
          <w:t>4.2.1.</w:t>
        </w:r>
        <w:r>
          <w:rPr>
            <w:rFonts w:asciiTheme="minorHAnsi" w:eastAsiaTheme="minorEastAsia" w:hAnsiTheme="minorHAnsi" w:cstheme="minorBidi"/>
            <w:noProof/>
            <w:sz w:val="22"/>
            <w:szCs w:val="22"/>
            <w:lang w:val="en-US" w:eastAsia="en-US"/>
          </w:rPr>
          <w:tab/>
        </w:r>
        <w:r>
          <w:rPr>
            <w:rStyle w:val="Hyperlink"/>
            <w:noProof/>
          </w:rPr>
          <w:t>Оперативни и стратегически цели</w:t>
        </w:r>
        <w:r>
          <w:rPr>
            <w:noProof/>
            <w:webHidden/>
          </w:rPr>
          <w:tab/>
        </w:r>
        <w:r>
          <w:rPr>
            <w:noProof/>
            <w:webHidden/>
          </w:rPr>
          <w:fldChar w:fldCharType="begin"/>
        </w:r>
        <w:r>
          <w:rPr>
            <w:noProof/>
            <w:webHidden/>
          </w:rPr>
          <w:instrText xml:space="preserve"> PAGEREF _Toc56004440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1" w:history="1">
        <w:r>
          <w:rPr>
            <w:rStyle w:val="Hyperlink"/>
            <w:noProof/>
          </w:rPr>
          <w:t>4.2.2.</w:t>
        </w:r>
        <w:r>
          <w:rPr>
            <w:rFonts w:asciiTheme="minorHAnsi" w:eastAsiaTheme="minorEastAsia" w:hAnsiTheme="minorHAnsi" w:cstheme="minorBidi"/>
            <w:noProof/>
            <w:sz w:val="22"/>
            <w:szCs w:val="22"/>
            <w:lang w:val="en-US" w:eastAsia="en-US"/>
          </w:rPr>
          <w:tab/>
        </w:r>
        <w:r>
          <w:rPr>
            <w:rStyle w:val="Hyperlink"/>
            <w:noProof/>
          </w:rPr>
          <w:t>Планиран и текущ официален контрол</w:t>
        </w:r>
        <w:r>
          <w:rPr>
            <w:noProof/>
            <w:webHidden/>
          </w:rPr>
          <w:tab/>
        </w:r>
        <w:r>
          <w:rPr>
            <w:noProof/>
            <w:webHidden/>
          </w:rPr>
          <w:fldChar w:fldCharType="begin"/>
        </w:r>
        <w:r>
          <w:rPr>
            <w:noProof/>
            <w:webHidden/>
          </w:rPr>
          <w:instrText xml:space="preserve"> PAGEREF _Toc56004441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2" w:history="1">
        <w:r>
          <w:rPr>
            <w:rStyle w:val="Hyperlink"/>
            <w:noProof/>
          </w:rPr>
          <w:t>4.2.3.</w:t>
        </w:r>
        <w:r>
          <w:rPr>
            <w:rFonts w:asciiTheme="minorHAnsi" w:eastAsiaTheme="minorEastAsia" w:hAnsiTheme="minorHAnsi" w:cstheme="minorBidi"/>
            <w:noProof/>
            <w:sz w:val="22"/>
            <w:szCs w:val="22"/>
            <w:lang w:val="en-US" w:eastAsia="en-US"/>
          </w:rPr>
          <w:tab/>
        </w:r>
        <w:r>
          <w:rPr>
            <w:rStyle w:val="Hyperlink"/>
            <w:noProof/>
          </w:rPr>
          <w:t>Специфични контролни дейности</w:t>
        </w:r>
        <w:r>
          <w:rPr>
            <w:noProof/>
            <w:webHidden/>
          </w:rPr>
          <w:tab/>
        </w:r>
        <w:r>
          <w:rPr>
            <w:noProof/>
            <w:webHidden/>
          </w:rPr>
          <w:fldChar w:fldCharType="begin"/>
        </w:r>
        <w:r>
          <w:rPr>
            <w:noProof/>
            <w:webHidden/>
          </w:rPr>
          <w:instrText xml:space="preserve"> PAGEREF _Toc56004442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3" w:history="1">
        <w:r>
          <w:rPr>
            <w:rStyle w:val="Hyperlink"/>
            <w:noProof/>
          </w:rPr>
          <w:t>4.2.4.</w:t>
        </w:r>
        <w:r>
          <w:rPr>
            <w:rFonts w:asciiTheme="minorHAnsi" w:eastAsiaTheme="minorEastAsia" w:hAnsiTheme="minorHAnsi" w:cstheme="minorBidi"/>
            <w:noProof/>
            <w:sz w:val="22"/>
            <w:szCs w:val="22"/>
            <w:lang w:val="en-US" w:eastAsia="en-US"/>
          </w:rPr>
          <w:tab/>
        </w:r>
        <w:r>
          <w:rPr>
            <w:rStyle w:val="Hyperlink"/>
            <w:noProof/>
          </w:rPr>
          <w:t>Ресурси</w:t>
        </w:r>
        <w:r>
          <w:rPr>
            <w:noProof/>
            <w:webHidden/>
          </w:rPr>
          <w:tab/>
        </w:r>
        <w:r>
          <w:rPr>
            <w:noProof/>
            <w:webHidden/>
          </w:rPr>
          <w:fldChar w:fldCharType="begin"/>
        </w:r>
        <w:r>
          <w:rPr>
            <w:noProof/>
            <w:webHidden/>
          </w:rPr>
          <w:instrText xml:space="preserve"> PAGEREF _Toc56004443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44" w:history="1">
        <w:r>
          <w:rPr>
            <w:rStyle w:val="Hyperlink"/>
          </w:rPr>
          <w:t>4.3.</w:t>
        </w:r>
        <w:r>
          <w:rPr>
            <w:rFonts w:asciiTheme="minorHAnsi" w:eastAsiaTheme="minorEastAsia" w:hAnsiTheme="minorHAnsi" w:cstheme="minorBidi"/>
            <w:sz w:val="22"/>
            <w:szCs w:val="22"/>
            <w:lang w:val="en-US" w:eastAsia="en-US"/>
          </w:rPr>
          <w:tab/>
        </w:r>
        <w:r>
          <w:rPr>
            <w:rStyle w:val="Hyperlink"/>
          </w:rPr>
          <w:t>Цялостно съответствие със законодателството в областта на фуражите и храните, правилата относно здравеопазването на животните и хуманното отношение към тях и правилата относно биологичното земеделие</w:t>
        </w:r>
        <w:r>
          <w:rPr>
            <w:webHidden/>
          </w:rPr>
          <w:tab/>
        </w:r>
        <w:r>
          <w:rPr>
            <w:webHidden/>
          </w:rPr>
          <w:fldChar w:fldCharType="begin"/>
        </w:r>
        <w:r>
          <w:rPr>
            <w:webHidden/>
          </w:rPr>
          <w:instrText xml:space="preserve"> PAGEREF _Toc56004444 \h </w:instrText>
        </w:r>
        <w:r>
          <w:rPr>
            <w:webHidden/>
          </w:rPr>
        </w:r>
        <w:r>
          <w:rPr>
            <w:webHidden/>
          </w:rPr>
          <w:fldChar w:fldCharType="separate"/>
        </w:r>
        <w:r>
          <w:rPr>
            <w:webHidden/>
          </w:rPr>
          <w:t>8</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5" w:history="1">
        <w:r>
          <w:rPr>
            <w:rStyle w:val="Hyperlink"/>
            <w:noProof/>
          </w:rPr>
          <w:t>4.3.1.</w:t>
        </w:r>
        <w:r>
          <w:rPr>
            <w:rFonts w:asciiTheme="minorHAnsi" w:eastAsiaTheme="minorEastAsia" w:hAnsiTheme="minorHAnsi" w:cstheme="minorBidi"/>
            <w:noProof/>
            <w:sz w:val="22"/>
            <w:szCs w:val="22"/>
            <w:lang w:val="en-US" w:eastAsia="en-US"/>
          </w:rPr>
          <w:tab/>
        </w:r>
        <w:r>
          <w:rPr>
            <w:rStyle w:val="Hyperlink"/>
            <w:noProof/>
          </w:rPr>
          <w:t>Видове несъответствия</w:t>
        </w:r>
        <w:r>
          <w:rPr>
            <w:noProof/>
            <w:webHidden/>
          </w:rPr>
          <w:tab/>
        </w:r>
        <w:r>
          <w:rPr>
            <w:noProof/>
            <w:webHidden/>
          </w:rPr>
          <w:fldChar w:fldCharType="begin"/>
        </w:r>
        <w:r>
          <w:rPr>
            <w:noProof/>
            <w:webHidden/>
          </w:rPr>
          <w:instrText xml:space="preserve"> PAGEREF _Toc56004445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6" w:history="1">
        <w:r>
          <w:rPr>
            <w:rStyle w:val="Hyperlink"/>
            <w:noProof/>
          </w:rPr>
          <w:t>4.3.2.</w:t>
        </w:r>
        <w:r>
          <w:rPr>
            <w:rFonts w:asciiTheme="minorHAnsi" w:eastAsiaTheme="minorEastAsia" w:hAnsiTheme="minorHAnsi" w:cstheme="minorBidi"/>
            <w:noProof/>
            <w:sz w:val="22"/>
            <w:szCs w:val="22"/>
            <w:lang w:val="en-US" w:eastAsia="en-US"/>
          </w:rPr>
          <w:tab/>
        </w:r>
        <w:r>
          <w:rPr>
            <w:rStyle w:val="Hyperlink"/>
            <w:noProof/>
          </w:rPr>
          <w:t>Анализ на несъответствията</w:t>
        </w:r>
        <w:r>
          <w:rPr>
            <w:noProof/>
            <w:webHidden/>
          </w:rPr>
          <w:tab/>
        </w:r>
        <w:r>
          <w:rPr>
            <w:noProof/>
            <w:webHidden/>
          </w:rPr>
          <w:fldChar w:fldCharType="begin"/>
        </w:r>
        <w:r>
          <w:rPr>
            <w:noProof/>
            <w:webHidden/>
          </w:rPr>
          <w:instrText xml:space="preserve"> PAGEREF _Toc56004446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47" w:history="1">
        <w:r>
          <w:rPr>
            <w:rStyle w:val="Hyperlink"/>
          </w:rPr>
          <w:t>4.4.</w:t>
        </w:r>
        <w:r>
          <w:rPr>
            <w:rFonts w:asciiTheme="minorHAnsi" w:eastAsiaTheme="minorEastAsia" w:hAnsiTheme="minorHAnsi" w:cstheme="minorBidi"/>
            <w:sz w:val="22"/>
            <w:szCs w:val="22"/>
            <w:lang w:val="en-US" w:eastAsia="en-US"/>
          </w:rPr>
          <w:tab/>
        </w:r>
        <w:r>
          <w:rPr>
            <w:rStyle w:val="Hyperlink"/>
          </w:rPr>
          <w:t>Национални системи за одит</w:t>
        </w:r>
        <w:r>
          <w:rPr>
            <w:webHidden/>
          </w:rPr>
          <w:tab/>
        </w:r>
        <w:r>
          <w:rPr>
            <w:webHidden/>
          </w:rPr>
          <w:fldChar w:fldCharType="begin"/>
        </w:r>
        <w:r>
          <w:rPr>
            <w:webHidden/>
          </w:rPr>
          <w:instrText xml:space="preserve"> PAGEREF _Toc56004447 \h </w:instrText>
        </w:r>
        <w:r>
          <w:rPr>
            <w:webHidden/>
          </w:rPr>
        </w:r>
        <w:r>
          <w:rPr>
            <w:webHidden/>
          </w:rPr>
          <w:fldChar w:fldCharType="separate"/>
        </w:r>
        <w:r>
          <w:rPr>
            <w:webHidden/>
          </w:rPr>
          <w:t>9</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8" w:history="1">
        <w:r>
          <w:rPr>
            <w:rStyle w:val="Hyperlink"/>
            <w:noProof/>
          </w:rPr>
          <w:t>4.4.1.</w:t>
        </w:r>
        <w:r>
          <w:rPr>
            <w:rFonts w:asciiTheme="minorHAnsi" w:eastAsiaTheme="minorEastAsia" w:hAnsiTheme="minorHAnsi" w:cstheme="minorBidi"/>
            <w:noProof/>
            <w:sz w:val="22"/>
            <w:szCs w:val="22"/>
            <w:lang w:val="en-US" w:eastAsia="en-US"/>
          </w:rPr>
          <w:tab/>
        </w:r>
        <w:r>
          <w:rPr>
            <w:rStyle w:val="Hyperlink"/>
            <w:noProof/>
          </w:rPr>
          <w:t>Вътрешни и/или външни одити по отношение на официалния контрол</w:t>
        </w:r>
        <w:r>
          <w:rPr>
            <w:noProof/>
            <w:webHidden/>
          </w:rPr>
          <w:tab/>
        </w:r>
        <w:r>
          <w:rPr>
            <w:noProof/>
            <w:webHidden/>
          </w:rPr>
          <w:fldChar w:fldCharType="begin"/>
        </w:r>
        <w:r>
          <w:rPr>
            <w:noProof/>
            <w:webHidden/>
          </w:rPr>
          <w:instrText xml:space="preserve"> PAGEREF _Toc56004448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49" w:history="1">
        <w:r>
          <w:rPr>
            <w:rStyle w:val="Hyperlink"/>
            <w:noProof/>
          </w:rPr>
          <w:t>4.4.2.</w:t>
        </w:r>
        <w:r>
          <w:rPr>
            <w:rFonts w:asciiTheme="minorHAnsi" w:eastAsiaTheme="minorEastAsia" w:hAnsiTheme="minorHAnsi" w:cstheme="minorBidi"/>
            <w:noProof/>
            <w:sz w:val="22"/>
            <w:szCs w:val="22"/>
            <w:lang w:val="en-US" w:eastAsia="en-US"/>
          </w:rPr>
          <w:tab/>
        </w:r>
        <w:r>
          <w:rPr>
            <w:rStyle w:val="Hyperlink"/>
            <w:noProof/>
          </w:rPr>
          <w:t>Одити и инспекции на контролните органи</w:t>
        </w:r>
        <w:r>
          <w:rPr>
            <w:noProof/>
            <w:webHidden/>
          </w:rPr>
          <w:tab/>
        </w:r>
        <w:r>
          <w:rPr>
            <w:noProof/>
            <w:webHidden/>
          </w:rPr>
          <w:fldChar w:fldCharType="begin"/>
        </w:r>
        <w:r>
          <w:rPr>
            <w:noProof/>
            <w:webHidden/>
          </w:rPr>
          <w:instrText xml:space="preserve"> PAGEREF _Toc56004449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50" w:history="1">
        <w:r>
          <w:rPr>
            <w:rStyle w:val="Hyperlink"/>
          </w:rPr>
          <w:t>4.5.</w:t>
        </w:r>
        <w:r>
          <w:rPr>
            <w:rFonts w:asciiTheme="minorHAnsi" w:eastAsiaTheme="minorEastAsia" w:hAnsiTheme="minorHAnsi" w:cstheme="minorBidi"/>
            <w:sz w:val="22"/>
            <w:szCs w:val="22"/>
            <w:lang w:val="en-US" w:eastAsia="en-US"/>
          </w:rPr>
          <w:tab/>
        </w:r>
        <w:r>
          <w:rPr>
            <w:rStyle w:val="Hyperlink"/>
          </w:rPr>
          <w:t>Действия за гарантиране на ефективното прилагане на националните планове за контрол</w:t>
        </w:r>
        <w:r>
          <w:rPr>
            <w:webHidden/>
          </w:rPr>
          <w:tab/>
        </w:r>
        <w:r>
          <w:rPr>
            <w:webHidden/>
          </w:rPr>
          <w:fldChar w:fldCharType="begin"/>
        </w:r>
        <w:r>
          <w:rPr>
            <w:webHidden/>
          </w:rPr>
          <w:instrText xml:space="preserve"> PAGEREF _Toc56004450 \h </w:instrText>
        </w:r>
        <w:r>
          <w:rPr>
            <w:webHidden/>
          </w:rPr>
        </w:r>
        <w:r>
          <w:rPr>
            <w:webHidden/>
          </w:rPr>
          <w:fldChar w:fldCharType="separate"/>
        </w:r>
        <w:r>
          <w:rPr>
            <w:webHidden/>
          </w:rPr>
          <w:t>10</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51" w:history="1">
        <w:r>
          <w:rPr>
            <w:rStyle w:val="Hyperlink"/>
            <w:noProof/>
          </w:rPr>
          <w:t>4.5.1.</w:t>
        </w:r>
        <w:r>
          <w:rPr>
            <w:rFonts w:asciiTheme="minorHAnsi" w:eastAsiaTheme="minorEastAsia" w:hAnsiTheme="minorHAnsi" w:cstheme="minorBidi"/>
            <w:noProof/>
            <w:sz w:val="22"/>
            <w:szCs w:val="22"/>
            <w:lang w:val="en-US" w:eastAsia="en-US"/>
          </w:rPr>
          <w:tab/>
        </w:r>
        <w:r>
          <w:rPr>
            <w:rStyle w:val="Hyperlink"/>
            <w:noProof/>
          </w:rPr>
          <w:t>Действия за гарантиране на съответствие на стопанските субекти в областта на храните, операторите в сектора на фуражите, другите съответни производители и собствениците на предприятия</w:t>
        </w:r>
        <w:r>
          <w:rPr>
            <w:noProof/>
            <w:webHidden/>
          </w:rPr>
          <w:tab/>
        </w:r>
        <w:r>
          <w:rPr>
            <w:noProof/>
            <w:webHidden/>
          </w:rPr>
          <w:fldChar w:fldCharType="begin"/>
        </w:r>
        <w:r>
          <w:rPr>
            <w:noProof/>
            <w:webHidden/>
          </w:rPr>
          <w:instrText xml:space="preserve"> PAGEREF _Toc56004451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52" w:history="1">
        <w:r>
          <w:rPr>
            <w:rStyle w:val="Hyperlink"/>
            <w:noProof/>
          </w:rPr>
          <w:t>4.5.2.</w:t>
        </w:r>
        <w:r>
          <w:rPr>
            <w:rFonts w:asciiTheme="minorHAnsi" w:eastAsiaTheme="minorEastAsia" w:hAnsiTheme="minorHAnsi" w:cstheme="minorBidi"/>
            <w:noProof/>
            <w:sz w:val="22"/>
            <w:szCs w:val="22"/>
            <w:lang w:val="en-US" w:eastAsia="en-US"/>
          </w:rPr>
          <w:tab/>
        </w:r>
        <w:r>
          <w:rPr>
            <w:rStyle w:val="Hyperlink"/>
            <w:noProof/>
          </w:rPr>
          <w:t>Осигуряване на изпълнението: предприети действия в случай на несъответствие</w:t>
        </w:r>
        <w:r>
          <w:rPr>
            <w:noProof/>
            <w:webHidden/>
          </w:rPr>
          <w:tab/>
        </w:r>
        <w:r>
          <w:rPr>
            <w:noProof/>
            <w:webHidden/>
          </w:rPr>
          <w:fldChar w:fldCharType="begin"/>
        </w:r>
        <w:r>
          <w:rPr>
            <w:noProof/>
            <w:webHidden/>
          </w:rPr>
          <w:instrText xml:space="preserve"> PAGEREF _Toc56004452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53" w:history="1">
        <w:r>
          <w:rPr>
            <w:rStyle w:val="Hyperlink"/>
            <w:noProof/>
          </w:rPr>
          <w:t>4.5.3.</w:t>
        </w:r>
        <w:r>
          <w:rPr>
            <w:rFonts w:asciiTheme="minorHAnsi" w:eastAsiaTheme="minorEastAsia" w:hAnsiTheme="minorHAnsi" w:cstheme="minorBidi"/>
            <w:noProof/>
            <w:sz w:val="22"/>
            <w:szCs w:val="22"/>
            <w:lang w:val="en-US" w:eastAsia="en-US"/>
          </w:rPr>
          <w:tab/>
        </w:r>
        <w:r>
          <w:rPr>
            <w:rStyle w:val="Hyperlink"/>
            <w:noProof/>
          </w:rPr>
          <w:t>Предприети действия за гарантиране на ефективно функциониране на службите за официален контрол</w:t>
        </w:r>
        <w:r>
          <w:rPr>
            <w:noProof/>
            <w:webHidden/>
          </w:rPr>
          <w:tab/>
        </w:r>
        <w:r>
          <w:rPr>
            <w:noProof/>
            <w:webHidden/>
          </w:rPr>
          <w:fldChar w:fldCharType="begin"/>
        </w:r>
        <w:r>
          <w:rPr>
            <w:noProof/>
            <w:webHidden/>
          </w:rPr>
          <w:instrText xml:space="preserve"> PAGEREF _Toc56004453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54" w:history="1">
        <w:r>
          <w:rPr>
            <w:rStyle w:val="Hyperlink"/>
          </w:rPr>
          <w:t>4.6.</w:t>
        </w:r>
        <w:r>
          <w:rPr>
            <w:rFonts w:asciiTheme="minorHAnsi" w:eastAsiaTheme="minorEastAsia" w:hAnsiTheme="minorHAnsi" w:cstheme="minorBidi"/>
            <w:sz w:val="22"/>
            <w:szCs w:val="22"/>
            <w:lang w:val="en-US" w:eastAsia="en-US"/>
          </w:rPr>
          <w:tab/>
        </w:r>
        <w:r>
          <w:rPr>
            <w:rStyle w:val="Hyperlink"/>
          </w:rPr>
          <w:t>Цялостно действие на системата за контрол при прилагането на националните планове за контрол</w:t>
        </w:r>
        <w:r>
          <w:rPr>
            <w:webHidden/>
          </w:rPr>
          <w:tab/>
        </w:r>
        <w:r>
          <w:rPr>
            <w:webHidden/>
          </w:rPr>
          <w:fldChar w:fldCharType="begin"/>
        </w:r>
        <w:r>
          <w:rPr>
            <w:webHidden/>
          </w:rPr>
          <w:instrText xml:space="preserve"> PAGEREF _Toc56004454 \h </w:instrText>
        </w:r>
        <w:r>
          <w:rPr>
            <w:webHidden/>
          </w:rPr>
        </w:r>
        <w:r>
          <w:rPr>
            <w:webHidden/>
          </w:rPr>
          <w:fldChar w:fldCharType="separate"/>
        </w:r>
        <w:r>
          <w:rPr>
            <w:webHidden/>
          </w:rPr>
          <w:t>12</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55" w:history="1">
        <w:r>
          <w:rPr>
            <w:rStyle w:val="Hyperlink"/>
          </w:rPr>
          <w:t>4.7.</w:t>
        </w:r>
        <w:r>
          <w:rPr>
            <w:rFonts w:asciiTheme="minorHAnsi" w:eastAsiaTheme="minorEastAsia" w:hAnsiTheme="minorHAnsi" w:cstheme="minorBidi"/>
            <w:sz w:val="22"/>
            <w:szCs w:val="22"/>
            <w:lang w:val="en-US" w:eastAsia="en-US"/>
          </w:rPr>
          <w:tab/>
        </w:r>
        <w:r>
          <w:rPr>
            <w:rStyle w:val="Hyperlink"/>
          </w:rPr>
          <w:t>Изменения в МНПК</w:t>
        </w:r>
        <w:r>
          <w:rPr>
            <w:webHidden/>
          </w:rPr>
          <w:tab/>
        </w:r>
        <w:r>
          <w:rPr>
            <w:webHidden/>
          </w:rPr>
          <w:fldChar w:fldCharType="begin"/>
        </w:r>
        <w:r>
          <w:rPr>
            <w:webHidden/>
          </w:rPr>
          <w:instrText xml:space="preserve"> PAGEREF _Toc56004455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6004456" w:history="1">
        <w:r>
          <w:rPr>
            <w:rStyle w:val="Hyperlink"/>
            <w:noProof/>
          </w:rPr>
          <w:t>5.</w:t>
        </w:r>
        <w:r>
          <w:rPr>
            <w:rFonts w:asciiTheme="minorHAnsi" w:eastAsiaTheme="minorEastAsia" w:hAnsiTheme="minorHAnsi" w:cstheme="minorBidi"/>
            <w:caps w:val="0"/>
            <w:noProof/>
            <w:sz w:val="22"/>
            <w:szCs w:val="22"/>
            <w:lang w:val="en-US" w:eastAsia="en-US"/>
          </w:rPr>
          <w:tab/>
        </w:r>
        <w:r>
          <w:rPr>
            <w:rStyle w:val="Hyperlink"/>
            <w:noProof/>
          </w:rPr>
          <w:t>Контролни дейности на службите на Комисията в държавите членки</w:t>
        </w:r>
        <w:r>
          <w:rPr>
            <w:noProof/>
            <w:webHidden/>
          </w:rPr>
          <w:tab/>
        </w:r>
        <w:r>
          <w:rPr>
            <w:noProof/>
            <w:webHidden/>
          </w:rPr>
          <w:fldChar w:fldCharType="begin"/>
        </w:r>
        <w:r>
          <w:rPr>
            <w:noProof/>
            <w:webHidden/>
          </w:rPr>
          <w:instrText xml:space="preserve"> PAGEREF _Toc56004456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57" w:history="1">
        <w:r>
          <w:rPr>
            <w:rStyle w:val="Hyperlink"/>
          </w:rPr>
          <w:t>5.1.</w:t>
        </w:r>
        <w:r>
          <w:rPr>
            <w:rFonts w:asciiTheme="minorHAnsi" w:eastAsiaTheme="minorEastAsia" w:hAnsiTheme="minorHAnsi" w:cstheme="minorBidi"/>
            <w:sz w:val="22"/>
            <w:szCs w:val="22"/>
            <w:lang w:val="en-US" w:eastAsia="en-US"/>
          </w:rPr>
          <w:tab/>
        </w:r>
        <w:r>
          <w:rPr>
            <w:rStyle w:val="Hyperlink"/>
          </w:rPr>
          <w:t>Одити</w:t>
        </w:r>
        <w:r>
          <w:rPr>
            <w:webHidden/>
          </w:rPr>
          <w:tab/>
        </w:r>
        <w:r>
          <w:rPr>
            <w:webHidden/>
          </w:rPr>
          <w:fldChar w:fldCharType="begin"/>
        </w:r>
        <w:r>
          <w:rPr>
            <w:webHidden/>
          </w:rPr>
          <w:instrText xml:space="preserve"> PAGEREF _Toc56004457 \h </w:instrText>
        </w:r>
        <w:r>
          <w:rPr>
            <w:webHidden/>
          </w:rPr>
        </w:r>
        <w:r>
          <w:rPr>
            <w:webHidden/>
          </w:rPr>
          <w:fldChar w:fldCharType="separate"/>
        </w:r>
        <w:r>
          <w:rPr>
            <w:webHidden/>
          </w:rPr>
          <w:t>13</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58" w:history="1">
        <w:r>
          <w:rPr>
            <w:rStyle w:val="Hyperlink"/>
            <w:noProof/>
          </w:rPr>
          <w:t>5.1.1.</w:t>
        </w:r>
        <w:r>
          <w:rPr>
            <w:rFonts w:asciiTheme="minorHAnsi" w:eastAsiaTheme="minorEastAsia" w:hAnsiTheme="minorHAnsi" w:cstheme="minorBidi"/>
            <w:noProof/>
            <w:sz w:val="22"/>
            <w:szCs w:val="22"/>
            <w:lang w:val="en-US" w:eastAsia="en-US"/>
          </w:rPr>
          <w:tab/>
        </w:r>
        <w:r>
          <w:rPr>
            <w:rStyle w:val="Hyperlink"/>
            <w:noProof/>
          </w:rPr>
          <w:t>Обобщаващи доклади</w:t>
        </w:r>
        <w:r>
          <w:rPr>
            <w:noProof/>
            <w:webHidden/>
          </w:rPr>
          <w:tab/>
        </w:r>
        <w:r>
          <w:rPr>
            <w:noProof/>
            <w:webHidden/>
          </w:rPr>
          <w:fldChar w:fldCharType="begin"/>
        </w:r>
        <w:r>
          <w:rPr>
            <w:noProof/>
            <w:webHidden/>
          </w:rPr>
          <w:instrText xml:space="preserve"> PAGEREF _Toc56004458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59" w:history="1">
        <w:r>
          <w:rPr>
            <w:rStyle w:val="Hyperlink"/>
            <w:noProof/>
          </w:rPr>
          <w:t>5.1.2.</w:t>
        </w:r>
        <w:r>
          <w:rPr>
            <w:rFonts w:asciiTheme="minorHAnsi" w:eastAsiaTheme="minorEastAsia" w:hAnsiTheme="minorHAnsi" w:cstheme="minorBidi"/>
            <w:noProof/>
            <w:sz w:val="22"/>
            <w:szCs w:val="22"/>
            <w:lang w:val="en-US" w:eastAsia="en-US"/>
          </w:rPr>
          <w:tab/>
        </w:r>
        <w:r>
          <w:rPr>
            <w:rStyle w:val="Hyperlink"/>
            <w:noProof/>
          </w:rPr>
          <w:t>Някои елементи, които трябва да се подчертаят</w:t>
        </w:r>
        <w:r>
          <w:rPr>
            <w:noProof/>
            <w:webHidden/>
          </w:rPr>
          <w:tab/>
        </w:r>
        <w:r>
          <w:rPr>
            <w:noProof/>
            <w:webHidden/>
          </w:rPr>
          <w:fldChar w:fldCharType="begin"/>
        </w:r>
        <w:r>
          <w:rPr>
            <w:noProof/>
            <w:webHidden/>
          </w:rPr>
          <w:instrText xml:space="preserve"> PAGEREF _Toc56004459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6004460" w:history="1">
        <w:r>
          <w:rPr>
            <w:rStyle w:val="Hyperlink"/>
            <w:noProof/>
          </w:rPr>
          <w:t>6.</w:t>
        </w:r>
        <w:r>
          <w:rPr>
            <w:rFonts w:asciiTheme="minorHAnsi" w:eastAsiaTheme="minorEastAsia" w:hAnsiTheme="minorHAnsi" w:cstheme="minorBidi"/>
            <w:caps w:val="0"/>
            <w:noProof/>
            <w:sz w:val="22"/>
            <w:szCs w:val="22"/>
            <w:lang w:val="en-US" w:eastAsia="en-US"/>
          </w:rPr>
          <w:tab/>
        </w:r>
        <w:r>
          <w:rPr>
            <w:rStyle w:val="Hyperlink"/>
            <w:noProof/>
          </w:rPr>
          <w:t>Последващи действия от страна на Комисията и действия по осигуряване на изпълнението</w:t>
        </w:r>
        <w:r>
          <w:rPr>
            <w:noProof/>
            <w:webHidden/>
          </w:rPr>
          <w:tab/>
        </w:r>
        <w:r>
          <w:rPr>
            <w:noProof/>
            <w:webHidden/>
          </w:rPr>
          <w:fldChar w:fldCharType="begin"/>
        </w:r>
        <w:r>
          <w:rPr>
            <w:noProof/>
            <w:webHidden/>
          </w:rPr>
          <w:instrText xml:space="preserve"> PAGEREF _Toc56004460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61" w:history="1">
        <w:r>
          <w:rPr>
            <w:rStyle w:val="Hyperlink"/>
          </w:rPr>
          <w:t>6.1.</w:t>
        </w:r>
        <w:r>
          <w:rPr>
            <w:rFonts w:asciiTheme="minorHAnsi" w:eastAsiaTheme="minorEastAsia" w:hAnsiTheme="minorHAnsi" w:cstheme="minorBidi"/>
            <w:sz w:val="22"/>
            <w:szCs w:val="22"/>
            <w:lang w:val="en-US" w:eastAsia="en-US"/>
          </w:rPr>
          <w:tab/>
        </w:r>
        <w:r>
          <w:rPr>
            <w:rStyle w:val="Hyperlink"/>
          </w:rPr>
          <w:t>Систематични последващи действия по отношение на препоръките</w:t>
        </w:r>
        <w:r>
          <w:rPr>
            <w:webHidden/>
          </w:rPr>
          <w:tab/>
        </w:r>
        <w:r>
          <w:rPr>
            <w:webHidden/>
          </w:rPr>
          <w:fldChar w:fldCharType="begin"/>
        </w:r>
        <w:r>
          <w:rPr>
            <w:webHidden/>
          </w:rPr>
          <w:instrText xml:space="preserve"> PAGEREF _Toc56004461 \h </w:instrText>
        </w:r>
        <w:r>
          <w:rPr>
            <w:webHidden/>
          </w:rPr>
        </w:r>
        <w:r>
          <w:rPr>
            <w:webHidden/>
          </w:rPr>
          <w:fldChar w:fldCharType="separate"/>
        </w:r>
        <w:r>
          <w:rPr>
            <w:webHidden/>
          </w:rPr>
          <w:t>17</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62" w:history="1">
        <w:r>
          <w:rPr>
            <w:rStyle w:val="Hyperlink"/>
          </w:rPr>
          <w:t>6.2.</w:t>
        </w:r>
        <w:r>
          <w:rPr>
            <w:rFonts w:asciiTheme="minorHAnsi" w:eastAsiaTheme="minorEastAsia" w:hAnsiTheme="minorHAnsi" w:cstheme="minorBidi"/>
            <w:sz w:val="22"/>
            <w:szCs w:val="22"/>
            <w:lang w:val="en-US" w:eastAsia="en-US"/>
          </w:rPr>
          <w:tab/>
        </w:r>
        <w:r>
          <w:rPr>
            <w:rStyle w:val="Hyperlink"/>
          </w:rPr>
          <w:t>Подкрепа за държавите членки</w:t>
        </w:r>
        <w:r>
          <w:rPr>
            <w:webHidden/>
          </w:rPr>
          <w:tab/>
        </w:r>
        <w:r>
          <w:rPr>
            <w:webHidden/>
          </w:rPr>
          <w:fldChar w:fldCharType="begin"/>
        </w:r>
        <w:r>
          <w:rPr>
            <w:webHidden/>
          </w:rPr>
          <w:instrText xml:space="preserve"> PAGEREF _Toc56004462 \h </w:instrText>
        </w:r>
        <w:r>
          <w:rPr>
            <w:webHidden/>
          </w:rPr>
        </w:r>
        <w:r>
          <w:rPr>
            <w:webHidden/>
          </w:rPr>
          <w:fldChar w:fldCharType="separate"/>
        </w:r>
        <w:r>
          <w:rPr>
            <w:webHidden/>
          </w:rPr>
          <w:t>18</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63" w:history="1">
        <w:r>
          <w:rPr>
            <w:rStyle w:val="Hyperlink"/>
            <w:noProof/>
          </w:rPr>
          <w:t>6.2.1.</w:t>
        </w:r>
        <w:r>
          <w:rPr>
            <w:rFonts w:asciiTheme="minorHAnsi" w:eastAsiaTheme="minorEastAsia" w:hAnsiTheme="minorHAnsi" w:cstheme="minorBidi"/>
            <w:noProof/>
            <w:sz w:val="22"/>
            <w:szCs w:val="22"/>
            <w:lang w:val="en-US" w:eastAsia="en-US"/>
          </w:rPr>
          <w:tab/>
        </w:r>
        <w:r>
          <w:rPr>
            <w:rStyle w:val="Hyperlink"/>
            <w:noProof/>
          </w:rPr>
          <w:t>Мрежи</w:t>
        </w:r>
        <w:r>
          <w:rPr>
            <w:noProof/>
            <w:webHidden/>
          </w:rPr>
          <w:tab/>
        </w:r>
        <w:r>
          <w:rPr>
            <w:noProof/>
            <w:webHidden/>
          </w:rPr>
          <w:fldChar w:fldCharType="begin"/>
        </w:r>
        <w:r>
          <w:rPr>
            <w:noProof/>
            <w:webHidden/>
          </w:rPr>
          <w:instrText xml:space="preserve"> PAGEREF _Toc56004463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6004464" w:history="1">
        <w:r>
          <w:rPr>
            <w:rStyle w:val="Hyperlink"/>
            <w:noProof/>
          </w:rPr>
          <w:t>6.2.2.</w:t>
        </w:r>
        <w:r>
          <w:rPr>
            <w:rFonts w:asciiTheme="minorHAnsi" w:eastAsiaTheme="minorEastAsia" w:hAnsiTheme="minorHAnsi" w:cstheme="minorBidi"/>
            <w:noProof/>
            <w:sz w:val="22"/>
            <w:szCs w:val="22"/>
            <w:lang w:val="en-US" w:eastAsia="en-US"/>
          </w:rPr>
          <w:tab/>
        </w:r>
        <w:r>
          <w:rPr>
            <w:rStyle w:val="Hyperlink"/>
            <w:noProof/>
          </w:rPr>
          <w:t>„По-добро обучение за по-безопасни храни“ (BTSF)</w:t>
        </w:r>
        <w:r>
          <w:rPr>
            <w:noProof/>
            <w:webHidden/>
          </w:rPr>
          <w:tab/>
        </w:r>
        <w:r>
          <w:rPr>
            <w:noProof/>
            <w:webHidden/>
          </w:rPr>
          <w:fldChar w:fldCharType="begin"/>
        </w:r>
        <w:r>
          <w:rPr>
            <w:noProof/>
            <w:webHidden/>
          </w:rPr>
          <w:instrText xml:space="preserve"> PAGEREF _Toc56004464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6004465" w:history="1">
        <w:r>
          <w:rPr>
            <w:rStyle w:val="Hyperlink"/>
          </w:rPr>
          <w:t>6.3.</w:t>
        </w:r>
        <w:r>
          <w:rPr>
            <w:rFonts w:asciiTheme="minorHAnsi" w:eastAsiaTheme="minorEastAsia" w:hAnsiTheme="minorHAnsi" w:cstheme="minorBidi"/>
            <w:sz w:val="22"/>
            <w:szCs w:val="22"/>
            <w:lang w:val="en-US" w:eastAsia="en-US"/>
          </w:rPr>
          <w:tab/>
        </w:r>
        <w:r>
          <w:rPr>
            <w:rStyle w:val="Hyperlink"/>
          </w:rPr>
          <w:t>Осигуряване на изпълнението</w:t>
        </w:r>
        <w:r>
          <w:rPr>
            <w:webHidden/>
          </w:rPr>
          <w:tab/>
        </w:r>
        <w:r>
          <w:rPr>
            <w:webHidden/>
          </w:rPr>
          <w:fldChar w:fldCharType="begin"/>
        </w:r>
        <w:r>
          <w:rPr>
            <w:webHidden/>
          </w:rPr>
          <w:instrText xml:space="preserve"> PAGEREF _Toc56004465 \h </w:instrText>
        </w:r>
        <w:r>
          <w:rPr>
            <w:webHidden/>
          </w:rPr>
        </w:r>
        <w:r>
          <w:rPr>
            <w:webHidden/>
          </w:rPr>
          <w:fldChar w:fldCharType="separate"/>
        </w:r>
        <w:r>
          <w:rPr>
            <w:webHidden/>
          </w:rPr>
          <w:t>20</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6004466" w:history="1">
        <w:r>
          <w:rPr>
            <w:rStyle w:val="Hyperlink"/>
            <w:noProof/>
          </w:rPr>
          <w:t>7.</w:t>
        </w:r>
        <w:r>
          <w:rPr>
            <w:rFonts w:asciiTheme="minorHAnsi" w:eastAsiaTheme="minorEastAsia" w:hAnsiTheme="minorHAnsi" w:cstheme="minorBidi"/>
            <w:caps w:val="0"/>
            <w:noProof/>
            <w:sz w:val="22"/>
            <w:szCs w:val="22"/>
            <w:lang w:val="en-US" w:eastAsia="en-US"/>
          </w:rPr>
          <w:tab/>
        </w:r>
        <w:r>
          <w:rPr>
            <w:rStyle w:val="Hyperlink"/>
            <w:noProof/>
          </w:rPr>
          <w:t>Заключения</w:t>
        </w:r>
        <w:r>
          <w:rPr>
            <w:noProof/>
            <w:webHidden/>
          </w:rPr>
          <w:tab/>
        </w:r>
        <w:r>
          <w:rPr>
            <w:noProof/>
            <w:webHidden/>
          </w:rPr>
          <w:fldChar w:fldCharType="begin"/>
        </w:r>
        <w:r>
          <w:rPr>
            <w:noProof/>
            <w:webHidden/>
          </w:rPr>
          <w:instrText xml:space="preserve"> PAGEREF _Toc56004466 \h </w:instrText>
        </w:r>
        <w:r>
          <w:rPr>
            <w:noProof/>
            <w:webHidden/>
          </w:rPr>
        </w:r>
        <w:r>
          <w:rPr>
            <w:noProof/>
            <w:webHidden/>
          </w:rPr>
          <w:fldChar w:fldCharType="separate"/>
        </w:r>
        <w:r>
          <w:rPr>
            <w:noProof/>
            <w:webHidden/>
          </w:rPr>
          <w:t>21</w:t>
        </w:r>
        <w:r>
          <w:rPr>
            <w:noProof/>
            <w:webHidden/>
          </w:rPr>
          <w:fldChar w:fldCharType="end"/>
        </w:r>
      </w:hyperlink>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Списък на графики</w:t>
      </w:r>
    </w:p>
    <w:p>
      <w:pPr>
        <w:pStyle w:val="TableofFigures"/>
        <w:tabs>
          <w:tab w:val="right" w:leader="dot" w:pos="9062"/>
        </w:tabs>
        <w:jc w:val="both"/>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TOC \h \z \c "Table" </w:instrText>
      </w:r>
      <w:r>
        <w:rPr>
          <w:rFonts w:ascii="Times New Roman" w:hAnsi="Times New Roman"/>
          <w:noProof/>
          <w:sz w:val="24"/>
          <w:szCs w:val="24"/>
        </w:rPr>
        <w:fldChar w:fldCharType="end"/>
      </w:r>
    </w:p>
    <w:p>
      <w:pPr>
        <w:pStyle w:val="TableofFigures"/>
        <w:tabs>
          <w:tab w:val="right" w:leader="dot" w:pos="9062"/>
        </w:tabs>
        <w:jc w:val="both"/>
        <w:rPr>
          <w:rFonts w:ascii="Times New Roman" w:eastAsia="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TOC \h \z \c "Figure" </w:instrText>
      </w:r>
      <w:r>
        <w:rPr>
          <w:rFonts w:ascii="Times New Roman" w:hAnsi="Times New Roman"/>
          <w:noProof/>
          <w:sz w:val="24"/>
          <w:szCs w:val="24"/>
        </w:rPr>
        <w:fldChar w:fldCharType="separate"/>
      </w:r>
      <w:hyperlink w:anchor="_Toc36648368" w:history="1">
        <w:r>
          <w:rPr>
            <w:rStyle w:val="Hyperlink"/>
            <w:rFonts w:ascii="Times New Roman" w:hAnsi="Times New Roman"/>
            <w:noProof/>
            <w:sz w:val="24"/>
            <w:szCs w:val="24"/>
          </w:rPr>
          <w:t>Chart 1: number of missions carried out in Member States in 2017-2018</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_Toc36648368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ableofFigures"/>
        <w:tabs>
          <w:tab w:val="right" w:leader="dot" w:pos="9062"/>
        </w:tabs>
        <w:jc w:val="both"/>
        <w:rPr>
          <w:rFonts w:ascii="Times New Roman" w:eastAsia="Times New Roman" w:hAnsi="Times New Roman"/>
          <w:noProof/>
          <w:sz w:val="24"/>
          <w:szCs w:val="24"/>
        </w:rPr>
      </w:pPr>
      <w:hyperlink w:anchor="_Toc36648369" w:history="1">
        <w:r>
          <w:rPr>
            <w:rStyle w:val="Hyperlink"/>
            <w:rFonts w:ascii="Times New Roman" w:hAnsi="Times New Roman"/>
            <w:noProof/>
            <w:sz w:val="24"/>
            <w:szCs w:val="24"/>
          </w:rPr>
          <w:t>Chart 2: number and type of missions performed per topic 2017-2018</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_Toc36648369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pStyle w:val="Heading1"/>
        <w:rPr>
          <w:noProof/>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fmt="lowerRoman"/>
          <w:cols w:space="720"/>
          <w:titlePg/>
          <w:docGrid w:linePitch="326"/>
        </w:sectPr>
      </w:pPr>
    </w:p>
    <w:p>
      <w:pPr>
        <w:pStyle w:val="Heading1"/>
        <w:rPr>
          <w:noProof/>
          <w:szCs w:val="24"/>
        </w:rPr>
      </w:pPr>
      <w:bookmarkStart w:id="3" w:name="_Toc56004434"/>
      <w:r>
        <w:rPr>
          <w:noProof/>
        </w:rPr>
        <w:lastRenderedPageBreak/>
        <w:t>Резюме</w:t>
      </w:r>
      <w:bookmarkEnd w:id="1"/>
      <w:bookmarkEnd w:id="3"/>
    </w:p>
    <w:p>
      <w:pPr>
        <w:jc w:val="both"/>
        <w:rPr>
          <w:rFonts w:ascii="Times New Roman" w:hAnsi="Times New Roman" w:cs="Times New Roman"/>
          <w:noProof/>
          <w:sz w:val="24"/>
          <w:szCs w:val="24"/>
        </w:rPr>
      </w:pPr>
      <w:r>
        <w:rPr>
          <w:rFonts w:ascii="Times New Roman" w:hAnsi="Times New Roman"/>
          <w:noProof/>
          <w:sz w:val="24"/>
          <w:szCs w:val="24"/>
        </w:rPr>
        <w:t>В настоящия доклад се представя цялостният резултат от контролните дейности на националните органи и на Комисията, проведени в периода 2017—2018 г. с цел гарантиране на високо равнище на защита на здравето и доверие по отношение на законодателството в областта на храните и фуражите, здравеопазването на животните и хуманното отношение към тях, здравето на растенията и продуктите за растителна защита, биологичното земеделие и схемите за качество. Тези области са жизненоважни в ежедневието на гражданите на Европейския съюз (EС). Те са и от ключово значение за осигуряването на безпроблемно функциониране на търговията с храни, животни и растения както в самия ЕС, така и с държавите извън ЕС.</w:t>
      </w:r>
    </w:p>
    <w:p>
      <w:pPr>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са отговорни за изпълнението на основания на риска официален контрол, описан подробно и планиран в техните многогодишни национални планове за контрол (МНПК). Официалният контрол има за цел да се провери дали операторите по цялата верига за храни и фуражи спазват приложимото законодателство и, когато случаят не е такъв, от държавите членки се очаква да осигурят изпълнението на въпросното законодателство и да предприемат мерки за постигането отново на съответствие от тези оператори. Чрез одити службите на Комисията проверяват изпълнението на официалния контрол и свързаните дейности по осигуряване на изпълнението от страна на държавите членки. </w:t>
      </w:r>
    </w:p>
    <w:p>
      <w:pPr>
        <w:jc w:val="both"/>
        <w:rPr>
          <w:rFonts w:ascii="Times New Roman" w:hAnsi="Times New Roman" w:cs="Times New Roman"/>
          <w:noProof/>
          <w:sz w:val="24"/>
          <w:szCs w:val="24"/>
        </w:rPr>
      </w:pPr>
      <w:r>
        <w:rPr>
          <w:rFonts w:ascii="Times New Roman" w:hAnsi="Times New Roman"/>
          <w:noProof/>
          <w:sz w:val="24"/>
          <w:szCs w:val="24"/>
        </w:rPr>
        <w:t>Повечето държави членки докладваха, че равнището на осигуряване с персонал, финансовите ресурси и/или оборудването са основните проблеми, които оказват въздействие върху изпълнението на техните МНПК. С помощта на подобрения анализ на данни, използването на IT инструменти и контрола на документацията някои държави членки успяха да се справят с тези предизвикателства, други обаче докладваха, че не са могли изцяло да изпълнят своите планове за контрол.</w:t>
      </w:r>
    </w:p>
    <w:p>
      <w:pPr>
        <w:suppressAutoHyphens/>
        <w:jc w:val="both"/>
        <w:rPr>
          <w:rFonts w:ascii="Times New Roman" w:hAnsi="Times New Roman" w:cs="Times New Roman"/>
          <w:noProof/>
          <w:sz w:val="24"/>
          <w:szCs w:val="24"/>
        </w:rPr>
      </w:pPr>
      <w:r>
        <w:rPr>
          <w:rFonts w:ascii="Times New Roman" w:hAnsi="Times New Roman"/>
          <w:noProof/>
          <w:sz w:val="24"/>
          <w:szCs w:val="24"/>
        </w:rPr>
        <w:t>Комисията счита, че трябва да бъдат осигурени подходящи ресурси за инспекции на място.  Що се отнася до въпроси в най-различни области, като например измамите с храни</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проверката на правилното етикетиране на храни и фуражи, прилагането на добри хигиенни практики при клане и подходящата употреба на продукти за растителна защита, инспекциите на място са от съществено значение.</w:t>
      </w:r>
    </w:p>
    <w:p>
      <w:pPr>
        <w:suppressAutoHyphens/>
        <w:jc w:val="both"/>
        <w:rPr>
          <w:rFonts w:ascii="Times New Roman" w:hAnsi="Times New Roman" w:cs="Times New Roman"/>
          <w:noProof/>
          <w:sz w:val="24"/>
          <w:szCs w:val="24"/>
        </w:rPr>
      </w:pPr>
      <w:r>
        <w:rPr>
          <w:rFonts w:ascii="Times New Roman" w:hAnsi="Times New Roman"/>
          <w:noProof/>
          <w:sz w:val="24"/>
          <w:szCs w:val="24"/>
        </w:rPr>
        <w:t xml:space="preserve">Контролът на Комисията относно изпълнението от държавите членки на официалния контрол по веригата за храни и фуражи дава ясна представа за резултатите на държавите членки по отношение на проверките и осигуряването на спазване от страна на операторите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Този контрол допринася в значителна степен за процеса на преглед на законодателството, целящ да се гарантира, че законодателството на Съюза съответства на поставените цели.  </w:t>
      </w:r>
    </w:p>
    <w:p>
      <w:pPr>
        <w:suppressAutoHyphens/>
        <w:jc w:val="both"/>
        <w:rPr>
          <w:rFonts w:ascii="Times New Roman" w:hAnsi="Times New Roman" w:cs="Times New Roman"/>
          <w:noProof/>
          <w:sz w:val="24"/>
          <w:szCs w:val="24"/>
        </w:rPr>
      </w:pPr>
      <w:r>
        <w:rPr>
          <w:rFonts w:ascii="Times New Roman" w:hAnsi="Times New Roman"/>
          <w:noProof/>
          <w:sz w:val="24"/>
          <w:szCs w:val="24"/>
        </w:rPr>
        <w:t xml:space="preserve">Въз основа на контрола от страна на Комисията по отношение на държавите членки беше заключено, че като цяло в държавите членки са налице необходимите системи за контрол, чрез които се гарантира изпълнението на изискванията на ЕС. В рамките на контрола от страна на Комисията в някои държави бяха установени недостатъци в изпълнението на официалния контрол, като се посочва, че все още са налице възможности за подобрение.  Комисията осъществяваше систематични последващи действия във връзка с препоръките си към държавите членки и използваше други инструменти за осигуряване на изпълнението при необходимост.  Освен това Комисията подкрепяше държавите членки (и държавите извън ЕС) чрез предоставяне на техническа подкрепа и обучение посредством инициативата „По-добро обучение за по-безопасни храни“ (BTSF) и технически срещи на експерти от държавите членки.  </w:t>
      </w:r>
    </w:p>
    <w:p>
      <w:pPr>
        <w:suppressAutoHyphens/>
        <w:jc w:val="both"/>
        <w:rPr>
          <w:rFonts w:ascii="Times New Roman" w:hAnsi="Times New Roman" w:cs="Times New Roman"/>
          <w:noProof/>
          <w:sz w:val="24"/>
          <w:szCs w:val="24"/>
        </w:rPr>
      </w:pPr>
      <w:r>
        <w:rPr>
          <w:rFonts w:ascii="Times New Roman" w:hAnsi="Times New Roman"/>
          <w:noProof/>
          <w:sz w:val="24"/>
          <w:szCs w:val="24"/>
        </w:rPr>
        <w:t>В настоящият доклад се отправят някои препоръки за допълнително укрепване на системите за официален контрол чрез информационните мрежи за длъжностни лица, използването на информация от частните схеми за осигуряване на качеството и публикуването на резултатите от официалния контрол.</w:t>
      </w:r>
    </w:p>
    <w:p>
      <w:pPr>
        <w:pStyle w:val="Heading1"/>
        <w:rPr>
          <w:noProof/>
          <w:szCs w:val="24"/>
        </w:rPr>
      </w:pPr>
      <w:bookmarkStart w:id="4" w:name="_Toc46332893"/>
      <w:bookmarkStart w:id="5" w:name="_Toc56004435"/>
      <w:r>
        <w:rPr>
          <w:noProof/>
        </w:rPr>
        <w:t>Въведение</w:t>
      </w:r>
      <w:bookmarkEnd w:id="4"/>
      <w:bookmarkEnd w:id="5"/>
    </w:p>
    <w:p>
      <w:pPr>
        <w:jc w:val="both"/>
        <w:rPr>
          <w:rFonts w:ascii="Times New Roman" w:hAnsi="Times New Roman" w:cs="Times New Roman"/>
          <w:noProof/>
          <w:sz w:val="24"/>
          <w:szCs w:val="24"/>
        </w:rPr>
      </w:pPr>
      <w:r>
        <w:rPr>
          <w:rFonts w:ascii="Times New Roman" w:hAnsi="Times New Roman"/>
          <w:noProof/>
          <w:sz w:val="24"/>
          <w:szCs w:val="24"/>
        </w:rPr>
        <w:t>Целта на ЕС е да гарантира високи равнища на защита на здравето и доверие в областите на безопасността на храните и фуражите, здравето на животните и растенията, хуманното отношение към животните, биологичното земеделие и схемите за качество. Гражданите на ЕС с основание очакват високи стандарти в тези области.</w:t>
      </w:r>
    </w:p>
    <w:p>
      <w:pPr>
        <w:jc w:val="both"/>
        <w:rPr>
          <w:rFonts w:ascii="Times New Roman" w:hAnsi="Times New Roman" w:cs="Times New Roman"/>
          <w:noProof/>
          <w:sz w:val="24"/>
          <w:szCs w:val="24"/>
        </w:rPr>
      </w:pPr>
      <w:r>
        <w:rPr>
          <w:rFonts w:ascii="Times New Roman" w:hAnsi="Times New Roman"/>
          <w:noProof/>
          <w:sz w:val="24"/>
          <w:szCs w:val="24"/>
        </w:rPr>
        <w:t>Налице е всеобхватна правна рамка на ЕС, с която се цели гарантиране на съгласуваност на контрола по веригата за храни и фуражи — „от фермата до трапезата“, и подходящ мониторинг, като същевременно се гарантират ефективен вътрешен пазар и търговия с държавите извън ЕС.</w:t>
      </w:r>
    </w:p>
    <w:p>
      <w:pPr>
        <w:jc w:val="both"/>
        <w:rPr>
          <w:rFonts w:ascii="Times New Roman" w:hAnsi="Times New Roman" w:cs="Times New Roman"/>
          <w:noProof/>
          <w:sz w:val="24"/>
          <w:szCs w:val="24"/>
        </w:rPr>
      </w:pPr>
      <w:r>
        <w:rPr>
          <w:rFonts w:ascii="Times New Roman" w:hAnsi="Times New Roman"/>
          <w:noProof/>
          <w:sz w:val="24"/>
          <w:szCs w:val="24"/>
        </w:rPr>
        <w:t>Един от стълбовете на интегрираната политика на ЕС за безопасност на храните „от фермата до трапезата“ е системата за ефективен официален контрол</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за проверка на съответствието на операторите по веригата за храни и фуражи със стандартите на ЕС.</w:t>
      </w:r>
    </w:p>
    <w:p>
      <w:pPr>
        <w:jc w:val="both"/>
        <w:rPr>
          <w:rFonts w:ascii="Times New Roman" w:hAnsi="Times New Roman" w:cs="Times New Roman"/>
          <w:noProof/>
          <w:sz w:val="24"/>
          <w:szCs w:val="24"/>
        </w:rPr>
      </w:pPr>
      <w:r>
        <w:rPr>
          <w:rFonts w:ascii="Times New Roman" w:hAnsi="Times New Roman"/>
          <w:noProof/>
          <w:sz w:val="24"/>
          <w:szCs w:val="24"/>
        </w:rPr>
        <w:t>Комисията изпълнява важна роля в общата рамка за контрол на равнището на ЕС</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 осъществява контрол, включително одити, в държавите членки. </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представят годишни доклади за изпълнението на официалния контрол пред Комисията</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която от своя страна докладва</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на обществеността, на Европейския парламент и на Съвета за общото състояние на контрола в държавите членки, като взема предвид:</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годишните доклади, представени от националните органи за извършените от тях контролни дейности;</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резултатите от извършения от Комисията контрол в държавите членки.</w:t>
      </w:r>
    </w:p>
    <w:p>
      <w:pPr>
        <w:jc w:val="both"/>
        <w:rPr>
          <w:rFonts w:ascii="Times New Roman" w:hAnsi="Times New Roman" w:cs="Times New Roman"/>
          <w:noProof/>
          <w:sz w:val="24"/>
          <w:szCs w:val="24"/>
        </w:rPr>
      </w:pPr>
      <w:r>
        <w:rPr>
          <w:rFonts w:ascii="Times New Roman" w:hAnsi="Times New Roman"/>
          <w:noProof/>
          <w:sz w:val="24"/>
          <w:szCs w:val="24"/>
        </w:rPr>
        <w:t>Настоящият доклад обхваща 2017 и 2018 година.</w:t>
      </w:r>
    </w:p>
    <w:p>
      <w:pPr>
        <w:pStyle w:val="Heading1"/>
        <w:rPr>
          <w:noProof/>
          <w:szCs w:val="24"/>
        </w:rPr>
      </w:pPr>
      <w:bookmarkStart w:id="6" w:name="_Toc46332894"/>
      <w:bookmarkStart w:id="7" w:name="_Toc56004436"/>
      <w:r>
        <w:rPr>
          <w:noProof/>
        </w:rPr>
        <w:t>Правна рамка</w:t>
      </w:r>
      <w:bookmarkEnd w:id="6"/>
      <w:bookmarkEnd w:id="7"/>
    </w:p>
    <w:p>
      <w:pPr>
        <w:jc w:val="both"/>
        <w:rPr>
          <w:rFonts w:ascii="Times New Roman" w:hAnsi="Times New Roman" w:cs="Times New Roman"/>
          <w:noProof/>
          <w:sz w:val="24"/>
          <w:szCs w:val="24"/>
        </w:rPr>
      </w:pPr>
      <w:r>
        <w:rPr>
          <w:rFonts w:ascii="Times New Roman" w:hAnsi="Times New Roman"/>
          <w:noProof/>
          <w:sz w:val="24"/>
          <w:szCs w:val="24"/>
        </w:rPr>
        <w:t>С „общото законодателство в областта на храните“</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на операторите на предприятия за храни/фуражи се възлага основната отговорност за гарантиране безопасността на храните. Изискванията относно биологичното производство, етикетирането на биологични продукти</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и схемите за качество на селскостопанските продукти и храни (защитените наименования за произход, защитените географски указания и храните с традиционно специфичен характер)</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се разглеждат в конкретни регламенти на ЕС.</w:t>
      </w:r>
    </w:p>
    <w:p>
      <w:pPr>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са задължени да проверяват дали стопанските субекти спазват приложимото право на ЕС. За тази цел в техните МНПК са описани системите за официален контрол. </w:t>
      </w:r>
    </w:p>
    <w:p>
      <w:pPr>
        <w:jc w:val="both"/>
        <w:rPr>
          <w:rFonts w:ascii="Times New Roman" w:hAnsi="Times New Roman" w:cs="Times New Roman"/>
          <w:noProof/>
          <w:sz w:val="24"/>
          <w:szCs w:val="24"/>
        </w:rPr>
      </w:pPr>
      <w:r>
        <w:rPr>
          <w:rFonts w:ascii="Times New Roman" w:hAnsi="Times New Roman"/>
          <w:noProof/>
          <w:sz w:val="24"/>
          <w:szCs w:val="24"/>
        </w:rPr>
        <w:t>От 14 декември 2019 г. започнаха да се прилагат промените в законодателството, свързано с тези изисквания, съгласно Регламента относно официалния контрол (РОК)</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В РОК се описват изискванията по отношение на системите за контрол, МНПК и извършването на официалния контрол</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Най-важните изисквания, въведени с новия РОК и свързани със системите за официален контрол и МНПК, са следните:</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в обхвата вече се включват също така официалният контрол на страничните животински продукти, здравето на растенията, продуктите за растителна защита, биологичното производство и етикетирането на защитените наименования за произход, защитените географски указания и храните с традиционно специфичен характер;</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от държавите членки се изисква да определят един орган за координиране на изготвянето, съгласуването, преразглеждането, актуализирането и докладването във връзка с МНПК;</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в МНПК се описват неговите стратегически цели и подробно изложеното в тях категоризиране на официалния контрол според рисковете;</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МНПК трябва да се направят обществено достояние, с някои ограничени на брой изключения;</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за да се гарантира на висока степен на прозрачност, на обществеността се предоставя съответната информация относно организацията и осъществяването на официалния контрол; това задължение може да бъде изпълнено чрез публикуването на годишния доклад, представен на Комисията от всяка държава членка</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Съгласно РОК от Комисията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се изисква да извършва контрол, включително одити, в държавите членки, а от държавите членки се изисква да предприемат подходящи последващи мерки за отстраняване на слабостите, установени при този контрол</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Heading1"/>
        <w:rPr>
          <w:noProof/>
          <w:szCs w:val="24"/>
        </w:rPr>
      </w:pPr>
      <w:bookmarkStart w:id="8" w:name="_Toc46332895"/>
      <w:bookmarkStart w:id="9" w:name="_Toc56004437"/>
      <w:r>
        <w:rPr>
          <w:noProof/>
        </w:rPr>
        <w:t>Преглед на годишните доклади на държавите членки</w:t>
      </w:r>
      <w:bookmarkEnd w:id="8"/>
      <w:bookmarkEnd w:id="9"/>
    </w:p>
    <w:p>
      <w:pPr>
        <w:pStyle w:val="Heading2"/>
        <w:rPr>
          <w:noProof/>
          <w:szCs w:val="24"/>
        </w:rPr>
      </w:pPr>
      <w:bookmarkStart w:id="10" w:name="_Toc46332896"/>
      <w:bookmarkStart w:id="11" w:name="_Toc56004438"/>
      <w:r>
        <w:rPr>
          <w:noProof/>
        </w:rPr>
        <w:t>Получаване и преглед на годишните доклади на държавите членки</w:t>
      </w:r>
      <w:bookmarkEnd w:id="10"/>
      <w:bookmarkEnd w:id="11"/>
    </w:p>
    <w:p>
      <w:pPr>
        <w:jc w:val="both"/>
        <w:rPr>
          <w:rFonts w:ascii="Times New Roman" w:hAnsi="Times New Roman" w:cs="Times New Roman"/>
          <w:noProof/>
          <w:sz w:val="24"/>
          <w:szCs w:val="24"/>
        </w:rPr>
      </w:pPr>
      <w:r>
        <w:rPr>
          <w:rFonts w:ascii="Times New Roman" w:hAnsi="Times New Roman"/>
          <w:noProof/>
          <w:sz w:val="24"/>
          <w:szCs w:val="24"/>
        </w:rPr>
        <w:t>Държавите членки предоставиха своите годишни доклади за 2017 и 2018 година съгласно предишния регламент относно официалния контрол, който бе отменен и заменен с РОК</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Препоръчаната и приложима за тези години структура на докладите, подробно описана в насоките на Комисията</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представляваше основата за настоящата оценка.</w:t>
      </w:r>
    </w:p>
    <w:p>
      <w:pPr>
        <w:jc w:val="both"/>
        <w:rPr>
          <w:rFonts w:ascii="Times New Roman" w:hAnsi="Times New Roman" w:cs="Times New Roman"/>
          <w:noProof/>
          <w:sz w:val="24"/>
          <w:szCs w:val="24"/>
        </w:rPr>
      </w:pPr>
      <w:r>
        <w:rPr>
          <w:rFonts w:ascii="Times New Roman" w:hAnsi="Times New Roman"/>
          <w:noProof/>
          <w:sz w:val="24"/>
          <w:szCs w:val="24"/>
        </w:rPr>
        <w:t xml:space="preserve">Относително малко държави членки представиха годишните си доклади на службите на Комисията в рамките на определения краен срок. Единствено Чешката република, Естония, Финландия, Латвия, Литва и Словашката република представиха навреме своите доклади за 2017 и 2018 година. Някои държави закъсняха твърде много по отношение на докладването — например Комисията получи последния годишен доклад за 2017 г. през април 2019 г., а през юни 2020 г. все още не беше получила един годишен доклад за 2018 г. </w:t>
      </w:r>
    </w:p>
    <w:p>
      <w:pPr>
        <w:jc w:val="both"/>
        <w:rPr>
          <w:rFonts w:ascii="Times New Roman" w:hAnsi="Times New Roman" w:cs="Times New Roman"/>
          <w:noProof/>
          <w:sz w:val="24"/>
          <w:szCs w:val="24"/>
        </w:rPr>
      </w:pPr>
      <w:r>
        <w:rPr>
          <w:rFonts w:ascii="Times New Roman" w:hAnsi="Times New Roman"/>
          <w:noProof/>
          <w:sz w:val="24"/>
          <w:szCs w:val="24"/>
        </w:rPr>
        <w:t>Докладите се различават значително по отношение на представянето на данните и естеството на представените данни. Това прави трудно анализирането и сравнението им и представлява значително предизвикателство за службите на Комисията с оглед изготвянето на настоящия годишен доклад.</w:t>
      </w:r>
    </w:p>
    <w:p>
      <w:pPr>
        <w:jc w:val="both"/>
        <w:rPr>
          <w:rFonts w:ascii="Times New Roman" w:hAnsi="Times New Roman" w:cs="Times New Roman"/>
          <w:noProof/>
          <w:sz w:val="24"/>
          <w:szCs w:val="24"/>
        </w:rPr>
      </w:pPr>
      <w:r>
        <w:rPr>
          <w:rFonts w:ascii="Times New Roman" w:hAnsi="Times New Roman"/>
          <w:noProof/>
          <w:sz w:val="24"/>
          <w:szCs w:val="24"/>
        </w:rPr>
        <w:t>Във връзка с биологичното производство Комисията отговори на коментарите от Европейската сметна палата</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и през 2018 г. започна да изпраща последващи писма до държавите членки с искане за пояснения и допълнителна информация във връзка с годишните доклади относно биологичното производство. За годината на докладване 2017 беше изпратено писмо до 14 държави членки и една държава от Европейската асоциация за свободна търговия (ЕАСТ). За годината на докладване 2018 — до 24 държави членки и една държава от ЕАСТ</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 РОК бе въведен стандартен образец на формуляр за годишните доклади, които държавите членки</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ще представят също така по електронен път. С РОК се удължава срокът (от 30 юни на 31 август) за представяне на тази информация и данни. Докладването чрез електронни средства и по еднакъв начин на резултатите от официалния контрол, вида и броя на случаите на несъответствие и мерките, предприети с цел гарантиране на ефективното изпълнение на МНПК на държавите членки, ще улесни анализа на Комисията и сравнението на тези данни в рамките на държавите членки и между тях.</w:t>
      </w:r>
    </w:p>
    <w:p>
      <w:pPr>
        <w:pStyle w:val="Heading2"/>
        <w:rPr>
          <w:noProof/>
          <w:szCs w:val="24"/>
        </w:rPr>
      </w:pPr>
      <w:bookmarkStart w:id="12" w:name="_Toc46332897"/>
      <w:bookmarkStart w:id="13" w:name="_Toc56004439"/>
      <w:r>
        <w:rPr>
          <w:noProof/>
        </w:rPr>
        <w:t>Организация и извършване на официалния контрол</w:t>
      </w:r>
      <w:bookmarkEnd w:id="12"/>
      <w:bookmarkEnd w:id="13"/>
    </w:p>
    <w:p>
      <w:pPr>
        <w:jc w:val="both"/>
        <w:rPr>
          <w:rFonts w:ascii="Times New Roman" w:hAnsi="Times New Roman" w:cs="Times New Roman"/>
          <w:b/>
          <w:noProof/>
          <w:sz w:val="24"/>
          <w:szCs w:val="24"/>
        </w:rPr>
      </w:pPr>
      <w:r>
        <w:rPr>
          <w:rFonts w:ascii="Times New Roman" w:hAnsi="Times New Roman"/>
          <w:noProof/>
          <w:sz w:val="24"/>
          <w:szCs w:val="24"/>
        </w:rPr>
        <w:t xml:space="preserve">Държавите членки са установили системи за официален контрол, които до голяма степен им дават възможност да гарантират прилагането на правната рамка от страна на стопанските субекти в областта на храните и операторите в сектора на фуражите. Специфичните аспекти на тези системи са очертани по-долу с цел да се илюстрират някои от предизвикателствата и инициативите, представени от държавите членки. </w:t>
      </w:r>
    </w:p>
    <w:p>
      <w:pPr>
        <w:pStyle w:val="Heading3"/>
        <w:rPr>
          <w:noProof/>
          <w:szCs w:val="24"/>
        </w:rPr>
      </w:pPr>
      <w:bookmarkStart w:id="14" w:name="_Toc46332898"/>
      <w:bookmarkStart w:id="15" w:name="_Toc56004440"/>
      <w:r>
        <w:rPr>
          <w:noProof/>
        </w:rPr>
        <w:t>Оперативни и стратегически цели</w:t>
      </w:r>
      <w:bookmarkEnd w:id="14"/>
      <w:bookmarkEnd w:id="15"/>
    </w:p>
    <w:p>
      <w:pPr>
        <w:jc w:val="both"/>
        <w:rPr>
          <w:rFonts w:ascii="Times New Roman" w:hAnsi="Times New Roman" w:cs="Times New Roman"/>
          <w:noProof/>
          <w:sz w:val="24"/>
          <w:szCs w:val="24"/>
        </w:rPr>
      </w:pPr>
      <w:r>
        <w:rPr>
          <w:rFonts w:ascii="Times New Roman" w:hAnsi="Times New Roman"/>
          <w:noProof/>
          <w:sz w:val="24"/>
          <w:szCs w:val="24"/>
        </w:rPr>
        <w:t>В своите МНПК държавите членки следва да определят стратегическите цели за организацията на официалния контрол</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По-малко от една трета от тях обаче (Белгия, Германия, Дания, Естония, Ирландия, Италия, Кипър, Финландия и Франция) докладваха относно специфичните ключови показатели за ефективност (КПЕ), използвани за оценка на ефективността на техния официален контрол. Включването на резултатите от тези КПЕ би осигурило по-добро разбиране на начина, по който всяка държава членка използва резултатите от контрола, за да внесе изменения в МНПК, когато това е необходимо.</w:t>
      </w:r>
    </w:p>
    <w:p>
      <w:pPr>
        <w:suppressAutoHyphens/>
        <w:jc w:val="both"/>
        <w:rPr>
          <w:rFonts w:ascii="Times New Roman" w:hAnsi="Times New Roman" w:cs="Times New Roman"/>
          <w:noProof/>
          <w:sz w:val="24"/>
          <w:szCs w:val="24"/>
        </w:rPr>
      </w:pPr>
      <w:r>
        <w:rPr>
          <w:rFonts w:ascii="Times New Roman" w:hAnsi="Times New Roman"/>
          <w:noProof/>
          <w:sz w:val="24"/>
          <w:szCs w:val="24"/>
        </w:rPr>
        <w:t>Други държави членки докладват по-общо за начина, по който техният контрол оказва въздействие върху целите. Например Нидерландия заяви, че използва показатели за хуманно отношение към животните за определяне на целите на програмите за официален контрол. Компетентните нидерландски органи измерват ефективността на контрола също така чрез специфични проекти, като например „План за подобряване на веригата за доставки на месо“, „Медта във фуражите за свине“ и „Наблюдение за съответствие на кланици за червено месо и птицекланици“. В годишния доклад се посочва, че работата, извършена през 2017 г. във връзка с анализите на целеви групи и разработването на стратегии за мониторинг преди оценките на въздействието, е осигурила по-пълна представа за съответствието и следователно за ефективността на официалния контрол.</w:t>
      </w:r>
    </w:p>
    <w:p>
      <w:pPr>
        <w:pStyle w:val="Heading3"/>
        <w:rPr>
          <w:noProof/>
          <w:szCs w:val="24"/>
        </w:rPr>
      </w:pPr>
      <w:bookmarkStart w:id="16" w:name="_Toc46332899"/>
      <w:bookmarkStart w:id="17" w:name="_Toc56004441"/>
      <w:r>
        <w:rPr>
          <w:noProof/>
        </w:rPr>
        <w:t>Планиран и текущ официален контрол</w:t>
      </w:r>
      <w:bookmarkEnd w:id="16"/>
      <w:bookmarkEnd w:id="17"/>
    </w:p>
    <w:p>
      <w:pPr>
        <w:jc w:val="both"/>
        <w:rPr>
          <w:rFonts w:ascii="Times New Roman" w:hAnsi="Times New Roman" w:cs="Times New Roman"/>
          <w:noProof/>
          <w:sz w:val="24"/>
          <w:szCs w:val="24"/>
        </w:rPr>
      </w:pPr>
      <w:r>
        <w:rPr>
          <w:rFonts w:ascii="Times New Roman" w:hAnsi="Times New Roman"/>
          <w:noProof/>
          <w:sz w:val="24"/>
          <w:szCs w:val="24"/>
        </w:rPr>
        <w:t>Съгласно законодателството на ЕС националните органи следва да планират своя официален контрол съгласно установените приоритети, основани на риска</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Въпреки че всички държави членки подчертаха, че определят честотата на официалния контрол чрез основани на риска оценки, те не описаха използваната методология. </w:t>
      </w:r>
    </w:p>
    <w:p>
      <w:pPr>
        <w:jc w:val="both"/>
        <w:rPr>
          <w:rFonts w:ascii="Times New Roman" w:hAnsi="Times New Roman" w:cs="Times New Roman"/>
          <w:noProof/>
          <w:sz w:val="24"/>
          <w:szCs w:val="24"/>
        </w:rPr>
      </w:pPr>
      <w:r>
        <w:rPr>
          <w:rFonts w:ascii="Times New Roman" w:hAnsi="Times New Roman"/>
          <w:noProof/>
          <w:sz w:val="24"/>
          <w:szCs w:val="24"/>
        </w:rPr>
        <w:t>Органи за оценяване на съответствието от трета страна сертифицират европейските предприятия за храни и фуражи съгласно редица частни схеми за осигуряване на качеството. Австрия, Белгия, Дания, Нидерландия и Обединеното кралство докладваха за начина, по който използват информацията от тези схеми в своите оценки на риска. Например Нидерландия е провела срещи със собствениците на тези схеми.</w:t>
      </w:r>
    </w:p>
    <w:p>
      <w:pPr>
        <w:pStyle w:val="Heading3"/>
        <w:rPr>
          <w:noProof/>
          <w:szCs w:val="24"/>
        </w:rPr>
      </w:pPr>
      <w:bookmarkStart w:id="18" w:name="_Toc46332900"/>
      <w:bookmarkStart w:id="19" w:name="_Toc56004442"/>
      <w:r>
        <w:rPr>
          <w:noProof/>
        </w:rPr>
        <w:t>Специфични контролни дейности</w:t>
      </w:r>
      <w:bookmarkEnd w:id="18"/>
      <w:bookmarkEnd w:id="19"/>
    </w:p>
    <w:p>
      <w:pPr>
        <w:jc w:val="both"/>
        <w:rPr>
          <w:rFonts w:ascii="Times New Roman" w:hAnsi="Times New Roman" w:cs="Times New Roman"/>
          <w:noProof/>
          <w:sz w:val="24"/>
          <w:szCs w:val="24"/>
        </w:rPr>
      </w:pPr>
      <w:r>
        <w:rPr>
          <w:rFonts w:ascii="Times New Roman" w:hAnsi="Times New Roman"/>
          <w:noProof/>
          <w:sz w:val="24"/>
          <w:szCs w:val="24"/>
        </w:rPr>
        <w:t xml:space="preserve">Освен планираните контролни дейности държавите членки реагират на възникващите проблеми със специфични контролни дейности. Дания и Унгария докладваха, че когато броят на проверките в рамките на редовния официален контрол е бил по-малък, отколкото в предходни години, те са увеличили броя на </w:t>
      </w:r>
      <w:r>
        <w:rPr>
          <w:rFonts w:ascii="Times New Roman" w:hAnsi="Times New Roman"/>
          <w:i/>
          <w:iCs/>
          <w:noProof/>
          <w:sz w:val="24"/>
          <w:szCs w:val="24"/>
        </w:rPr>
        <w:t>ad-hoc</w:t>
      </w:r>
      <w:r>
        <w:rPr>
          <w:rFonts w:ascii="Times New Roman" w:hAnsi="Times New Roman"/>
          <w:noProof/>
          <w:sz w:val="24"/>
          <w:szCs w:val="24"/>
        </w:rPr>
        <w:t xml:space="preserve"> специфичните контролни дейности.</w:t>
      </w:r>
    </w:p>
    <w:p>
      <w:pPr>
        <w:jc w:val="both"/>
        <w:rPr>
          <w:rFonts w:ascii="Times New Roman" w:hAnsi="Times New Roman" w:cs="Times New Roman"/>
          <w:noProof/>
          <w:sz w:val="24"/>
          <w:szCs w:val="24"/>
        </w:rPr>
      </w:pPr>
      <w:r>
        <w:rPr>
          <w:rFonts w:ascii="Times New Roman" w:hAnsi="Times New Roman"/>
          <w:noProof/>
          <w:sz w:val="24"/>
          <w:szCs w:val="24"/>
        </w:rPr>
        <w:t>В Нидерландия основаният на риска мониторинг е показал, че целевият мониторинг на конкретни храни, целевите инспекции за съответствие и контролът на микробиологичните опасности могат да имат предимства и могат да предоставят на предприятията и потребителите рамка, на която да се основат специфичните действия.</w:t>
      </w:r>
    </w:p>
    <w:p>
      <w:pPr>
        <w:jc w:val="both"/>
        <w:rPr>
          <w:rFonts w:ascii="Times New Roman" w:hAnsi="Times New Roman" w:cs="Times New Roman"/>
          <w:noProof/>
          <w:sz w:val="24"/>
          <w:szCs w:val="24"/>
        </w:rPr>
      </w:pPr>
      <w:r>
        <w:rPr>
          <w:rFonts w:ascii="Times New Roman" w:hAnsi="Times New Roman"/>
          <w:noProof/>
          <w:sz w:val="24"/>
          <w:szCs w:val="24"/>
        </w:rPr>
        <w:t>В периода 2017—2018 г. повечето държави членки трябваше да се справят с последиците от инцидента с фипронил, възникнал в Нидерландия и довел до изтегляне и изземване на яйца и яйчни продукти в целия ЕС (въпросът е посочен конкретно в докладите на Белгия, Дания, Италия, Нидерландия, Полша, Унгария, Финландия, Франция и Чешката република).</w:t>
      </w:r>
    </w:p>
    <w:p>
      <w:pPr>
        <w:jc w:val="both"/>
        <w:rPr>
          <w:rFonts w:ascii="Times New Roman" w:hAnsi="Times New Roman" w:cs="Times New Roman"/>
          <w:noProof/>
          <w:sz w:val="24"/>
          <w:szCs w:val="24"/>
        </w:rPr>
      </w:pPr>
      <w:r>
        <w:rPr>
          <w:rFonts w:ascii="Times New Roman" w:hAnsi="Times New Roman"/>
          <w:noProof/>
          <w:sz w:val="24"/>
          <w:szCs w:val="24"/>
        </w:rPr>
        <w:t>Редица държави членки (Белгия, Германия, Гърция, Дания, Испания, Италия, Латвия, Литва, Люксембург, Малта, Нидерландия, Обединеното кралство, Словения, Унгария, Финландия и Швеция) посочиха измамите с храни и продажбите по интернет като области, поставящи особени предизвикателства. Новата възможност съгласно РОК за вземане на проби от стоки, предлагани за продажба, чрез средства за комуникация от разстояние</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и правилата относно нивото на финансовите санкции за измами с храни</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следва да помогнат на държавите членки при осигуряването на изпълнението в тези области. </w:t>
      </w:r>
    </w:p>
    <w:p>
      <w:pPr>
        <w:jc w:val="both"/>
        <w:rPr>
          <w:rFonts w:ascii="Times New Roman" w:hAnsi="Times New Roman" w:cs="Times New Roman"/>
          <w:noProof/>
          <w:sz w:val="24"/>
          <w:szCs w:val="24"/>
        </w:rPr>
      </w:pPr>
      <w:r>
        <w:rPr>
          <w:rFonts w:ascii="Times New Roman" w:hAnsi="Times New Roman"/>
          <w:noProof/>
          <w:sz w:val="24"/>
          <w:szCs w:val="24"/>
        </w:rPr>
        <w:t xml:space="preserve">Наличието на африканска чума по свинете изискваше значителни официални ресурси в засегнатите държави — за контрол на болестта, или държавите в риск — за предотвратяване на нейната поява и гарантиране на ранното ѝ откриване, както бе докладвано от Германия, Естония, Полша, Румъния, Финландия и Швеция. </w:t>
      </w:r>
    </w:p>
    <w:p>
      <w:pPr>
        <w:pStyle w:val="Heading3"/>
        <w:rPr>
          <w:noProof/>
          <w:szCs w:val="24"/>
        </w:rPr>
      </w:pPr>
      <w:bookmarkStart w:id="20" w:name="_Toc46332901"/>
      <w:bookmarkStart w:id="21" w:name="_Toc56004443"/>
      <w:r>
        <w:rPr>
          <w:noProof/>
        </w:rPr>
        <w:t>Ресурси</w:t>
      </w:r>
      <w:bookmarkEnd w:id="20"/>
      <w:bookmarkEnd w:id="21"/>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Държавите членки трябва да гарантират наличието на подходящи финансови средства за осигуряване на персонала и другите ресурси, необходими на компетентните органи за извършването на официалния контрол и другите официални дейности</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Белгия, България, Германия, Гърция, Испания, Кипър, Нидерландия, Полша, Португалия, Румъния, Словакия, Финландия и Швеция подчертаха, че бюджетните съкращения са довели до намаляване на числеността на персонала, понякога значително в сравнение с предходни години, и до недостатъчно финансови и/или материални ресурси. Германия, Гърция, Испания, Нидерландия, Полша, Португалия, Румъния и Финландия признаха, че не са могли да изпълнят всички задачи, планирани в техните МНПК.</w:t>
      </w:r>
    </w:p>
    <w:p>
      <w:pPr>
        <w:jc w:val="both"/>
        <w:rPr>
          <w:rFonts w:ascii="Times New Roman" w:hAnsi="Times New Roman" w:cs="Times New Roman"/>
          <w:noProof/>
          <w:sz w:val="24"/>
          <w:szCs w:val="24"/>
        </w:rPr>
      </w:pPr>
      <w:r>
        <w:rPr>
          <w:rFonts w:ascii="Times New Roman" w:hAnsi="Times New Roman"/>
          <w:noProof/>
          <w:sz w:val="24"/>
          <w:szCs w:val="24"/>
        </w:rPr>
        <w:t>В Нидерландия, Франция и Чешката република бе увеличена числеността на персонала с цел справяне с конкретни задачи, например в областта на здравеопазването на животните (африканска чума по свинете, високопатогенна инфлуенца по птиците), здравето на растенията (</w:t>
      </w:r>
      <w:r>
        <w:rPr>
          <w:rFonts w:ascii="Times New Roman" w:hAnsi="Times New Roman"/>
          <w:i/>
          <w:noProof/>
          <w:sz w:val="24"/>
          <w:szCs w:val="24"/>
        </w:rPr>
        <w:t>Xylella fastidiosa</w:t>
      </w:r>
      <w:r>
        <w:rPr>
          <w:rFonts w:ascii="Times New Roman" w:hAnsi="Times New Roman"/>
          <w:noProof/>
          <w:sz w:val="24"/>
          <w:szCs w:val="24"/>
        </w:rPr>
        <w:t xml:space="preserve">), измамите с храни и подготовката за Брексит.  </w:t>
      </w:r>
    </w:p>
    <w:p>
      <w:pPr>
        <w:jc w:val="both"/>
        <w:rPr>
          <w:rFonts w:ascii="Times New Roman" w:hAnsi="Times New Roman" w:cs="Times New Roman"/>
          <w:noProof/>
          <w:sz w:val="24"/>
          <w:szCs w:val="24"/>
        </w:rPr>
      </w:pPr>
      <w:r>
        <w:rPr>
          <w:rFonts w:ascii="Times New Roman" w:hAnsi="Times New Roman"/>
          <w:noProof/>
          <w:sz w:val="24"/>
          <w:szCs w:val="24"/>
        </w:rPr>
        <w:t>Испания, Малта и Швеция посочиха трудности при наемането на подходящо квалифициран персонал — проблем, пред който са били изправени също така стопанските субекти в областта на храните и операторите в сектора на фуражите.</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докладваха, че основните стратегии, които са им помогнали да смекчат намаляването на числеността на персонала, са били анализът на данни и подобрените IT системи.</w:t>
      </w:r>
    </w:p>
    <w:p>
      <w:pPr>
        <w:jc w:val="both"/>
        <w:rPr>
          <w:rFonts w:ascii="Times New Roman" w:hAnsi="Times New Roman" w:cs="Times New Roman"/>
          <w:noProof/>
          <w:sz w:val="24"/>
          <w:szCs w:val="24"/>
        </w:rPr>
      </w:pPr>
      <w:r>
        <w:rPr>
          <w:rFonts w:ascii="Times New Roman" w:hAnsi="Times New Roman"/>
          <w:noProof/>
          <w:sz w:val="24"/>
          <w:szCs w:val="24"/>
        </w:rPr>
        <w:t>Компетентните органи на държавите членки виждат споделянето на знания с националните експерти (в рамките на държавите членки и между тях) като ключов елемент за подобряване на одитните процедури. Всички държави членки приветстваха инициативата BTSF.</w:t>
      </w:r>
    </w:p>
    <w:p>
      <w:pPr>
        <w:pStyle w:val="Heading2"/>
        <w:rPr>
          <w:noProof/>
          <w:szCs w:val="24"/>
        </w:rPr>
      </w:pPr>
      <w:bookmarkStart w:id="22" w:name="_Toc46332902"/>
      <w:bookmarkStart w:id="23" w:name="_Toc56004444"/>
      <w:r>
        <w:rPr>
          <w:noProof/>
        </w:rPr>
        <w:t>Цялостно съответствие със законодателството в областта на фуражите и храните, правилата относно здравеопазването на животните и хуманното отношение към тях</w:t>
      </w:r>
      <w:bookmarkEnd w:id="22"/>
      <w:r>
        <w:rPr>
          <w:noProof/>
        </w:rPr>
        <w:t xml:space="preserve"> и правилата относно биологичното земеделие</w:t>
      </w:r>
      <w:bookmarkEnd w:id="23"/>
    </w:p>
    <w:p>
      <w:pPr>
        <w:jc w:val="both"/>
        <w:rPr>
          <w:rFonts w:ascii="Times New Roman" w:hAnsi="Times New Roman" w:cs="Times New Roman"/>
          <w:noProof/>
          <w:sz w:val="24"/>
          <w:szCs w:val="24"/>
        </w:rPr>
      </w:pPr>
      <w:r>
        <w:rPr>
          <w:rFonts w:ascii="Times New Roman" w:hAnsi="Times New Roman"/>
          <w:noProof/>
          <w:sz w:val="24"/>
          <w:szCs w:val="24"/>
        </w:rPr>
        <w:t>Годишните доклади предоставят информация за и анализ на несъответствията, установени от компетентните органи на държавите членки по отношение на стопанските субекти в областта на храните и операторите в сектора на фуражите.</w:t>
      </w:r>
    </w:p>
    <w:p>
      <w:pPr>
        <w:pStyle w:val="Heading3"/>
        <w:rPr>
          <w:noProof/>
          <w:szCs w:val="24"/>
        </w:rPr>
      </w:pPr>
      <w:bookmarkStart w:id="24" w:name="_Toc46332903"/>
      <w:bookmarkStart w:id="25" w:name="_Toc56004445"/>
      <w:r>
        <w:rPr>
          <w:noProof/>
        </w:rPr>
        <w:t>Видове несъответствия</w:t>
      </w:r>
      <w:bookmarkEnd w:id="24"/>
      <w:bookmarkEnd w:id="25"/>
    </w:p>
    <w:p>
      <w:pPr>
        <w:jc w:val="both"/>
        <w:rPr>
          <w:rFonts w:ascii="Times New Roman" w:hAnsi="Times New Roman" w:cs="Times New Roman"/>
          <w:noProof/>
          <w:sz w:val="24"/>
          <w:szCs w:val="24"/>
        </w:rPr>
      </w:pPr>
      <w:r>
        <w:rPr>
          <w:rFonts w:ascii="Times New Roman" w:hAnsi="Times New Roman"/>
          <w:noProof/>
          <w:sz w:val="24"/>
          <w:szCs w:val="24"/>
        </w:rPr>
        <w:t>Повечето несъответствия, докладвани от компетентните органи на държавите членки, се отнасяха до пропуски при спазването на добри хигиенни практики и поддръжката на инфраструктурата, както и оператори, които или не извършват собствени проверки, или не регистрират резултатите от тези проверки.</w:t>
      </w:r>
    </w:p>
    <w:p>
      <w:pPr>
        <w:jc w:val="both"/>
        <w:rPr>
          <w:rFonts w:ascii="Times New Roman" w:hAnsi="Times New Roman" w:cs="Times New Roman"/>
          <w:noProof/>
          <w:sz w:val="24"/>
          <w:szCs w:val="24"/>
        </w:rPr>
      </w:pPr>
      <w:r>
        <w:rPr>
          <w:rFonts w:ascii="Times New Roman" w:hAnsi="Times New Roman"/>
          <w:noProof/>
          <w:sz w:val="24"/>
          <w:szCs w:val="24"/>
        </w:rPr>
        <w:t xml:space="preserve">Осигуряването на изпълнението в областите на разпространението, продажбата, етикетирането и употребата на пестициди, както и етикетирането на хранителни продукти, предназначени за крайния потребител, също продължиха да бъдат значителни предизвикателства в държавите членки. </w:t>
      </w:r>
    </w:p>
    <w:p>
      <w:pPr>
        <w:pStyle w:val="Heading3"/>
        <w:rPr>
          <w:noProof/>
          <w:szCs w:val="24"/>
        </w:rPr>
      </w:pPr>
      <w:bookmarkStart w:id="26" w:name="_Toc46332904"/>
      <w:bookmarkStart w:id="27" w:name="_Toc56004446"/>
      <w:r>
        <w:rPr>
          <w:noProof/>
        </w:rPr>
        <w:t>Анализ на несъответствията</w:t>
      </w:r>
      <w:bookmarkEnd w:id="26"/>
      <w:bookmarkEnd w:id="27"/>
    </w:p>
    <w:p>
      <w:pPr>
        <w:jc w:val="both"/>
        <w:rPr>
          <w:rFonts w:ascii="Times New Roman" w:hAnsi="Times New Roman" w:cs="Times New Roman"/>
          <w:noProof/>
          <w:sz w:val="24"/>
          <w:szCs w:val="24"/>
          <w:u w:val="single"/>
        </w:rPr>
      </w:pPr>
      <w:r>
        <w:rPr>
          <w:rFonts w:ascii="Times New Roman" w:hAnsi="Times New Roman"/>
          <w:noProof/>
          <w:sz w:val="24"/>
          <w:szCs w:val="24"/>
          <w:u w:val="single"/>
        </w:rPr>
        <w:t>Случаи на несъответствие</w:t>
      </w:r>
    </w:p>
    <w:p>
      <w:pPr>
        <w:jc w:val="both"/>
        <w:rPr>
          <w:rFonts w:ascii="Times New Roman" w:hAnsi="Times New Roman" w:cs="Times New Roman"/>
          <w:noProof/>
          <w:sz w:val="24"/>
          <w:szCs w:val="24"/>
        </w:rPr>
      </w:pPr>
      <w:r>
        <w:rPr>
          <w:rFonts w:ascii="Times New Roman" w:hAnsi="Times New Roman"/>
          <w:noProof/>
          <w:sz w:val="24"/>
          <w:szCs w:val="24"/>
        </w:rPr>
        <w:t>В някои доклади се посочваха проценти на несъответствие. Използването на проценти за сравнение на резултатите на държавите членки може да се окаже подвеждащо.  При съпоставяне на данните на държавите членки по-високият процент на докладвани несъответствия в дадена държава членка не означава непременно, че ситуацията в тази държава членка е по-лоша.  Напротив, той може да показва, че в тази държава членка има по-добро насочване на контрола въз основа на риска и ресурсите. По-добре насоченият контрол може да доведе до по-голям брой инспекции (и установени несъответствия).</w:t>
      </w:r>
    </w:p>
    <w:p>
      <w:pPr>
        <w:jc w:val="both"/>
        <w:rPr>
          <w:rFonts w:ascii="Times New Roman" w:hAnsi="Times New Roman" w:cs="Times New Roman"/>
          <w:noProof/>
          <w:sz w:val="24"/>
          <w:szCs w:val="24"/>
          <w:u w:val="single"/>
        </w:rPr>
      </w:pPr>
      <w:r>
        <w:rPr>
          <w:rFonts w:ascii="Times New Roman" w:hAnsi="Times New Roman"/>
          <w:noProof/>
          <w:sz w:val="24"/>
          <w:szCs w:val="24"/>
          <w:u w:val="single"/>
        </w:rPr>
        <w:t>Естество на риска, който се поражда от несъответствието</w:t>
      </w:r>
    </w:p>
    <w:p>
      <w:pPr>
        <w:jc w:val="both"/>
        <w:rPr>
          <w:rFonts w:ascii="Times New Roman" w:hAnsi="Times New Roman" w:cs="Times New Roman"/>
          <w:noProof/>
          <w:sz w:val="24"/>
          <w:szCs w:val="24"/>
        </w:rPr>
      </w:pPr>
      <w:r>
        <w:rPr>
          <w:rFonts w:ascii="Times New Roman" w:hAnsi="Times New Roman"/>
          <w:noProof/>
          <w:sz w:val="24"/>
          <w:szCs w:val="24"/>
        </w:rPr>
        <w:t>Само малка част от годишните доклади съдържатха информация относно рисковете, свързани с несъответствията, установени по време на официалния контрол.</w:t>
      </w:r>
    </w:p>
    <w:p>
      <w:pPr>
        <w:jc w:val="both"/>
        <w:rPr>
          <w:rFonts w:ascii="Times New Roman" w:hAnsi="Times New Roman" w:cs="Times New Roman"/>
          <w:noProof/>
          <w:sz w:val="24"/>
          <w:szCs w:val="24"/>
        </w:rPr>
      </w:pPr>
      <w:r>
        <w:rPr>
          <w:rFonts w:ascii="Times New Roman" w:hAnsi="Times New Roman"/>
          <w:noProof/>
          <w:sz w:val="24"/>
          <w:szCs w:val="24"/>
        </w:rPr>
        <w:t xml:space="preserve">Като цяло рисковете се отнасяха до евентуалното разпространение на болести по животните или растенията и/или трудностите за тяхното ограничаване, слабата проследимост и опасностите за потребителите, свързани с безопасността на храните, като например алергени, хранителни отравяния и химическо замърсяване. </w:t>
      </w:r>
    </w:p>
    <w:p>
      <w:pPr>
        <w:keepNext/>
        <w:keepLines/>
        <w:jc w:val="both"/>
        <w:rPr>
          <w:rFonts w:ascii="Times New Roman" w:hAnsi="Times New Roman" w:cs="Times New Roman"/>
          <w:noProof/>
          <w:sz w:val="24"/>
          <w:szCs w:val="24"/>
          <w:u w:val="single"/>
        </w:rPr>
      </w:pPr>
      <w:r>
        <w:rPr>
          <w:rFonts w:ascii="Times New Roman" w:hAnsi="Times New Roman"/>
          <w:noProof/>
          <w:sz w:val="24"/>
          <w:szCs w:val="24"/>
          <w:u w:val="single"/>
        </w:rPr>
        <w:t>Първопричина(и) за несъответствието</w:t>
      </w:r>
    </w:p>
    <w:p>
      <w:pPr>
        <w:keepNext/>
        <w:keepLines/>
        <w:jc w:val="both"/>
        <w:rPr>
          <w:rFonts w:ascii="Times New Roman" w:hAnsi="Times New Roman" w:cs="Times New Roman"/>
          <w:noProof/>
          <w:sz w:val="24"/>
          <w:szCs w:val="24"/>
        </w:rPr>
      </w:pPr>
      <w:r>
        <w:rPr>
          <w:rFonts w:ascii="Times New Roman" w:hAnsi="Times New Roman"/>
          <w:noProof/>
          <w:sz w:val="24"/>
          <w:szCs w:val="24"/>
        </w:rPr>
        <w:t>Повечето държави членки посочиха, че при стопанските субекти в областта на храните все още е липсва разбиране за правните изисквания.  Елементи като честата ротация на служители, трудностите при намирането на квалифициран персонал и недостатъчното обучение допринасят за недостатъчното изпълнение на някои правни изисквания от страна на стопанските субекти.</w:t>
      </w:r>
    </w:p>
    <w:p>
      <w:pPr>
        <w:keepNext/>
        <w:keepLines/>
        <w:jc w:val="both"/>
        <w:rPr>
          <w:rFonts w:ascii="Times New Roman" w:hAnsi="Times New Roman" w:cs="Times New Roman"/>
          <w:noProof/>
          <w:sz w:val="24"/>
          <w:szCs w:val="24"/>
        </w:rPr>
      </w:pPr>
      <w:r>
        <w:rPr>
          <w:rFonts w:ascii="Times New Roman" w:hAnsi="Times New Roman"/>
          <w:noProof/>
          <w:sz w:val="24"/>
          <w:szCs w:val="24"/>
        </w:rPr>
        <w:t>По-ниските маржове на печалба също бяха посочени като причина за тези несъответствия по отношение на инфраструктурата на стопанските субекти.</w:t>
      </w:r>
    </w:p>
    <w:p>
      <w:pPr>
        <w:pStyle w:val="Heading2"/>
        <w:rPr>
          <w:noProof/>
          <w:szCs w:val="24"/>
        </w:rPr>
      </w:pPr>
      <w:bookmarkStart w:id="28" w:name="_Toc46332905"/>
      <w:bookmarkStart w:id="29" w:name="_Toc56004447"/>
      <w:r>
        <w:rPr>
          <w:noProof/>
        </w:rPr>
        <w:t>Национални системи за одит</w:t>
      </w:r>
      <w:bookmarkEnd w:id="28"/>
      <w:bookmarkEnd w:id="29"/>
    </w:p>
    <w:p>
      <w:pPr>
        <w:pStyle w:val="Heading3"/>
        <w:rPr>
          <w:noProof/>
          <w:szCs w:val="24"/>
        </w:rPr>
      </w:pPr>
      <w:bookmarkStart w:id="30" w:name="_Toc46332906"/>
      <w:bookmarkStart w:id="31" w:name="_Toc56004448"/>
      <w:r>
        <w:rPr>
          <w:noProof/>
        </w:rPr>
        <w:t>Вътрешни и/или външни одити по отношение на официалния контрол</w:t>
      </w:r>
      <w:bookmarkEnd w:id="30"/>
      <w:bookmarkEnd w:id="31"/>
      <w:r>
        <w:rPr>
          <w:noProof/>
        </w:rPr>
        <w:t> </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Държавите членки трябва да извършват одити на собствените си системи за контрол или да организират извършването на одити от трети лица, чийто обект са самите те, за да се гарантира, че спазват изискванията на Регламента</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Годишните доклади на държавите членки включваха ограничена информация за вътрешните одити, извършени по отношение на системите за официален контрол. В повечето доклади просто се посочват броят на извършените одити и общ отчет за последващите действия във връзка с тези (вътрешни) одити.  В нито един от годишните доклади не се съдържаше информация относно ефективността на системите за официален контрол.  </w:t>
      </w:r>
    </w:p>
    <w:p>
      <w:pPr>
        <w:pStyle w:val="Heading3"/>
        <w:rPr>
          <w:noProof/>
          <w:szCs w:val="24"/>
        </w:rPr>
      </w:pPr>
      <w:bookmarkStart w:id="32" w:name="_Toc46332907"/>
      <w:bookmarkStart w:id="33" w:name="_Toc56004449"/>
      <w:r>
        <w:rPr>
          <w:noProof/>
        </w:rPr>
        <w:t>Одити и инспекции на контролните органи</w:t>
      </w:r>
      <w:bookmarkEnd w:id="32"/>
      <w:bookmarkEnd w:id="33"/>
    </w:p>
    <w:p>
      <w:pPr>
        <w:jc w:val="both"/>
        <w:rPr>
          <w:rFonts w:ascii="Times New Roman" w:hAnsi="Times New Roman" w:cs="Times New Roman"/>
          <w:noProof/>
          <w:sz w:val="24"/>
          <w:szCs w:val="24"/>
        </w:rPr>
      </w:pPr>
      <w:r>
        <w:rPr>
          <w:rFonts w:ascii="Times New Roman" w:hAnsi="Times New Roman"/>
          <w:noProof/>
          <w:sz w:val="24"/>
          <w:szCs w:val="24"/>
        </w:rPr>
        <w:t>Държавите членки могат да делегират някои от своите дейности, свързани с официалния контрол</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В повечето държави членки частни контролни органи осъществяват дейност в сферата на одитирането и сертифицирането на стопанските субекти в областта на храните в съответствие с правилата относно биологичното производство и етикетирането на биологични продукти съгласно схемите за качество. От компетентните органи се изисква да извършват одит на тези органи</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Докладите на държавите членки не предоставиха информация относно контрола върху частните контролни органи, когато съществува интегриране между сертифицирането от страна на частните схеми за осигуряване на качеството и плана за официален контрол.</w:t>
      </w:r>
    </w:p>
    <w:p>
      <w:pPr>
        <w:jc w:val="both"/>
        <w:rPr>
          <w:rFonts w:ascii="Times New Roman" w:hAnsi="Times New Roman" w:cs="Times New Roman"/>
          <w:noProof/>
          <w:sz w:val="24"/>
          <w:szCs w:val="24"/>
        </w:rPr>
      </w:pPr>
      <w:r>
        <w:rPr>
          <w:rFonts w:ascii="Times New Roman" w:hAnsi="Times New Roman"/>
          <w:noProof/>
          <w:sz w:val="24"/>
          <w:szCs w:val="24"/>
        </w:rPr>
        <w:t>Съгласно правилата относно биологичното производство от държавите членки се изисква да извършват надзор над контролните органи, на които делегират задачи, свързани с официалния контрол, и да докладват резултатите от тези надзорни одити на Комисията. Надзорните одити включват оценки на офисите, одити, при които компетентният орган наблюдава инспекцията, извършвана от инспекторите на контролния орган, повторни одити, при които компетентният орган пряко инспектира биологичните оператори с цел проверка на съответствието на контролния орган с оперативните процедури и оценка на неговата ефективност, и пазарен контрол. Компетентните органи налагат санкции, когато е необходимо, включително оттегляне на делегирането на правомощия на тези органи.</w:t>
      </w:r>
    </w:p>
    <w:p>
      <w:pPr>
        <w:pStyle w:val="Heading2"/>
        <w:rPr>
          <w:noProof/>
          <w:szCs w:val="24"/>
        </w:rPr>
      </w:pPr>
      <w:bookmarkStart w:id="34" w:name="_Toc46332908"/>
      <w:bookmarkStart w:id="35" w:name="_Toc56004450"/>
      <w:r>
        <w:rPr>
          <w:noProof/>
        </w:rPr>
        <w:t>Действия за гарантиране на ефективното прилагане на националните планове за контрол</w:t>
      </w:r>
      <w:bookmarkEnd w:id="34"/>
      <w:bookmarkEnd w:id="35"/>
    </w:p>
    <w:p>
      <w:pPr>
        <w:pStyle w:val="Heading3"/>
        <w:rPr>
          <w:noProof/>
          <w:szCs w:val="24"/>
        </w:rPr>
      </w:pPr>
      <w:bookmarkStart w:id="36" w:name="_Toc46332909"/>
      <w:bookmarkStart w:id="37" w:name="_Toc56004451"/>
      <w:r>
        <w:rPr>
          <w:noProof/>
        </w:rPr>
        <w:t>Действия за гарантиране на съответствие на стопанските субекти в областта на храните, операторите в сектора на фуражите, другите съответни производители и собствениците на предприятия</w:t>
      </w:r>
      <w:bookmarkEnd w:id="36"/>
      <w:bookmarkEnd w:id="37"/>
    </w:p>
    <w:p>
      <w:pPr>
        <w:jc w:val="both"/>
        <w:rPr>
          <w:rFonts w:ascii="Times New Roman" w:hAnsi="Times New Roman" w:cs="Times New Roman"/>
          <w:noProof/>
          <w:sz w:val="24"/>
          <w:szCs w:val="24"/>
          <w:highlight w:val="yellow"/>
        </w:rPr>
      </w:pPr>
      <w:r>
        <w:rPr>
          <w:rFonts w:ascii="Times New Roman" w:hAnsi="Times New Roman"/>
          <w:noProof/>
          <w:sz w:val="24"/>
          <w:szCs w:val="24"/>
        </w:rPr>
        <w:t>Държавите членки разработиха инструменти, като например указания, информационни кампании и обучения, с цел да помогнат на стопанските субекти в областта на храните да постигнат съответствие с регламентите за безопасността на храните. Например Дания въведе етикет за хуманно отношение към животните и „схема за жълт картон“ с цел намаляване на употребата на антибиотици в свиневъдството.</w:t>
      </w:r>
      <w:r>
        <w:rPr>
          <w:rFonts w:ascii="Times New Roman" w:hAnsi="Times New Roman"/>
          <w:noProof/>
          <w:sz w:val="24"/>
          <w:szCs w:val="24"/>
          <w:highlight w:val="yellow"/>
        </w:rPr>
        <w:t xml:space="preserve"> </w:t>
      </w:r>
    </w:p>
    <w:p>
      <w:pPr>
        <w:suppressAutoHyphens/>
        <w:jc w:val="both"/>
        <w:rPr>
          <w:rFonts w:ascii="Times New Roman" w:hAnsi="Times New Roman" w:cs="Times New Roman"/>
          <w:noProof/>
          <w:sz w:val="24"/>
          <w:szCs w:val="24"/>
        </w:rPr>
      </w:pPr>
      <w:r>
        <w:rPr>
          <w:rFonts w:ascii="Times New Roman" w:hAnsi="Times New Roman"/>
          <w:noProof/>
          <w:sz w:val="24"/>
          <w:szCs w:val="24"/>
        </w:rPr>
        <w:t>Повишаването на знанията на персонала, извършващ официален контрол, и на стопанските субекти в областта на храните води до по-високи проценти на съответствие (например относно микробиологичното замърсяване, начините за определяне на срока на годност на храните и начините за провеждане и разбиране на провокационните тестове за идентификация на Listeria в Нидерландия).</w:t>
      </w:r>
    </w:p>
    <w:p>
      <w:pPr>
        <w:jc w:val="both"/>
        <w:rPr>
          <w:rFonts w:ascii="Times New Roman" w:hAnsi="Times New Roman" w:cs="Times New Roman"/>
          <w:noProof/>
          <w:sz w:val="24"/>
          <w:szCs w:val="24"/>
        </w:rPr>
      </w:pPr>
      <w:r>
        <w:rPr>
          <w:rFonts w:ascii="Times New Roman" w:hAnsi="Times New Roman"/>
          <w:noProof/>
          <w:sz w:val="24"/>
          <w:szCs w:val="24"/>
        </w:rPr>
        <w:t xml:space="preserve">Компетентните органи постигнаха по-голяма прозрачност чрез усилия за комуникационни кампании и кампании за повишаване на осведомеността, насочени към потребителите. Нидерландия докладва, че публикуването на резултатите от официалния контрол е довело до по-високо равнище на съответствие с правната уредба от страна на стопанските субекти в областта на храните.  </w:t>
      </w:r>
    </w:p>
    <w:p>
      <w:pPr>
        <w:pStyle w:val="Heading3"/>
        <w:rPr>
          <w:noProof/>
          <w:szCs w:val="24"/>
        </w:rPr>
      </w:pPr>
      <w:bookmarkStart w:id="38" w:name="_Toc46332910"/>
      <w:bookmarkStart w:id="39" w:name="_Toc56004452"/>
      <w:r>
        <w:rPr>
          <w:noProof/>
        </w:rPr>
        <w:t>Осигуряване на изпълнението: предприети действия в случай на несъответствие</w:t>
      </w:r>
      <w:bookmarkEnd w:id="38"/>
      <w:bookmarkEnd w:id="39"/>
    </w:p>
    <w:p>
      <w:pPr>
        <w:jc w:val="both"/>
        <w:rPr>
          <w:rFonts w:ascii="Times New Roman" w:hAnsi="Times New Roman" w:cs="Times New Roman"/>
          <w:noProof/>
          <w:sz w:val="24"/>
          <w:szCs w:val="24"/>
          <w:u w:val="single"/>
        </w:rPr>
      </w:pPr>
      <w:r>
        <w:rPr>
          <w:rFonts w:ascii="Times New Roman" w:hAnsi="Times New Roman"/>
          <w:noProof/>
          <w:sz w:val="24"/>
          <w:szCs w:val="24"/>
        </w:rPr>
        <w:t>Държавите членки трябва да са въвели ефективни, пропорционални и възпиращи наказания/санкции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прилагаха редица действия за осигуряване на изпълнението, вариращи от устни и писмени предупреждения през изземване и унищожаване на стоки до (временно) отнемане или ограничаване на одобренията на операторите. Някои използваха налагането на глоби като възпираща мярка. Сезирането на съда продължи да бъде крайна мярка. </w:t>
      </w:r>
    </w:p>
    <w:p>
      <w:pPr>
        <w:jc w:val="both"/>
        <w:rPr>
          <w:rFonts w:ascii="Times New Roman" w:hAnsi="Times New Roman" w:cs="Times New Roman"/>
          <w:noProof/>
          <w:sz w:val="24"/>
          <w:szCs w:val="24"/>
        </w:rPr>
      </w:pPr>
      <w:r>
        <w:rPr>
          <w:rFonts w:ascii="Times New Roman" w:hAnsi="Times New Roman"/>
          <w:noProof/>
          <w:sz w:val="24"/>
          <w:szCs w:val="24"/>
        </w:rPr>
        <w:t xml:space="preserve">Люксембург и Финландия ограничиха достъпа на операторите до системите за финансово подпомагане, докато в градовете в Белгия функционираше система за обявен официален контрол в предприятията за храни, работещи директно с потребителя, а резултатите бяха съответно публикувани.  </w:t>
      </w:r>
    </w:p>
    <w:p>
      <w:pPr>
        <w:jc w:val="both"/>
        <w:rPr>
          <w:rFonts w:ascii="Times New Roman" w:hAnsi="Times New Roman" w:cs="Times New Roman"/>
          <w:noProof/>
          <w:sz w:val="24"/>
          <w:szCs w:val="24"/>
        </w:rPr>
      </w:pPr>
      <w:r>
        <w:rPr>
          <w:rFonts w:ascii="Times New Roman" w:hAnsi="Times New Roman"/>
          <w:noProof/>
          <w:sz w:val="24"/>
          <w:szCs w:val="24"/>
        </w:rPr>
        <w:t xml:space="preserve">Австрия, Германия, Италия, Латвия, Люксембург, Малта, Португалия, Финландия и Хърватия отбелязаха, че сътрудничеството с други органи (например данъчни органи, полиция) относно измами с храни се е подобрило през годините. </w:t>
      </w:r>
    </w:p>
    <w:p>
      <w:pPr>
        <w:pStyle w:val="Heading3"/>
        <w:rPr>
          <w:noProof/>
          <w:szCs w:val="24"/>
        </w:rPr>
      </w:pPr>
      <w:bookmarkStart w:id="40" w:name="_Toc46332911"/>
      <w:bookmarkStart w:id="41" w:name="_Toc56004453"/>
      <w:r>
        <w:rPr>
          <w:noProof/>
        </w:rPr>
        <w:t>Предприети действия за гарантиране на ефективно функциониране на службите за официален контрол</w:t>
      </w:r>
      <w:bookmarkEnd w:id="40"/>
      <w:bookmarkEnd w:id="41"/>
    </w:p>
    <w:p>
      <w:pPr>
        <w:jc w:val="both"/>
        <w:rPr>
          <w:rFonts w:ascii="Times New Roman" w:hAnsi="Times New Roman" w:cs="Times New Roman"/>
          <w:noProof/>
          <w:sz w:val="24"/>
          <w:szCs w:val="24"/>
        </w:rPr>
      </w:pPr>
      <w:r>
        <w:rPr>
          <w:rFonts w:ascii="Times New Roman" w:hAnsi="Times New Roman"/>
          <w:noProof/>
          <w:sz w:val="24"/>
          <w:szCs w:val="24"/>
        </w:rPr>
        <w:t>Редица държави членки докладваха за използването на (подобрени) IT системи и техники за анализ на данни като начини за подобряване на ефективността и ефикасността на официалния контрол. Други примери, описани в докладите, включваха:</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използването на научни иновации, например пълно геномно секвениране с цел анализ на огнищата на Listeria;</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акредитация на компетентни органи по международните стандарти за качество, като например стандартите на ISO за системите за управление на качеството (ISO 9001), за дейността на различни видове органи, извършващи контрол (ISO 17020), и за изискванията към органите, извършващи одит и сертификация на системи за управление (ISO 17021);</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създаването на мрежи за контрол в някои специализирани сектори (например подобрители в храните, сред които хранителни добавки и овкусители, материали, влизащи в контакт с храни, контрол върху износа) с цел подобряване на нивото на компетентност както на персонала, извършващ официален контрол в сектора, така и на операторите.</w:t>
      </w:r>
    </w:p>
    <w:p>
      <w:pPr>
        <w:pStyle w:val="Heading2"/>
        <w:rPr>
          <w:noProof/>
          <w:szCs w:val="24"/>
        </w:rPr>
      </w:pPr>
      <w:bookmarkStart w:id="42" w:name="_Toc46332912"/>
      <w:bookmarkStart w:id="43" w:name="_Toc56004454"/>
      <w:r>
        <w:rPr>
          <w:noProof/>
        </w:rPr>
        <w:t>Цялостно действие на системата за контрол при прилагането на националните планове за контрол</w:t>
      </w:r>
      <w:bookmarkEnd w:id="42"/>
      <w:bookmarkEnd w:id="43"/>
    </w:p>
    <w:p>
      <w:pPr>
        <w:jc w:val="both"/>
        <w:rPr>
          <w:rFonts w:ascii="Times New Roman" w:hAnsi="Times New Roman" w:cs="Times New Roman"/>
          <w:noProof/>
          <w:sz w:val="24"/>
          <w:szCs w:val="24"/>
        </w:rPr>
      </w:pPr>
      <w:r>
        <w:rPr>
          <w:rFonts w:ascii="Times New Roman" w:hAnsi="Times New Roman"/>
          <w:noProof/>
          <w:sz w:val="24"/>
          <w:szCs w:val="24"/>
        </w:rPr>
        <w:t>В своите годишни доклади държавите членки посочиха, че като цяло техните системи за официален контрол са налице и са достатъчни. Повечето от тях също така докладваха за планове за допълнително подобряване на ефикасността. Най-често посочваните средства за постигане на това са IT системите, анализът на данни, наръчниците за качеството и обучението.</w:t>
      </w:r>
    </w:p>
    <w:p>
      <w:pPr>
        <w:pStyle w:val="Heading2"/>
        <w:rPr>
          <w:noProof/>
          <w:szCs w:val="24"/>
        </w:rPr>
      </w:pPr>
      <w:bookmarkStart w:id="44" w:name="_Toc46332913"/>
      <w:bookmarkStart w:id="45" w:name="_Toc56004455"/>
      <w:r>
        <w:rPr>
          <w:noProof/>
        </w:rPr>
        <w:t>Изменения в МНПК</w:t>
      </w:r>
      <w:bookmarkEnd w:id="44"/>
      <w:bookmarkEnd w:id="45"/>
    </w:p>
    <w:p>
      <w:pPr>
        <w:jc w:val="both"/>
        <w:rPr>
          <w:rFonts w:ascii="Times New Roman" w:hAnsi="Times New Roman" w:cs="Times New Roman"/>
          <w:noProof/>
          <w:sz w:val="24"/>
          <w:szCs w:val="24"/>
        </w:rPr>
      </w:pPr>
      <w:r>
        <w:rPr>
          <w:rFonts w:ascii="Times New Roman" w:hAnsi="Times New Roman"/>
          <w:noProof/>
          <w:sz w:val="24"/>
          <w:szCs w:val="24"/>
        </w:rPr>
        <w:t>Никоя държава членка не докладва за конкретни промени в своя МНПК. Единствените докладвани промени бяха основани на резултатите от официалния контрол и информацията, получена от лабораторните анализи на хранителните и фуражните продукти.</w:t>
      </w:r>
    </w:p>
    <w:p>
      <w:pPr>
        <w:spacing w:after="0"/>
        <w:jc w:val="both"/>
        <w:rPr>
          <w:rFonts w:ascii="Times New Roman" w:hAnsi="Times New Roman" w:cs="Times New Roman"/>
          <w:b/>
          <w:smallCaps/>
          <w:noProof/>
          <w:sz w:val="24"/>
          <w:szCs w:val="24"/>
        </w:rPr>
      </w:pPr>
      <w:r>
        <w:rPr>
          <w:noProof/>
        </w:rPr>
        <w:br w:type="page"/>
      </w:r>
    </w:p>
    <w:p>
      <w:pPr>
        <w:pStyle w:val="Heading1"/>
        <w:rPr>
          <w:noProof/>
          <w:szCs w:val="24"/>
        </w:rPr>
      </w:pPr>
      <w:bookmarkStart w:id="46" w:name="_Toc46332914"/>
      <w:bookmarkStart w:id="47" w:name="_Toc56004456"/>
      <w:r>
        <w:rPr>
          <w:noProof/>
        </w:rPr>
        <w:t>Контролни дейности на службите на Комисията в държавите членки</w:t>
      </w:r>
      <w:bookmarkEnd w:id="46"/>
      <w:bookmarkEnd w:id="47"/>
    </w:p>
    <w:p>
      <w:pPr>
        <w:pStyle w:val="Heading2"/>
        <w:rPr>
          <w:noProof/>
          <w:szCs w:val="24"/>
        </w:rPr>
      </w:pPr>
      <w:bookmarkStart w:id="48" w:name="_Toc46332915"/>
      <w:bookmarkStart w:id="49" w:name="_Toc56004457"/>
      <w:r>
        <w:rPr>
          <w:noProof/>
        </w:rPr>
        <w:t>Одити</w:t>
      </w:r>
      <w:bookmarkEnd w:id="48"/>
      <w:bookmarkEnd w:id="49"/>
    </w:p>
    <w:p>
      <w:pPr>
        <w:jc w:val="both"/>
        <w:rPr>
          <w:rFonts w:ascii="Times New Roman" w:hAnsi="Times New Roman" w:cs="Times New Roman"/>
          <w:noProof/>
          <w:sz w:val="24"/>
          <w:szCs w:val="24"/>
        </w:rPr>
      </w:pPr>
      <w:r>
        <w:rPr>
          <w:rFonts w:ascii="Times New Roman" w:hAnsi="Times New Roman"/>
          <w:noProof/>
          <w:sz w:val="24"/>
          <w:szCs w:val="24"/>
        </w:rPr>
        <w:t>Дирекция „Одити и анализи в областта на здравеопазването и храните“ в ГД „Здравеопазване и безопасност на храните“ на Комисията извършва контролни дейности с цел проверка дали законодателството на ЕС в областта на безопасността на храните и фуражите, здравеопазването на животните и хуманното отношение към тях, здравето на растенията, биологичното земеделие и схемите за качество, както и в някои области на човешкото здраве</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се прилага и изпълнява правилно. Тя публикува годишна работна програма и актуализация в средата на годината</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на уебсайта на ГД „Здравеопазване и безопасност на храните“. </w:t>
      </w:r>
    </w:p>
    <w:p>
      <w:pPr>
        <w:jc w:val="both"/>
        <w:rPr>
          <w:rFonts w:ascii="Times New Roman" w:hAnsi="Times New Roman" w:cs="Times New Roman"/>
          <w:noProof/>
          <w:sz w:val="24"/>
          <w:szCs w:val="24"/>
        </w:rPr>
      </w:pPr>
      <w:r>
        <w:rPr>
          <w:rFonts w:ascii="Times New Roman" w:hAnsi="Times New Roman"/>
          <w:noProof/>
          <w:sz w:val="24"/>
          <w:szCs w:val="24"/>
        </w:rPr>
        <w:t>Дирекцията извършва този контрол редовно и в сътрудничество с компетентните органи на държавите членки.</w:t>
      </w:r>
    </w:p>
    <w:p>
      <w:pPr>
        <w:jc w:val="both"/>
        <w:rPr>
          <w:rFonts w:ascii="Times New Roman" w:hAnsi="Times New Roman" w:cs="Times New Roman"/>
          <w:noProof/>
          <w:sz w:val="24"/>
          <w:szCs w:val="24"/>
        </w:rPr>
      </w:pPr>
      <w:r>
        <w:rPr>
          <w:rFonts w:ascii="Times New Roman" w:hAnsi="Times New Roman"/>
          <w:noProof/>
          <w:sz w:val="24"/>
          <w:szCs w:val="24"/>
        </w:rPr>
        <w:t>Един от елементите на одитите са проверките на място, при които експертите на Комисията работят заедно с компетентните органи, извършващи официалния контрол. Експерти от държавите членки редовно подпомагат експертите на Комисията.</w:t>
      </w:r>
    </w:p>
    <w:p>
      <w:pPr>
        <w:jc w:val="both"/>
        <w:rPr>
          <w:rFonts w:ascii="Times New Roman" w:hAnsi="Times New Roman" w:cs="Times New Roman"/>
          <w:noProof/>
          <w:sz w:val="24"/>
          <w:szCs w:val="24"/>
        </w:rPr>
      </w:pPr>
      <w:r>
        <w:rPr>
          <w:rFonts w:ascii="Times New Roman" w:hAnsi="Times New Roman"/>
          <w:noProof/>
          <w:sz w:val="24"/>
          <w:szCs w:val="24"/>
        </w:rPr>
        <w:t>Контролът от страна на Комисията има за цел</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проверка на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проверка на функционирането и организацията на националните системи за контрол и на компетентните органи;</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разследване и събиране на информация относно</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официалния контрол и практиките за осигуряване на изпълнението;</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важни или повтарящи се проблеми, свързани с прилагането на правилата или с осигуряването на тяхното изпълнение;</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спешни ситуации, възникващи проблеми или нови обстоятелства.</w:t>
      </w:r>
    </w:p>
    <w:p>
      <w:pPr>
        <w:jc w:val="both"/>
        <w:rPr>
          <w:rFonts w:ascii="Times New Roman" w:hAnsi="Times New Roman" w:cs="Times New Roman"/>
          <w:noProof/>
          <w:sz w:val="24"/>
          <w:szCs w:val="24"/>
        </w:rPr>
      </w:pPr>
      <w:r>
        <w:rPr>
          <w:rFonts w:ascii="Times New Roman" w:hAnsi="Times New Roman"/>
          <w:noProof/>
          <w:sz w:val="24"/>
          <w:szCs w:val="24"/>
        </w:rPr>
        <w:t xml:space="preserve">Докладите от отделните одити са </w:t>
      </w:r>
      <w:hyperlink r:id="rId22" w:history="1">
        <w:r>
          <w:rPr>
            <w:rStyle w:val="Hyperlink"/>
            <w:rFonts w:ascii="Times New Roman" w:hAnsi="Times New Roman"/>
            <w:noProof/>
            <w:sz w:val="24"/>
            <w:szCs w:val="24"/>
          </w:rPr>
          <w:t>обществено достъпни</w:t>
        </w:r>
      </w:hyperlink>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на уебсайта на ГД „Здравеопазване и безопасност на храните“.</w:t>
      </w:r>
    </w:p>
    <w:p>
      <w:pPr>
        <w:jc w:val="both"/>
        <w:rPr>
          <w:rFonts w:ascii="Times New Roman" w:hAnsi="Times New Roman" w:cs="Times New Roman"/>
          <w:noProof/>
          <w:sz w:val="24"/>
          <w:szCs w:val="24"/>
        </w:rPr>
      </w:pPr>
      <w:r>
        <w:rPr>
          <w:rFonts w:ascii="Times New Roman" w:hAnsi="Times New Roman"/>
          <w:noProof/>
          <w:sz w:val="24"/>
          <w:szCs w:val="24"/>
        </w:rPr>
        <w:t>През периода 2017—2018 г. дирекция „Одити и анализи в областта на здравеопазването и храните“ проведе общо 264 мисии (основно одити, а също и посещения в съответните държави и мисии за установяване на фактите</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в държавите членки. На графика 1 е представен преглед на броя на мисиите по държави членки.</w:t>
      </w:r>
    </w:p>
    <w:p>
      <w:pPr>
        <w:jc w:val="both"/>
        <w:rPr>
          <w:rFonts w:ascii="Times New Roman" w:hAnsi="Times New Roman" w:cs="Times New Roman"/>
          <w:noProof/>
          <w:sz w:val="24"/>
          <w:szCs w:val="24"/>
        </w:rPr>
      </w:pPr>
    </w:p>
    <w:p>
      <w:pPr>
        <w:tabs>
          <w:tab w:val="left" w:pos="7766"/>
        </w:tabs>
        <w:kinsoku w:val="0"/>
        <w:overflowPunct w:val="0"/>
        <w:autoSpaceDE w:val="0"/>
        <w:autoSpaceDN w:val="0"/>
        <w:adjustRightInd w:val="0"/>
        <w:spacing w:after="0"/>
        <w:ind w:left="2357"/>
        <w:jc w:val="both"/>
        <w:rPr>
          <w:b/>
          <w:noProof/>
          <w:color w:val="000000"/>
          <w:sz w:val="24"/>
          <w:szCs w:val="24"/>
        </w:rPr>
      </w:pPr>
      <w:bookmarkStart w:id="50" w:name="_Toc27557351"/>
      <w:bookmarkStart w:id="51" w:name="_Toc36648368"/>
      <w:r>
        <w:rPr>
          <w:rFonts w:ascii="Times New Roman" w:hAnsi="Times New Roman"/>
          <w:noProof/>
          <w:sz w:val="24"/>
          <w:szCs w:val="24"/>
        </w:rPr>
        <w:t xml:space="preserve">  </w:t>
      </w:r>
      <w:r>
        <w:rPr>
          <w:rFonts w:ascii="Times New Roman" w:hAnsi="Times New Roman"/>
          <w:noProof/>
          <w:sz w:val="24"/>
          <w:szCs w:val="24"/>
        </w:rPr>
        <w:tab/>
      </w:r>
      <w:r>
        <w:rPr>
          <w:b/>
          <w:noProof/>
          <w:color w:val="000000"/>
          <w:lang w:val="en-GB" w:eastAsia="en-GB"/>
        </w:rPr>
        <w:drawing>
          <wp:inline distT="0" distB="0" distL="0" distR="0">
            <wp:extent cx="3103245" cy="32308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3245" cy="3230880"/>
                    </a:xfrm>
                    <a:prstGeom prst="rect">
                      <a:avLst/>
                    </a:prstGeom>
                    <a:noFill/>
                  </pic:spPr>
                </pic:pic>
              </a:graphicData>
            </a:graphic>
          </wp:inline>
        </w:drawing>
      </w:r>
      <w:r>
        <w:rPr>
          <w:b/>
          <w:noProof/>
          <w:color w:val="000000"/>
          <w:sz w:val="24"/>
          <w:szCs w:val="24"/>
        </w:rPr>
        <w:tab/>
      </w:r>
      <w:r>
        <w:rPr>
          <w:b/>
          <w:noProof/>
          <w:color w:val="000000"/>
          <w:sz w:val="24"/>
          <w:szCs w:val="24"/>
        </w:rPr>
        <w:tab/>
      </w:r>
      <w:r>
        <w:rPr>
          <w:noProof/>
          <w:lang w:val="en-GB" w:eastAsia="en-GB"/>
        </w:rPr>
        <w:drawing>
          <wp:inline distT="0" distB="0" distL="0" distR="0">
            <wp:extent cx="18288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pic:spPr>
                </pic:pic>
              </a:graphicData>
            </a:graphic>
          </wp:inline>
        </w:drawing>
      </w:r>
      <w:r>
        <w:rPr>
          <w:noProof/>
          <w:lang w:val="en-GB" w:eastAsia="en-GB"/>
        </w:rPr>
        <w:drawing>
          <wp:inline distT="0" distB="0" distL="0" distR="0">
            <wp:extent cx="176530"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530" cy="115570"/>
                    </a:xfrm>
                    <a:prstGeom prst="rect">
                      <a:avLst/>
                    </a:prstGeom>
                    <a:noFill/>
                  </pic:spPr>
                </pic:pic>
              </a:graphicData>
            </a:graphic>
          </wp:inline>
        </w:drawing>
      </w:r>
    </w:p>
    <w:p>
      <w:pPr>
        <w:pStyle w:val="Caption"/>
        <w:rPr>
          <w:b/>
          <w:noProof/>
          <w:color w:val="000000"/>
          <w:sz w:val="24"/>
          <w:szCs w:val="24"/>
        </w:rPr>
      </w:pPr>
      <w:r>
        <w:rPr>
          <w:noProof/>
          <w:color w:val="000000"/>
          <w:sz w:val="24"/>
          <w:szCs w:val="24"/>
        </w:rPr>
        <w:t>Графика 1: Брой мисии, проведени в държавите членки в периода 2017—2018 г.</w:t>
      </w:r>
      <w:bookmarkEnd w:id="50"/>
      <w:bookmarkEnd w:id="51"/>
    </w:p>
    <w:p>
      <w:pPr>
        <w:jc w:val="both"/>
        <w:rPr>
          <w:rFonts w:ascii="Times New Roman" w:hAnsi="Times New Roman" w:cs="Times New Roman"/>
          <w:noProof/>
          <w:sz w:val="24"/>
          <w:szCs w:val="24"/>
        </w:rPr>
      </w:pPr>
      <w:r>
        <w:rPr>
          <w:rFonts w:ascii="Times New Roman" w:hAnsi="Times New Roman"/>
          <w:noProof/>
          <w:sz w:val="24"/>
          <w:szCs w:val="24"/>
        </w:rPr>
        <w:t xml:space="preserve">На графика 2 се представя преглед на вида на мисиите според различните теми съгласно РОК. </w:t>
      </w:r>
    </w:p>
    <w:p>
      <w:pPr>
        <w:jc w:val="both"/>
        <w:rPr>
          <w:rFonts w:ascii="Times New Roman" w:hAnsi="Times New Roman" w:cs="Times New Roman"/>
          <w:noProof/>
          <w:sz w:val="24"/>
          <w:szCs w:val="24"/>
        </w:rPr>
      </w:pPr>
      <w:r>
        <w:rPr>
          <w:noProof/>
          <w:lang w:val="en-GB" w:eastAsia="en-GB"/>
        </w:rPr>
        <w:drawing>
          <wp:inline distT="0" distB="0" distL="0" distR="0">
            <wp:extent cx="5472430" cy="2781935"/>
            <wp:effectExtent l="0" t="0" r="1397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both"/>
        <w:rPr>
          <w:rFonts w:ascii="Times New Roman" w:hAnsi="Times New Roman" w:cs="Times New Roman"/>
          <w:noProof/>
          <w:sz w:val="24"/>
          <w:szCs w:val="24"/>
        </w:rPr>
      </w:pPr>
      <w:bookmarkStart w:id="52" w:name="_Toc27557352"/>
      <w:bookmarkStart w:id="53" w:name="_Toc36648369"/>
      <w:r>
        <w:rPr>
          <w:rFonts w:ascii="Times New Roman" w:hAnsi="Times New Roman"/>
          <w:noProof/>
          <w:color w:val="000000"/>
          <w:sz w:val="24"/>
          <w:szCs w:val="24"/>
        </w:rPr>
        <w:t>Графика 2: Брой и вид проведени мисии по теми в периода 2017—2018 г.</w:t>
      </w:r>
      <w:bookmarkEnd w:id="52"/>
      <w:bookmarkEnd w:id="53"/>
    </w:p>
    <w:p>
      <w:pPr>
        <w:pStyle w:val="Heading3"/>
        <w:rPr>
          <w:noProof/>
          <w:szCs w:val="24"/>
        </w:rPr>
      </w:pPr>
      <w:bookmarkStart w:id="54" w:name="_Toc46332916"/>
      <w:bookmarkStart w:id="55" w:name="_Toc56004458"/>
      <w:r>
        <w:rPr>
          <w:noProof/>
        </w:rPr>
        <w:t>Обобщаващи доклади</w:t>
      </w:r>
      <w:bookmarkEnd w:id="54"/>
      <w:bookmarkEnd w:id="55"/>
    </w:p>
    <w:p>
      <w:pPr>
        <w:jc w:val="both"/>
        <w:rPr>
          <w:rFonts w:ascii="Times New Roman" w:hAnsi="Times New Roman" w:cs="Times New Roman"/>
          <w:noProof/>
          <w:sz w:val="24"/>
          <w:szCs w:val="24"/>
        </w:rPr>
      </w:pPr>
      <w:r>
        <w:rPr>
          <w:rFonts w:ascii="Times New Roman" w:hAnsi="Times New Roman"/>
          <w:noProof/>
          <w:sz w:val="24"/>
          <w:szCs w:val="24"/>
        </w:rPr>
        <w:t>Комисията също така публикува</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обобщаващи доклади, в които се представя преглед на областта, обхваната от дадена поредица от одити, като се установява какво функционира или не функционира във връзка с изпълнението на контрола и прилагането на законодателството и се посочват примери за добри практики в държавите членки. Тези доклади осигуряват основата за обмен с експерти от държавите членки в рамките на </w:t>
      </w:r>
      <w:hyperlink r:id="rId27" w:history="1">
        <w:r>
          <w:rPr>
            <w:rStyle w:val="Hyperlink"/>
            <w:rFonts w:ascii="Times New Roman" w:hAnsi="Times New Roman"/>
            <w:noProof/>
            <w:sz w:val="24"/>
            <w:szCs w:val="24"/>
          </w:rPr>
          <w:t>инициативата BTSF</w:t>
        </w:r>
      </w:hyperlink>
      <w:r>
        <w:rPr>
          <w:rFonts w:ascii="Times New Roman" w:hAnsi="Times New Roman"/>
          <w:noProof/>
          <w:sz w:val="24"/>
          <w:szCs w:val="24"/>
        </w:rPr>
        <w:t xml:space="preserve"> с цел обсъждане на установените общи проблеми и споделяне на добрите практики.</w:t>
      </w:r>
    </w:p>
    <w:p>
      <w:pPr>
        <w:jc w:val="both"/>
        <w:rPr>
          <w:rFonts w:ascii="Times New Roman" w:hAnsi="Times New Roman" w:cs="Times New Roman"/>
          <w:noProof/>
          <w:sz w:val="24"/>
          <w:szCs w:val="24"/>
        </w:rPr>
      </w:pPr>
      <w:r>
        <w:rPr>
          <w:rFonts w:ascii="Times New Roman" w:hAnsi="Times New Roman"/>
          <w:noProof/>
          <w:sz w:val="24"/>
          <w:szCs w:val="24"/>
        </w:rPr>
        <w:t>През 2017 и 2018 година Комисията публикува 22 обобщаващи доклада, свързани с нейните контролни дейности в държавите членки в следните области: безопасност и качество на храните, здравеопазване на животните и хуманно отношение към тях и здраве на растенията.</w:t>
      </w:r>
    </w:p>
    <w:p>
      <w:pPr>
        <w:jc w:val="both"/>
        <w:rPr>
          <w:rFonts w:ascii="Times New Roman" w:hAnsi="Times New Roman" w:cs="Times New Roman"/>
          <w:noProof/>
          <w:sz w:val="24"/>
          <w:szCs w:val="24"/>
        </w:rPr>
      </w:pPr>
      <w:bookmarkStart w:id="56" w:name="_Toc27557327"/>
      <w:r>
        <w:rPr>
          <w:rFonts w:ascii="Times New Roman" w:hAnsi="Times New Roman"/>
          <w:noProof/>
          <w:sz w:val="24"/>
          <w:szCs w:val="24"/>
        </w:rPr>
        <w:t>Работният документ на службите на Комисията, придружаващ настоящия доклад</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съдържа по-подробно описание на някои от основните области, в които Комисията осъществи контрол в държавите членки в периода 2017—2018 г.</w:t>
      </w:r>
    </w:p>
    <w:p>
      <w:pPr>
        <w:pStyle w:val="Heading3"/>
        <w:rPr>
          <w:noProof/>
          <w:szCs w:val="24"/>
        </w:rPr>
      </w:pPr>
      <w:bookmarkStart w:id="57" w:name="_Toc46332917"/>
      <w:bookmarkStart w:id="58" w:name="_Toc56004459"/>
      <w:r>
        <w:rPr>
          <w:noProof/>
        </w:rPr>
        <w:t>Някои елементи, които трябва да се подчертаят</w:t>
      </w:r>
      <w:bookmarkEnd w:id="57"/>
      <w:bookmarkEnd w:id="58"/>
    </w:p>
    <w:p>
      <w:pPr>
        <w:jc w:val="both"/>
        <w:rPr>
          <w:rFonts w:ascii="Times New Roman" w:hAnsi="Times New Roman" w:cs="Times New Roman"/>
          <w:noProof/>
          <w:sz w:val="24"/>
          <w:szCs w:val="24"/>
        </w:rPr>
      </w:pPr>
      <w:r>
        <w:rPr>
          <w:rFonts w:ascii="Times New Roman" w:hAnsi="Times New Roman"/>
          <w:noProof/>
          <w:sz w:val="24"/>
          <w:szCs w:val="24"/>
        </w:rPr>
        <w:t>Поредица от одити на националните системи за одит показа, че резултатите от тези одитни дейности допринасят за подобряване на последователността и ефективността на официалния контрол.</w:t>
      </w:r>
    </w:p>
    <w:p>
      <w:pPr>
        <w:jc w:val="both"/>
        <w:rPr>
          <w:rFonts w:ascii="Times New Roman" w:hAnsi="Times New Roman" w:cs="Times New Roman"/>
          <w:noProof/>
          <w:sz w:val="24"/>
          <w:szCs w:val="24"/>
        </w:rPr>
      </w:pPr>
      <w:r>
        <w:rPr>
          <w:rFonts w:ascii="Times New Roman" w:hAnsi="Times New Roman"/>
          <w:noProof/>
          <w:sz w:val="24"/>
          <w:szCs w:val="24"/>
        </w:rPr>
        <w:t>В областта на безопасността на храните мисиите за установяване на фактите непосредствено след инцидента с фипронила допринесоха за подобряване на наличните инструменти на равнището на ЕС за управление и ограничаване на подобни инциденти.</w:t>
      </w:r>
    </w:p>
    <w:p>
      <w:pPr>
        <w:jc w:val="both"/>
        <w:rPr>
          <w:rFonts w:ascii="Times New Roman" w:hAnsi="Times New Roman" w:cs="Times New Roman"/>
          <w:noProof/>
          <w:sz w:val="24"/>
          <w:szCs w:val="24"/>
        </w:rPr>
      </w:pPr>
      <w:r>
        <w:rPr>
          <w:rFonts w:ascii="Times New Roman" w:hAnsi="Times New Roman"/>
          <w:noProof/>
          <w:sz w:val="24"/>
          <w:szCs w:val="24"/>
        </w:rPr>
        <w:t>Поредица от одити на официалния контрол по отношение на етикетирането на храните (информация за потребителите и хранителни и здравни твърдения), материалите, влизащи в контакт с храните, готовите за консумация храни и електронната търговия в хранителната верига показа, че тези области се нуждаят от повече внимание в плановете за официален контрол.</w:t>
      </w:r>
    </w:p>
    <w:p>
      <w:pPr>
        <w:jc w:val="both"/>
        <w:rPr>
          <w:rFonts w:ascii="Times New Roman" w:hAnsi="Times New Roman" w:cs="Times New Roman"/>
          <w:noProof/>
          <w:sz w:val="24"/>
          <w:szCs w:val="24"/>
        </w:rPr>
      </w:pPr>
      <w:r>
        <w:rPr>
          <w:rFonts w:ascii="Times New Roman" w:hAnsi="Times New Roman"/>
          <w:noProof/>
          <w:sz w:val="24"/>
          <w:szCs w:val="24"/>
        </w:rPr>
        <w:t>В областта на здравеопазването на животните епидемиите от африканска чума по свинете и инфлуенца по птиците бяха основните проблемни области, в които Комисията приоритетно провеждаше контрол.</w:t>
      </w:r>
    </w:p>
    <w:p>
      <w:pPr>
        <w:jc w:val="both"/>
        <w:rPr>
          <w:rFonts w:ascii="Times New Roman" w:hAnsi="Times New Roman" w:cs="Times New Roman"/>
          <w:noProof/>
          <w:sz w:val="24"/>
          <w:szCs w:val="24"/>
        </w:rPr>
      </w:pPr>
      <w:r>
        <w:rPr>
          <w:rFonts w:ascii="Times New Roman" w:hAnsi="Times New Roman"/>
          <w:noProof/>
          <w:sz w:val="24"/>
          <w:szCs w:val="24"/>
        </w:rPr>
        <w:t>По отношение на хуманното отношение към животните Комисията завърши своя проект относно транспортирането на животни с пътни превозни средства и по море. Въпреки че са налице забележими подобрения в областта на хуманното отношение към животните, продължават да съществуват важни проблеми. По отношение на морския транспорт Комисията желае да установи сътрудничество с Европейската агенция по морска безопасност с цел подобряване на съответствието на плавателните съдове за добитък с изискванията за хуманно отношение към животните.</w:t>
      </w:r>
    </w:p>
    <w:p>
      <w:pPr>
        <w:jc w:val="both"/>
        <w:rPr>
          <w:rFonts w:ascii="Times New Roman" w:hAnsi="Times New Roman" w:cs="Times New Roman"/>
          <w:noProof/>
          <w:sz w:val="24"/>
          <w:szCs w:val="24"/>
        </w:rPr>
      </w:pPr>
      <w:r>
        <w:rPr>
          <w:rFonts w:ascii="Times New Roman" w:hAnsi="Times New Roman"/>
          <w:noProof/>
          <w:sz w:val="24"/>
          <w:szCs w:val="24"/>
        </w:rPr>
        <w:t xml:space="preserve">В двугодишна работна програма за хуманно отношение към свинете бяха разгледани практиките на рутинно купиране на опашките, при което стриктното и еднакво изпълнение продължава да бъде значително предизвикателство. </w:t>
      </w:r>
    </w:p>
    <w:p>
      <w:pPr>
        <w:jc w:val="both"/>
        <w:rPr>
          <w:rFonts w:ascii="Times New Roman" w:hAnsi="Times New Roman" w:cs="Times New Roman"/>
          <w:noProof/>
          <w:sz w:val="24"/>
          <w:szCs w:val="24"/>
        </w:rPr>
      </w:pPr>
      <w:r>
        <w:rPr>
          <w:rFonts w:ascii="Times New Roman" w:hAnsi="Times New Roman"/>
          <w:noProof/>
          <w:sz w:val="24"/>
          <w:szCs w:val="24"/>
        </w:rPr>
        <w:t>Два одита на мониторинга на антимикробната резистентност на коменсалните и зоонозните бактерии установиха редица възможни подобрения на въведените процедури.</w:t>
      </w:r>
    </w:p>
    <w:p>
      <w:pPr>
        <w:jc w:val="both"/>
        <w:rPr>
          <w:rFonts w:ascii="Times New Roman" w:hAnsi="Times New Roman" w:cs="Times New Roman"/>
          <w:b/>
          <w:noProof/>
          <w:sz w:val="24"/>
          <w:szCs w:val="24"/>
        </w:rPr>
      </w:pPr>
      <w:r>
        <w:rPr>
          <w:rFonts w:ascii="Times New Roman" w:hAnsi="Times New Roman"/>
          <w:noProof/>
          <w:sz w:val="24"/>
          <w:szCs w:val="24"/>
        </w:rPr>
        <w:t xml:space="preserve">От 2013 г. насам огнища на бактерията </w:t>
      </w:r>
      <w:r>
        <w:rPr>
          <w:rFonts w:ascii="Times New Roman" w:hAnsi="Times New Roman"/>
          <w:i/>
          <w:noProof/>
          <w:sz w:val="24"/>
          <w:szCs w:val="24"/>
        </w:rPr>
        <w:t>Xylella fastidiosa</w:t>
      </w:r>
      <w:r>
        <w:rPr>
          <w:rFonts w:ascii="Times New Roman" w:hAnsi="Times New Roman"/>
          <w:noProof/>
          <w:sz w:val="24"/>
          <w:szCs w:val="24"/>
        </w:rPr>
        <w:t xml:space="preserve"> причиниха сериозни икономически щети на маслиновите и бадемовите насаждения в Италия и Испания. Патогенът застрашава широк спектър от земеделски, градинарски и горски видове в Европа. Редовните одити в държавите членки с огнища имаха за цел да се провери дали прилаганите мерки гарантират ликвидиране, или ако такова не е възможно — ограничаване, с оглед свеждане до минимум на риска от по-нататъшно разпространение в ЕС.</w:t>
      </w:r>
    </w:p>
    <w:p>
      <w:pPr>
        <w:jc w:val="both"/>
        <w:rPr>
          <w:rFonts w:ascii="Times New Roman" w:hAnsi="Times New Roman" w:cs="Times New Roman"/>
          <w:noProof/>
          <w:sz w:val="24"/>
          <w:szCs w:val="24"/>
        </w:rPr>
      </w:pPr>
      <w:r>
        <w:rPr>
          <w:rFonts w:ascii="Times New Roman" w:hAnsi="Times New Roman"/>
          <w:noProof/>
          <w:sz w:val="24"/>
          <w:szCs w:val="24"/>
        </w:rPr>
        <w:t>Комисията наблюдава някои подобрения при разрешаването, пускането на пазара и устойчивата употреба на продуктите за растителна защита (ПРЗ). Държавите членки обаче трябва да се справят със слабостите в процеса по предоставяне на разрешения за ПРЗ, оценката на интегрираните системи за борба с вредителите, прегледа на националните планове за действие и изпитването на оборудването за прилагане на продуктите. Съвместно с държавите членки Комисията стартира процеса по установяване на хармонизирани показатели за риска</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с цел оценяване на развитието на рисковете, свързани с използването на продукти за растителна защита.</w:t>
      </w:r>
    </w:p>
    <w:p>
      <w:pPr>
        <w:jc w:val="both"/>
        <w:rPr>
          <w:rFonts w:ascii="Times New Roman" w:hAnsi="Times New Roman" w:cs="Times New Roman"/>
          <w:noProof/>
          <w:sz w:val="24"/>
          <w:szCs w:val="24"/>
        </w:rPr>
      </w:pPr>
      <w:r>
        <w:rPr>
          <w:rFonts w:ascii="Times New Roman" w:hAnsi="Times New Roman"/>
          <w:noProof/>
          <w:sz w:val="24"/>
          <w:szCs w:val="24"/>
        </w:rPr>
        <w:t>Друга област, в която бе установена необходимост от подобряване на официалния контрол на държавите членки, е свързана с контрола върху биоцидите, които често не са разрешени за пазара, на който се използват.</w:t>
      </w:r>
    </w:p>
    <w:p>
      <w:pPr>
        <w:pStyle w:val="Heading1"/>
        <w:rPr>
          <w:noProof/>
          <w:szCs w:val="24"/>
        </w:rPr>
      </w:pPr>
      <w:bookmarkStart w:id="59" w:name="_Toc46332918"/>
      <w:bookmarkStart w:id="60" w:name="_Toc56004460"/>
      <w:bookmarkEnd w:id="56"/>
      <w:r>
        <w:rPr>
          <w:noProof/>
        </w:rPr>
        <w:t>Последващи действия от страна на Комисията и действия по осигуряване на изпълнението</w:t>
      </w:r>
      <w:bookmarkEnd w:id="59"/>
      <w:bookmarkEnd w:id="60"/>
    </w:p>
    <w:p>
      <w:pPr>
        <w:pStyle w:val="Heading2"/>
        <w:rPr>
          <w:noProof/>
          <w:szCs w:val="24"/>
        </w:rPr>
      </w:pPr>
      <w:bookmarkStart w:id="61" w:name="_Toc46332919"/>
      <w:bookmarkStart w:id="62" w:name="_Toc56004461"/>
      <w:r>
        <w:rPr>
          <w:noProof/>
        </w:rPr>
        <w:t>Систематични последващи действия по отношение на препоръките</w:t>
      </w:r>
      <w:bookmarkEnd w:id="61"/>
      <w:bookmarkEnd w:id="62"/>
    </w:p>
    <w:p>
      <w:pPr>
        <w:jc w:val="both"/>
        <w:rPr>
          <w:rFonts w:ascii="Times New Roman" w:hAnsi="Times New Roman" w:cs="Times New Roman"/>
          <w:noProof/>
          <w:sz w:val="24"/>
          <w:szCs w:val="24"/>
        </w:rPr>
      </w:pPr>
      <w:r>
        <w:rPr>
          <w:rFonts w:ascii="Times New Roman" w:hAnsi="Times New Roman"/>
          <w:noProof/>
          <w:sz w:val="24"/>
          <w:szCs w:val="24"/>
        </w:rPr>
        <w:t>Одитите на Комисията обикновено водят до препоръки за коригиращи действия. От държавите членки се изисква да предприемат необходимите действия за тяхното преодоляване</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и да ги опишат в плановете за действие. </w:t>
      </w:r>
    </w:p>
    <w:p>
      <w:pPr>
        <w:jc w:val="both"/>
        <w:rPr>
          <w:rFonts w:ascii="Times New Roman" w:hAnsi="Times New Roman" w:cs="Times New Roman"/>
          <w:noProof/>
          <w:sz w:val="24"/>
          <w:szCs w:val="24"/>
        </w:rPr>
      </w:pPr>
      <w:r>
        <w:rPr>
          <w:rFonts w:ascii="Times New Roman" w:hAnsi="Times New Roman"/>
          <w:noProof/>
          <w:sz w:val="24"/>
          <w:szCs w:val="24"/>
        </w:rPr>
        <w:t xml:space="preserve">Чрез редовни срещи по пакети от случаи, известни като общи последващи одити, дирекция „Одити и анализи в областта на здравеопазването и храните“ към ГД „Здравеопазване и безопасност на храните“ систематично проследява предприетите от компетентните органи действия в отговор на препоръките, отправени в одитните доклади. Общите последващи одити обхващат всички „отворени“ препоръки във всички сектори, като резултатите се публикуват в профилите на държавите (вж. по-долу). </w:t>
      </w:r>
    </w:p>
    <w:p>
      <w:pPr>
        <w:jc w:val="both"/>
        <w:rPr>
          <w:rFonts w:ascii="Times New Roman" w:hAnsi="Times New Roman" w:cs="Times New Roman"/>
          <w:noProof/>
          <w:sz w:val="24"/>
          <w:szCs w:val="24"/>
        </w:rPr>
      </w:pPr>
      <w:r>
        <w:rPr>
          <w:rFonts w:ascii="Times New Roman" w:hAnsi="Times New Roman"/>
          <w:noProof/>
          <w:sz w:val="24"/>
          <w:szCs w:val="24"/>
        </w:rPr>
        <w:t xml:space="preserve">Този процес продължи да бъде ефективен за справянето с по-голямата част от установените слабости. </w:t>
      </w:r>
    </w:p>
    <w:p>
      <w:pPr>
        <w:jc w:val="both"/>
        <w:rPr>
          <w:rFonts w:ascii="Times New Roman" w:hAnsi="Times New Roman" w:cs="Times New Roman"/>
          <w:noProof/>
          <w:sz w:val="24"/>
          <w:szCs w:val="24"/>
        </w:rPr>
      </w:pPr>
      <w:r>
        <w:rPr>
          <w:rFonts w:ascii="Times New Roman" w:hAnsi="Times New Roman"/>
          <w:noProof/>
          <w:sz w:val="24"/>
          <w:szCs w:val="24"/>
        </w:rPr>
        <w:t>В малко на брой случаи, когато резултатите от одита са особено проблемни, се организират специфични за сектора последващи одити за проследяване на действията, които трябва спешно да бъдат приложени от държавите членки.</w:t>
      </w:r>
    </w:p>
    <w:p>
      <w:pPr>
        <w:jc w:val="both"/>
        <w:rPr>
          <w:rFonts w:ascii="Times New Roman" w:hAnsi="Times New Roman" w:cs="Times New Roman"/>
          <w:noProof/>
          <w:sz w:val="24"/>
          <w:szCs w:val="24"/>
        </w:rPr>
      </w:pPr>
      <w:r>
        <w:rPr>
          <w:rFonts w:ascii="Times New Roman" w:hAnsi="Times New Roman"/>
          <w:noProof/>
          <w:sz w:val="24"/>
          <w:szCs w:val="24"/>
        </w:rPr>
        <w:t>В края на декември 2018 г. държавите членки предприеха коригиращи действия или представиха удовлетворяващи ангажименти за преодоляване на слабостите в рамките на приемливи срокове:</w:t>
      </w:r>
    </w:p>
    <w:p>
      <w:pPr>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по отношение на 96 % от препоръките, произтичащи от одити през цикъла на докладване 2014—2016 г.; и</w:t>
      </w:r>
    </w:p>
    <w:p>
      <w:pPr>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по отношение на 95 % от препоръките, произтичащи от одити през цикъла на докладване 2015—2017 г.</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Специфичните за държавите знания са важни за подготовката на одитите и за информационното осигуряване на процесите на създаване на политики. Поради това дирекция „Одити и анализи в областта на здравеопазването и храните“ към ГД „Здравеопазване и безопасност на храните“ поддържа и публикува профили на държавите. Тяхното актуализиране гарантира прозрачност на процеса.</w:t>
      </w:r>
    </w:p>
    <w:p>
      <w:pPr>
        <w:jc w:val="both"/>
        <w:rPr>
          <w:rFonts w:ascii="Times New Roman" w:hAnsi="Times New Roman" w:cs="Times New Roman"/>
          <w:noProof/>
          <w:sz w:val="24"/>
          <w:szCs w:val="24"/>
        </w:rPr>
      </w:pPr>
      <w:r>
        <w:rPr>
          <w:rFonts w:ascii="Times New Roman" w:hAnsi="Times New Roman"/>
          <w:noProof/>
          <w:sz w:val="24"/>
          <w:szCs w:val="24"/>
        </w:rPr>
        <w:t xml:space="preserve">Тези профили на държавите са </w:t>
      </w:r>
      <w:hyperlink r:id="rId28" w:history="1">
        <w:r>
          <w:rPr>
            <w:rStyle w:val="Hyperlink"/>
            <w:rFonts w:ascii="Times New Roman" w:hAnsi="Times New Roman"/>
            <w:noProof/>
            <w:sz w:val="24"/>
            <w:szCs w:val="24"/>
          </w:rPr>
          <w:t>обществено достъпни</w:t>
        </w:r>
      </w:hyperlink>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и включват преглед на всички държави членки по отношение на:</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петте последно публикувани одитни доклада;</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оценката на Комисията за действията, предприети от държавите членки в отговор на нейните одити и препоръките от одитите;</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организацията на контрола в държавите членки въз основа на информацията, предоставена от тях;</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съответните връзки към уебсайтовете на държавите членки, предоставени от тях.</w:t>
      </w:r>
    </w:p>
    <w:p>
      <w:pPr>
        <w:pStyle w:val="Heading2"/>
        <w:rPr>
          <w:noProof/>
          <w:szCs w:val="24"/>
        </w:rPr>
      </w:pPr>
      <w:bookmarkStart w:id="63" w:name="_Toc46332920"/>
      <w:bookmarkStart w:id="64" w:name="_Toc56004462"/>
      <w:r>
        <w:rPr>
          <w:noProof/>
        </w:rPr>
        <w:t>Подкрепа за държавите членки</w:t>
      </w:r>
      <w:bookmarkEnd w:id="63"/>
      <w:bookmarkEnd w:id="64"/>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Комисията подкрепя държавите членки с цел подобряване на техния капацитет за прилагане на правото на ЕС чрез мрежи и обучение.</w:t>
      </w:r>
    </w:p>
    <w:p>
      <w:pPr>
        <w:pStyle w:val="Heading3"/>
        <w:rPr>
          <w:noProof/>
          <w:szCs w:val="24"/>
        </w:rPr>
      </w:pPr>
      <w:bookmarkStart w:id="65" w:name="_Toc46332921"/>
      <w:bookmarkStart w:id="66" w:name="_Toc56004463"/>
      <w:r>
        <w:rPr>
          <w:noProof/>
        </w:rPr>
        <w:t>Мрежи</w:t>
      </w:r>
      <w:bookmarkEnd w:id="65"/>
      <w:bookmarkEnd w:id="66"/>
    </w:p>
    <w:p>
      <w:pPr>
        <w:jc w:val="both"/>
        <w:rPr>
          <w:rFonts w:ascii="Times New Roman" w:hAnsi="Times New Roman" w:cs="Times New Roman"/>
          <w:noProof/>
          <w:sz w:val="24"/>
          <w:szCs w:val="24"/>
        </w:rPr>
      </w:pPr>
      <w:r>
        <w:rPr>
          <w:rFonts w:ascii="Times New Roman" w:hAnsi="Times New Roman"/>
          <w:noProof/>
          <w:sz w:val="24"/>
          <w:szCs w:val="24"/>
        </w:rPr>
        <w:t xml:space="preserve">Дирекция „Одити и анализи в областта на здравеопазването и храните“ е домакин на редица мрежи и работни групи, състоящи се от длъжностни лица от компетентните органи на държавите членки и на държавите — членки на Европейската асоциация за свободна търговия, които са страни по Споразумението за Европейското икономическо пространство, с цел обсъждане и популяризиране на прилагането на някои аспекти от правото на ЕС. </w:t>
      </w:r>
    </w:p>
    <w:p>
      <w:pPr>
        <w:jc w:val="both"/>
        <w:rPr>
          <w:rFonts w:ascii="Times New Roman" w:hAnsi="Times New Roman" w:cs="Times New Roman"/>
          <w:noProof/>
          <w:sz w:val="24"/>
          <w:szCs w:val="24"/>
        </w:rPr>
      </w:pPr>
      <w:r>
        <w:rPr>
          <w:rFonts w:ascii="Times New Roman" w:hAnsi="Times New Roman"/>
          <w:noProof/>
          <w:sz w:val="24"/>
          <w:szCs w:val="24"/>
        </w:rPr>
        <w:t>От 2008 г. насам две мрежи провеждат редовни срещи с цел обмен на опит относно подготовката, изпълнението и докладването за МНПК и прилагането на националните системи за одит (НСО) във връзка с официалния контрол. През периода 2017—2018 г. мрежата за МНПК проведе девет срещи. Срещите бяха посветени най-вече на разработването и финализирането на стандартните образци на формуляри за годишните доклади</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Срещата на една от подгрупите през 2018 г. беше посветена на преразглеждането на насоките за подготовката на МНПК</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Мрежата за МНПК също така разработи и електронната версия на стандартния образец на формуляр за годишните доклади — инструмента „Годишно докладване относно официалния контрол (AROC)“, за да помогне на държавите членки да се подготвят за прилагането на РОК.</w:t>
      </w:r>
    </w:p>
    <w:p>
      <w:pPr>
        <w:jc w:val="both"/>
        <w:rPr>
          <w:rFonts w:ascii="Times New Roman" w:hAnsi="Times New Roman" w:cs="Times New Roman"/>
          <w:noProof/>
          <w:sz w:val="24"/>
          <w:szCs w:val="24"/>
        </w:rPr>
      </w:pPr>
      <w:r>
        <w:rPr>
          <w:rFonts w:ascii="Times New Roman" w:hAnsi="Times New Roman"/>
          <w:noProof/>
          <w:sz w:val="24"/>
          <w:szCs w:val="24"/>
        </w:rPr>
        <w:t>Мрежата за НСО проведе 4 срещи през периода 2017—2018 г. Срещите улесниха обмена на опит и на информация за общите проблеми между членовете и доведоха до определянето на добри/най-добри практики, като мрежата инициира преглед на насоките за провеждане на одити</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Мрежата на националните звена за контакт на държавите членки за защита на животните по време на транспортиране (НЗК) провежда редовно срещи от 2010 г. насам с цел споделяне на знания по общи проблеми и намиране на решение за прилагане и осигуряване на изпълнението на изискванията в областта на хуманното отношение към животните по време на транспортиране. От 2014 г. насам тази мрежа изготвя консенсусни мрежови документи, които предоставят насоки относно практическото прилагане на изискванията в областта на хуманното отношение към животните, и установява добрите практики за контрол. През 2017 и 2018 г. мрежата на НЗК проведе четири срещи с цел обсъждане на промените в годишните доклади във връзка с контрола относно хуманното отношение към животните по време на транспортиране, транспортирането на телета и транспортирането на животни към държави извън ЕС и при екстремни температури. През 2017 г. мрежата на НЗК финализира мрежовия документ относно износа на живи животни, изнасяни с пътни превозни средства.</w:t>
      </w:r>
    </w:p>
    <w:p>
      <w:pPr>
        <w:jc w:val="both"/>
        <w:rPr>
          <w:rFonts w:ascii="Times New Roman" w:hAnsi="Times New Roman" w:cs="Times New Roman"/>
          <w:noProof/>
          <w:sz w:val="24"/>
          <w:szCs w:val="24"/>
        </w:rPr>
      </w:pPr>
      <w:r>
        <w:rPr>
          <w:rFonts w:ascii="Times New Roman" w:hAnsi="Times New Roman"/>
          <w:noProof/>
          <w:sz w:val="24"/>
          <w:szCs w:val="24"/>
        </w:rPr>
        <w:t>Работната група за устойчива употреба на пестициди проведе четири срещи в периода 2017—2018 г. През 2017 г. Комисията публикува първия си доклад относно прилагането на законодателството в областта на устойчивата употреба на пестициди (УУП)</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Групата активно обсъди този доклад и прилагането на ДУУП в отделните държави членки, като направи преглед и на техните първоначални национални планове за действие</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През 2018 г. акцентът при обсъжданията беше върху хармонизираните показатели за риска, изготвени от Комисията, аспектите на УУП, свързани с околната среда, и предизвикателствата, пред които са били изправени държавите членки по отношение на прилагането на интегрираното управление на вредителите и неговата оценка на равнище земеделско стопанство. </w:t>
      </w:r>
    </w:p>
    <w:p>
      <w:pPr>
        <w:jc w:val="both"/>
        <w:rPr>
          <w:rFonts w:ascii="Times New Roman" w:hAnsi="Times New Roman" w:cs="Times New Roman"/>
          <w:noProof/>
          <w:sz w:val="24"/>
          <w:szCs w:val="24"/>
        </w:rPr>
      </w:pPr>
      <w:r>
        <w:rPr>
          <w:rFonts w:ascii="Times New Roman" w:hAnsi="Times New Roman"/>
          <w:noProof/>
          <w:sz w:val="24"/>
          <w:szCs w:val="24"/>
        </w:rPr>
        <w:t>Работни групи относно формулацията на продукти за растителна защита (ПРЗ) и за осигуряване на изпълнението на законодателството в тази област имат за цел преодоляване на основните слабости, установени при поредицата от одити, проведени в периода 2012—2016 г., по отношение на официалния контрол относно пускането на пазара на ПРЗ. През периода 2017—2018 г. беше проведена среща на работната група относно формулацията и анализа на ПРЗ, като акцентът на тази среща беше върху разработването на референтни документи с цел предоставяне на насоки на държавите членки относно стратегията за анализ и относно тълкуването на резултатите от анализа. Работната група за осигуряване на изпълнението на законодателството в областта на ПРЗ проведе две срещи — една през 2017 г. и една през 2018 г.  Една от тези срещи беше организирана под формата на работен семинар, насочен към официалния контрол в големите складове, контрола върху вноса в пристанищата и инспекциите на производителите на продукти за растителна защита. Това осигури на държавите членки полезна основа за подобряване на контролните дейности в тази област.</w:t>
      </w:r>
    </w:p>
    <w:p>
      <w:pPr>
        <w:pStyle w:val="Heading3"/>
        <w:rPr>
          <w:noProof/>
          <w:szCs w:val="24"/>
        </w:rPr>
      </w:pPr>
      <w:bookmarkStart w:id="67" w:name="_Toc46332922"/>
      <w:bookmarkStart w:id="68" w:name="_Toc56004464"/>
      <w:r>
        <w:rPr>
          <w:noProof/>
        </w:rPr>
        <w:t>„По-добро обучение за по-безопасни храни“ (BTSF)</w:t>
      </w:r>
      <w:bookmarkEnd w:id="67"/>
      <w:bookmarkEnd w:id="68"/>
    </w:p>
    <w:p>
      <w:pPr>
        <w:jc w:val="both"/>
        <w:rPr>
          <w:rFonts w:ascii="Times New Roman" w:hAnsi="Times New Roman" w:cs="Times New Roman"/>
          <w:noProof/>
          <w:sz w:val="24"/>
          <w:szCs w:val="24"/>
        </w:rPr>
      </w:pPr>
      <w:r>
        <w:rPr>
          <w:rFonts w:ascii="Times New Roman" w:hAnsi="Times New Roman"/>
          <w:noProof/>
          <w:sz w:val="24"/>
          <w:szCs w:val="24"/>
        </w:rPr>
        <w:t>BTSF е инициатива на Комисията, която има за цел организирането на обучение за заинтересованите страни в областите на законодателството на ЕС в областта на храните и фуражите, правилата относно здравеопазването на животните и хуманното отношение към тях, както и правилата относно здравето на растенията, биологичното земеделие и схемите за качество. Резултатите от контрола на Комисията (например одити) спомагат за установяване на нуждите от обучение. Програмата на инициативата BTSF за периода 2017—2018 г.</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включваше работни семинари по редица теми, като например превенция и контрол на антимикробната резистентност, готовност на ветеринарните служби за действия при природни бедствия и обучение относно вътрешните одити. </w:t>
      </w:r>
    </w:p>
    <w:p>
      <w:pPr>
        <w:pStyle w:val="Heading2"/>
        <w:rPr>
          <w:noProof/>
          <w:szCs w:val="24"/>
        </w:rPr>
      </w:pPr>
      <w:bookmarkStart w:id="69" w:name="_Toc46332923"/>
      <w:bookmarkStart w:id="70" w:name="_Toc56004465"/>
      <w:r>
        <w:rPr>
          <w:noProof/>
        </w:rPr>
        <w:t>Осигуряване на изпълнението</w:t>
      </w:r>
      <w:bookmarkEnd w:id="69"/>
      <w:bookmarkEnd w:id="70"/>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Когато държава членка нарушава правото на ЕС, Комисията определя подходящи действия за всеки отделен случай в съответствие с нейния подход „Право на ЕС: по-добри резултати чрез по-добър подход за прилагане“</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Тези действия могат да варират от контакти с органите на държавите членки на подходящо равнище с цел гарантиране на правилното прилагане на правото на ЕС до започване на обмен в рамките на EU Pilot и/или производство за установяване на нарушение в случаите, когато е налице ясно и солидно правно основание за това и когато всички други средства за насърчаване на съответствието са били изчерпани. В областта на безопасността на храните инструментите за осигуряване на изпълнението, освен когато става въпрос за нарушение, включват също и налагането на различни защитни мерки. Те могат да варират от предприемането на предпазни мерки относно търговията и движението на животни, растения или хранителни и фуражни продукти до приемането на защитни мерки съгласно съответното законодателство.</w:t>
      </w:r>
    </w:p>
    <w:p>
      <w:pPr>
        <w:jc w:val="both"/>
        <w:rPr>
          <w:rFonts w:ascii="Times New Roman" w:hAnsi="Times New Roman" w:cs="Times New Roman"/>
          <w:i/>
          <w:noProof/>
          <w:sz w:val="24"/>
          <w:szCs w:val="24"/>
        </w:rPr>
      </w:pPr>
      <w:r>
        <w:rPr>
          <w:rFonts w:ascii="Times New Roman" w:hAnsi="Times New Roman"/>
          <w:noProof/>
          <w:sz w:val="24"/>
          <w:szCs w:val="24"/>
        </w:rPr>
        <w:t>Първото действие, което се предприема при необходимост, е писмо на високо равнище до съответната държава членка, последвано от досъдебната и съдебната фаза на производството за установяване на нарушение</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В периода 2017—2018 г. пред Съда на Европейския съюз беше заведено едно дело за установяване на нарушение в областите, обхванати от РОК. През май 2018 г. Комисията реши да сезира Съда на ЕС по отношение на неизпълнението от страна на Италия на задълженията ѝ за подходящо предотвратяване на по-нататъшното разпространение на изискващия карантина вреден организъм </w:t>
      </w:r>
      <w:r>
        <w:rPr>
          <w:rFonts w:ascii="Times New Roman" w:hAnsi="Times New Roman"/>
          <w:i/>
          <w:noProof/>
          <w:sz w:val="24"/>
          <w:szCs w:val="24"/>
        </w:rPr>
        <w:t>Xylella fastidiosa</w:t>
      </w:r>
      <w:r>
        <w:rPr>
          <w:rFonts w:ascii="Times New Roman" w:hAnsi="Times New Roman"/>
          <w:noProof/>
          <w:sz w:val="24"/>
          <w:szCs w:val="24"/>
        </w:rPr>
        <w:t xml:space="preserve"> в Пулия</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w:t>
      </w:r>
    </w:p>
    <w:p>
      <w:pPr>
        <w:pStyle w:val="Heading1"/>
        <w:rPr>
          <w:noProof/>
          <w:szCs w:val="24"/>
        </w:rPr>
      </w:pPr>
      <w:bookmarkStart w:id="71" w:name="_Toc46332924"/>
      <w:bookmarkStart w:id="72" w:name="_Toc56004466"/>
      <w:r>
        <w:rPr>
          <w:noProof/>
        </w:rPr>
        <w:t>Заключения</w:t>
      </w:r>
      <w:bookmarkEnd w:id="71"/>
      <w:bookmarkEnd w:id="72"/>
    </w:p>
    <w:p>
      <w:pPr>
        <w:jc w:val="both"/>
        <w:rPr>
          <w:rFonts w:ascii="Times New Roman" w:hAnsi="Times New Roman" w:cs="Times New Roman"/>
          <w:noProof/>
          <w:sz w:val="24"/>
          <w:szCs w:val="24"/>
        </w:rPr>
      </w:pPr>
      <w:r>
        <w:rPr>
          <w:rFonts w:ascii="Times New Roman" w:hAnsi="Times New Roman"/>
          <w:noProof/>
          <w:sz w:val="24"/>
          <w:szCs w:val="24"/>
        </w:rPr>
        <w:t>ЕС разполага със стабилна законодателна рамка за контрол на опасностите, свързани с безопасността, във веригата за доставки.</w:t>
      </w:r>
      <w:r>
        <w:rPr>
          <w:rFonts w:ascii="Times New Roman" w:hAnsi="Times New Roman"/>
          <w:noProof/>
          <w:color w:val="000000"/>
          <w:sz w:val="24"/>
          <w:szCs w:val="24"/>
          <w:bdr w:val="none" w:sz="0" w:space="0" w:color="auto" w:frame="1"/>
        </w:rPr>
        <w:t xml:space="preserve"> </w:t>
      </w:r>
      <w:r>
        <w:rPr>
          <w:rFonts w:ascii="Times New Roman" w:hAnsi="Times New Roman"/>
          <w:noProof/>
          <w:sz w:val="24"/>
          <w:szCs w:val="24"/>
        </w:rPr>
        <w:t>Националните органи на държавите членки показаха в годишните си доклади относно официалния контрол, че продължават да изпълняват своята важна роля за осъществяването на мониторинг и проверка чрез организирането на официален контрол</w:t>
      </w:r>
      <w:r>
        <w:rPr>
          <w:rFonts w:ascii="Times New Roman" w:hAnsi="Times New Roman"/>
          <w:noProof/>
          <w:color w:val="000000"/>
          <w:sz w:val="24"/>
          <w:szCs w:val="24"/>
          <w:bdr w:val="none" w:sz="0" w:space="0" w:color="auto" w:frame="1"/>
        </w:rPr>
        <w:t xml:space="preserve"> дали съответните изисквания на Съюза действително се спазват и изпълняват</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Придружаващият работен документ на службите на Комисията предоставя подробности за контрола, осъществен от страна на Комисията в държавите членки с цел проверка на правилното прилагане и изпълнение на изискванията на Съюза по отношение на законодателството в областта на храните и фуражите, здравеопазването на животните и хуманното отношение към тях, здравето на растенията и продуктите за растителна защита. Резултатите от този контрол показват, че като цяло държавите членки разполагат с необходимите системи за контрол, чрез които се гарантират общоприемливи равнища на съответствие. В рамките на контрола от страна на Комисията обаче продължават да се установяват недостатъци в официалния контрол, като се отбелязва, че все още са налице възможности за подобрение.</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Небрежното отношение към безопасността на храните винаги има обратен ефект, който може не само да застраши общественото здраве, но също и да се отрази върху доверието на нашите граждани, както и на нашите търговски партньори в продоволствената система на ЕС като цяло. Не бива да допускаме самодоволство по отношение на безопасността на храните — всички планирани контролни дейности, заложени в МНПК на държавите членки, трябва да се изпълняват. В годишните доклади за 2017 и 2018 година обаче отново се подчертава, че редица държави членки са изправени пред предизвикателства, свързани с осигуряването на подходящи финансови ресурси за извършването на необходимия официален контрол.</w:t>
      </w:r>
    </w:p>
    <w:p>
      <w:pPr>
        <w:jc w:val="both"/>
        <w:rPr>
          <w:rFonts w:ascii="Times New Roman" w:hAnsi="Times New Roman" w:cs="Times New Roman"/>
          <w:noProof/>
          <w:sz w:val="24"/>
          <w:szCs w:val="24"/>
        </w:rPr>
      </w:pPr>
      <w:r>
        <w:rPr>
          <w:rFonts w:ascii="Times New Roman" w:hAnsi="Times New Roman"/>
          <w:noProof/>
          <w:sz w:val="24"/>
          <w:szCs w:val="24"/>
        </w:rPr>
        <w:t>Систематичните последващи действия във връзка с препоръките от одитите показват, че държавите членки като цяло предприемат подходящи коригиращи мерки за преодоляване на установените слабости. Освен това в годишните доклади се подчертават текущите усилия на държавите членки за подобряване на ефикасността и ефективността на техния контрол, по-специално чрез по-добри IT системи, анализ на данни, наръчници за качеството и обучение.</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 xml:space="preserve">С приемането на РОК бяха въведени съществени промени, които ще допринесат за подобряване на официалния контрол. </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 xml:space="preserve">С цел гарантиране на съгласуваността на МНПК е необходимо всяка държава членка да определи един орган, който е натоварен със задачата да координира подготовката на нейния МНПК и събирането на информация за неговото изпълнение, преразглеждане и актуализиране. В МНПК се посочват стратегическите цели и по какъв начин определянето на приоритетите на официалния контрол и разпределението на ресурсите са съобразени с тези приоритети. </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Що се отнася до прозрачността, в РОК се изисква МНПК да се оповестяват публично. Освен това за държавите членки съществува възможност да изпълнят изискванията за прозрачност чрез публикуване на своите годишни доклади.</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Въвеждането на стандартен образец на формуляр за годишните доклади, които трябва да бъдат подавани от държавите членки, ще улесни събирането на информация и данни относно официалния контрол, извършван от държавите членки по цялата агрохранителна верига в ЕС, и ще допринесе за по-безпроблемното изготвяне и публикуване на годишния доклад на Комисията.</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Като работи в партньорство, Комисията продължава да бъде ангажирана с подкрепата си към държавите членки за непрекъснато подобряване на техните системи за контрол чрез мрежите и инициативата BTSF.</w:t>
      </w:r>
    </w:p>
    <w:p>
      <w:pPr>
        <w:rPr>
          <w:rFonts w:ascii="Times New Roman" w:hAnsi="Times New Roman" w:cs="Times New Roman"/>
          <w:noProof/>
          <w:sz w:val="24"/>
          <w:szCs w:val="24"/>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ii</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 xml:space="preserve">Измама е преднамерено действие на предприятия или физически лица с цел подвеждане на купувачи и получаване по този начин на неправомерно предимство. Такива действия могат също да представляват риск за здравето на хората, животните или растенията, за хуманното отношение към животните или за околната среда. На </w:t>
      </w:r>
      <w:hyperlink r:id="rId1" w:history="1">
        <w:r>
          <w:rPr>
            <w:rStyle w:val="Hyperlink"/>
          </w:rPr>
          <w:t>уебстраниците на мрежата на ЕС за борба с измамите с храни</w:t>
        </w:r>
      </w:hyperlink>
      <w:r>
        <w:t xml:space="preserve"> е предоставена допълнителна основна информация.</w:t>
      </w:r>
    </w:p>
  </w:footnote>
  <w:footnote w:id="2">
    <w:p>
      <w:pPr>
        <w:pStyle w:val="FootnoteText"/>
        <w:ind w:left="284" w:hanging="284"/>
      </w:pPr>
      <w:r>
        <w:rPr>
          <w:rStyle w:val="FootnoteReference"/>
        </w:rPr>
        <w:footnoteRef/>
      </w:r>
      <w:r>
        <w:tab/>
        <w:t>„официален контрол“ означава всяка дейност, извършвана от компетентните органи на държава — членка на ЕС, с цел проверка на съответствието със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и дали животните и стоките отговарят на тези изисквания.</w:t>
      </w:r>
    </w:p>
  </w:footnote>
  <w:footnote w:id="3">
    <w:p>
      <w:pPr>
        <w:pStyle w:val="FootnoteText"/>
        <w:ind w:left="284" w:hanging="284"/>
      </w:pPr>
      <w:r>
        <w:rPr>
          <w:rStyle w:val="FootnoteReference"/>
        </w:rPr>
        <w:footnoteRef/>
      </w:r>
      <w:r>
        <w:tab/>
        <w:t>Член 116 от 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 OВ L 95, 7.4.2017 г., стр.1.</w:t>
      </w:r>
    </w:p>
  </w:footnote>
  <w:footnote w:id="4">
    <w:p>
      <w:pPr>
        <w:pStyle w:val="FootnoteText"/>
        <w:ind w:left="284" w:hanging="284"/>
      </w:pPr>
      <w:r>
        <w:rPr>
          <w:rStyle w:val="FootnoteReference"/>
        </w:rPr>
        <w:footnoteRef/>
      </w:r>
      <w:r>
        <w:tab/>
        <w:t>Член 113, параграф 1 от Регламент (ЕС) № 2017/625.</w:t>
      </w:r>
    </w:p>
  </w:footnote>
  <w:footnote w:id="5">
    <w:p>
      <w:pPr>
        <w:pStyle w:val="FootnoteText"/>
        <w:ind w:left="284" w:hanging="284"/>
      </w:pPr>
      <w:r>
        <w:rPr>
          <w:rStyle w:val="FootnoteReference"/>
        </w:rPr>
        <w:footnoteRef/>
      </w:r>
      <w:r>
        <w:tab/>
        <w:t>Член 114 от Регламент (ЕС) 2017/625.</w:t>
      </w:r>
    </w:p>
  </w:footnote>
  <w:footnote w:id="6">
    <w:p>
      <w:pPr>
        <w:pStyle w:val="FootnoteText"/>
        <w:ind w:left="284" w:hanging="284"/>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 OВ L 31, 1.2.2002 г., стр.1.</w:t>
      </w:r>
    </w:p>
  </w:footnote>
  <w:footnote w:id="7">
    <w:p>
      <w:pPr>
        <w:pStyle w:val="FootnoteText"/>
        <w:ind w:left="284" w:hanging="284"/>
      </w:pPr>
      <w:r>
        <w:rPr>
          <w:rStyle w:val="FootnoteReference"/>
        </w:rPr>
        <w:footnoteRef/>
      </w:r>
      <w:r>
        <w:tab/>
        <w:t>Регламент (ЕО) № 834/2007 на Съвета относно биологичното производство и етикетирането на биологични продукти и за отмяна на Регламент (ЕИО) № 2092/91 — OВ L 189, 20.7.2007 г., стр.1.</w:t>
      </w:r>
    </w:p>
  </w:footnote>
  <w:footnote w:id="8">
    <w:p>
      <w:pPr>
        <w:pStyle w:val="FootnoteText"/>
        <w:ind w:left="284" w:hanging="284"/>
      </w:pPr>
      <w:r>
        <w:rPr>
          <w:rStyle w:val="FootnoteReference"/>
        </w:rPr>
        <w:footnoteRef/>
      </w:r>
      <w:r>
        <w:tab/>
        <w:t>Регламент (ЕС) № 1151/2012 на Европейския парламент и на Съвета от 21 ноември 2012 г. относно схемите за качество на селскостопанските продукти и храни — OВ L 343, 14.12.2012 г., стр. 1.</w:t>
      </w:r>
    </w:p>
  </w:footnote>
  <w:footnote w:id="9">
    <w:p>
      <w:pPr>
        <w:pStyle w:val="FootnoteText"/>
        <w:ind w:left="284" w:hanging="284"/>
      </w:pPr>
      <w:r>
        <w:rPr>
          <w:rStyle w:val="FootnoteReference"/>
        </w:rPr>
        <w:footnoteRef/>
      </w:r>
      <w:r>
        <w:tab/>
        <w:t>С Регламент (EС) 2017/625 беше отменен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footnote>
  <w:footnote w:id="10">
    <w:p>
      <w:pPr>
        <w:pStyle w:val="FootnoteText"/>
        <w:ind w:left="284" w:hanging="284"/>
      </w:pPr>
      <w:r>
        <w:rPr>
          <w:rStyle w:val="FootnoteReference"/>
        </w:rPr>
        <w:footnoteRef/>
      </w:r>
      <w:r>
        <w:tab/>
        <w:t>Членове 109, 110 и 111 от Регламент (ЕС) 2017/625.</w:t>
      </w:r>
    </w:p>
  </w:footnote>
  <w:footnote w:id="11">
    <w:p>
      <w:pPr>
        <w:pStyle w:val="FootnoteText"/>
        <w:ind w:left="284" w:hanging="284"/>
      </w:pPr>
      <w:r>
        <w:rPr>
          <w:rStyle w:val="FootnoteReference"/>
        </w:rPr>
        <w:footnoteRef/>
      </w:r>
      <w:r>
        <w:tab/>
        <w:t>Член 11 от Регламент (ЕС) 2017/625.</w:t>
      </w:r>
    </w:p>
  </w:footnote>
  <w:footnote w:id="12">
    <w:p>
      <w:pPr>
        <w:pStyle w:val="FootnoteText"/>
        <w:ind w:left="284" w:hanging="284"/>
      </w:pPr>
      <w:r>
        <w:rPr>
          <w:rStyle w:val="FootnoteReference"/>
        </w:rPr>
        <w:footnoteRef/>
      </w:r>
      <w:r>
        <w:tab/>
        <w:t>Член 116 от Регламент (ЕС) 2017/625.</w:t>
      </w:r>
    </w:p>
  </w:footnote>
  <w:footnote w:id="13">
    <w:p>
      <w:pPr>
        <w:pStyle w:val="FootnoteText"/>
        <w:ind w:left="284" w:hanging="284"/>
      </w:pPr>
      <w:r>
        <w:rPr>
          <w:rStyle w:val="FootnoteReference"/>
        </w:rPr>
        <w:footnoteRef/>
      </w:r>
      <w:r>
        <w:tab/>
        <w:t xml:space="preserve">Член 119 от Регламент (ЕС) 2017/625. </w:t>
      </w:r>
    </w:p>
  </w:footnote>
  <w:footnote w:id="14">
    <w:p>
      <w:pPr>
        <w:pStyle w:val="FootnoteText"/>
      </w:pPr>
      <w:r>
        <w:rPr>
          <w:rStyle w:val="FootnoteReference"/>
        </w:rPr>
        <w:footnoteRef/>
      </w:r>
      <w:r>
        <w:tab/>
        <w:t xml:space="preserve">Член 44 от Регламент (ЕО) № 882/2004. </w:t>
      </w:r>
    </w:p>
  </w:footnote>
  <w:footnote w:id="15">
    <w:p>
      <w:pPr>
        <w:pStyle w:val="FootnoteText"/>
        <w:ind w:left="284" w:hanging="284"/>
      </w:pPr>
      <w:r>
        <w:rPr>
          <w:rStyle w:val="FootnoteReference"/>
        </w:rPr>
        <w:footnoteRef/>
      </w:r>
      <w:r>
        <w:tab/>
        <w:t>Решение 2008/654/EО на Комисията от 24 юли 2008 г. относно насоките за подпомагане на държавите членки при изготвянето на годишния доклад за единния интегриран многогодишен национален план за контрол, предвиден в Регламент (ЕО) № 882/2004 — OВ L 214, 9.8.2008 г., стр. 56.</w:t>
      </w:r>
    </w:p>
  </w:footnote>
  <w:footnote w:id="16">
    <w:p>
      <w:pPr>
        <w:pStyle w:val="FootnoteText"/>
      </w:pPr>
      <w:r>
        <w:rPr>
          <w:rStyle w:val="FootnoteReference"/>
        </w:rPr>
        <w:footnoteRef/>
      </w:r>
      <w:r>
        <w:tab/>
        <w:t xml:space="preserve">Вж. </w:t>
      </w:r>
      <w:hyperlink r:id="rId2" w:history="1">
        <w:r>
          <w:rPr>
            <w:rStyle w:val="Hyperlink"/>
          </w:rPr>
          <w:t>Специален доклад № 04/2019:</w:t>
        </w:r>
      </w:hyperlink>
      <w:hyperlink r:id="rId3" w:history="1">
        <w:r>
          <w:rPr>
            <w:rStyle w:val="Hyperlink"/>
          </w:rPr>
          <w:t xml:space="preserve"> Системата за контрол на биологичните продукти е усъвършенствана, но някои предизвикателства остават</w:t>
        </w:r>
      </w:hyperlink>
      <w:r>
        <w:t>.</w:t>
      </w:r>
    </w:p>
  </w:footnote>
  <w:footnote w:id="17">
    <w:p>
      <w:pPr>
        <w:pStyle w:val="FootnoteText"/>
      </w:pPr>
      <w:r>
        <w:rPr>
          <w:rStyle w:val="FootnoteReference"/>
        </w:rPr>
        <w:footnoteRef/>
      </w:r>
      <w:r>
        <w:tab/>
        <w:t>2017 г.: Белгия, Германия, Дания, Естония, Италия, Литва, Люксембург, Норвегия, Полша, Португалия, Унгария, Финландия, Хърватия, Чешката република, Швеция; 2018 г.: Австрия, Белгия, България, Германия, Гърция, Дания, Естония, Ирландия, Испания, Италия, Кипър, Литва, Люксембург, Малта, Нидерландия, Норвегия, Полша, Португалия, Румъния, Словения, Унгария, Финландия, Франция, Хърватия, Чешката република, Швеция. </w:t>
      </w:r>
    </w:p>
  </w:footnote>
  <w:footnote w:id="18">
    <w:p>
      <w:pPr>
        <w:pStyle w:val="FootnoteText"/>
        <w:ind w:left="284" w:hanging="284"/>
      </w:pPr>
      <w:r>
        <w:rPr>
          <w:rStyle w:val="FootnoteReference"/>
        </w:rPr>
        <w:footnoteRef/>
      </w:r>
      <w:r>
        <w:tab/>
        <w:t>Регламент за изпълнение (ЕС) 2019/723 на Комисията от 2 май 2019 г. за определяне на правила за прилагането на Регламент (ЕС) 2017/625 на Европейския парламент и на Съвета по отношение на стандартния образец на формуляр, който следва да бъде използван в годишните доклади, представяни от държавите членки — OВ L 124, 13.5.2019 г., стр. 1; приет съгласно член 113, параграф 2 от Регламент (ЕС) 2017/625.</w:t>
      </w:r>
    </w:p>
  </w:footnote>
  <w:footnote w:id="19">
    <w:p>
      <w:pPr>
        <w:pStyle w:val="FootnoteText"/>
        <w:ind w:left="284" w:hanging="284"/>
      </w:pPr>
      <w:r>
        <w:rPr>
          <w:rStyle w:val="FootnoteReference"/>
        </w:rPr>
        <w:footnoteRef/>
      </w:r>
      <w:r>
        <w:tab/>
        <w:t>Член 42, параграф 2, буква а) от Регламент (ЕО) № 882/2004 и член 110, параграф 2, буква а) от Регламент (ЕС) № 2017/625.</w:t>
      </w:r>
    </w:p>
  </w:footnote>
  <w:footnote w:id="20">
    <w:p>
      <w:pPr>
        <w:pStyle w:val="FootnoteText"/>
        <w:ind w:left="284" w:hanging="284"/>
      </w:pPr>
      <w:r>
        <w:rPr>
          <w:rStyle w:val="FootnoteReference"/>
        </w:rPr>
        <w:footnoteRef/>
      </w:r>
      <w:r>
        <w:tab/>
        <w:t>Членове 3, параграф 1 и 43, параграф 1, буква б) от Регламент (ЕО) № 882/2004 и член 9, параграф 1 от Регламент (ЕС) № 2017/625.</w:t>
      </w:r>
    </w:p>
  </w:footnote>
  <w:footnote w:id="21">
    <w:p>
      <w:pPr>
        <w:pStyle w:val="FootnoteText"/>
        <w:ind w:left="284" w:hanging="284"/>
      </w:pPr>
      <w:r>
        <w:rPr>
          <w:rStyle w:val="FootnoteReference"/>
        </w:rPr>
        <w:footnoteRef/>
      </w:r>
      <w:r>
        <w:tab/>
        <w:t>Член 36 от Регламент (ЕС) 2017/625.</w:t>
      </w:r>
    </w:p>
  </w:footnote>
  <w:footnote w:id="22">
    <w:p>
      <w:pPr>
        <w:pStyle w:val="FootnoteText"/>
        <w:ind w:left="284" w:hanging="284"/>
      </w:pPr>
      <w:r>
        <w:rPr>
          <w:rStyle w:val="FootnoteReference"/>
        </w:rPr>
        <w:footnoteRef/>
      </w:r>
      <w:r>
        <w:tab/>
        <w:t>Член 139, параграф 2 от Регламент (ЕС) 2017/625.</w:t>
      </w:r>
    </w:p>
  </w:footnote>
  <w:footnote w:id="23">
    <w:p>
      <w:pPr>
        <w:pStyle w:val="FootnoteText"/>
        <w:ind w:left="284" w:hanging="284"/>
      </w:pPr>
      <w:r>
        <w:rPr>
          <w:rStyle w:val="FootnoteReference"/>
        </w:rPr>
        <w:footnoteRef/>
      </w:r>
      <w:r>
        <w:tab/>
        <w:t>Член 26 от Регламент (ЕО) № 882/2004 и член 78 от Регламент (ЕС) № 2017/625.</w:t>
      </w:r>
    </w:p>
  </w:footnote>
  <w:footnote w:id="24">
    <w:p>
      <w:pPr>
        <w:pStyle w:val="FootnoteText"/>
        <w:ind w:left="284" w:hanging="284"/>
      </w:pPr>
      <w:r>
        <w:rPr>
          <w:rStyle w:val="FootnoteReference"/>
        </w:rPr>
        <w:footnoteRef/>
      </w:r>
      <w:r>
        <w:tab/>
        <w:t>Член 4, параграф 6 от Регламент (ЕО) № 882/2004 и член 6 от Регламент (ЕС) № 2017/625.</w:t>
      </w:r>
    </w:p>
  </w:footnote>
  <w:footnote w:id="25">
    <w:p>
      <w:pPr>
        <w:pStyle w:val="FootnoteText"/>
        <w:ind w:left="284" w:hanging="284"/>
      </w:pPr>
      <w:r>
        <w:rPr>
          <w:rStyle w:val="FootnoteReference"/>
        </w:rPr>
        <w:footnoteRef/>
      </w:r>
      <w:r>
        <w:tab/>
        <w:t xml:space="preserve">Член 5 от Регламент (ЕО) № 882/2004 и член 28 от Регламент (ЕС) № 2017/625. </w:t>
      </w:r>
    </w:p>
  </w:footnote>
  <w:footnote w:id="26">
    <w:p>
      <w:pPr>
        <w:pStyle w:val="FootnoteText"/>
        <w:ind w:left="284" w:hanging="284"/>
      </w:pPr>
      <w:r>
        <w:rPr>
          <w:rStyle w:val="FootnoteReference"/>
        </w:rPr>
        <w:footnoteRef/>
      </w:r>
      <w:r>
        <w:tab/>
        <w:t xml:space="preserve">Член 5, параграф 3 от Регламент (ЕО) № 882/2004 и член 33, буква a) от Регламент (ЕС) № 2017/625. </w:t>
      </w:r>
    </w:p>
  </w:footnote>
  <w:footnote w:id="27">
    <w:p>
      <w:pPr>
        <w:pStyle w:val="FootnoteText"/>
        <w:ind w:left="284" w:hanging="284"/>
      </w:pPr>
      <w:r>
        <w:rPr>
          <w:rStyle w:val="FootnoteReference"/>
        </w:rPr>
        <w:footnoteRef/>
      </w:r>
      <w:r>
        <w:tab/>
        <w:t>Членове 54 и 55 от Регламент (EО) № 882/2004 и членове 137, 138 и 139 от Регламент (ЕС) № 2017/625.</w:t>
      </w:r>
    </w:p>
  </w:footnote>
  <w:footnote w:id="28">
    <w:p>
      <w:pPr>
        <w:pStyle w:val="FootnoteText"/>
        <w:ind w:left="284" w:hanging="284"/>
      </w:pPr>
      <w:r>
        <w:rPr>
          <w:rStyle w:val="FootnoteReference"/>
        </w:rPr>
        <w:footnoteRef/>
      </w:r>
      <w:r>
        <w:tab/>
        <w:t xml:space="preserve">Контролните дейности в областта на човешкото здраве не се осъществяват съгласно Регламент (EО) № 882/2004 или 2017/625 и следователно не са включени в настоящия доклад. </w:t>
      </w:r>
    </w:p>
  </w:footnote>
  <w:footnote w:id="29">
    <w:p>
      <w:pPr>
        <w:pStyle w:val="FootnoteText"/>
        <w:ind w:left="284" w:hanging="284"/>
      </w:pPr>
      <w:r>
        <w:rPr>
          <w:rStyle w:val="FootnoteReference"/>
        </w:rPr>
        <w:footnoteRef/>
      </w:r>
      <w:r>
        <w:tab/>
        <w:t xml:space="preserve">На разположение на адрес:  </w:t>
      </w:r>
      <w:hyperlink r:id="rId4" w:history="1">
        <w:r>
          <w:rPr>
            <w:rStyle w:val="Hyperlink"/>
          </w:rPr>
          <w:t>https://ec.europa.eu/food/audits_analysis/audit_programmes_en</w:t>
        </w:r>
      </w:hyperlink>
    </w:p>
  </w:footnote>
  <w:footnote w:id="30">
    <w:p>
      <w:pPr>
        <w:pStyle w:val="FootnoteText"/>
      </w:pPr>
      <w:r>
        <w:rPr>
          <w:rStyle w:val="FootnoteReference"/>
        </w:rPr>
        <w:footnoteRef/>
      </w:r>
      <w:r>
        <w:tab/>
        <w:t xml:space="preserve">Член 116, параграф 1 от Регламент (ЕС) № 2017/625. </w:t>
      </w:r>
    </w:p>
  </w:footnote>
  <w:footnote w:id="31">
    <w:p>
      <w:pPr>
        <w:pStyle w:val="FootnoteText"/>
        <w:ind w:left="284" w:hanging="284"/>
      </w:pPr>
      <w:r>
        <w:rPr>
          <w:rStyle w:val="FootnoteReference"/>
        </w:rPr>
        <w:footnoteRef/>
      </w:r>
      <w:r>
        <w:tab/>
        <w:t xml:space="preserve">На разположение на адрес:  </w:t>
      </w:r>
      <w:hyperlink r:id="rId5" w:history="1">
        <w:r>
          <w:rPr>
            <w:rStyle w:val="Hyperlink"/>
          </w:rPr>
          <w:t>http://ec.europa.eu/food/audits-analysis/audit_reports/index.cfm</w:t>
        </w:r>
      </w:hyperlink>
    </w:p>
  </w:footnote>
  <w:footnote w:id="32">
    <w:p>
      <w:pPr>
        <w:pStyle w:val="FootnoteText"/>
        <w:ind w:left="284" w:hanging="284"/>
      </w:pPr>
      <w:r>
        <w:rPr>
          <w:rStyle w:val="FootnoteReference"/>
        </w:rPr>
        <w:footnoteRef/>
      </w:r>
      <w:r>
        <w:tab/>
        <w:t>При одитите се проверява изпълнението на официалния контрол, докато посещенията в съответните държави и мисиите за установяване на фактите се използват за събиране на информация за дадена държава или за дадена тема в множество държави членки.</w:t>
      </w:r>
    </w:p>
  </w:footnote>
  <w:footnote w:id="33">
    <w:p>
      <w:pPr>
        <w:pStyle w:val="FootnoteText"/>
        <w:ind w:left="284" w:hanging="284"/>
      </w:pPr>
      <w:r>
        <w:rPr>
          <w:rStyle w:val="FootnoteReference"/>
        </w:rPr>
        <w:footnoteRef/>
      </w:r>
      <w:r>
        <w:tab/>
        <w:t xml:space="preserve">На разположение на адрес: </w:t>
      </w:r>
      <w:hyperlink r:id="rId6" w:history="1">
        <w:r>
          <w:rPr>
            <w:rStyle w:val="Hyperlink"/>
          </w:rPr>
          <w:t>http://ec.europa.eu/food/audits-analysis/overview_reports/index.cfm</w:t>
        </w:r>
      </w:hyperlink>
    </w:p>
  </w:footnote>
  <w:footnote w:id="34">
    <w:p>
      <w:pPr>
        <w:pStyle w:val="FootnoteText"/>
        <w:ind w:left="284" w:hanging="284"/>
      </w:pPr>
      <w:r>
        <w:rPr>
          <w:rStyle w:val="FootnoteReference"/>
        </w:rPr>
        <w:footnoteRef/>
      </w:r>
      <w:r>
        <w:tab/>
        <w:t>Работен документ на службите на Комисията, придружаващ документа: Доклад на Комисията до Европейския парламент и Съвета относно цялостното функциониране на официалния контрол, провеждан в държавите членки (2017—2018 г.) с цел осигуряване на проверка на съответствието със законодателството в областта на храните и фуражите и правилата относно здравеопазването на животните и хуманното отношение към тях.</w:t>
      </w:r>
    </w:p>
  </w:footnote>
  <w:footnote w:id="35">
    <w:p>
      <w:pPr>
        <w:pStyle w:val="FootnoteText"/>
      </w:pPr>
      <w:r>
        <w:rPr>
          <w:rStyle w:val="FootnoteReference"/>
        </w:rPr>
        <w:footnoteRef/>
      </w:r>
      <w:r>
        <w:tab/>
        <w:t>Член 15, параграф 1 от Директива 2009/128/ЕО за създаване на рамка за действие на Общността за постигане на устойчива употреба на пестициди — OВ L 309, 24.11.2009 г., стр. 71—86.</w:t>
      </w:r>
    </w:p>
  </w:footnote>
  <w:footnote w:id="36">
    <w:p>
      <w:pPr>
        <w:pStyle w:val="FootnoteText"/>
        <w:ind w:left="284" w:hanging="284"/>
      </w:pPr>
      <w:r>
        <w:rPr>
          <w:rStyle w:val="FootnoteReference"/>
        </w:rPr>
        <w:footnoteRef/>
      </w:r>
      <w:r>
        <w:tab/>
        <w:t>Членове 45, параграф 3 и 45, параграф 5 от Регламент (EО) № 882/2004 и членове 117, буква а) и 119, буква а) от Регламент (ЕС) № 2017/625.</w:t>
      </w:r>
    </w:p>
  </w:footnote>
  <w:footnote w:id="37">
    <w:p>
      <w:pPr>
        <w:pStyle w:val="FootnoteText"/>
        <w:ind w:left="284" w:hanging="284"/>
      </w:pPr>
      <w:r>
        <w:rPr>
          <w:rStyle w:val="FootnoteReference"/>
        </w:rPr>
        <w:footnoteRef/>
      </w:r>
      <w:r>
        <w:tab/>
        <w:t>Показателят за последващо наблюдение се основава на тригодишен непрекъснат цикъл, при който се отчита времето, необходимо на държавите членки за разработване на план за действие в отговор на препоръките от одита, и времето, необходимо за изпълнението на действията.</w:t>
      </w:r>
    </w:p>
  </w:footnote>
  <w:footnote w:id="38">
    <w:p>
      <w:pPr>
        <w:pStyle w:val="FootnoteText"/>
        <w:ind w:left="284" w:hanging="284"/>
      </w:pPr>
      <w:r>
        <w:rPr>
          <w:rStyle w:val="FootnoteReference"/>
        </w:rPr>
        <w:footnoteRef/>
      </w:r>
      <w:r>
        <w:tab/>
        <w:t xml:space="preserve">На разположение на адрес:  </w:t>
      </w:r>
      <w:hyperlink r:id="rId7" w:history="1">
        <w:r>
          <w:rPr>
            <w:rStyle w:val="Hyperlink"/>
          </w:rPr>
          <w:t>https://ec.europa.eu/food/audits-analysis/country_profiles/index.cfm</w:t>
        </w:r>
      </w:hyperlink>
    </w:p>
  </w:footnote>
  <w:footnote w:id="39">
    <w:p>
      <w:pPr>
        <w:pStyle w:val="FootnoteText"/>
        <w:ind w:left="284" w:hanging="284"/>
      </w:pPr>
      <w:r>
        <w:rPr>
          <w:rStyle w:val="FootnoteReference"/>
        </w:rPr>
        <w:footnoteRef/>
      </w:r>
      <w:r>
        <w:tab/>
        <w:t>Регламент (ЕС) № 2019/723, ОВ L 124, 13.5.2019 г., стр. 1—31.</w:t>
      </w:r>
    </w:p>
  </w:footnote>
  <w:footnote w:id="40">
    <w:p>
      <w:pPr>
        <w:pStyle w:val="FootnoteText"/>
        <w:ind w:left="284" w:hanging="284"/>
      </w:pPr>
      <w:r>
        <w:rPr>
          <w:rStyle w:val="FootnoteReference"/>
        </w:rPr>
        <w:footnoteRef/>
      </w:r>
      <w:r>
        <w:tab/>
        <w:t>Решение 2007/363/EО на Комисията, OВ L 138, 30.5.2007 г., стр. 24—49.</w:t>
      </w:r>
    </w:p>
  </w:footnote>
  <w:footnote w:id="41">
    <w:p>
      <w:pPr>
        <w:pStyle w:val="FootnoteText"/>
        <w:ind w:left="284" w:hanging="284"/>
      </w:pPr>
      <w:r>
        <w:rPr>
          <w:rStyle w:val="FootnoteReference"/>
        </w:rPr>
        <w:footnoteRef/>
      </w:r>
      <w:r>
        <w:tab/>
        <w:t>Решение 2006/677/EО на Комисията, OВ L 278, 10.10.2006 г., стр. 15—23.</w:t>
      </w:r>
    </w:p>
  </w:footnote>
  <w:footnote w:id="42">
    <w:p>
      <w:pPr>
        <w:pStyle w:val="FootnoteText"/>
      </w:pPr>
      <w:r>
        <w:rPr>
          <w:rStyle w:val="FootnoteReference"/>
        </w:rPr>
        <w:footnoteRef/>
      </w:r>
      <w:r>
        <w:tab/>
      </w:r>
      <w:hyperlink r:id="rId8" w:history="1">
        <w:r>
          <w:rPr>
            <w:rStyle w:val="Hyperlink"/>
          </w:rPr>
          <w:t>Доклад на Комисията до Европейския парламент и Съвета относно националните планове за действие на държавите членки и напредъка, постигнат в изпълнение на Директива 2009/128/EО за постигане на устойчива употреба на пестициди</w:t>
        </w:r>
      </w:hyperlink>
      <w:r>
        <w:t>.</w:t>
      </w:r>
    </w:p>
  </w:footnote>
  <w:footnote w:id="43">
    <w:p>
      <w:pPr>
        <w:pStyle w:val="FootnoteText"/>
      </w:pPr>
      <w:r>
        <w:rPr>
          <w:rStyle w:val="FootnoteReference"/>
        </w:rPr>
        <w:footnoteRef/>
      </w:r>
      <w:r>
        <w:tab/>
        <w:t xml:space="preserve">До ноември 2012 г. държавите членки трябваше да приемат за първи път национални планове за действие за прилагане на УУП. Тези планове следва да съдържат количествени цели, общи цели, мерки и срокове за намаляване на рисковете и въздействието на употребата на пестициди. Тези планове следва да бъдат преразглеждани най-малко на всеки пет години. </w:t>
      </w:r>
    </w:p>
  </w:footnote>
  <w:footnote w:id="44">
    <w:p>
      <w:pPr>
        <w:pStyle w:val="FootnoteText"/>
      </w:pPr>
      <w:r>
        <w:rPr>
          <w:rStyle w:val="FootnoteReference"/>
        </w:rPr>
        <w:footnoteRef/>
      </w:r>
      <w:r>
        <w:tab/>
        <w:t xml:space="preserve">Вж. </w:t>
      </w:r>
      <w:hyperlink r:id="rId9" w:history="1">
        <w:r>
          <w:rPr>
            <w:rStyle w:val="Hyperlink"/>
          </w:rPr>
          <w:t>https://ec.europa.eu/chafea/food/bookshelf/reports/index_en.htm</w:t>
        </w:r>
      </w:hyperlink>
      <w:r>
        <w:t xml:space="preserve"> за годишните доклади на инициативата BTSF.</w:t>
      </w:r>
    </w:p>
  </w:footnote>
  <w:footnote w:id="45">
    <w:p>
      <w:pPr>
        <w:pStyle w:val="FootnoteText"/>
      </w:pPr>
      <w:r>
        <w:rPr>
          <w:rStyle w:val="FootnoteReference"/>
        </w:rPr>
        <w:footnoteRef/>
      </w:r>
      <w:r>
        <w:tab/>
        <w:t xml:space="preserve">Вж. </w:t>
      </w:r>
      <w:hyperlink r:id="rId10" w:history="1">
        <w:r>
          <w:rPr>
            <w:rStyle w:val="Hyperlink"/>
          </w:rPr>
          <w:t>https://ec.europa.eu/info/publications/communication-commission-eu-law-better-results-through-better-application_en</w:t>
        </w:r>
      </w:hyperlink>
      <w:r>
        <w:t xml:space="preserve">.  </w:t>
      </w:r>
    </w:p>
  </w:footnote>
  <w:footnote w:id="46">
    <w:p>
      <w:pPr>
        <w:pStyle w:val="FootnoteText"/>
      </w:pPr>
      <w:r>
        <w:rPr>
          <w:rStyle w:val="FootnoteReference"/>
        </w:rPr>
        <w:footnoteRef/>
      </w:r>
      <w:r>
        <w:tab/>
        <w:t>Член 258 от Договора за функционирането на ЕС.</w:t>
      </w:r>
    </w:p>
  </w:footnote>
  <w:footnote w:id="47">
    <w:p>
      <w:pPr>
        <w:pStyle w:val="FootnoteText"/>
      </w:pPr>
      <w:r>
        <w:rPr>
          <w:rStyle w:val="FootnoteReference"/>
        </w:rPr>
        <w:footnoteRef/>
      </w:r>
      <w:r>
        <w:tab/>
      </w:r>
      <w:hyperlink r:id="rId11" w:history="1">
        <w:r>
          <w:rPr>
            <w:rStyle w:val="Hyperlink"/>
          </w:rPr>
          <w:t>https://ec.europa.eu/commission/presscorner/detail/en/IP_18_3805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1C0F"/>
    <w:multiLevelType w:val="hybridMultilevel"/>
    <w:tmpl w:val="6838A670"/>
    <w:lvl w:ilvl="0" w:tplc="9880020E">
      <w:start w:val="1"/>
      <w:numFmt w:val="bullet"/>
      <w:lvlText w:val="•"/>
      <w:lvlJc w:val="left"/>
      <w:pPr>
        <w:tabs>
          <w:tab w:val="num" w:pos="720"/>
        </w:tabs>
        <w:ind w:left="720" w:hanging="360"/>
      </w:pPr>
      <w:rPr>
        <w:rFonts w:ascii="Times New Roman" w:hAnsi="Times New Roman" w:hint="default"/>
      </w:rPr>
    </w:lvl>
    <w:lvl w:ilvl="1" w:tplc="0FB6FDDC" w:tentative="1">
      <w:start w:val="1"/>
      <w:numFmt w:val="bullet"/>
      <w:lvlText w:val="•"/>
      <w:lvlJc w:val="left"/>
      <w:pPr>
        <w:tabs>
          <w:tab w:val="num" w:pos="1440"/>
        </w:tabs>
        <w:ind w:left="1440" w:hanging="360"/>
      </w:pPr>
      <w:rPr>
        <w:rFonts w:ascii="Times New Roman" w:hAnsi="Times New Roman" w:hint="default"/>
      </w:rPr>
    </w:lvl>
    <w:lvl w:ilvl="2" w:tplc="7342462A" w:tentative="1">
      <w:start w:val="1"/>
      <w:numFmt w:val="bullet"/>
      <w:lvlText w:val="•"/>
      <w:lvlJc w:val="left"/>
      <w:pPr>
        <w:tabs>
          <w:tab w:val="num" w:pos="2160"/>
        </w:tabs>
        <w:ind w:left="2160" w:hanging="360"/>
      </w:pPr>
      <w:rPr>
        <w:rFonts w:ascii="Times New Roman" w:hAnsi="Times New Roman" w:hint="default"/>
      </w:rPr>
    </w:lvl>
    <w:lvl w:ilvl="3" w:tplc="100623DE" w:tentative="1">
      <w:start w:val="1"/>
      <w:numFmt w:val="bullet"/>
      <w:lvlText w:val="•"/>
      <w:lvlJc w:val="left"/>
      <w:pPr>
        <w:tabs>
          <w:tab w:val="num" w:pos="2880"/>
        </w:tabs>
        <w:ind w:left="2880" w:hanging="360"/>
      </w:pPr>
      <w:rPr>
        <w:rFonts w:ascii="Times New Roman" w:hAnsi="Times New Roman" w:hint="default"/>
      </w:rPr>
    </w:lvl>
    <w:lvl w:ilvl="4" w:tplc="8634228C" w:tentative="1">
      <w:start w:val="1"/>
      <w:numFmt w:val="bullet"/>
      <w:lvlText w:val="•"/>
      <w:lvlJc w:val="left"/>
      <w:pPr>
        <w:tabs>
          <w:tab w:val="num" w:pos="3600"/>
        </w:tabs>
        <w:ind w:left="3600" w:hanging="360"/>
      </w:pPr>
      <w:rPr>
        <w:rFonts w:ascii="Times New Roman" w:hAnsi="Times New Roman" w:hint="default"/>
      </w:rPr>
    </w:lvl>
    <w:lvl w:ilvl="5" w:tplc="CE644D6A" w:tentative="1">
      <w:start w:val="1"/>
      <w:numFmt w:val="bullet"/>
      <w:lvlText w:val="•"/>
      <w:lvlJc w:val="left"/>
      <w:pPr>
        <w:tabs>
          <w:tab w:val="num" w:pos="4320"/>
        </w:tabs>
        <w:ind w:left="4320" w:hanging="360"/>
      </w:pPr>
      <w:rPr>
        <w:rFonts w:ascii="Times New Roman" w:hAnsi="Times New Roman" w:hint="default"/>
      </w:rPr>
    </w:lvl>
    <w:lvl w:ilvl="6" w:tplc="4134D7CC" w:tentative="1">
      <w:start w:val="1"/>
      <w:numFmt w:val="bullet"/>
      <w:lvlText w:val="•"/>
      <w:lvlJc w:val="left"/>
      <w:pPr>
        <w:tabs>
          <w:tab w:val="num" w:pos="5040"/>
        </w:tabs>
        <w:ind w:left="5040" w:hanging="360"/>
      </w:pPr>
      <w:rPr>
        <w:rFonts w:ascii="Times New Roman" w:hAnsi="Times New Roman" w:hint="default"/>
      </w:rPr>
    </w:lvl>
    <w:lvl w:ilvl="7" w:tplc="2A18543E" w:tentative="1">
      <w:start w:val="1"/>
      <w:numFmt w:val="bullet"/>
      <w:lvlText w:val="•"/>
      <w:lvlJc w:val="left"/>
      <w:pPr>
        <w:tabs>
          <w:tab w:val="num" w:pos="5760"/>
        </w:tabs>
        <w:ind w:left="5760" w:hanging="360"/>
      </w:pPr>
      <w:rPr>
        <w:rFonts w:ascii="Times New Roman" w:hAnsi="Times New Roman" w:hint="default"/>
      </w:rPr>
    </w:lvl>
    <w:lvl w:ilvl="8" w:tplc="65C24D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CB74FA"/>
    <w:multiLevelType w:val="hybridMultilevel"/>
    <w:tmpl w:val="C64E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E1665"/>
    <w:multiLevelType w:val="hybridMultilevel"/>
    <w:tmpl w:val="99C6CE20"/>
    <w:lvl w:ilvl="0" w:tplc="3DD4756E">
      <w:numFmt w:val="bullet"/>
      <w:lvlText w:val="-"/>
      <w:lvlJc w:val="left"/>
      <w:pPr>
        <w:ind w:left="720" w:hanging="360"/>
      </w:pPr>
      <w:rPr>
        <w:rFonts w:ascii="EC Square Sans Pro" w:eastAsia="Calibri" w:hAnsi="EC Squar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72E7D"/>
    <w:multiLevelType w:val="hybridMultilevel"/>
    <w:tmpl w:val="54F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45076B"/>
    <w:multiLevelType w:val="hybridMultilevel"/>
    <w:tmpl w:val="64FEC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E55310"/>
    <w:multiLevelType w:val="hybridMultilevel"/>
    <w:tmpl w:val="C4A6942A"/>
    <w:lvl w:ilvl="0" w:tplc="AB986486">
      <w:start w:val="1"/>
      <w:numFmt w:val="bullet"/>
      <w:lvlText w:val="•"/>
      <w:lvlJc w:val="left"/>
      <w:pPr>
        <w:tabs>
          <w:tab w:val="num" w:pos="720"/>
        </w:tabs>
        <w:ind w:left="720" w:hanging="360"/>
      </w:pPr>
      <w:rPr>
        <w:rFonts w:ascii="Times New Roman" w:hAnsi="Times New Roman" w:hint="default"/>
      </w:rPr>
    </w:lvl>
    <w:lvl w:ilvl="1" w:tplc="EAA205CC" w:tentative="1">
      <w:start w:val="1"/>
      <w:numFmt w:val="bullet"/>
      <w:lvlText w:val="•"/>
      <w:lvlJc w:val="left"/>
      <w:pPr>
        <w:tabs>
          <w:tab w:val="num" w:pos="1440"/>
        </w:tabs>
        <w:ind w:left="1440" w:hanging="360"/>
      </w:pPr>
      <w:rPr>
        <w:rFonts w:ascii="Times New Roman" w:hAnsi="Times New Roman" w:hint="default"/>
      </w:rPr>
    </w:lvl>
    <w:lvl w:ilvl="2" w:tplc="E724F3F2" w:tentative="1">
      <w:start w:val="1"/>
      <w:numFmt w:val="bullet"/>
      <w:lvlText w:val="•"/>
      <w:lvlJc w:val="left"/>
      <w:pPr>
        <w:tabs>
          <w:tab w:val="num" w:pos="2160"/>
        </w:tabs>
        <w:ind w:left="2160" w:hanging="360"/>
      </w:pPr>
      <w:rPr>
        <w:rFonts w:ascii="Times New Roman" w:hAnsi="Times New Roman" w:hint="default"/>
      </w:rPr>
    </w:lvl>
    <w:lvl w:ilvl="3" w:tplc="14A8F0F2" w:tentative="1">
      <w:start w:val="1"/>
      <w:numFmt w:val="bullet"/>
      <w:lvlText w:val="•"/>
      <w:lvlJc w:val="left"/>
      <w:pPr>
        <w:tabs>
          <w:tab w:val="num" w:pos="2880"/>
        </w:tabs>
        <w:ind w:left="2880" w:hanging="360"/>
      </w:pPr>
      <w:rPr>
        <w:rFonts w:ascii="Times New Roman" w:hAnsi="Times New Roman" w:hint="default"/>
      </w:rPr>
    </w:lvl>
    <w:lvl w:ilvl="4" w:tplc="1902B774" w:tentative="1">
      <w:start w:val="1"/>
      <w:numFmt w:val="bullet"/>
      <w:lvlText w:val="•"/>
      <w:lvlJc w:val="left"/>
      <w:pPr>
        <w:tabs>
          <w:tab w:val="num" w:pos="3600"/>
        </w:tabs>
        <w:ind w:left="3600" w:hanging="360"/>
      </w:pPr>
      <w:rPr>
        <w:rFonts w:ascii="Times New Roman" w:hAnsi="Times New Roman" w:hint="default"/>
      </w:rPr>
    </w:lvl>
    <w:lvl w:ilvl="5" w:tplc="5180EF00" w:tentative="1">
      <w:start w:val="1"/>
      <w:numFmt w:val="bullet"/>
      <w:lvlText w:val="•"/>
      <w:lvlJc w:val="left"/>
      <w:pPr>
        <w:tabs>
          <w:tab w:val="num" w:pos="4320"/>
        </w:tabs>
        <w:ind w:left="4320" w:hanging="360"/>
      </w:pPr>
      <w:rPr>
        <w:rFonts w:ascii="Times New Roman" w:hAnsi="Times New Roman" w:hint="default"/>
      </w:rPr>
    </w:lvl>
    <w:lvl w:ilvl="6" w:tplc="5F022CF2" w:tentative="1">
      <w:start w:val="1"/>
      <w:numFmt w:val="bullet"/>
      <w:lvlText w:val="•"/>
      <w:lvlJc w:val="left"/>
      <w:pPr>
        <w:tabs>
          <w:tab w:val="num" w:pos="5040"/>
        </w:tabs>
        <w:ind w:left="5040" w:hanging="360"/>
      </w:pPr>
      <w:rPr>
        <w:rFonts w:ascii="Times New Roman" w:hAnsi="Times New Roman" w:hint="default"/>
      </w:rPr>
    </w:lvl>
    <w:lvl w:ilvl="7" w:tplc="C7965922" w:tentative="1">
      <w:start w:val="1"/>
      <w:numFmt w:val="bullet"/>
      <w:lvlText w:val="•"/>
      <w:lvlJc w:val="left"/>
      <w:pPr>
        <w:tabs>
          <w:tab w:val="num" w:pos="5760"/>
        </w:tabs>
        <w:ind w:left="5760" w:hanging="360"/>
      </w:pPr>
      <w:rPr>
        <w:rFonts w:ascii="Times New Roman" w:hAnsi="Times New Roman" w:hint="default"/>
      </w:rPr>
    </w:lvl>
    <w:lvl w:ilvl="8" w:tplc="CB1224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B456228"/>
    <w:multiLevelType w:val="hybridMultilevel"/>
    <w:tmpl w:val="DCDEEE6C"/>
    <w:lvl w:ilvl="0" w:tplc="3DD4756E">
      <w:numFmt w:val="bullet"/>
      <w:lvlText w:val="-"/>
      <w:lvlJc w:val="left"/>
      <w:pPr>
        <w:ind w:left="720" w:hanging="360"/>
      </w:pPr>
      <w:rPr>
        <w:rFonts w:ascii="EC Square Sans Pro" w:eastAsia="Calibri" w:hAnsi="EC Squar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65145E"/>
    <w:multiLevelType w:val="multilevel"/>
    <w:tmpl w:val="9566F34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7"/>
  </w:num>
  <w:num w:numId="2">
    <w:abstractNumId w:val="3"/>
  </w:num>
  <w:num w:numId="3">
    <w:abstractNumId w:val="1"/>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4E515B5A-7710-4F7D-B89C-9BCD83EFE1C0"/>
    <w:docVar w:name="LW_COVERPAGE_TYPE" w:val="1"/>
    <w:docVar w:name="LW_CROSSREFERENCE" w:val="{SWD(2020) 283 final}"/>
    <w:docVar w:name="LW_DocType" w:val="NORMAL"/>
    <w:docVar w:name="LW_EMISSION" w:val="24.11.2020"/>
    <w:docVar w:name="LW_EMISSION_ISODATE" w:val="2020-11-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94?\u1103?\u1083?\u1086?\u1089?\u1090?\u1085?\u1086?\u1090?\u1086? \u1092?\u1091?\u1085?\u1082?\u1094?\u1080?\u1086?\u1085?\u1080?\u1088?\u1072?\u1085?\u1077? \u1085?\u1072? \u1086?\u1092?\u1080?\u1094?\u1080?\u1072?\u1083?\u1085?\u1080?\u1103? \u1082?\u1086?\u1085?\u1090?\u1088?\u1086?\u1083?, \u1087?\u1088?\u1086?\u1074?\u1077?\u1078?\u1076?\u1072?\u1085? \u1074? \u1076?\u1098?\u1088?\u1078?\u1072?\u1074?\u1080?\u1090?\u1077?&lt;/FMT&gt;&lt;FMT:Font=Calibri&gt; &lt;/FMT&gt;&lt;FMT:Font=Calibri Cyr&gt;\u1095?\u1083?\u1077?\u1085?\u1082?\u1080?&lt;/FMT&gt;&lt;FMT:Font=Calibri&gt; (2017\u8212?2018&lt;/FMT&gt;&lt;FMT:Font=Calibri Cyr&gt; \u1075?.) \u1089? \u1094?\u1077?\u1083? \u1076?\u1072? \u1089?\u1077? \u1075?\u1072?\u1088?\u1072?\u1085?\u1090?\u1080?\u1088?\u1072? \u1087?\u1088?\u1080?\u1083?\u1072?\u1075?\u1072?\u1085?\u1077?\u1090?\u1086? \u1085?\u1072? \u1079?\u1072?\u1082?\u1086?\u1085?\u1086?\u1076?\u1072?\u1090?\u1077?\u1083?\u1089?\u1090?\u1074?\u1086?\u1090?\u1086? \u1074? \u1086?\u1073?\u1083?\u1072?\u1089?\u1090?\u1090?\u1072? \u1085?\u1072? \u1093?\u1088?\u1072?\u1085?\u1080?\u1090?\u1077? \u1080? \u1092?\u1091?\u1088?\u1072?\u1078?\u1080?\u1090?\u1077?&lt;/FMT&gt;&lt;FMT:Font=Calibri&gt;, &lt;/FMT&gt;&lt;FMT:Font=Calibri Cyr&gt;\u1087?\u1088?\u1072?\u1074?\u1080?\u1083?\u1072?\u1090?\u1072?&lt;/FMT&gt;&lt;FMT:Font=Calibri&gt; &lt;/FMT&gt;&lt;FMT:Font=Calibri Cyr&gt;\u1086?\u1090?\u1085?\u1086?\u1089?\u1085?\u1086? \u1079?\u1076?\u1088?\u1072?\u1074?\u1077?\u1086?\u1087?\u1072?\u1079?\u1074?\u1072?\u1085?\u1077?\u1090?\u1086? \u1085?\u1072? \u1078?\u1080?\u1074?\u1086?\u1090?\u1085?\u1080?\u1090?\u1077? \u1080? \u1093?\u1091?\u1084?\u1072?\u1085?\u1085?\u1086?\u1090?\u1086? \u1086?\u1090?\u1085?\u1086?\u1096?\u1077?\u1085?\u1080?\u1077? \u1082?\u1098?\u1084? \u1090?\u1103?\u1093?, \u1079?\u1076?\u1088?\u1072?\u1074?\u1077?\u1090?\u1086? \u1085?\u1072? \u1088?\u1072?\u1089?\u1090?\u1077?\u1085?\u1080?\u1103?\u1090?\u1072? \u1080? \u1087?\u1088?\u1086?\u1076?\u1091?\u1082?\u1090?\u1080?\u1090?\u1077? \u1079?\u1072? \u1088?\u1072?\u1089?\u1090?\u1080?\u1090?\u1077?\u1083?\u1085?\u1072? \u1079?\u1072?\u1097?\u1080?\u1090?\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TableofFigures">
    <w:name w:val="table of figures"/>
    <w:basedOn w:val="Normal"/>
    <w:next w:val="Normal"/>
    <w:pPr>
      <w:spacing w:after="0"/>
    </w:pPr>
    <w:rPr>
      <w:rFonts w:ascii="Calibri" w:eastAsia="Calibri" w:hAnsi="Calibri" w:cs="Times New Roman"/>
    </w:rPr>
  </w:style>
  <w:style w:type="paragraph" w:styleId="BodyText">
    <w:name w:val="Body Text"/>
    <w:basedOn w:val="Normal"/>
    <w:link w:val="BodyTextChar"/>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TableofFigures">
    <w:name w:val="table of figures"/>
    <w:basedOn w:val="Normal"/>
    <w:next w:val="Normal"/>
    <w:pPr>
      <w:spacing w:after="0"/>
    </w:pPr>
    <w:rPr>
      <w:rFonts w:ascii="Calibri" w:eastAsia="Calibri" w:hAnsi="Calibri" w:cs="Times New Roman"/>
    </w:rPr>
  </w:style>
  <w:style w:type="paragraph" w:styleId="BodyText">
    <w:name w:val="Body Text"/>
    <w:basedOn w:val="Normal"/>
    <w:link w:val="BodyTextChar"/>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4320">
      <w:bodyDiv w:val="1"/>
      <w:marLeft w:val="0"/>
      <w:marRight w:val="0"/>
      <w:marTop w:val="0"/>
      <w:marBottom w:val="0"/>
      <w:divBdr>
        <w:top w:val="none" w:sz="0" w:space="0" w:color="auto"/>
        <w:left w:val="none" w:sz="0" w:space="0" w:color="auto"/>
        <w:bottom w:val="none" w:sz="0" w:space="0" w:color="auto"/>
        <w:right w:val="none" w:sz="0" w:space="0" w:color="auto"/>
      </w:divBdr>
      <w:divsChild>
        <w:div w:id="1035038862">
          <w:marLeft w:val="547"/>
          <w:marRight w:val="0"/>
          <w:marTop w:val="0"/>
          <w:marBottom w:val="0"/>
          <w:divBdr>
            <w:top w:val="none" w:sz="0" w:space="0" w:color="auto"/>
            <w:left w:val="none" w:sz="0" w:space="0" w:color="auto"/>
            <w:bottom w:val="none" w:sz="0" w:space="0" w:color="auto"/>
            <w:right w:val="none" w:sz="0" w:space="0" w:color="auto"/>
          </w:divBdr>
        </w:div>
      </w:divsChild>
    </w:div>
    <w:div w:id="830175179">
      <w:bodyDiv w:val="1"/>
      <w:marLeft w:val="0"/>
      <w:marRight w:val="0"/>
      <w:marTop w:val="0"/>
      <w:marBottom w:val="0"/>
      <w:divBdr>
        <w:top w:val="none" w:sz="0" w:space="0" w:color="auto"/>
        <w:left w:val="none" w:sz="0" w:space="0" w:color="auto"/>
        <w:bottom w:val="none" w:sz="0" w:space="0" w:color="auto"/>
        <w:right w:val="none" w:sz="0" w:space="0" w:color="auto"/>
      </w:divBdr>
      <w:divsChild>
        <w:div w:id="734397461">
          <w:marLeft w:val="547"/>
          <w:marRight w:val="0"/>
          <w:marTop w:val="0"/>
          <w:marBottom w:val="134"/>
          <w:divBdr>
            <w:top w:val="none" w:sz="0" w:space="0" w:color="auto"/>
            <w:left w:val="none" w:sz="0" w:space="0" w:color="auto"/>
            <w:bottom w:val="none" w:sz="0" w:space="0" w:color="auto"/>
            <w:right w:val="none" w:sz="0" w:space="0" w:color="auto"/>
          </w:divBdr>
        </w:div>
      </w:divsChild>
    </w:div>
    <w:div w:id="1095519634">
      <w:bodyDiv w:val="1"/>
      <w:marLeft w:val="0"/>
      <w:marRight w:val="0"/>
      <w:marTop w:val="0"/>
      <w:marBottom w:val="0"/>
      <w:divBdr>
        <w:top w:val="none" w:sz="0" w:space="0" w:color="auto"/>
        <w:left w:val="none" w:sz="0" w:space="0" w:color="auto"/>
        <w:bottom w:val="none" w:sz="0" w:space="0" w:color="auto"/>
        <w:right w:val="none" w:sz="0" w:space="0" w:color="auto"/>
      </w:divBdr>
    </w:div>
    <w:div w:id="1328553544">
      <w:bodyDiv w:val="1"/>
      <w:marLeft w:val="0"/>
      <w:marRight w:val="0"/>
      <w:marTop w:val="0"/>
      <w:marBottom w:val="0"/>
      <w:divBdr>
        <w:top w:val="none" w:sz="0" w:space="0" w:color="auto"/>
        <w:left w:val="none" w:sz="0" w:space="0" w:color="auto"/>
        <w:bottom w:val="none" w:sz="0" w:space="0" w:color="auto"/>
        <w:right w:val="none" w:sz="0" w:space="0" w:color="auto"/>
      </w:divBdr>
    </w:div>
    <w:div w:id="20512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https://ec.europa.eu/food/audits-analysis/country_profiles/index.cf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food/audits-analysis/audit_reports/index.cfm" TargetMode="External"/><Relationship Id="rId27" Type="http://schemas.openxmlformats.org/officeDocument/2006/relationships/hyperlink" Target="https://ec.europa.eu/chafea/food/index_en.htm" TargetMode="Externa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sites/food/files/plant/docs/pesticides_sup_report-overview_bg.pdf" TargetMode="External"/><Relationship Id="rId3" Type="http://schemas.openxmlformats.org/officeDocument/2006/relationships/hyperlink" Target="https://www.eca.europa.eu/bg/Pages/DocItem.aspx?did=49353" TargetMode="External"/><Relationship Id="rId7" Type="http://schemas.openxmlformats.org/officeDocument/2006/relationships/hyperlink" Target="https://ec.europa.eu/food/audits-analysis/country_profiles/index.cfm" TargetMode="External"/><Relationship Id="rId2" Type="http://schemas.openxmlformats.org/officeDocument/2006/relationships/hyperlink" Target="https://www.eca.europa.eu/bg/Pages/DocItem.aspx?did=49353" TargetMode="External"/><Relationship Id="rId1" Type="http://schemas.openxmlformats.org/officeDocument/2006/relationships/hyperlink" Target="https://ec.europa.eu/food/safety/food-fraud/what-does-it-mean_en" TargetMode="External"/><Relationship Id="rId6" Type="http://schemas.openxmlformats.org/officeDocument/2006/relationships/hyperlink" Target="http://ec.europa.eu/food/audits-analysis/overview_reports/index.cfm" TargetMode="External"/><Relationship Id="rId11" Type="http://schemas.openxmlformats.org/officeDocument/2006/relationships/hyperlink" Target="https://ec.europa.eu/commission/presscorner/detail/en/IP_18_3805" TargetMode="External"/><Relationship Id="rId5" Type="http://schemas.openxmlformats.org/officeDocument/2006/relationships/hyperlink" Target="http://ec.europa.eu/food/audits-analysis/audit_reports/index.cfm" TargetMode="External"/><Relationship Id="rId10" Type="http://schemas.openxmlformats.org/officeDocument/2006/relationships/hyperlink" Target="https://ec.europa.eu/info/publications/communication-commission-eu-law-better-results-through-better-application_en" TargetMode="External"/><Relationship Id="rId4" Type="http://schemas.openxmlformats.org/officeDocument/2006/relationships/hyperlink" Target="https://ec.europa.eu/food/audits_analysis/audit_programmes_en" TargetMode="External"/><Relationship Id="rId9" Type="http://schemas.openxmlformats.org/officeDocument/2006/relationships/hyperlink" Target="https://ec.europa.eu/chafea/food/bookshelf/reports/index_en.h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ossiers.dgt.cec.eu.int\dossiers\SANTE\SANTE-2020-80728\SANTE-2020-80728-00-00-BG-SRC-00.2020110612595601539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Sheet2!$C$3</c:f>
              <c:strCache>
                <c:ptCount val="1"/>
                <c:pt idx="0">
                  <c:v>Одит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Sheet2!$B$4:$B$16</c:f>
              <c:strCache>
                <c:ptCount val="13"/>
                <c:pt idx="0">
                  <c:v>Здравеопазване на животните</c:v>
                </c:pt>
                <c:pt idx="1">
                  <c:v>Хуманно отношение към животните</c:v>
                </c:pt>
                <c:pt idx="2">
                  <c:v>Междусекторни въпроси</c:v>
                </c:pt>
                <c:pt idx="3">
                  <c:v>Безопасност на фуражите</c:v>
                </c:pt>
                <c:pt idx="4">
                  <c:v>Храни от животински произход</c:v>
                </c:pt>
                <c:pt idx="5">
                  <c:v>Храни от животински произход — птици</c:v>
                </c:pt>
                <c:pt idx="6">
                  <c:v>Храни от животински произход — риба</c:v>
                </c:pt>
                <c:pt idx="7">
                  <c:v>Храни от неживотински произход</c:v>
                </c:pt>
                <c:pt idx="8">
                  <c:v>Качество на храните</c:v>
                </c:pt>
                <c:pt idx="9">
                  <c:v>Генетично модифицирани организми</c:v>
                </c:pt>
                <c:pt idx="10">
                  <c:v>Контрол върху вноса — храни и живи животни</c:v>
                </c:pt>
                <c:pt idx="11">
                  <c:v>Здраве на растенията</c:v>
                </c:pt>
                <c:pt idx="12">
                  <c:v>Ветеринарномедицински препарати и остатъчни вещества</c:v>
                </c:pt>
              </c:strCache>
            </c:strRef>
          </c:cat>
          <c:val>
            <c:numRef>
              <c:f>Sheet2!$C$4:$C$16</c:f>
              <c:numCache>
                <c:formatCode>General</c:formatCode>
                <c:ptCount val="13"/>
                <c:pt idx="0">
                  <c:v>23</c:v>
                </c:pt>
                <c:pt idx="1">
                  <c:v>14</c:v>
                </c:pt>
                <c:pt idx="2">
                  <c:v>37</c:v>
                </c:pt>
                <c:pt idx="3">
                  <c:v>11</c:v>
                </c:pt>
                <c:pt idx="4">
                  <c:v>5</c:v>
                </c:pt>
                <c:pt idx="5">
                  <c:v>4</c:v>
                </c:pt>
                <c:pt idx="6">
                  <c:v>1</c:v>
                </c:pt>
                <c:pt idx="7">
                  <c:v>11</c:v>
                </c:pt>
                <c:pt idx="8">
                  <c:v>13</c:v>
                </c:pt>
                <c:pt idx="9">
                  <c:v>4</c:v>
                </c:pt>
                <c:pt idx="10">
                  <c:v>21</c:v>
                </c:pt>
                <c:pt idx="11">
                  <c:v>26</c:v>
                </c:pt>
                <c:pt idx="12">
                  <c:v>3</c:v>
                </c:pt>
              </c:numCache>
            </c:numRef>
          </c:val>
          <c:extLst xmlns:c16r2="http://schemas.microsoft.com/office/drawing/2015/06/chart">
            <c:ext xmlns:c16="http://schemas.microsoft.com/office/drawing/2014/chart" uri="{C3380CC4-5D6E-409C-BE32-E72D297353CC}">
              <c16:uniqueId val="{00000000-792B-4BBD-A061-2F701996E9EE}"/>
            </c:ext>
          </c:extLst>
        </c:ser>
        <c:ser>
          <c:idx val="1"/>
          <c:order val="1"/>
          <c:tx>
            <c:strRef>
              <c:f>Sheet2!$D$3</c:f>
              <c:strCache>
                <c:ptCount val="1"/>
                <c:pt idx="0">
                  <c:v>Посещение в съответната държава</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Sheet2!$B$4:$B$16</c:f>
              <c:strCache>
                <c:ptCount val="13"/>
                <c:pt idx="0">
                  <c:v>Здравеопазване на животните</c:v>
                </c:pt>
                <c:pt idx="1">
                  <c:v>Хуманно отношение към животните</c:v>
                </c:pt>
                <c:pt idx="2">
                  <c:v>Междусекторни въпроси</c:v>
                </c:pt>
                <c:pt idx="3">
                  <c:v>Безопасност на фуражите</c:v>
                </c:pt>
                <c:pt idx="4">
                  <c:v>Храни от животински произход</c:v>
                </c:pt>
                <c:pt idx="5">
                  <c:v>Храни от животински произход — птици</c:v>
                </c:pt>
                <c:pt idx="6">
                  <c:v>Храни от животински произход — риба</c:v>
                </c:pt>
                <c:pt idx="7">
                  <c:v>Храни от неживотински произход</c:v>
                </c:pt>
                <c:pt idx="8">
                  <c:v>Качество на храните</c:v>
                </c:pt>
                <c:pt idx="9">
                  <c:v>Генетично модифицирани организми</c:v>
                </c:pt>
                <c:pt idx="10">
                  <c:v>Контрол върху вноса — храни и живи животни</c:v>
                </c:pt>
                <c:pt idx="11">
                  <c:v>Здраве на растенията</c:v>
                </c:pt>
                <c:pt idx="12">
                  <c:v>Ветеринарномедицински препарати и остатъчни вещества</c:v>
                </c:pt>
              </c:strCache>
            </c:strRef>
          </c:cat>
          <c:val>
            <c:numRef>
              <c:f>Sheet2!$D$4:$D$16</c:f>
              <c:numCache>
                <c:formatCode>General</c:formatCode>
                <c:ptCount val="13"/>
                <c:pt idx="1">
                  <c:v>2</c:v>
                </c:pt>
              </c:numCache>
            </c:numRef>
          </c:val>
          <c:extLst xmlns:c16r2="http://schemas.microsoft.com/office/drawing/2015/06/chart">
            <c:ext xmlns:c16="http://schemas.microsoft.com/office/drawing/2014/chart" uri="{C3380CC4-5D6E-409C-BE32-E72D297353CC}">
              <c16:uniqueId val="{00000001-792B-4BBD-A061-2F701996E9EE}"/>
            </c:ext>
          </c:extLst>
        </c:ser>
        <c:ser>
          <c:idx val="2"/>
          <c:order val="2"/>
          <c:tx>
            <c:strRef>
              <c:f>Sheet2!$E$3</c:f>
              <c:strCache>
                <c:ptCount val="1"/>
                <c:pt idx="0">
                  <c:v>Мисия за установяване на фактите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Sheet2!$B$4:$B$16</c:f>
              <c:strCache>
                <c:ptCount val="13"/>
                <c:pt idx="0">
                  <c:v>Здравеопазване на животните</c:v>
                </c:pt>
                <c:pt idx="1">
                  <c:v>Хуманно отношение към животните</c:v>
                </c:pt>
                <c:pt idx="2">
                  <c:v>Междусекторни въпроси</c:v>
                </c:pt>
                <c:pt idx="3">
                  <c:v>Безопасност на фуражите</c:v>
                </c:pt>
                <c:pt idx="4">
                  <c:v>Храни от животински произход</c:v>
                </c:pt>
                <c:pt idx="5">
                  <c:v>Храни от животински произход — птици</c:v>
                </c:pt>
                <c:pt idx="6">
                  <c:v>Храни от животински произход — риба</c:v>
                </c:pt>
                <c:pt idx="7">
                  <c:v>Храни от неживотински произход</c:v>
                </c:pt>
                <c:pt idx="8">
                  <c:v>Качество на храните</c:v>
                </c:pt>
                <c:pt idx="9">
                  <c:v>Генетично модифицирани организми</c:v>
                </c:pt>
                <c:pt idx="10">
                  <c:v>Контрол върху вноса — храни и живи животни</c:v>
                </c:pt>
                <c:pt idx="11">
                  <c:v>Здраве на растенията</c:v>
                </c:pt>
                <c:pt idx="12">
                  <c:v>Ветеринарномедицински препарати и остатъчни вещества</c:v>
                </c:pt>
              </c:strCache>
            </c:strRef>
          </c:cat>
          <c:val>
            <c:numRef>
              <c:f>Sheet2!$E$4:$E$16</c:f>
              <c:numCache>
                <c:formatCode>General</c:formatCode>
                <c:ptCount val="13"/>
                <c:pt idx="0">
                  <c:v>12</c:v>
                </c:pt>
                <c:pt idx="1">
                  <c:v>5</c:v>
                </c:pt>
                <c:pt idx="2">
                  <c:v>32</c:v>
                </c:pt>
                <c:pt idx="3">
                  <c:v>9</c:v>
                </c:pt>
                <c:pt idx="6">
                  <c:v>1</c:v>
                </c:pt>
                <c:pt idx="7">
                  <c:v>6</c:v>
                </c:pt>
                <c:pt idx="10">
                  <c:v>9</c:v>
                </c:pt>
              </c:numCache>
            </c:numRef>
          </c:val>
          <c:extLst xmlns:c16r2="http://schemas.microsoft.com/office/drawing/2015/06/chart">
            <c:ext xmlns:c16="http://schemas.microsoft.com/office/drawing/2014/chart" uri="{C3380CC4-5D6E-409C-BE32-E72D297353CC}">
              <c16:uniqueId val="{00000002-792B-4BBD-A061-2F701996E9EE}"/>
            </c:ext>
          </c:extLst>
        </c:ser>
        <c:dLbls>
          <c:showLegendKey val="0"/>
          <c:showVal val="0"/>
          <c:showCatName val="0"/>
          <c:showSerName val="0"/>
          <c:showPercent val="0"/>
          <c:showBubbleSize val="0"/>
        </c:dLbls>
        <c:gapWidth val="150"/>
        <c:overlap val="100"/>
        <c:axId val="57618432"/>
        <c:axId val="57619968"/>
      </c:barChart>
      <c:catAx>
        <c:axId val="57618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19968"/>
        <c:crosses val="autoZero"/>
        <c:auto val="1"/>
        <c:lblAlgn val="ctr"/>
        <c:lblOffset val="100"/>
        <c:noMultiLvlLbl val="0"/>
      </c:catAx>
      <c:valAx>
        <c:axId val="5761996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1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A04B-C41B-4090-89A9-273F0F1F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7016</Words>
  <Characters>42171</Characters>
  <Application>Microsoft Office Word</Application>
  <DocSecurity>0</DocSecurity>
  <Lines>795</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2020-10-12T13:07:00Z</dcterms:created>
  <dcterms:modified xsi:type="dcterms:W3CDTF">2020-11-17T14:30:00Z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