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69" w:rsidRDefault="00FC21F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E12D49-9289-4FF9-B472-5C44117E10C6" style="width:450.75pt;height:348pt">
            <v:imagedata r:id="rId11" o:title=""/>
          </v:shape>
        </w:pict>
      </w:r>
    </w:p>
    <w:bookmarkEnd w:id="0"/>
    <w:p w:rsidR="009C2369" w:rsidRDefault="009C2369">
      <w:pPr>
        <w:rPr>
          <w:noProof/>
        </w:rPr>
        <w:sectPr w:rsidR="009C2369">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9C2369" w:rsidRDefault="00FC21F0">
      <w:pPr>
        <w:pStyle w:val="Heading2"/>
        <w:numPr>
          <w:ilvl w:val="0"/>
          <w:numId w:val="7"/>
        </w:numPr>
        <w:spacing w:before="240" w:after="120" w:line="240" w:lineRule="auto"/>
        <w:ind w:left="357" w:hanging="357"/>
        <w:jc w:val="both"/>
        <w:rPr>
          <w:rFonts w:ascii="Times New Roman Bold" w:eastAsia="Times New Roman" w:hAnsi="Times New Roman Bold" w:cs="Times New Roman"/>
          <w:b/>
          <w:bCs/>
          <w:caps/>
          <w:noProof/>
          <w:color w:val="000000" w:themeColor="text1"/>
          <w:sz w:val="24"/>
          <w:szCs w:val="24"/>
        </w:rPr>
      </w:pPr>
      <w:r>
        <w:rPr>
          <w:rFonts w:ascii="Times New Roman Bold" w:eastAsia="Times New Roman" w:hAnsi="Times New Roman Bold" w:cs="Times New Roman"/>
          <w:b/>
          <w:bCs/>
          <w:caps/>
          <w:noProof/>
          <w:color w:val="000000" w:themeColor="text1"/>
          <w:sz w:val="24"/>
          <w:szCs w:val="24"/>
        </w:rPr>
        <w:lastRenderedPageBreak/>
        <w:t xml:space="preserve">The challenge ahead: Capitalising on Europe’s Intellectual assets to boost recovery and resilience </w:t>
      </w:r>
    </w:p>
    <w:p w:rsidR="009C2369" w:rsidRDefault="00FC21F0">
      <w:pPr>
        <w:spacing w:before="120" w:after="120" w:line="240" w:lineRule="auto"/>
        <w:jc w:val="both"/>
        <w:rPr>
          <w:rFonts w:eastAsia="Times New Roman"/>
          <w:noProof/>
          <w:color w:val="000000" w:themeColor="text1"/>
        </w:rPr>
      </w:pPr>
      <w:r>
        <w:rPr>
          <w:rFonts w:ascii="Times New Roman" w:eastAsia="Times New Roman" w:hAnsi="Times New Roman" w:cs="Times New Roman"/>
          <w:b/>
          <w:bCs/>
          <w:noProof/>
          <w:color w:val="000000" w:themeColor="text1"/>
          <w:sz w:val="24"/>
          <w:szCs w:val="24"/>
        </w:rPr>
        <w:t>Intangible assets</w:t>
      </w:r>
      <w:r>
        <w:rPr>
          <w:rFonts w:ascii="Times New Roman" w:eastAsia="Times New Roman" w:hAnsi="Times New Roman" w:cs="Times New Roman"/>
          <w:noProof/>
          <w:color w:val="000000" w:themeColor="text1"/>
          <w:sz w:val="24"/>
          <w:szCs w:val="24"/>
        </w:rPr>
        <w:t xml:space="preserve"> such as inventions, artistic and cultural creations, brands, software, know-how, business processes and data </w:t>
      </w:r>
      <w:r>
        <w:rPr>
          <w:rFonts w:ascii="Times New Roman" w:eastAsia="Times New Roman" w:hAnsi="Times New Roman" w:cs="Times New Roman"/>
          <w:b/>
          <w:bCs/>
          <w:noProof/>
          <w:color w:val="000000" w:themeColor="text1"/>
          <w:sz w:val="24"/>
          <w:szCs w:val="24"/>
        </w:rPr>
        <w:t>are the cornerstones of today’s economy</w:t>
      </w:r>
      <w:r>
        <w:rPr>
          <w:rFonts w:ascii="Times New Roman" w:eastAsia="Times New Roman" w:hAnsi="Times New Roman" w:cs="Times New Roman"/>
          <w:noProof/>
          <w:color w:val="000000" w:themeColor="text1"/>
          <w:sz w:val="24"/>
          <w:szCs w:val="24"/>
        </w:rPr>
        <w:t>. Over the last two decades, the volume of annual investments in such ‘intellectual property products’</w:t>
      </w:r>
      <w:r>
        <w:rPr>
          <w:rStyle w:val="FootnoteReference"/>
          <w:rFonts w:ascii="Times New Roman" w:eastAsia="Times New Roman" w:hAnsi="Times New Roman" w:cs="Times New Roman"/>
          <w:noProof/>
          <w:color w:val="000000" w:themeColor="text1"/>
          <w:sz w:val="24"/>
          <w:szCs w:val="24"/>
        </w:rPr>
        <w:footnoteReference w:id="2"/>
      </w:r>
      <w:r>
        <w:rPr>
          <w:rFonts w:ascii="Times New Roman" w:eastAsia="Times New Roman" w:hAnsi="Times New Roman" w:cs="Times New Roman"/>
          <w:noProof/>
          <w:color w:val="000000" w:themeColor="text1"/>
          <w:sz w:val="24"/>
          <w:szCs w:val="24"/>
        </w:rPr>
        <w:t xml:space="preserve"> inc</w:t>
      </w:r>
      <w:r>
        <w:rPr>
          <w:rFonts w:ascii="Times New Roman" w:eastAsia="Times New Roman" w:hAnsi="Times New Roman" w:cs="Times New Roman"/>
          <w:noProof/>
          <w:color w:val="000000" w:themeColor="text1"/>
          <w:sz w:val="24"/>
          <w:szCs w:val="24"/>
        </w:rPr>
        <w:t>reased by 87% in the EU, while the volume of tangible (non-residential) investments increased by only 30%. Investments in intangibles were also significantly less affected by the 2008 economic crisis</w:t>
      </w:r>
      <w:r>
        <w:rPr>
          <w:rStyle w:val="FootnoteReference"/>
          <w:rFonts w:ascii="Times New Roman" w:eastAsia="Times New Roman" w:hAnsi="Times New Roman" w:cs="Times New Roman"/>
          <w:noProof/>
          <w:color w:val="000000" w:themeColor="text1"/>
          <w:sz w:val="24"/>
          <w:szCs w:val="24"/>
        </w:rPr>
        <w:footnoteReference w:id="3"/>
      </w:r>
      <w:r>
        <w:rPr>
          <w:rFonts w:ascii="Times New Roman" w:eastAsia="Times New Roman" w:hAnsi="Times New Roman" w:cs="Times New Roman"/>
          <w:noProof/>
          <w:color w:val="000000" w:themeColor="text1"/>
          <w:sz w:val="24"/>
          <w:szCs w:val="24"/>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Intellectual property rights (IPRs), i.e. patents, trade marks, designs, copyright and neighbouring rights, geographical indications and plant variety rights, as well as trade secret protection rules, help entrepreneurs and companies valorise their intangi</w:t>
      </w:r>
      <w:r>
        <w:rPr>
          <w:rFonts w:ascii="Times New Roman" w:eastAsia="Times New Roman" w:hAnsi="Times New Roman" w:cs="Times New Roman"/>
          <w:noProof/>
          <w:color w:val="000000" w:themeColor="text1"/>
          <w:sz w:val="24"/>
          <w:szCs w:val="24"/>
        </w:rPr>
        <w:t xml:space="preserve">ble assets. In today’s economy, industrial products and processes increasingly rely on intangibles protected by IPRs, and sound intellectual property (IP) management has become part and parcel of any successful business strategy. </w:t>
      </w:r>
      <w:r>
        <w:rPr>
          <w:rFonts w:ascii="Times New Roman" w:eastAsia="Times New Roman" w:hAnsi="Times New Roman" w:cs="Times New Roman"/>
          <w:b/>
          <w:bCs/>
          <w:noProof/>
          <w:color w:val="000000" w:themeColor="text1"/>
          <w:sz w:val="24"/>
          <w:szCs w:val="24"/>
        </w:rPr>
        <w:t>Industries that make inten</w:t>
      </w:r>
      <w:r>
        <w:rPr>
          <w:rFonts w:ascii="Times New Roman" w:eastAsia="Times New Roman" w:hAnsi="Times New Roman" w:cs="Times New Roman"/>
          <w:b/>
          <w:bCs/>
          <w:noProof/>
          <w:color w:val="000000" w:themeColor="text1"/>
          <w:sz w:val="24"/>
          <w:szCs w:val="24"/>
        </w:rPr>
        <w:t xml:space="preserve">sive use of IP </w:t>
      </w:r>
      <w:r>
        <w:rPr>
          <w:rFonts w:ascii="Times New Roman" w:eastAsia="Times New Roman" w:hAnsi="Times New Roman" w:cs="Times New Roman"/>
          <w:bCs/>
          <w:noProof/>
          <w:color w:val="000000" w:themeColor="text1"/>
          <w:sz w:val="24"/>
          <w:szCs w:val="24"/>
        </w:rPr>
        <w:t xml:space="preserve">play an essential role in the EU economy and </w:t>
      </w:r>
      <w:r>
        <w:rPr>
          <w:rFonts w:ascii="Times New Roman" w:eastAsia="Times New Roman" w:hAnsi="Times New Roman" w:cs="Times New Roman"/>
          <w:b/>
          <w:bCs/>
          <w:noProof/>
          <w:color w:val="000000" w:themeColor="text1"/>
          <w:sz w:val="24"/>
          <w:szCs w:val="24"/>
        </w:rPr>
        <w:t xml:space="preserve">offer valuable and sustainable jobs </w:t>
      </w:r>
      <w:r>
        <w:rPr>
          <w:rFonts w:ascii="Times New Roman" w:eastAsia="Times New Roman" w:hAnsi="Times New Roman" w:cs="Times New Roman"/>
          <w:bCs/>
          <w:noProof/>
          <w:color w:val="000000" w:themeColor="text1"/>
          <w:sz w:val="24"/>
          <w:szCs w:val="24"/>
        </w:rPr>
        <w:t>to society</w:t>
      </w:r>
      <w:r>
        <w:rPr>
          <w:rFonts w:ascii="Times New Roman" w:eastAsia="Times New Roman" w:hAnsi="Times New Roman" w:cs="Times New Roman"/>
          <w:noProof/>
          <w:color w:val="000000" w:themeColor="text1"/>
          <w:sz w:val="24"/>
          <w:szCs w:val="24"/>
        </w:rPr>
        <w:t>. IPR-intensive industries currently account for almost 45% of Europe’s GDP and directly contribute to the creation of almost 30% of all jobs</w:t>
      </w:r>
      <w:r>
        <w:rPr>
          <w:rFonts w:ascii="Times New Roman" w:eastAsia="Times New Roman" w:hAnsi="Times New Roman" w:cs="Times New Roman"/>
          <w:noProof/>
          <w:color w:val="000000" w:themeColor="text1"/>
          <w:sz w:val="24"/>
          <w:szCs w:val="24"/>
          <w:vertAlign w:val="superscript"/>
        </w:rPr>
        <w:footnoteReference w:id="4"/>
      </w:r>
      <w:r>
        <w:rPr>
          <w:rFonts w:ascii="Times New Roman" w:eastAsia="Times New Roman" w:hAnsi="Times New Roman" w:cs="Times New Roman"/>
          <w:noProof/>
          <w:color w:val="000000" w:themeColor="text1"/>
          <w:sz w:val="24"/>
          <w:szCs w:val="24"/>
        </w:rPr>
        <w:t>. Many o</w:t>
      </w:r>
      <w:r>
        <w:rPr>
          <w:rFonts w:ascii="Times New Roman" w:eastAsia="Times New Roman" w:hAnsi="Times New Roman" w:cs="Times New Roman"/>
          <w:noProof/>
          <w:color w:val="000000" w:themeColor="text1"/>
          <w:sz w:val="24"/>
          <w:szCs w:val="24"/>
        </w:rPr>
        <w:t xml:space="preserve">f </w:t>
      </w:r>
      <w:r>
        <w:rPr>
          <w:rFonts w:ascii="Times New Roman" w:eastAsia="Times New Roman" w:hAnsi="Times New Roman" w:cs="Times New Roman"/>
          <w:b/>
          <w:bCs/>
          <w:noProof/>
          <w:color w:val="000000" w:themeColor="text1"/>
          <w:sz w:val="24"/>
          <w:szCs w:val="24"/>
        </w:rPr>
        <w:t xml:space="preserve">Europe’s industrial ecosystems </w:t>
      </w:r>
      <w:r>
        <w:rPr>
          <w:rFonts w:ascii="Times New Roman" w:eastAsia="Times New Roman" w:hAnsi="Times New Roman" w:cs="Times New Roman"/>
          <w:bCs/>
          <w:noProof/>
          <w:color w:val="000000" w:themeColor="text1"/>
          <w:sz w:val="24"/>
          <w:szCs w:val="24"/>
        </w:rPr>
        <w:t>cannot thrive without effective IP protection and effective tools to trade intangible assets</w:t>
      </w:r>
      <w:r>
        <w:rPr>
          <w:rFonts w:ascii="Times New Roman" w:eastAsia="Times New Roman" w:hAnsi="Times New Roman" w:cs="Times New Roman"/>
          <w:noProof/>
          <w:color w:val="000000" w:themeColor="text1"/>
          <w:sz w:val="24"/>
          <w:szCs w:val="24"/>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rPr>
        <w:t>IP is a key asset to be able to compete globally</w:t>
      </w:r>
      <w:r>
        <w:rPr>
          <w:rFonts w:ascii="Times New Roman" w:eastAsia="Times New Roman" w:hAnsi="Times New Roman" w:cs="Times New Roman"/>
          <w:noProof/>
          <w:color w:val="000000" w:themeColor="text1"/>
          <w:sz w:val="24"/>
          <w:szCs w:val="24"/>
        </w:rPr>
        <w:t>. World-wide, the number of IP filings is on the rise. The same trend can be not</w:t>
      </w:r>
      <w:r>
        <w:rPr>
          <w:rFonts w:ascii="Times New Roman" w:eastAsia="Times New Roman" w:hAnsi="Times New Roman" w:cs="Times New Roman"/>
          <w:noProof/>
          <w:color w:val="000000" w:themeColor="text1"/>
          <w:sz w:val="24"/>
          <w:szCs w:val="24"/>
        </w:rPr>
        <w:t>ed in the EU.</w:t>
      </w:r>
      <w:r>
        <w:rPr>
          <w:noProof/>
        </w:rPr>
        <w:t xml:space="preserve"> </w:t>
      </w:r>
      <w:r>
        <w:rPr>
          <w:rFonts w:ascii="Times New Roman" w:eastAsia="Times New Roman" w:hAnsi="Times New Roman" w:cs="Times New Roman"/>
          <w:noProof/>
          <w:color w:val="000000" w:themeColor="text1"/>
          <w:sz w:val="24"/>
          <w:szCs w:val="24"/>
        </w:rPr>
        <w:t>Between 2010 and 2019, the number of European patents granted rose from 58 000 to 137 000, approximately - although the rise is less marked than in other parts of the world, notably Asia, where economies are quickly catching up on IP generati</w:t>
      </w:r>
      <w:r>
        <w:rPr>
          <w:rFonts w:ascii="Times New Roman" w:eastAsia="Times New Roman" w:hAnsi="Times New Roman" w:cs="Times New Roman"/>
          <w:noProof/>
          <w:color w:val="000000" w:themeColor="text1"/>
          <w:sz w:val="24"/>
          <w:szCs w:val="24"/>
        </w:rPr>
        <w:t xml:space="preserve">on.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The EU has the means to remain competitive in the global race for technological leadership. It also has a robust IP framework. For instance, a single application mechanism makes it possible to obtain and enforce trade mark, designs and plant variety p</w:t>
      </w:r>
      <w:r>
        <w:rPr>
          <w:rFonts w:ascii="Times New Roman" w:eastAsia="Times New Roman" w:hAnsi="Times New Roman" w:cs="Times New Roman"/>
          <w:noProof/>
          <w:color w:val="000000" w:themeColor="text1"/>
          <w:sz w:val="24"/>
          <w:szCs w:val="24"/>
        </w:rPr>
        <w:t>rotection across Europe. The quality of patents granted in Europe is among the highest in the world</w:t>
      </w:r>
      <w:r>
        <w:rPr>
          <w:rStyle w:val="FootnoteReference"/>
          <w:rFonts w:ascii="Times New Roman" w:eastAsia="Times New Roman" w:hAnsi="Times New Roman" w:cs="Times New Roman"/>
          <w:noProof/>
          <w:color w:val="000000" w:themeColor="text1"/>
          <w:sz w:val="24"/>
          <w:szCs w:val="24"/>
        </w:rPr>
        <w:footnoteReference w:id="5"/>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val="en-IE"/>
        </w:rPr>
        <w:t>European innovators are frontrunners in green technologies</w:t>
      </w:r>
      <w:r>
        <w:rPr>
          <w:rStyle w:val="FootnoteReference"/>
          <w:rFonts w:ascii="Times New Roman" w:eastAsia="Times New Roman" w:hAnsi="Times New Roman" w:cs="Times New Roman"/>
          <w:noProof/>
          <w:color w:val="000000" w:themeColor="text1"/>
          <w:sz w:val="24"/>
          <w:szCs w:val="24"/>
        </w:rPr>
        <w:footnoteReference w:id="6"/>
      </w:r>
      <w:r>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noProof/>
          <w:color w:val="000000" w:themeColor="text1"/>
          <w:sz w:val="24"/>
          <w:szCs w:val="24"/>
          <w:lang w:val="en-IE"/>
        </w:rPr>
        <w:t xml:space="preserve"> Globally, they hold a major portion of green patents</w:t>
      </w:r>
      <w:r>
        <w:rPr>
          <w:rStyle w:val="FootnoteReference"/>
          <w:rFonts w:ascii="Times New Roman" w:eastAsia="Times New Roman" w:hAnsi="Times New Roman" w:cs="Times New Roman"/>
          <w:noProof/>
          <w:color w:val="000000" w:themeColor="text1"/>
          <w:sz w:val="24"/>
          <w:szCs w:val="24"/>
        </w:rPr>
        <w:footnoteReference w:id="7"/>
      </w:r>
      <w:r>
        <w:rPr>
          <w:rFonts w:ascii="Times New Roman" w:eastAsia="Times New Roman" w:hAnsi="Times New Roman" w:cs="Times New Roman"/>
          <w:noProof/>
          <w:color w:val="000000" w:themeColor="text1"/>
          <w:sz w:val="24"/>
          <w:szCs w:val="24"/>
          <w:lang w:val="en-IE"/>
        </w:rPr>
        <w:t xml:space="preserve"> and have particularly strong IP portfol</w:t>
      </w:r>
      <w:r>
        <w:rPr>
          <w:rFonts w:ascii="Times New Roman" w:eastAsia="Times New Roman" w:hAnsi="Times New Roman" w:cs="Times New Roman"/>
          <w:noProof/>
          <w:color w:val="000000" w:themeColor="text1"/>
          <w:sz w:val="24"/>
          <w:szCs w:val="24"/>
          <w:lang w:val="en-IE"/>
        </w:rPr>
        <w:t>ios in technologies such as climate change adaptation, carbon capture and storage, water and waste treatment</w:t>
      </w:r>
      <w:r>
        <w:rPr>
          <w:rStyle w:val="FootnoteReference"/>
          <w:rFonts w:ascii="Times New Roman" w:eastAsia="Times New Roman" w:hAnsi="Times New Roman" w:cs="Times New Roman"/>
          <w:noProof/>
          <w:color w:val="000000" w:themeColor="text1"/>
          <w:sz w:val="24"/>
          <w:szCs w:val="24"/>
        </w:rPr>
        <w:footnoteReference w:id="8"/>
      </w:r>
      <w:r>
        <w:rPr>
          <w:rFonts w:ascii="Times New Roman" w:eastAsia="Times New Roman" w:hAnsi="Times New Roman" w:cs="Times New Roman"/>
          <w:noProof/>
          <w:color w:val="000000" w:themeColor="text1"/>
          <w:sz w:val="24"/>
          <w:szCs w:val="24"/>
        </w:rPr>
        <w:t>.</w:t>
      </w:r>
      <w:r>
        <w:rPr>
          <w:rFonts w:ascii="Times New Roman" w:hAnsi="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val="en-IE"/>
        </w:rPr>
        <w:t xml:space="preserve">European companies are also leaders in specific digital technologies, such as connectivity technologies. </w:t>
      </w:r>
    </w:p>
    <w:p w:rsidR="009C2369" w:rsidRDefault="00FC21F0">
      <w:pPr>
        <w:pStyle w:val="xmsonormal"/>
        <w:spacing w:before="120" w:after="120"/>
        <w:jc w:val="both"/>
        <w:rPr>
          <w:noProof/>
          <w:color w:val="000000" w:themeColor="text1"/>
          <w:lang w:val="en-IE"/>
        </w:rPr>
      </w:pPr>
      <w:r>
        <w:rPr>
          <w:rFonts w:eastAsia="Times New Roman"/>
          <w:bCs/>
          <w:noProof/>
          <w:color w:val="000000" w:themeColor="text1"/>
          <w:lang w:val="en-IE"/>
        </w:rPr>
        <w:t>There is a need to</w:t>
      </w:r>
      <w:r>
        <w:rPr>
          <w:rFonts w:eastAsia="Times New Roman"/>
          <w:b/>
          <w:bCs/>
          <w:noProof/>
          <w:color w:val="000000" w:themeColor="text1"/>
          <w:lang w:val="en-IE"/>
        </w:rPr>
        <w:t xml:space="preserve"> further build on our strengths </w:t>
      </w:r>
      <w:r>
        <w:rPr>
          <w:rFonts w:eastAsia="Times New Roman"/>
          <w:noProof/>
          <w:color w:val="000000" w:themeColor="text1"/>
          <w:lang w:val="en-IE"/>
        </w:rPr>
        <w:t>by upgrading the EU’s framework, where needed, and putting in place well-calibrated IP policies to help companies capitalise on their inventions and creations, whilst at the same time ensuring that inventions and creations a</w:t>
      </w:r>
      <w:r>
        <w:rPr>
          <w:rFonts w:eastAsia="Times New Roman"/>
          <w:noProof/>
          <w:color w:val="000000" w:themeColor="text1"/>
          <w:lang w:val="en-IE"/>
        </w:rPr>
        <w:t xml:space="preserve">re serving economy and society at large. There is plenty of inventiveness and creativity in the EU: it is therefore necessary to maximise the incentives to bring out this potential and to </w:t>
      </w:r>
      <w:r>
        <w:rPr>
          <w:rFonts w:eastAsia="Times New Roman"/>
          <w:b/>
          <w:bCs/>
          <w:noProof/>
          <w:color w:val="000000" w:themeColor="text1"/>
          <w:lang w:val="en-IE"/>
        </w:rPr>
        <w:t xml:space="preserve">put </w:t>
      </w:r>
      <w:r>
        <w:rPr>
          <w:rFonts w:eastAsia="Times New Roman"/>
          <w:b/>
          <w:bCs/>
          <w:noProof/>
          <w:color w:val="000000" w:themeColor="text1"/>
          <w:lang w:val="en-IE"/>
        </w:rPr>
        <w:lastRenderedPageBreak/>
        <w:t>our companies on track towards economic recovery</w:t>
      </w:r>
      <w:r>
        <w:rPr>
          <w:rFonts w:eastAsia="Times New Roman"/>
          <w:noProof/>
          <w:color w:val="000000" w:themeColor="text1"/>
          <w:vertAlign w:val="superscript"/>
        </w:rPr>
        <w:footnoteReference w:id="9"/>
      </w:r>
      <w:r>
        <w:rPr>
          <w:rFonts w:eastAsia="Times New Roman"/>
          <w:b/>
          <w:bCs/>
          <w:noProof/>
          <w:color w:val="000000" w:themeColor="text1"/>
          <w:lang w:val="en-IE"/>
        </w:rPr>
        <w:t xml:space="preserve"> and Europe’s g</w:t>
      </w:r>
      <w:r>
        <w:rPr>
          <w:rFonts w:eastAsia="Times New Roman"/>
          <w:b/>
          <w:bCs/>
          <w:noProof/>
          <w:color w:val="000000" w:themeColor="text1"/>
          <w:lang w:val="en-IE"/>
        </w:rPr>
        <w:t>lobal green and digital leadership</w:t>
      </w:r>
      <w:r>
        <w:rPr>
          <w:rFonts w:eastAsia="Times New Roman"/>
          <w:noProof/>
          <w:color w:val="000000" w:themeColor="text1"/>
          <w:lang w:val="en-IE"/>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Some of the most important </w:t>
      </w:r>
      <w:r>
        <w:rPr>
          <w:rFonts w:ascii="Times New Roman" w:eastAsia="Times New Roman" w:hAnsi="Times New Roman" w:cs="Times New Roman"/>
          <w:b/>
          <w:bCs/>
          <w:noProof/>
          <w:color w:val="000000" w:themeColor="text1"/>
          <w:sz w:val="24"/>
          <w:szCs w:val="24"/>
        </w:rPr>
        <w:t>social challenges</w:t>
      </w:r>
      <w:r>
        <w:rPr>
          <w:rFonts w:ascii="Times New Roman" w:eastAsia="Times New Roman" w:hAnsi="Times New Roman" w:cs="Times New Roman"/>
          <w:noProof/>
          <w:color w:val="000000" w:themeColor="text1"/>
          <w:sz w:val="24"/>
          <w:szCs w:val="24"/>
        </w:rPr>
        <w:t xml:space="preserve"> of our times, such as making green transition possible or ensuring proper healthcare for all, </w:t>
      </w:r>
      <w:r>
        <w:rPr>
          <w:rFonts w:ascii="Times New Roman" w:eastAsia="Times New Roman" w:hAnsi="Times New Roman" w:cs="Times New Roman"/>
          <w:b/>
          <w:bCs/>
          <w:noProof/>
          <w:color w:val="000000" w:themeColor="text1"/>
          <w:sz w:val="24"/>
          <w:szCs w:val="24"/>
        </w:rPr>
        <w:t>cannot be addressed without innovative solutions</w:t>
      </w:r>
      <w:r>
        <w:rPr>
          <w:rFonts w:ascii="Times New Roman" w:eastAsia="Times New Roman" w:hAnsi="Times New Roman" w:cs="Times New Roman"/>
          <w:noProof/>
          <w:color w:val="000000" w:themeColor="text1"/>
          <w:sz w:val="24"/>
          <w:szCs w:val="24"/>
        </w:rPr>
        <w:t xml:space="preserve">. The development of the </w:t>
      </w:r>
      <w:r>
        <w:rPr>
          <w:rFonts w:ascii="Times New Roman" w:eastAsia="Times New Roman" w:hAnsi="Times New Roman" w:cs="Times New Roman"/>
          <w:noProof/>
          <w:color w:val="000000" w:themeColor="text1"/>
          <w:sz w:val="24"/>
          <w:szCs w:val="24"/>
        </w:rPr>
        <w:t>renewable energy and low carbon energy ecosystems for instance hinges on the rapid development and deployment of cutting edge technologies, as well as effective tools for sharing critical intangibles, such as data. The development of a flourishing health e</w:t>
      </w:r>
      <w:r>
        <w:rPr>
          <w:rFonts w:ascii="Times New Roman" w:eastAsia="Times New Roman" w:hAnsi="Times New Roman" w:cs="Times New Roman"/>
          <w:noProof/>
          <w:color w:val="000000" w:themeColor="text1"/>
          <w:sz w:val="24"/>
          <w:szCs w:val="24"/>
        </w:rPr>
        <w:t>cosystem in Europe requires a transparent system of IP incentives, boosting innovation whilst ensuring effective access to affordable medicines. The cultural and creative sectors cannot thrive without effective IP protection</w:t>
      </w:r>
      <w:r>
        <w:rPr>
          <w:rStyle w:val="FootnoteReference"/>
          <w:rFonts w:ascii="Times New Roman" w:eastAsia="Times New Roman" w:hAnsi="Times New Roman" w:cs="Times New Roman"/>
          <w:noProof/>
          <w:color w:val="000000" w:themeColor="text1"/>
          <w:sz w:val="24"/>
          <w:szCs w:val="24"/>
        </w:rPr>
        <w:footnoteReference w:id="10"/>
      </w:r>
      <w:r>
        <w:rPr>
          <w:rFonts w:ascii="Times New Roman" w:eastAsia="Times New Roman" w:hAnsi="Times New Roman" w:cs="Times New Roman"/>
          <w:noProof/>
          <w:color w:val="000000" w:themeColor="text1"/>
          <w:sz w:val="24"/>
          <w:szCs w:val="24"/>
        </w:rPr>
        <w:t>.</w:t>
      </w:r>
    </w:p>
    <w:p w:rsidR="009C2369" w:rsidRDefault="00FC21F0">
      <w:pPr>
        <w:pStyle w:val="xmsonormal"/>
        <w:spacing w:after="120"/>
        <w:jc w:val="both"/>
        <w:rPr>
          <w:noProof/>
          <w:color w:val="000000" w:themeColor="text1"/>
          <w:lang w:val="en-IE"/>
        </w:rPr>
      </w:pPr>
      <w:r>
        <w:rPr>
          <w:noProof/>
          <w:color w:val="000000" w:themeColor="text1"/>
          <w:lang w:val="en-IE"/>
        </w:rPr>
        <w:t>The COVID-19 crisis has illus</w:t>
      </w:r>
      <w:r>
        <w:rPr>
          <w:noProof/>
          <w:color w:val="000000" w:themeColor="text1"/>
          <w:lang w:val="en-IE"/>
        </w:rPr>
        <w:t xml:space="preserve">trated EU’s dependence on critical innovations and technologies, and reminded Europe of the importance of effective IP rules and tools to secure a fast deployment of critical IP. IPRs, and their role in a competitive and innovative European pharmaceutical </w:t>
      </w:r>
      <w:r>
        <w:rPr>
          <w:noProof/>
          <w:color w:val="000000" w:themeColor="text1"/>
          <w:lang w:val="en-IE"/>
        </w:rPr>
        <w:t>industry, are also part of the new</w:t>
      </w:r>
      <w:r>
        <w:rPr>
          <w:b/>
          <w:noProof/>
          <w:color w:val="000000" w:themeColor="text1"/>
          <w:lang w:val="en-IE"/>
        </w:rPr>
        <w:t xml:space="preserve"> </w:t>
      </w:r>
      <w:r>
        <w:rPr>
          <w:noProof/>
          <w:color w:val="000000" w:themeColor="text1"/>
          <w:lang w:val="en-IE"/>
        </w:rPr>
        <w:t>Pharmaceutical Strategy for Europe</w:t>
      </w:r>
      <w:r>
        <w:rPr>
          <w:rStyle w:val="FootnoteReference"/>
          <w:noProof/>
          <w:color w:val="000000" w:themeColor="text1"/>
        </w:rPr>
        <w:footnoteReference w:id="11"/>
      </w:r>
      <w:r>
        <w:rPr>
          <w:noProof/>
          <w:color w:val="000000" w:themeColor="text1"/>
          <w:lang w:val="en-IE"/>
        </w:rPr>
        <w:t>.</w:t>
      </w:r>
    </w:p>
    <w:p w:rsidR="009C2369" w:rsidRDefault="00FC21F0">
      <w:pPr>
        <w:pStyle w:val="xmsonormal"/>
        <w:jc w:val="both"/>
        <w:rPr>
          <w:rFonts w:eastAsia="Times New Roman"/>
          <w:noProof/>
          <w:color w:val="000000" w:themeColor="text1"/>
          <w:lang w:val="en-IE"/>
        </w:rPr>
      </w:pPr>
      <w:r>
        <w:rPr>
          <w:rFonts w:eastAsia="Times New Roman"/>
          <w:noProof/>
          <w:color w:val="000000" w:themeColor="text1"/>
          <w:lang w:val="en-IE"/>
        </w:rPr>
        <w:t xml:space="preserve">The </w:t>
      </w:r>
      <w:r>
        <w:rPr>
          <w:rFonts w:eastAsia="Times New Roman"/>
          <w:b/>
          <w:noProof/>
          <w:color w:val="000000" w:themeColor="text1"/>
          <w:lang w:val="en-IE"/>
        </w:rPr>
        <w:t>technological revolution</w:t>
      </w:r>
      <w:r>
        <w:rPr>
          <w:rFonts w:eastAsia="Times New Roman"/>
          <w:noProof/>
          <w:color w:val="000000" w:themeColor="text1"/>
          <w:lang w:val="en-IE"/>
        </w:rPr>
        <w:t xml:space="preserve"> – the data economy and society, the turn to artificial intelligence (AI), the growing importance of new technologies such as blockchain, 3D-printing and the Internet of Things (IoT) as well as the development of new business models such as the platform ec</w:t>
      </w:r>
      <w:r>
        <w:rPr>
          <w:rFonts w:eastAsia="Times New Roman"/>
          <w:noProof/>
          <w:color w:val="000000" w:themeColor="text1"/>
          <w:lang w:val="en-IE"/>
        </w:rPr>
        <w:t>onomy, and the data and circular economy - offers a unique window of opportunity to modernise our approach to protecting our intangible assets. In recent decades, there has been significant progress in creating a single market for IP, yielding many benefit</w:t>
      </w:r>
      <w:r>
        <w:rPr>
          <w:rFonts w:eastAsia="Times New Roman"/>
          <w:noProof/>
          <w:color w:val="000000" w:themeColor="text1"/>
          <w:lang w:val="en-IE"/>
        </w:rPr>
        <w:t>s for the EU economy. An array of tools is available to bring innovative solutions to society</w:t>
      </w:r>
      <w:r>
        <w:rPr>
          <w:rFonts w:eastAsia="Times New Roman"/>
          <w:noProof/>
          <w:color w:val="000000" w:themeColor="text1"/>
          <w:vertAlign w:val="superscript"/>
        </w:rPr>
        <w:footnoteReference w:id="12"/>
      </w:r>
      <w:r>
        <w:rPr>
          <w:rFonts w:eastAsia="Times New Roman"/>
          <w:noProof/>
          <w:color w:val="000000" w:themeColor="text1"/>
          <w:lang w:val="en-IE"/>
        </w:rPr>
        <w:t>. Yet many gaps and weaknesses still exist in the way EU companies protect intangible capital and lead it to bear fruit for European society.</w:t>
      </w:r>
      <w:r>
        <w:rPr>
          <w:rFonts w:eastAsia="Times New Roman"/>
          <w:noProof/>
          <w:color w:val="000000" w:themeColor="text1"/>
          <w:lang w:val="en-GB"/>
        </w:rPr>
        <w:t xml:space="preserve"> </w:t>
      </w:r>
    </w:p>
    <w:p w:rsidR="009C2369" w:rsidRDefault="009C2369">
      <w:pPr>
        <w:pStyle w:val="xmsonormal"/>
        <w:jc w:val="both"/>
        <w:rPr>
          <w:rFonts w:eastAsia="Times New Roman"/>
          <w:noProof/>
          <w:color w:val="000000" w:themeColor="text1"/>
          <w:lang w:val="en-IE"/>
        </w:rPr>
      </w:pPr>
    </w:p>
    <w:p w:rsidR="009C2369" w:rsidRDefault="00FC21F0">
      <w:pPr>
        <w:pStyle w:val="xmsonormal"/>
        <w:keepNext/>
        <w:rPr>
          <w:rFonts w:eastAsia="Times New Roman"/>
          <w:noProof/>
          <w:color w:val="000000" w:themeColor="text1"/>
          <w:lang w:val="en-IE"/>
        </w:rPr>
      </w:pPr>
      <w:r>
        <w:rPr>
          <w:rFonts w:eastAsia="Times New Roman"/>
          <w:noProof/>
          <w:color w:val="000000" w:themeColor="text1"/>
          <w:lang w:val="en-GB"/>
        </w:rPr>
        <w:t>We have identified</w:t>
      </w:r>
      <w:r>
        <w:rPr>
          <w:rFonts w:eastAsia="Times New Roman"/>
          <w:noProof/>
          <w:color w:val="000000" w:themeColor="text1"/>
          <w:lang w:val="en-GB"/>
        </w:rPr>
        <w:t xml:space="preserve"> </w:t>
      </w:r>
      <w:r>
        <w:rPr>
          <w:rFonts w:eastAsia="Times New Roman"/>
          <w:b/>
          <w:bCs/>
          <w:noProof/>
          <w:color w:val="000000" w:themeColor="text1"/>
          <w:lang w:val="en-GB"/>
        </w:rPr>
        <w:t>five challenges</w:t>
      </w:r>
      <w:r>
        <w:rPr>
          <w:rFonts w:eastAsia="Times New Roman"/>
          <w:noProof/>
          <w:color w:val="000000" w:themeColor="text1"/>
          <w:lang w:val="en-GB"/>
        </w:rPr>
        <w:t>:</w:t>
      </w:r>
    </w:p>
    <w:p w:rsidR="009C2369" w:rsidRDefault="009C2369">
      <w:pPr>
        <w:pStyle w:val="xmsonormal"/>
        <w:keepNext/>
        <w:rPr>
          <w:rFonts w:eastAsia="Times New Roman"/>
          <w:noProof/>
          <w:color w:val="000000" w:themeColor="text1"/>
          <w:lang w:val="en-IE"/>
        </w:rPr>
      </w:pPr>
    </w:p>
    <w:p w:rsidR="009C2369" w:rsidRDefault="00FC21F0">
      <w:pPr>
        <w:pStyle w:val="ListParagraph"/>
        <w:keepNext/>
        <w:numPr>
          <w:ilvl w:val="0"/>
          <w:numId w:val="51"/>
        </w:num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lang w:val="en-IE"/>
        </w:rPr>
        <w:t xml:space="preserve">First, despite a lot of </w:t>
      </w:r>
      <w:r>
        <w:rPr>
          <w:rFonts w:ascii="Times New Roman" w:hAnsi="Times New Roman" w:cs="Times New Roman"/>
          <w:noProof/>
          <w:sz w:val="24"/>
          <w:szCs w:val="24"/>
          <w:lang w:val="en-US"/>
        </w:rPr>
        <w:t>progress</w:t>
      </w:r>
      <w:r>
        <w:rPr>
          <w:rFonts w:ascii="Times New Roman" w:eastAsia="Times New Roman" w:hAnsi="Times New Roman" w:cs="Times New Roman"/>
          <w:noProof/>
          <w:color w:val="000000" w:themeColor="text1"/>
          <w:sz w:val="24"/>
          <w:szCs w:val="24"/>
          <w:lang w:val="en-IE"/>
        </w:rPr>
        <w:t xml:space="preserve">, part of the </w:t>
      </w:r>
      <w:r>
        <w:rPr>
          <w:rFonts w:ascii="Times New Roman" w:eastAsia="Times New Roman" w:hAnsi="Times New Roman" w:cs="Times New Roman"/>
          <w:b/>
          <w:bCs/>
          <w:noProof/>
          <w:color w:val="000000" w:themeColor="text1"/>
          <w:sz w:val="24"/>
          <w:szCs w:val="24"/>
          <w:lang w:val="en-IE"/>
        </w:rPr>
        <w:t>EU’s IP system remains too fragmented</w:t>
      </w:r>
      <w:r>
        <w:rPr>
          <w:rFonts w:ascii="Times New Roman" w:hAnsi="Times New Roman"/>
          <w:noProof/>
          <w:color w:val="000000" w:themeColor="text1"/>
          <w:sz w:val="24"/>
          <w:szCs w:val="24"/>
          <w:lang w:val="en-IE"/>
        </w:rPr>
        <w:t>,</w:t>
      </w:r>
      <w:r>
        <w:rPr>
          <w:rFonts w:ascii="Times New Roman" w:eastAsia="Times New Roman" w:hAnsi="Times New Roman" w:cs="Times New Roman"/>
          <w:noProof/>
          <w:color w:val="000000" w:themeColor="text1"/>
          <w:sz w:val="24"/>
          <w:szCs w:val="24"/>
          <w:lang w:val="en-IE"/>
        </w:rPr>
        <w:t xml:space="preserve"> </w:t>
      </w:r>
      <w:r>
        <w:rPr>
          <w:rFonts w:ascii="Times New Roman" w:hAnsi="Times New Roman"/>
          <w:noProof/>
          <w:color w:val="000000" w:themeColor="text1"/>
          <w:sz w:val="24"/>
          <w:szCs w:val="24"/>
          <w:lang w:val="en-IE"/>
        </w:rPr>
        <w:t>with procedures that are complex and costly and that sometimes lack clarity.</w:t>
      </w:r>
    </w:p>
    <w:p w:rsidR="009C2369" w:rsidRDefault="00FC21F0">
      <w:pPr>
        <w:pStyle w:val="xmsonormal"/>
        <w:spacing w:before="120" w:after="120"/>
        <w:jc w:val="both"/>
        <w:rPr>
          <w:rFonts w:eastAsia="Times New Roman"/>
          <w:noProof/>
          <w:color w:val="000000" w:themeColor="text1"/>
          <w:lang w:val="en-IE"/>
        </w:rPr>
      </w:pPr>
      <w:r>
        <w:rPr>
          <w:noProof/>
          <w:lang w:val="en-IE"/>
        </w:rPr>
        <w:t xml:space="preserve">European patents are subject to expensive national validation procedures and parallel litigation in multiple EU countries. For pharmaceuticals, protection through supplementary protection certificates (SPCs) is only available at national level. Design and </w:t>
      </w:r>
      <w:r>
        <w:rPr>
          <w:noProof/>
          <w:lang w:val="en-IE"/>
        </w:rPr>
        <w:t xml:space="preserve">geographical indication (GI) protection should be improved. </w:t>
      </w:r>
      <w:r>
        <w:rPr>
          <w:rFonts w:eastAsia="Times New Roman"/>
          <w:noProof/>
          <w:color w:val="000000" w:themeColor="text1"/>
          <w:lang w:val="en-IE"/>
        </w:rPr>
        <w:t xml:space="preserve">Where registration is necessary to protect one’s IPRs, one-stop shop procedures, offering the right coverage, should be the norm, not the exception. </w:t>
      </w:r>
    </w:p>
    <w:p w:rsidR="009C2369" w:rsidRDefault="00FC21F0">
      <w:pPr>
        <w:pStyle w:val="xmsonormal"/>
        <w:spacing w:before="120" w:after="240"/>
        <w:jc w:val="both"/>
        <w:rPr>
          <w:rFonts w:eastAsia="Times New Roman"/>
          <w:noProof/>
          <w:color w:val="000000" w:themeColor="text1"/>
          <w:lang w:val="en-IE"/>
        </w:rPr>
      </w:pPr>
      <w:r>
        <w:rPr>
          <w:rFonts w:eastAsia="Times New Roman"/>
          <w:noProof/>
          <w:color w:val="000000" w:themeColor="text1"/>
          <w:lang w:val="en-IE"/>
        </w:rPr>
        <w:t xml:space="preserve">As part of the digital transformation, </w:t>
      </w:r>
      <w:r>
        <w:rPr>
          <w:noProof/>
          <w:lang w:val="en-IE"/>
        </w:rPr>
        <w:t>well-ca</w:t>
      </w:r>
      <w:r>
        <w:rPr>
          <w:noProof/>
          <w:lang w:val="en-IE"/>
        </w:rPr>
        <w:t>librated protection of designs in the digital environment becomes even more pressing. For instance to ensure a smooth uptake of 3D printing technologies, we need clarity on the protection of 3D printing files and on the limitations for the private use of d</w:t>
      </w:r>
      <w:r>
        <w:rPr>
          <w:noProof/>
          <w:lang w:val="en-IE"/>
        </w:rPr>
        <w:t>esigns. We need clear answers to new questions, such as how to protect inventions developed or implemented using AI,</w:t>
      </w:r>
      <w:r>
        <w:rPr>
          <w:rStyle w:val="FootnoteReference"/>
          <w:noProof/>
          <w:lang w:val="en-IE"/>
        </w:rPr>
        <w:footnoteReference w:id="13"/>
      </w:r>
      <w:r>
        <w:rPr>
          <w:noProof/>
          <w:lang w:val="en-IE"/>
        </w:rPr>
        <w:t xml:space="preserve"> and how to ensure that </w:t>
      </w:r>
      <w:r>
        <w:rPr>
          <w:rFonts w:eastAsia="Times New Roman"/>
          <w:noProof/>
          <w:color w:val="000000" w:themeColor="text1"/>
          <w:lang w:val="en-IE"/>
        </w:rPr>
        <w:lastRenderedPageBreak/>
        <w:t>repair and re-use are not blocked by unfair or excessively restrictive IP practices</w:t>
      </w:r>
      <w:r>
        <w:rPr>
          <w:rStyle w:val="FootnoteReference"/>
          <w:rFonts w:eastAsia="Times New Roman"/>
          <w:noProof/>
          <w:color w:val="000000" w:themeColor="text1"/>
        </w:rPr>
        <w:footnoteReference w:id="14"/>
      </w:r>
      <w:r>
        <w:rPr>
          <w:rFonts w:eastAsia="Times New Roman"/>
          <w:noProof/>
          <w:color w:val="000000" w:themeColor="text1"/>
          <w:lang w:val="en-IE"/>
        </w:rPr>
        <w:t xml:space="preserve">. </w:t>
      </w:r>
      <w:r>
        <w:rPr>
          <w:noProof/>
          <w:lang w:val="en-IE"/>
        </w:rPr>
        <w:t xml:space="preserve">At the same time, we need to </w:t>
      </w:r>
      <w:r>
        <w:rPr>
          <w:noProof/>
          <w:lang w:val="en-IE"/>
        </w:rPr>
        <w:t>make more of the potential offered by new technologies such as AI and blockchain to increase the effectiveness of our IP systems.</w:t>
      </w:r>
      <w:r>
        <w:rPr>
          <w:rFonts w:eastAsia="Times New Roman"/>
          <w:noProof/>
          <w:color w:val="000000" w:themeColor="text1"/>
          <w:lang w:val="en-IE"/>
        </w:rPr>
        <w:t xml:space="preserve"> </w:t>
      </w:r>
    </w:p>
    <w:p w:rsidR="009C2369" w:rsidRDefault="00FC21F0">
      <w:pPr>
        <w:pStyle w:val="ListParagraph"/>
        <w:keepNext/>
        <w:numPr>
          <w:ilvl w:val="0"/>
          <w:numId w:val="5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Second, too many companies, </w:t>
      </w:r>
      <w:r>
        <w:rPr>
          <w:rFonts w:ascii="Times New Roman" w:hAnsi="Times New Roman" w:cs="Times New Roman"/>
          <w:b/>
          <w:bCs/>
          <w:noProof/>
          <w:sz w:val="24"/>
          <w:szCs w:val="24"/>
          <w:lang w:val="en-US"/>
        </w:rPr>
        <w:t>in particular SMEs,</w:t>
      </w:r>
      <w:r>
        <w:rPr>
          <w:rFonts w:ascii="Times New Roman" w:hAnsi="Times New Roman" w:cs="Times New Roman"/>
          <w:noProof/>
          <w:sz w:val="24"/>
          <w:szCs w:val="24"/>
          <w:lang w:val="en-US"/>
        </w:rPr>
        <w:t xml:space="preserve"> and too many researchers </w:t>
      </w:r>
      <w:r>
        <w:rPr>
          <w:rFonts w:ascii="Times New Roman" w:hAnsi="Times New Roman"/>
          <w:b/>
          <w:bCs/>
          <w:noProof/>
          <w:sz w:val="24"/>
          <w:szCs w:val="24"/>
          <w:lang w:val="en-US"/>
        </w:rPr>
        <w:t xml:space="preserve">do not make full use of the opportunities </w:t>
      </w:r>
      <w:r>
        <w:rPr>
          <w:rFonts w:ascii="Times New Roman" w:hAnsi="Times New Roman" w:cs="Times New Roman"/>
          <w:noProof/>
          <w:sz w:val="24"/>
          <w:szCs w:val="24"/>
          <w:lang w:val="en-US"/>
        </w:rPr>
        <w:t>offered by</w:t>
      </w:r>
      <w:r>
        <w:rPr>
          <w:rFonts w:ascii="Times New Roman" w:hAnsi="Times New Roman" w:cs="Times New Roman"/>
          <w:noProof/>
          <w:sz w:val="24"/>
          <w:szCs w:val="24"/>
          <w:lang w:val="en-US"/>
        </w:rPr>
        <w:t xml:space="preserve"> IP protection.</w:t>
      </w:r>
    </w:p>
    <w:p w:rsidR="009C2369" w:rsidRDefault="00FC21F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Only 9% of EU SMEs have registered IP rights. In the current crisis, IP registration numbers have dropped, to the detriment of companies’ competitiveness and resilience. Recent analysis shows that SMEs’ reluctance to use IP rights is largel</w:t>
      </w:r>
      <w:r>
        <w:rPr>
          <w:rFonts w:ascii="Times New Roman" w:hAnsi="Times New Roman" w:cs="Times New Roman"/>
          <w:noProof/>
          <w:sz w:val="24"/>
          <w:szCs w:val="24"/>
        </w:rPr>
        <w:t>y due to lack of knowledge about IP</w:t>
      </w:r>
      <w:r>
        <w:rPr>
          <w:rFonts w:ascii="Times New Roman" w:hAnsi="Times New Roman" w:cs="Times New Roman"/>
          <w:noProof/>
          <w:sz w:val="24"/>
          <w:szCs w:val="24"/>
          <w:vertAlign w:val="superscript"/>
        </w:rPr>
        <w:footnoteReference w:id="15"/>
      </w:r>
      <w:r>
        <w:rPr>
          <w:rFonts w:ascii="Times New Roman" w:hAnsi="Times New Roman" w:cs="Times New Roman"/>
          <w:noProof/>
          <w:sz w:val="24"/>
          <w:szCs w:val="24"/>
        </w:rPr>
        <w:t xml:space="preserve">. Even if they use IPRs, they find the system too costly, complex and difficult to navigate. </w:t>
      </w:r>
    </w:p>
    <w:p w:rsidR="009C2369" w:rsidRDefault="00FC21F0">
      <w:pPr>
        <w:spacing w:before="6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 low levels of protection of their IP, SMEs are not taking full advantage of its commercial exploitation. Fi</w:t>
      </w:r>
      <w:r>
        <w:rPr>
          <w:rFonts w:ascii="Times New Roman" w:hAnsi="Times New Roman" w:cs="Times New Roman"/>
          <w:noProof/>
          <w:sz w:val="24"/>
          <w:szCs w:val="24"/>
        </w:rPr>
        <w:t>nancial analysts and</w:t>
      </w:r>
      <w:r>
        <w:rPr>
          <w:noProof/>
        </w:rPr>
        <w:t xml:space="preserve"> </w:t>
      </w:r>
      <w:r>
        <w:rPr>
          <w:rFonts w:ascii="Times New Roman" w:hAnsi="Times New Roman" w:cs="Times New Roman"/>
          <w:noProof/>
          <w:sz w:val="24"/>
          <w:szCs w:val="24"/>
        </w:rPr>
        <w:t>investors recognise IP as a key asset in the value of a firm and as an indicator of its technological and growth capabilities. Nevertheless, knowledge-intensive SMEs seeking to finance their operations often do not adopt appropriate IP</w:t>
      </w:r>
      <w:r>
        <w:rPr>
          <w:rFonts w:ascii="Times New Roman" w:hAnsi="Times New Roman" w:cs="Times New Roman"/>
          <w:noProof/>
          <w:sz w:val="24"/>
          <w:szCs w:val="24"/>
        </w:rPr>
        <w:t xml:space="preserve"> strategies that would help valorise their intangible capital. For the financial sector, the valuation of a patent or trade mark is crucial; as the lender or investor is mainly interested in fungible collaterals</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xml:space="preserve"> and less attracted by the monopoly right it</w:t>
      </w:r>
      <w:r>
        <w:rPr>
          <w:rFonts w:ascii="Times New Roman" w:hAnsi="Times New Roman" w:cs="Times New Roman"/>
          <w:noProof/>
          <w:sz w:val="24"/>
          <w:szCs w:val="24"/>
        </w:rPr>
        <w:t xml:space="preserve">self. </w:t>
      </w:r>
    </w:p>
    <w:p w:rsidR="009C2369" w:rsidRDefault="00FC21F0">
      <w:pPr>
        <w:spacing w:after="24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rPr>
        <w:t xml:space="preserve">Sound IP management is also needed to support the valorisation and deployment of R&amp;D results in Europe. </w:t>
      </w:r>
      <w:r>
        <w:rPr>
          <w:rFonts w:ascii="Times New Roman" w:hAnsi="Times New Roman" w:cs="Times New Roman"/>
          <w:noProof/>
          <w:sz w:val="24"/>
          <w:szCs w:val="24"/>
          <w:lang w:val="en-IE"/>
        </w:rPr>
        <w:t>For example, although 26% of high-value research publications on AI  comes from Europe, only 4 out of the top 30 applicants (13%) and 7% of busin</w:t>
      </w:r>
      <w:r>
        <w:rPr>
          <w:rFonts w:ascii="Times New Roman" w:hAnsi="Times New Roman" w:cs="Times New Roman"/>
          <w:noProof/>
          <w:sz w:val="24"/>
          <w:szCs w:val="24"/>
          <w:lang w:val="en-IE"/>
        </w:rPr>
        <w:t>esses, engaged in AI patenting worldwide, are European</w:t>
      </w:r>
      <w:r>
        <w:rPr>
          <w:rFonts w:ascii="Times New Roman" w:hAnsi="Times New Roman" w:cs="Times New Roman"/>
          <w:noProof/>
          <w:sz w:val="24"/>
          <w:szCs w:val="24"/>
          <w:vertAlign w:val="superscript"/>
          <w:lang w:val="en-IE"/>
        </w:rPr>
        <w:footnoteReference w:id="17"/>
      </w:r>
      <w:r>
        <w:rPr>
          <w:rFonts w:ascii="Times New Roman" w:hAnsi="Times New Roman" w:cs="Times New Roman"/>
          <w:noProof/>
          <w:sz w:val="24"/>
          <w:szCs w:val="24"/>
          <w:lang w:val="en-IE"/>
        </w:rPr>
        <w:t xml:space="preserve">.  </w:t>
      </w:r>
    </w:p>
    <w:p w:rsidR="009C2369" w:rsidRDefault="00FC21F0">
      <w:pPr>
        <w:pStyle w:val="ListParagraph"/>
        <w:keepNext/>
        <w:numPr>
          <w:ilvl w:val="0"/>
          <w:numId w:val="51"/>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Third, </w:t>
      </w:r>
      <w:r>
        <w:rPr>
          <w:rFonts w:ascii="Times New Roman" w:hAnsi="Times New Roman" w:cs="Times New Roman"/>
          <w:b/>
          <w:bCs/>
          <w:noProof/>
          <w:sz w:val="24"/>
          <w:szCs w:val="24"/>
          <w:lang w:val="en-US"/>
        </w:rPr>
        <w:t>tools to</w:t>
      </w:r>
      <w:r>
        <w:rPr>
          <w:rFonts w:ascii="Times New Roman" w:hAnsi="Times New Roman" w:cs="Times New Roman"/>
          <w:noProof/>
          <w:sz w:val="24"/>
          <w:szCs w:val="24"/>
          <w:lang w:val="en-US"/>
        </w:rPr>
        <w:t xml:space="preserve"> </w:t>
      </w:r>
      <w:r>
        <w:rPr>
          <w:rFonts w:ascii="Times New Roman" w:hAnsi="Times New Roman" w:cs="Times New Roman"/>
          <w:b/>
          <w:noProof/>
          <w:sz w:val="24"/>
          <w:szCs w:val="24"/>
          <w:lang w:val="en-US"/>
        </w:rPr>
        <w:t>facilitate access to</w:t>
      </w:r>
      <w:r>
        <w:rPr>
          <w:rFonts w:ascii="Times New Roman" w:hAnsi="Times New Roman" w:cs="Times New Roman"/>
          <w:noProof/>
          <w:sz w:val="24"/>
          <w:szCs w:val="24"/>
          <w:lang w:val="en-US"/>
        </w:rPr>
        <w:t xml:space="preserve"> </w:t>
      </w:r>
      <w:r>
        <w:rPr>
          <w:rFonts w:ascii="Times New Roman" w:hAnsi="Times New Roman" w:cs="Times New Roman"/>
          <w:b/>
          <w:bCs/>
          <w:noProof/>
          <w:sz w:val="24"/>
          <w:szCs w:val="24"/>
          <w:lang w:val="en-US"/>
        </w:rPr>
        <w:t xml:space="preserve">IP </w:t>
      </w:r>
      <w:r>
        <w:rPr>
          <w:rFonts w:ascii="Times New Roman" w:hAnsi="Times New Roman" w:cs="Times New Roman"/>
          <w:noProof/>
          <w:sz w:val="24"/>
          <w:szCs w:val="24"/>
          <w:lang w:val="en-US"/>
        </w:rPr>
        <w:t xml:space="preserve">(and therefore allow the take up and diffusion of technologies) </w:t>
      </w:r>
      <w:r>
        <w:rPr>
          <w:rFonts w:ascii="Times New Roman" w:hAnsi="Times New Roman" w:cs="Times New Roman"/>
          <w:b/>
          <w:bCs/>
          <w:noProof/>
          <w:sz w:val="24"/>
          <w:szCs w:val="24"/>
          <w:lang w:val="en-US"/>
        </w:rPr>
        <w:t>are insufficiently developed</w:t>
      </w:r>
      <w:r>
        <w:rPr>
          <w:rFonts w:ascii="Times New Roman" w:hAnsi="Times New Roman" w:cs="Times New Roman"/>
          <w:noProof/>
          <w:sz w:val="24"/>
          <w:szCs w:val="24"/>
          <w:lang w:val="en-US"/>
        </w:rPr>
        <w:t>.</w:t>
      </w:r>
    </w:p>
    <w:p w:rsidR="009C2369" w:rsidRDefault="00FC21F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COVID-19 crisis illustrated our dependence on critical inno</w:t>
      </w:r>
      <w:r>
        <w:rPr>
          <w:rFonts w:ascii="Times New Roman" w:hAnsi="Times New Roman" w:cs="Times New Roman"/>
          <w:noProof/>
          <w:sz w:val="24"/>
          <w:szCs w:val="24"/>
        </w:rPr>
        <w:t xml:space="preserve">vations and technologies, particularly in the health sector. The EU should </w:t>
      </w:r>
      <w:r>
        <w:rPr>
          <w:rFonts w:ascii="Times New Roman" w:hAnsi="Times New Roman" w:cs="Times New Roman"/>
          <w:bCs/>
          <w:noProof/>
          <w:sz w:val="24"/>
          <w:szCs w:val="24"/>
        </w:rPr>
        <w:t>further enhance its</w:t>
      </w:r>
      <w:r>
        <w:rPr>
          <w:rFonts w:ascii="Times New Roman" w:hAnsi="Times New Roman"/>
          <w:b/>
          <w:noProof/>
          <w:sz w:val="24"/>
        </w:rPr>
        <w:t xml:space="preserve"> </w:t>
      </w:r>
      <w:r>
        <w:rPr>
          <w:rFonts w:ascii="Times New Roman" w:hAnsi="Times New Roman" w:cs="Times New Roman"/>
          <w:noProof/>
          <w:sz w:val="24"/>
          <w:szCs w:val="24"/>
        </w:rPr>
        <w:t xml:space="preserve">tools to make such innovations and technologies available, where needed, whilst ensuring a fair return on investment. </w:t>
      </w:r>
    </w:p>
    <w:p w:rsidR="009C2369" w:rsidRDefault="00FC21F0">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licensing of standard-essential patent</w:t>
      </w:r>
      <w:r>
        <w:rPr>
          <w:rFonts w:ascii="Times New Roman" w:hAnsi="Times New Roman" w:cs="Times New Roman"/>
          <w:noProof/>
          <w:sz w:val="24"/>
          <w:szCs w:val="24"/>
        </w:rPr>
        <w:t>s (SEPs) is often a cumbersome and costly exercise for both patent holders and technology implementers. Given the growing importance of SEPs (for instance, there are over 95 000 unique patents and patent applications supporting 5G</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there is a need for a much clearer and more predictable framework, incentivising good faith negotiations rather than recourse to litigations. </w:t>
      </w:r>
    </w:p>
    <w:p w:rsidR="009C2369" w:rsidRDefault="00FC21F0">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data sharing is gaining importance in many sectors, the implications of the IP framework for data sha</w:t>
      </w:r>
      <w:r>
        <w:rPr>
          <w:rFonts w:ascii="Times New Roman" w:hAnsi="Times New Roman" w:cs="Times New Roman"/>
          <w:noProof/>
          <w:sz w:val="24"/>
          <w:szCs w:val="24"/>
        </w:rPr>
        <w:t xml:space="preserve">ring remain to be clarified. </w:t>
      </w:r>
    </w:p>
    <w:p w:rsidR="009C2369" w:rsidRDefault="00FC21F0">
      <w:pPr>
        <w:pStyle w:val="xmsonormal"/>
        <w:keepNext/>
        <w:numPr>
          <w:ilvl w:val="0"/>
          <w:numId w:val="51"/>
        </w:numPr>
        <w:spacing w:before="120" w:after="120"/>
        <w:jc w:val="both"/>
        <w:rPr>
          <w:noProof/>
          <w:lang w:val="en-US"/>
        </w:rPr>
      </w:pPr>
      <w:r>
        <w:rPr>
          <w:noProof/>
          <w:lang w:val="en-GB"/>
        </w:rPr>
        <w:t xml:space="preserve">Fourth, in </w:t>
      </w:r>
      <w:r>
        <w:rPr>
          <w:noProof/>
          <w:lang w:val="en-US"/>
        </w:rPr>
        <w:t>spite</w:t>
      </w:r>
      <w:r>
        <w:rPr>
          <w:noProof/>
          <w:lang w:val="en-GB"/>
        </w:rPr>
        <w:t xml:space="preserve"> of continued efforts to turn the tide, </w:t>
      </w:r>
      <w:r>
        <w:rPr>
          <w:b/>
          <w:bCs/>
          <w:noProof/>
          <w:lang w:val="en-GB"/>
        </w:rPr>
        <w:t>counterfeiting and piracy are still thriving</w:t>
      </w:r>
      <w:r>
        <w:rPr>
          <w:noProof/>
          <w:lang w:val="en-GB"/>
        </w:rPr>
        <w:t>, including by taking advantage of digital technologies.</w:t>
      </w:r>
    </w:p>
    <w:p w:rsidR="009C2369" w:rsidRDefault="00FC21F0">
      <w:pPr>
        <w:pStyle w:val="xmsonormal"/>
        <w:spacing w:before="120" w:after="240"/>
        <w:jc w:val="both"/>
        <w:rPr>
          <w:noProof/>
          <w:lang w:val="en-GB"/>
        </w:rPr>
      </w:pPr>
      <w:r>
        <w:rPr>
          <w:noProof/>
          <w:lang w:val="en-US"/>
        </w:rPr>
        <w:t xml:space="preserve">Imports of counterfeit and pirated goods into the EU amount to as </w:t>
      </w:r>
      <w:r>
        <w:rPr>
          <w:noProof/>
          <w:lang w:val="en-US"/>
        </w:rPr>
        <w:t>much as EUR 121 billion, representing up to 6.8% of EU imports in 2016 (against 5% of EU imports in 2013)</w:t>
      </w:r>
      <w:r>
        <w:rPr>
          <w:noProof/>
          <w:vertAlign w:val="superscript"/>
        </w:rPr>
        <w:footnoteReference w:id="19"/>
      </w:r>
      <w:r>
        <w:rPr>
          <w:noProof/>
          <w:lang w:val="en-US"/>
        </w:rPr>
        <w:t xml:space="preserve">. </w:t>
      </w:r>
      <w:r>
        <w:rPr>
          <w:noProof/>
          <w:lang w:val="en-US"/>
        </w:rPr>
        <w:lastRenderedPageBreak/>
        <w:t xml:space="preserve">Annually, this results in direct lost sales of EUR 50 billion and direct employment losses of </w:t>
      </w:r>
      <w:r>
        <w:rPr>
          <w:rFonts w:eastAsia="Times New Roman"/>
          <w:noProof/>
          <w:color w:val="000000" w:themeColor="text1"/>
          <w:lang w:val="en-US"/>
        </w:rPr>
        <w:t>416 000 jobs</w:t>
      </w:r>
      <w:r>
        <w:rPr>
          <w:noProof/>
          <w:vertAlign w:val="superscript"/>
        </w:rPr>
        <w:footnoteReference w:id="20"/>
      </w:r>
      <w:r>
        <w:rPr>
          <w:noProof/>
          <w:lang w:val="en-US"/>
        </w:rPr>
        <w:t xml:space="preserve">. </w:t>
      </w:r>
      <w:r>
        <w:rPr>
          <w:noProof/>
          <w:lang w:val="en-GB"/>
        </w:rPr>
        <w:t xml:space="preserve"> </w:t>
      </w:r>
      <w:r>
        <w:rPr>
          <w:noProof/>
          <w:lang w:val="en-US"/>
        </w:rPr>
        <w:t xml:space="preserve">Cyber theft of trade secrets accounts </w:t>
      </w:r>
      <w:r>
        <w:rPr>
          <w:noProof/>
          <w:lang w:val="en-US"/>
        </w:rPr>
        <w:t>for an estimated EUR 60 billion of losses in the EU</w:t>
      </w:r>
      <w:r>
        <w:rPr>
          <w:noProof/>
          <w:vertAlign w:val="superscript"/>
        </w:rPr>
        <w:footnoteReference w:id="21"/>
      </w:r>
      <w:r>
        <w:rPr>
          <w:noProof/>
          <w:lang w:val="en-US"/>
        </w:rPr>
        <w:t xml:space="preserve">. </w:t>
      </w:r>
    </w:p>
    <w:p w:rsidR="009C2369" w:rsidRDefault="00FC21F0">
      <w:pPr>
        <w:pStyle w:val="xmsonormal"/>
        <w:keepNext/>
        <w:numPr>
          <w:ilvl w:val="0"/>
          <w:numId w:val="52"/>
        </w:numPr>
        <w:spacing w:before="120" w:after="120"/>
        <w:jc w:val="both"/>
        <w:rPr>
          <w:noProof/>
          <w:lang w:val="en-IE"/>
        </w:rPr>
      </w:pPr>
      <w:r>
        <w:rPr>
          <w:noProof/>
          <w:lang w:val="en-US"/>
        </w:rPr>
        <w:t>Finally</w:t>
      </w:r>
      <w:r>
        <w:rPr>
          <w:noProof/>
          <w:lang w:val="en-IE"/>
        </w:rPr>
        <w:t xml:space="preserve">, there is </w:t>
      </w:r>
      <w:r>
        <w:rPr>
          <w:b/>
          <w:noProof/>
          <w:lang w:val="en-IE"/>
        </w:rPr>
        <w:t xml:space="preserve">lack of </w:t>
      </w:r>
      <w:r>
        <w:rPr>
          <w:b/>
          <w:bCs/>
          <w:noProof/>
          <w:lang w:val="en-IE"/>
        </w:rPr>
        <w:t>fair play at global level</w:t>
      </w:r>
      <w:r>
        <w:rPr>
          <w:noProof/>
          <w:lang w:val="en-IE"/>
        </w:rPr>
        <w:t xml:space="preserve"> and EU businesses often lose out when operating abroad. </w:t>
      </w:r>
    </w:p>
    <w:p w:rsidR="009C2369" w:rsidRDefault="00FC21F0">
      <w:pPr>
        <w:pStyle w:val="xmsonormal"/>
        <w:spacing w:before="120" w:after="120"/>
        <w:jc w:val="both"/>
        <w:rPr>
          <w:noProof/>
          <w:lang w:val="en-IE"/>
        </w:rPr>
      </w:pPr>
      <w:r>
        <w:rPr>
          <w:noProof/>
          <w:lang w:val="en-IE"/>
        </w:rPr>
        <w:t xml:space="preserve">Certain non-EU countries do not sufficiently protect IP, often to the harm of EU companies. </w:t>
      </w:r>
      <w:r>
        <w:rPr>
          <w:b/>
          <w:bCs/>
          <w:noProof/>
          <w:lang w:val="en-IE"/>
        </w:rPr>
        <w:t>The EU must harness its potential to act as a global norm-setter.</w:t>
      </w:r>
      <w:r>
        <w:rPr>
          <w:noProof/>
          <w:lang w:val="en-IE"/>
        </w:rPr>
        <w:t xml:space="preserve"> It must step up efforts to fight abusive practices, such as bad-faith IP-registrations and other misappropriations of IP. Above all, it should lead by example: develop state-of-the art regul</w:t>
      </w:r>
      <w:r>
        <w:rPr>
          <w:noProof/>
          <w:lang w:val="en-IE"/>
        </w:rPr>
        <w:t xml:space="preserve">atory solutions to global issues such as the licensing of SEPs or the way data can be shared.  </w:t>
      </w:r>
    </w:p>
    <w:p w:rsidR="009C2369" w:rsidRDefault="00FC21F0">
      <w:pPr>
        <w:pStyle w:val="xmsonormal"/>
        <w:spacing w:before="120" w:after="120"/>
        <w:jc w:val="both"/>
        <w:rPr>
          <w:noProof/>
          <w:color w:val="000000" w:themeColor="text1"/>
          <w:lang w:val="en-GB"/>
        </w:rPr>
      </w:pPr>
      <w:r>
        <w:rPr>
          <w:noProof/>
          <w:color w:val="000000" w:themeColor="text1"/>
          <w:lang w:val="en-GB"/>
        </w:rPr>
        <w:t>In response to these five challenges, and building on input provided by Member States and stakeholders</w:t>
      </w:r>
      <w:r>
        <w:rPr>
          <w:rStyle w:val="FootnoteReference"/>
          <w:noProof/>
          <w:color w:val="000000" w:themeColor="text1"/>
        </w:rPr>
        <w:footnoteReference w:id="22"/>
      </w:r>
      <w:r>
        <w:rPr>
          <w:noProof/>
          <w:color w:val="000000" w:themeColor="text1"/>
          <w:lang w:val="en-GB"/>
        </w:rPr>
        <w:t xml:space="preserve">, this action plan identifies </w:t>
      </w:r>
      <w:r>
        <w:rPr>
          <w:b/>
          <w:bCs/>
          <w:noProof/>
          <w:color w:val="000000" w:themeColor="text1"/>
          <w:lang w:val="en-GB"/>
        </w:rPr>
        <w:t xml:space="preserve">five key focus areas, </w:t>
      </w:r>
      <w:r>
        <w:rPr>
          <w:noProof/>
          <w:color w:val="000000" w:themeColor="text1"/>
          <w:lang w:val="en-GB"/>
        </w:rPr>
        <w:t xml:space="preserve">with </w:t>
      </w:r>
      <w:r>
        <w:rPr>
          <w:noProof/>
          <w:color w:val="000000" w:themeColor="text1"/>
          <w:lang w:val="en-GB"/>
        </w:rPr>
        <w:t>specific proposals for action to:</w:t>
      </w:r>
    </w:p>
    <w:p w:rsidR="009C2369" w:rsidRDefault="00FC21F0">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upgrade the system for IP protection,</w:t>
      </w:r>
    </w:p>
    <w:p w:rsidR="009C2369" w:rsidRDefault="00FC21F0">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incentivise the use and deployment of IP, notably by SMEs, </w:t>
      </w:r>
    </w:p>
    <w:p w:rsidR="009C2369" w:rsidRDefault="00FC21F0">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facilitate access to and sharing of intangible assets while guaranteeing a fair return on investment,</w:t>
      </w:r>
    </w:p>
    <w:p w:rsidR="009C2369" w:rsidRDefault="00FC21F0">
      <w:pPr>
        <w:pStyle w:val="ListParagraph"/>
        <w:numPr>
          <w:ilvl w:val="0"/>
          <w:numId w:val="1"/>
        </w:numPr>
        <w:spacing w:after="12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ensure better IP enfor</w:t>
      </w:r>
      <w:r>
        <w:rPr>
          <w:rFonts w:ascii="Times New Roman" w:eastAsia="Times New Roman" w:hAnsi="Times New Roman" w:cs="Times New Roman"/>
          <w:noProof/>
          <w:color w:val="000000" w:themeColor="text1"/>
          <w:sz w:val="24"/>
          <w:szCs w:val="24"/>
        </w:rPr>
        <w:t>cement, and</w:t>
      </w:r>
    </w:p>
    <w:p w:rsidR="009C2369" w:rsidRDefault="00FC21F0">
      <w:pPr>
        <w:pStyle w:val="ListParagraph"/>
        <w:numPr>
          <w:ilvl w:val="0"/>
          <w:numId w:val="1"/>
        </w:numPr>
        <w:spacing w:before="120" w:after="360" w:line="240" w:lineRule="auto"/>
        <w:ind w:left="714" w:hanging="357"/>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improve fair play at global level. </w:t>
      </w:r>
    </w:p>
    <w:p w:rsidR="009C2369" w:rsidRDefault="00FC21F0">
      <w:pPr>
        <w:pStyle w:val="Heading2"/>
        <w:numPr>
          <w:ilvl w:val="0"/>
          <w:numId w:val="7"/>
        </w:numPr>
        <w:spacing w:before="240" w:after="120" w:line="240" w:lineRule="auto"/>
        <w:ind w:left="357" w:hanging="357"/>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smallCaps/>
          <w:noProof/>
          <w:color w:val="000000" w:themeColor="text1"/>
          <w:sz w:val="28"/>
          <w:szCs w:val="28"/>
        </w:rPr>
        <w:t xml:space="preserve">Better protection of IP </w:t>
      </w:r>
      <w:r>
        <w:rPr>
          <w:rFonts w:ascii="Times New Roman" w:hAnsi="Times New Roman" w:cs="Times New Roman"/>
          <w:b/>
          <w:noProof/>
          <w:color w:val="auto"/>
          <w:sz w:val="24"/>
          <w:szCs w:val="24"/>
        </w:rPr>
        <w:tab/>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A first priority is to </w:t>
      </w:r>
      <w:r>
        <w:rPr>
          <w:rFonts w:ascii="Times New Roman" w:eastAsia="Times New Roman" w:hAnsi="Times New Roman" w:cs="Times New Roman"/>
          <w:b/>
          <w:bCs/>
          <w:noProof/>
          <w:color w:val="000000" w:themeColor="text1"/>
          <w:sz w:val="24"/>
          <w:szCs w:val="24"/>
        </w:rPr>
        <w:t>ensure that EU innovators have access to fast, effective and affordable protection tools.</w:t>
      </w:r>
      <w:r>
        <w:rPr>
          <w:rFonts w:ascii="Times New Roman" w:eastAsia="Times New Roman" w:hAnsi="Times New Roman" w:cs="Times New Roman"/>
          <w:noProof/>
          <w:color w:val="000000" w:themeColor="text1"/>
          <w:sz w:val="24"/>
          <w:szCs w:val="24"/>
        </w:rPr>
        <w:t xml:space="preserve"> To this end, we need to go for the extra mile to address the remainin</w:t>
      </w:r>
      <w:r>
        <w:rPr>
          <w:rFonts w:ascii="Times New Roman" w:eastAsia="Times New Roman" w:hAnsi="Times New Roman" w:cs="Times New Roman"/>
          <w:noProof/>
          <w:color w:val="000000" w:themeColor="text1"/>
          <w:sz w:val="24"/>
          <w:szCs w:val="24"/>
        </w:rPr>
        <w:t xml:space="preserve">g fragmentation and reduce complexity. We must also make sure that our rulebook is fully in line with the needs of the new green and digital economy.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 xml:space="preserve">To make this happen, we need to secure the </w:t>
      </w:r>
      <w:r>
        <w:rPr>
          <w:rFonts w:ascii="Times New Roman" w:eastAsia="Times New Roman" w:hAnsi="Times New Roman" w:cs="Times New Roman"/>
          <w:b/>
          <w:bCs/>
          <w:noProof/>
          <w:color w:val="000000" w:themeColor="text1"/>
          <w:sz w:val="24"/>
          <w:szCs w:val="24"/>
        </w:rPr>
        <w:t>launch of the unitary patent system</w:t>
      </w:r>
      <w:r>
        <w:rPr>
          <w:rFonts w:ascii="Times New Roman" w:eastAsia="Times New Roman" w:hAnsi="Times New Roman" w:cs="Times New Roman"/>
          <w:noProof/>
          <w:color w:val="000000" w:themeColor="text1"/>
          <w:sz w:val="24"/>
          <w:szCs w:val="24"/>
        </w:rPr>
        <w:t>. This</w:t>
      </w:r>
      <w:r>
        <w:rPr>
          <w:rFonts w:ascii="Times New Roman" w:eastAsia="Times New Roman" w:hAnsi="Times New Roman" w:cs="Times New Roman"/>
          <w:noProof/>
          <w:color w:val="000000" w:themeColor="text1"/>
          <w:sz w:val="24"/>
          <w:szCs w:val="24"/>
          <w:lang w:val="en-IE"/>
        </w:rPr>
        <w:t xml:space="preserve"> will create a one-st</w:t>
      </w:r>
      <w:r>
        <w:rPr>
          <w:rFonts w:ascii="Times New Roman" w:eastAsia="Times New Roman" w:hAnsi="Times New Roman" w:cs="Times New Roman"/>
          <w:noProof/>
          <w:color w:val="000000" w:themeColor="text1"/>
          <w:sz w:val="24"/>
          <w:szCs w:val="24"/>
          <w:lang w:val="en-IE"/>
        </w:rPr>
        <w:t>op shop for businesses, considerably simplifying patenting in the EU, boosting transparency and facilitating licensing. Obtaining a unitary patent (covering up to 25 Member States)</w:t>
      </w:r>
      <w:r>
        <w:rPr>
          <w:rStyle w:val="FootnoteReference"/>
          <w:rFonts w:ascii="Times New Roman" w:eastAsia="Times New Roman" w:hAnsi="Times New Roman" w:cs="Times New Roman"/>
          <w:noProof/>
          <w:color w:val="000000" w:themeColor="text1"/>
          <w:sz w:val="24"/>
          <w:szCs w:val="24"/>
          <w:lang w:val="en-IE"/>
        </w:rPr>
        <w:footnoteReference w:id="23"/>
      </w:r>
      <w:r>
        <w:rPr>
          <w:rFonts w:ascii="Times New Roman" w:eastAsia="Times New Roman" w:hAnsi="Times New Roman" w:cs="Times New Roman"/>
          <w:noProof/>
          <w:color w:val="000000" w:themeColor="text1"/>
          <w:sz w:val="24"/>
          <w:szCs w:val="24"/>
          <w:lang w:val="en-IE"/>
        </w:rPr>
        <w:t xml:space="preserve"> and maintaining it for a typical duration will cost around EUR 10 000, about six times less than obtaining and maintaining equivalent protection today. In addition, centralised litigation before the new Unified Patent Court will improve legal certainty an</w:t>
      </w:r>
      <w:r>
        <w:rPr>
          <w:rFonts w:ascii="Times New Roman" w:eastAsia="Times New Roman" w:hAnsi="Times New Roman" w:cs="Times New Roman"/>
          <w:noProof/>
          <w:color w:val="000000" w:themeColor="text1"/>
          <w:sz w:val="24"/>
          <w:szCs w:val="24"/>
          <w:lang w:val="en-IE"/>
        </w:rPr>
        <w:t>d avoid parallel proceedings in multiple Member States, considerably reducing litigation costs. The unitary patent system will thus be a key tool for the EU's industrial recovery, especially for the renewable energy, electronics, aerospace and defence, and</w:t>
      </w:r>
      <w:r>
        <w:rPr>
          <w:rFonts w:ascii="Times New Roman" w:eastAsia="Times New Roman" w:hAnsi="Times New Roman" w:cs="Times New Roman"/>
          <w:noProof/>
          <w:color w:val="000000" w:themeColor="text1"/>
          <w:sz w:val="24"/>
          <w:szCs w:val="24"/>
          <w:lang w:val="en-IE"/>
        </w:rPr>
        <w:t xml:space="preserve"> mobility ecosystems.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val="en-IE"/>
        </w:rPr>
        <w:t>The main missing step in ensuring the launch of the unitary patent system is Germany's ratification of the Unified Patent Court Agreement, now made possible as a result of a recent decision of the German Constitutional Court</w:t>
      </w:r>
      <w:r>
        <w:rPr>
          <w:rStyle w:val="FootnoteReference"/>
          <w:rFonts w:ascii="Times New Roman" w:eastAsia="Times New Roman" w:hAnsi="Times New Roman" w:cs="Times New Roman"/>
          <w:noProof/>
          <w:color w:val="000000" w:themeColor="text1"/>
          <w:sz w:val="24"/>
          <w:szCs w:val="24"/>
          <w:lang w:val="en-IE"/>
        </w:rPr>
        <w:footnoteReference w:id="24"/>
      </w:r>
      <w:r>
        <w:rPr>
          <w:rFonts w:ascii="Times New Roman" w:eastAsia="Times New Roman" w:hAnsi="Times New Roman" w:cs="Times New Roman"/>
          <w:noProof/>
          <w:color w:val="000000" w:themeColor="text1"/>
          <w:sz w:val="24"/>
          <w:szCs w:val="24"/>
          <w:lang w:val="en-IE"/>
        </w:rPr>
        <w:t>. Once t</w:t>
      </w:r>
      <w:r>
        <w:rPr>
          <w:rFonts w:ascii="Times New Roman" w:eastAsia="Times New Roman" w:hAnsi="Times New Roman" w:cs="Times New Roman"/>
          <w:noProof/>
          <w:color w:val="000000" w:themeColor="text1"/>
          <w:sz w:val="24"/>
          <w:szCs w:val="24"/>
          <w:lang w:val="en-IE"/>
        </w:rPr>
        <w:t xml:space="preserve">he ratification process is completed, </w:t>
      </w:r>
      <w:r>
        <w:rPr>
          <w:rFonts w:ascii="Times New Roman" w:eastAsia="Times New Roman" w:hAnsi="Times New Roman" w:cs="Times New Roman"/>
          <w:noProof/>
          <w:color w:val="000000" w:themeColor="text1"/>
          <w:sz w:val="24"/>
          <w:szCs w:val="24"/>
          <w:lang w:val="en-IE"/>
        </w:rPr>
        <w:lastRenderedPageBreak/>
        <w:t xml:space="preserve">the Commission will work together with </w:t>
      </w:r>
      <w:r>
        <w:rPr>
          <w:rFonts w:ascii="Times New Roman" w:eastAsia="Times New Roman" w:hAnsi="Times New Roman" w:cs="Times New Roman"/>
          <w:noProof/>
          <w:color w:val="000000" w:themeColor="text1"/>
          <w:sz w:val="24"/>
          <w:szCs w:val="24"/>
        </w:rPr>
        <w:t>the European Patent Office (EPO) and Member States to make the unitary patent system operational among the contracting Member States</w:t>
      </w:r>
      <w:r>
        <w:rPr>
          <w:rStyle w:val="FootnoteReference"/>
          <w:rFonts w:ascii="Times New Roman" w:eastAsia="Times New Roman" w:hAnsi="Times New Roman" w:cs="Times New Roman"/>
          <w:noProof/>
          <w:color w:val="000000" w:themeColor="text1"/>
          <w:sz w:val="24"/>
          <w:szCs w:val="24"/>
        </w:rPr>
        <w:footnoteReference w:id="25"/>
      </w:r>
      <w:r>
        <w:rPr>
          <w:rFonts w:ascii="Times New Roman" w:eastAsia="Times New Roman" w:hAnsi="Times New Roman" w:cs="Times New Roman"/>
          <w:noProof/>
          <w:color w:val="000000" w:themeColor="text1"/>
          <w:sz w:val="24"/>
          <w:szCs w:val="24"/>
        </w:rPr>
        <w:t>. It will also encourage the Member States tha</w:t>
      </w:r>
      <w:r>
        <w:rPr>
          <w:rFonts w:ascii="Times New Roman" w:eastAsia="Times New Roman" w:hAnsi="Times New Roman" w:cs="Times New Roman"/>
          <w:noProof/>
          <w:color w:val="000000" w:themeColor="text1"/>
          <w:sz w:val="24"/>
          <w:szCs w:val="24"/>
        </w:rPr>
        <w:t xml:space="preserve">t have not yet engaged to join the new system.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Closely linked to patents are </w:t>
      </w:r>
      <w:r>
        <w:rPr>
          <w:rFonts w:ascii="Times New Roman" w:eastAsia="Times New Roman" w:hAnsi="Times New Roman" w:cs="Times New Roman"/>
          <w:b/>
          <w:bCs/>
          <w:noProof/>
          <w:color w:val="000000" w:themeColor="text1"/>
          <w:sz w:val="24"/>
          <w:szCs w:val="24"/>
        </w:rPr>
        <w:t xml:space="preserve">supplementary protection certificates </w:t>
      </w:r>
      <w:r>
        <w:rPr>
          <w:rFonts w:ascii="Times New Roman" w:eastAsia="Times New Roman" w:hAnsi="Times New Roman" w:cs="Times New Roman"/>
          <w:bCs/>
          <w:noProof/>
          <w:color w:val="000000" w:themeColor="text1"/>
          <w:sz w:val="24"/>
          <w:szCs w:val="24"/>
        </w:rPr>
        <w:t>(SPCs)</w:t>
      </w:r>
      <w:r>
        <w:rPr>
          <w:rFonts w:ascii="Times New Roman" w:eastAsia="Times New Roman" w:hAnsi="Times New Roman" w:cs="Times New Roman"/>
          <w:noProof/>
          <w:color w:val="000000" w:themeColor="text1"/>
          <w:sz w:val="24"/>
          <w:szCs w:val="24"/>
        </w:rPr>
        <w:t xml:space="preserve">, which offer an additional period of IP protection for patented medicinal and plant protection products that are subject to lengthy </w:t>
      </w:r>
      <w:r>
        <w:rPr>
          <w:rFonts w:ascii="Times New Roman" w:eastAsia="Times New Roman" w:hAnsi="Times New Roman" w:cs="Times New Roman"/>
          <w:noProof/>
          <w:color w:val="000000" w:themeColor="text1"/>
          <w:sz w:val="24"/>
          <w:szCs w:val="24"/>
        </w:rPr>
        <w:t>clinical trials and market authorisation processes. After introducing an SPC “manufacturing waiver” in 2019</w:t>
      </w:r>
      <w:r>
        <w:rPr>
          <w:rStyle w:val="FootnoteReference"/>
          <w:rFonts w:ascii="Times New Roman" w:eastAsia="Times New Roman" w:hAnsi="Times New Roman" w:cs="Times New Roman"/>
          <w:noProof/>
          <w:color w:val="000000" w:themeColor="text1"/>
          <w:sz w:val="24"/>
          <w:szCs w:val="24"/>
        </w:rPr>
        <w:footnoteReference w:id="26"/>
      </w:r>
      <w:r>
        <w:rPr>
          <w:rFonts w:ascii="Times New Roman" w:eastAsia="Times New Roman" w:hAnsi="Times New Roman" w:cs="Times New Roman"/>
          <w:noProof/>
          <w:color w:val="000000" w:themeColor="text1"/>
          <w:sz w:val="24"/>
          <w:szCs w:val="24"/>
        </w:rPr>
        <w:t>, the Commission has recently finalised a detailed evaluation of the SPC regime</w:t>
      </w:r>
      <w:r>
        <w:rPr>
          <w:rStyle w:val="FootnoteReference"/>
          <w:rFonts w:ascii="Times New Roman" w:eastAsia="Times New Roman" w:hAnsi="Times New Roman" w:cs="Times New Roman"/>
          <w:noProof/>
          <w:color w:val="000000" w:themeColor="text1"/>
          <w:sz w:val="24"/>
          <w:szCs w:val="24"/>
        </w:rPr>
        <w:footnoteReference w:id="27"/>
      </w:r>
      <w:r>
        <w:rPr>
          <w:rFonts w:ascii="Times New Roman" w:eastAsia="Times New Roman" w:hAnsi="Times New Roman" w:cs="Times New Roman"/>
          <w:noProof/>
          <w:color w:val="000000" w:themeColor="text1"/>
          <w:sz w:val="24"/>
          <w:szCs w:val="24"/>
        </w:rPr>
        <w:t>. It demonstrates that, while the SPC system remains relevant, it su</w:t>
      </w:r>
      <w:r>
        <w:rPr>
          <w:rFonts w:ascii="Times New Roman" w:eastAsia="Times New Roman" w:hAnsi="Times New Roman" w:cs="Times New Roman"/>
          <w:noProof/>
          <w:color w:val="000000" w:themeColor="text1"/>
          <w:sz w:val="24"/>
          <w:szCs w:val="24"/>
        </w:rPr>
        <w:t>ffers from fragmented implementation across Member States. This translates into inefficiencies and a lack of transparency and predictability, which hampers innovators and generic producers, and eventually harms patients. The Commission is assessing ways to</w:t>
      </w:r>
      <w:r>
        <w:rPr>
          <w:rFonts w:ascii="Times New Roman" w:eastAsia="Times New Roman" w:hAnsi="Times New Roman" w:cs="Times New Roman"/>
          <w:noProof/>
          <w:color w:val="000000" w:themeColor="text1"/>
          <w:sz w:val="24"/>
          <w:szCs w:val="24"/>
        </w:rPr>
        <w:t xml:space="preserve"> address these pitfalls, including the possibility to introduce a unified SPC grant mechanism and/or create a unitary SPC title.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In the context of its new pharmaceutical strategy for Europe, the Commission is also looking closely at how to further optimis</w:t>
      </w:r>
      <w:r>
        <w:rPr>
          <w:rFonts w:ascii="Times New Roman" w:eastAsia="Times New Roman" w:hAnsi="Times New Roman" w:cs="Times New Roman"/>
          <w:noProof/>
          <w:color w:val="000000" w:themeColor="text1"/>
          <w:sz w:val="24"/>
          <w:szCs w:val="24"/>
        </w:rPr>
        <w:t>e incentives and rewards to boost innovation, address unmet needs, foster affordability by ensuring a swift market launch as well as a continuous supply of medicines, including generics and biosimilars. Innovation in this area should match needs and become</w:t>
      </w:r>
      <w:r>
        <w:rPr>
          <w:rFonts w:ascii="Times New Roman" w:eastAsia="Times New Roman" w:hAnsi="Times New Roman" w:cs="Times New Roman"/>
          <w:noProof/>
          <w:color w:val="000000" w:themeColor="text1"/>
          <w:sz w:val="24"/>
          <w:szCs w:val="24"/>
        </w:rPr>
        <w:t xml:space="preserve"> available to all patients that can benefit from it.</w:t>
      </w:r>
      <w:r>
        <w:rPr>
          <w:noProof/>
          <w:color w:val="FF0000"/>
          <w:lang w:val="en-US"/>
        </w:rPr>
        <w:t xml:space="preserve"> </w:t>
      </w:r>
      <w:r>
        <w:rPr>
          <w:rFonts w:ascii="Times New Roman" w:eastAsia="Times New Roman" w:hAnsi="Times New Roman" w:cs="Times New Roman"/>
          <w:noProof/>
          <w:color w:val="000000" w:themeColor="text1"/>
          <w:sz w:val="24"/>
          <w:szCs w:val="24"/>
        </w:rPr>
        <w:t>In this context, it looks among others at the regime for orphan and paediatric medicines</w:t>
      </w:r>
      <w:r>
        <w:rPr>
          <w:rFonts w:ascii="Times New Roman" w:eastAsia="Times New Roman" w:hAnsi="Times New Roman" w:cs="Times New Roman"/>
          <w:noProof/>
          <w:color w:val="000000" w:themeColor="text1"/>
          <w:sz w:val="24"/>
          <w:szCs w:val="24"/>
          <w:vertAlign w:val="superscript"/>
        </w:rPr>
        <w:footnoteReference w:id="28"/>
      </w:r>
      <w:r>
        <w:rPr>
          <w:rFonts w:ascii="Times New Roman" w:eastAsia="Times New Roman" w:hAnsi="Times New Roman" w:cs="Times New Roman"/>
          <w:noProof/>
          <w:color w:val="000000" w:themeColor="text1"/>
          <w:sz w:val="24"/>
          <w:szCs w:val="24"/>
        </w:rPr>
        <w:t xml:space="preserve"> and the Bolar exemption</w:t>
      </w:r>
      <w:r>
        <w:rPr>
          <w:rFonts w:ascii="Times New Roman" w:eastAsia="Times New Roman" w:hAnsi="Times New Roman" w:cs="Times New Roman"/>
          <w:noProof/>
          <w:color w:val="000000" w:themeColor="text1"/>
          <w:sz w:val="24"/>
          <w:szCs w:val="24"/>
          <w:vertAlign w:val="superscript"/>
        </w:rPr>
        <w:footnoteReference w:id="29"/>
      </w:r>
      <w:r>
        <w:rPr>
          <w:rFonts w:ascii="Times New Roman" w:eastAsia="Times New Roman" w:hAnsi="Times New Roman" w:cs="Times New Roman"/>
          <w:noProof/>
          <w:color w:val="000000" w:themeColor="text1"/>
          <w:sz w:val="24"/>
          <w:szCs w:val="24"/>
        </w:rPr>
        <w:t>.</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Following the successful reform of the EU trade mark legislation</w:t>
      </w:r>
      <w:r>
        <w:rPr>
          <w:rStyle w:val="FootnoteReference"/>
          <w:rFonts w:ascii="Times New Roman" w:eastAsia="Times New Roman" w:hAnsi="Times New Roman" w:cs="Times New Roman"/>
          <w:noProof/>
          <w:color w:val="000000" w:themeColor="text1"/>
          <w:sz w:val="24"/>
          <w:szCs w:val="24"/>
        </w:rPr>
        <w:footnoteReference w:id="30"/>
      </w:r>
      <w:r>
        <w:rPr>
          <w:rFonts w:ascii="Times New Roman" w:eastAsia="Times New Roman" w:hAnsi="Times New Roman" w:cs="Times New Roman"/>
          <w:noProof/>
          <w:color w:val="000000" w:themeColor="text1"/>
          <w:sz w:val="24"/>
          <w:szCs w:val="24"/>
        </w:rPr>
        <w:t xml:space="preserve">, the Commission will </w:t>
      </w:r>
      <w:r>
        <w:rPr>
          <w:rFonts w:ascii="Times New Roman" w:eastAsia="Times New Roman" w:hAnsi="Times New Roman" w:cs="Times New Roman"/>
          <w:b/>
          <w:bCs/>
          <w:noProof/>
          <w:color w:val="000000" w:themeColor="text1"/>
          <w:sz w:val="24"/>
          <w:szCs w:val="24"/>
        </w:rPr>
        <w:t xml:space="preserve">revise </w:t>
      </w:r>
      <w:r>
        <w:rPr>
          <w:rFonts w:ascii="Times New Roman" w:eastAsia="Times New Roman" w:hAnsi="Times New Roman" w:cs="Times New Roman"/>
          <w:b/>
          <w:noProof/>
          <w:color w:val="000000" w:themeColor="text1"/>
          <w:sz w:val="24"/>
          <w:szCs w:val="24"/>
        </w:rPr>
        <w:t xml:space="preserve">the </w:t>
      </w:r>
      <w:r>
        <w:rPr>
          <w:rFonts w:ascii="Times New Roman" w:eastAsia="Times New Roman" w:hAnsi="Times New Roman" w:cs="Times New Roman"/>
          <w:b/>
          <w:bCs/>
          <w:noProof/>
          <w:color w:val="000000" w:themeColor="text1"/>
          <w:sz w:val="24"/>
          <w:szCs w:val="24"/>
        </w:rPr>
        <w:t>EU legislation on design protection</w:t>
      </w:r>
      <w:r>
        <w:rPr>
          <w:rFonts w:ascii="Times New Roman" w:eastAsia="Times New Roman" w:hAnsi="Times New Roman" w:cs="Times New Roman"/>
          <w:bCs/>
          <w:noProof/>
          <w:color w:val="000000" w:themeColor="text1"/>
          <w:sz w:val="24"/>
          <w:szCs w:val="24"/>
        </w:rPr>
        <w:t>.</w:t>
      </w:r>
      <w:r>
        <w:rPr>
          <w:rFonts w:ascii="Times New Roman" w:eastAsia="Times New Roman" w:hAnsi="Times New Roman" w:cs="Times New Roman"/>
          <w:noProof/>
          <w:color w:val="000000" w:themeColor="text1"/>
          <w:sz w:val="24"/>
          <w:szCs w:val="24"/>
        </w:rPr>
        <w:t xml:space="preserve"> The aim is to improve the accessibility and affordability of design protection in the EU, especially for the textile, furniture and electronics ecosystems, and to ensure that the design protection regime bett</w:t>
      </w:r>
      <w:r>
        <w:rPr>
          <w:rFonts w:ascii="Times New Roman" w:eastAsia="Times New Roman" w:hAnsi="Times New Roman" w:cs="Times New Roman"/>
          <w:noProof/>
          <w:color w:val="000000" w:themeColor="text1"/>
          <w:sz w:val="24"/>
          <w:szCs w:val="24"/>
        </w:rPr>
        <w:t>er supports the transition to the digital and green economy. Design makes a product appealing and well-designed products give producers a significant competitive advantage. Results of the recent evaluation</w:t>
      </w:r>
      <w:r>
        <w:rPr>
          <w:rStyle w:val="FootnoteReference"/>
          <w:rFonts w:ascii="Times New Roman" w:eastAsia="Times New Roman" w:hAnsi="Times New Roman" w:cs="Times New Roman"/>
          <w:noProof/>
          <w:color w:val="000000" w:themeColor="text1"/>
          <w:sz w:val="24"/>
          <w:szCs w:val="24"/>
        </w:rPr>
        <w:footnoteReference w:id="31"/>
      </w:r>
      <w:r>
        <w:rPr>
          <w:rFonts w:ascii="Times New Roman" w:eastAsia="Times New Roman" w:hAnsi="Times New Roman" w:cs="Times New Roman"/>
          <w:noProof/>
          <w:color w:val="000000" w:themeColor="text1"/>
          <w:sz w:val="24"/>
          <w:szCs w:val="24"/>
        </w:rPr>
        <w:t xml:space="preserve"> of the EU legislation on design protection</w:t>
      </w:r>
      <w:r>
        <w:rPr>
          <w:rStyle w:val="FootnoteReference"/>
          <w:rFonts w:ascii="Times New Roman" w:eastAsia="Times New Roman" w:hAnsi="Times New Roman" w:cs="Times New Roman"/>
          <w:noProof/>
          <w:color w:val="000000" w:themeColor="text1"/>
          <w:sz w:val="24"/>
          <w:szCs w:val="24"/>
        </w:rPr>
        <w:footnoteReference w:id="32"/>
      </w:r>
      <w:r>
        <w:rPr>
          <w:rFonts w:ascii="Times New Roman" w:eastAsia="Times New Roman" w:hAnsi="Times New Roman" w:cs="Times New Roman"/>
          <w:noProof/>
          <w:color w:val="000000" w:themeColor="text1"/>
          <w:sz w:val="24"/>
          <w:szCs w:val="24"/>
        </w:rPr>
        <w:t xml:space="preserve"> show </w:t>
      </w:r>
      <w:r>
        <w:rPr>
          <w:rFonts w:ascii="Times New Roman" w:eastAsia="Times New Roman" w:hAnsi="Times New Roman" w:cs="Times New Roman"/>
          <w:noProof/>
          <w:color w:val="000000" w:themeColor="text1"/>
          <w:sz w:val="24"/>
          <w:szCs w:val="24"/>
        </w:rPr>
        <w:t>that, although EU design systems are functioning well overall, there are still shortcomings. Registration procedures are partly outdated and in some cases involve an unnecessary administrative burden. The protection of new forms of design (e.g. animated de</w:t>
      </w:r>
      <w:r>
        <w:rPr>
          <w:rFonts w:ascii="Times New Roman" w:eastAsia="Times New Roman" w:hAnsi="Times New Roman" w:cs="Times New Roman"/>
          <w:noProof/>
          <w:color w:val="000000" w:themeColor="text1"/>
          <w:sz w:val="24"/>
          <w:szCs w:val="24"/>
        </w:rPr>
        <w:t xml:space="preserve">signs, graphical user interfaces) is not sufficiently clear. Also, a lack of clarity on the scope of design rights poses challenges, </w:t>
      </w:r>
      <w:r>
        <w:rPr>
          <w:rFonts w:ascii="Times New Roman" w:eastAsia="Times New Roman" w:hAnsi="Times New Roman" w:cs="Times New Roman"/>
          <w:noProof/>
          <w:color w:val="000000" w:themeColor="text1"/>
          <w:sz w:val="24"/>
          <w:szCs w:val="24"/>
        </w:rPr>
        <w:lastRenderedPageBreak/>
        <w:t>particularily in relation to the increasing use of 3D printing or for the enforcement of design rights against infringing g</w:t>
      </w:r>
      <w:r>
        <w:rPr>
          <w:rFonts w:ascii="Times New Roman" w:eastAsia="Times New Roman" w:hAnsi="Times New Roman" w:cs="Times New Roman"/>
          <w:noProof/>
          <w:color w:val="000000" w:themeColor="text1"/>
          <w:sz w:val="24"/>
          <w:szCs w:val="24"/>
        </w:rPr>
        <w:t>oods transiting the EU. Finally, as a consequence of only partial harmonisation of design protection for component parts used for the repair of complex products, the economically important spare parts market continues to be strongly fragmented, severely di</w:t>
      </w:r>
      <w:r>
        <w:rPr>
          <w:rFonts w:ascii="Times New Roman" w:eastAsia="Times New Roman" w:hAnsi="Times New Roman" w:cs="Times New Roman"/>
          <w:noProof/>
          <w:color w:val="000000" w:themeColor="text1"/>
          <w:sz w:val="24"/>
          <w:szCs w:val="24"/>
        </w:rPr>
        <w:t xml:space="preserve">storting competition and hampering transition to a more sustainable and greener economy.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Europe also needs a </w:t>
      </w:r>
      <w:r>
        <w:rPr>
          <w:rFonts w:ascii="Times New Roman" w:eastAsia="Times New Roman" w:hAnsi="Times New Roman" w:cs="Times New Roman"/>
          <w:b/>
          <w:bCs/>
          <w:noProof/>
          <w:color w:val="000000" w:themeColor="text1"/>
          <w:sz w:val="24"/>
          <w:szCs w:val="24"/>
        </w:rPr>
        <w:t>new approach to the way geographical indications (GIs) are protected</w:t>
      </w:r>
      <w:r>
        <w:rPr>
          <w:rFonts w:ascii="Times New Roman" w:eastAsia="Times New Roman" w:hAnsi="Times New Roman" w:cs="Times New Roman"/>
          <w:noProof/>
          <w:color w:val="000000" w:themeColor="text1"/>
          <w:sz w:val="24"/>
          <w:szCs w:val="24"/>
        </w:rPr>
        <w:t xml:space="preserve">. GIs are names of products linked to the natural environment and the </w:t>
      </w:r>
      <w:r>
        <w:rPr>
          <w:rFonts w:ascii="Times New Roman" w:eastAsia="Times New Roman" w:hAnsi="Times New Roman" w:cs="Times New Roman"/>
          <w:i/>
          <w:iCs/>
          <w:noProof/>
          <w:color w:val="000000" w:themeColor="text1"/>
          <w:sz w:val="24"/>
          <w:szCs w:val="24"/>
        </w:rPr>
        <w:t>know-how</w:t>
      </w:r>
      <w:r>
        <w:rPr>
          <w:rFonts w:ascii="Times New Roman" w:eastAsia="Times New Roman" w:hAnsi="Times New Roman" w:cs="Times New Roman"/>
          <w:noProof/>
          <w:color w:val="000000" w:themeColor="text1"/>
          <w:sz w:val="24"/>
          <w:szCs w:val="24"/>
        </w:rPr>
        <w:t xml:space="preserve"> of local producers. They are part of Europe's cultural heritage and contribute to the social, environmental and economic sustainability of the rural economy</w:t>
      </w:r>
      <w:r>
        <w:rPr>
          <w:rStyle w:val="FootnoteReference"/>
          <w:rFonts w:ascii="Times New Roman" w:eastAsia="Times New Roman" w:hAnsi="Times New Roman" w:cs="Times New Roman"/>
          <w:noProof/>
          <w:color w:val="000000" w:themeColor="text1"/>
          <w:sz w:val="24"/>
          <w:szCs w:val="24"/>
        </w:rPr>
        <w:footnoteReference w:id="33"/>
      </w:r>
      <w:r>
        <w:rPr>
          <w:rFonts w:ascii="Times New Roman" w:eastAsia="Times New Roman" w:hAnsi="Times New Roman" w:cs="Times New Roman"/>
          <w:noProof/>
          <w:color w:val="000000" w:themeColor="text1"/>
          <w:sz w:val="24"/>
          <w:szCs w:val="24"/>
        </w:rPr>
        <w:t xml:space="preserve">, sometimes also referred to as the ‘rural IPR’. GIs have major economic value in the agriculture </w:t>
      </w:r>
      <w:r>
        <w:rPr>
          <w:rFonts w:ascii="Times New Roman" w:eastAsia="Times New Roman" w:hAnsi="Times New Roman" w:cs="Times New Roman"/>
          <w:noProof/>
          <w:color w:val="000000" w:themeColor="text1"/>
          <w:sz w:val="24"/>
          <w:szCs w:val="24"/>
        </w:rPr>
        <w:t>sector. In 2017, agri-food and drink products, whose names are protected by the EU as GIs, represented a sales value of EUR 74.76 billion</w:t>
      </w:r>
      <w:r>
        <w:rPr>
          <w:rFonts w:ascii="Times New Roman" w:eastAsia="Times New Roman" w:hAnsi="Times New Roman" w:cs="Times New Roman"/>
          <w:noProof/>
          <w:color w:val="000000" w:themeColor="text1"/>
        </w:rPr>
        <w:t xml:space="preserve"> </w:t>
      </w:r>
      <w:r>
        <w:rPr>
          <w:rFonts w:ascii="Times New Roman" w:eastAsia="Times New Roman" w:hAnsi="Times New Roman" w:cs="Times New Roman"/>
          <w:noProof/>
          <w:color w:val="000000" w:themeColor="text1"/>
          <w:sz w:val="24"/>
          <w:szCs w:val="24"/>
        </w:rPr>
        <w:t>within the EU, 7% of total sales in the European food and drink sector. Furthermore, GIs represent 15.5% of total EU a</w:t>
      </w:r>
      <w:r>
        <w:rPr>
          <w:rFonts w:ascii="Times New Roman" w:eastAsia="Times New Roman" w:hAnsi="Times New Roman" w:cs="Times New Roman"/>
          <w:noProof/>
          <w:color w:val="000000" w:themeColor="text1"/>
          <w:sz w:val="24"/>
          <w:szCs w:val="24"/>
        </w:rPr>
        <w:t>gri-food exports, with a higher sales premium for protected product names</w:t>
      </w:r>
      <w:r>
        <w:rPr>
          <w:rStyle w:val="FootnoteReference"/>
          <w:rFonts w:ascii="Times New Roman" w:eastAsia="Times New Roman" w:hAnsi="Times New Roman" w:cs="Times New Roman"/>
          <w:noProof/>
          <w:color w:val="000000" w:themeColor="text1"/>
          <w:sz w:val="24"/>
          <w:szCs w:val="24"/>
        </w:rPr>
        <w:footnoteReference w:id="34"/>
      </w:r>
      <w:r>
        <w:rPr>
          <w:rFonts w:ascii="Times New Roman" w:eastAsia="Times New Roman" w:hAnsi="Times New Roman" w:cs="Times New Roman"/>
          <w:noProof/>
          <w:color w:val="000000" w:themeColor="text1"/>
          <w:sz w:val="24"/>
          <w:szCs w:val="24"/>
        </w:rPr>
        <w:t xml:space="preserve">. However, there is still untapped potential. Current protection and enforcement rules could be more precise and the roles of Member States and the Commission in the registration </w:t>
      </w:r>
      <w:r>
        <w:rPr>
          <w:rFonts w:ascii="Times New Roman" w:eastAsia="Times New Roman" w:hAnsi="Times New Roman" w:cs="Times New Roman"/>
          <w:noProof/>
          <w:color w:val="000000" w:themeColor="text1"/>
          <w:sz w:val="24"/>
          <w:szCs w:val="24"/>
        </w:rPr>
        <w:t>process could be better identified. In addition, there are different GI systems for different types of agricultural products. Building on the results of the ongoing evaluation</w:t>
      </w:r>
      <w:r>
        <w:rPr>
          <w:rStyle w:val="FootnoteReference"/>
          <w:rFonts w:ascii="Times New Roman" w:eastAsia="Times New Roman" w:hAnsi="Times New Roman" w:cs="Times New Roman"/>
          <w:noProof/>
          <w:color w:val="000000" w:themeColor="text1"/>
          <w:sz w:val="24"/>
          <w:szCs w:val="24"/>
        </w:rPr>
        <w:footnoteReference w:id="35"/>
      </w:r>
      <w:r>
        <w:rPr>
          <w:rFonts w:ascii="Times New Roman" w:eastAsia="Times New Roman" w:hAnsi="Times New Roman" w:cs="Times New Roman"/>
          <w:noProof/>
          <w:color w:val="000000" w:themeColor="text1"/>
          <w:sz w:val="24"/>
          <w:szCs w:val="24"/>
        </w:rPr>
        <w:t xml:space="preserve">, the Commission will look at ways to </w:t>
      </w:r>
      <w:r>
        <w:rPr>
          <w:rFonts w:ascii="Times New Roman" w:eastAsia="Times New Roman" w:hAnsi="Times New Roman" w:cs="Times New Roman"/>
          <w:b/>
          <w:bCs/>
          <w:noProof/>
          <w:color w:val="000000" w:themeColor="text1"/>
          <w:sz w:val="24"/>
          <w:szCs w:val="24"/>
        </w:rPr>
        <w:t>strengthen,</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bCs/>
          <w:noProof/>
          <w:color w:val="000000" w:themeColor="text1"/>
          <w:sz w:val="24"/>
          <w:szCs w:val="24"/>
        </w:rPr>
        <w:t>modernise, streamline and bett</w:t>
      </w:r>
      <w:r>
        <w:rPr>
          <w:rFonts w:ascii="Times New Roman" w:eastAsia="Times New Roman" w:hAnsi="Times New Roman" w:cs="Times New Roman"/>
          <w:b/>
          <w:bCs/>
          <w:noProof/>
          <w:color w:val="000000" w:themeColor="text1"/>
          <w:sz w:val="24"/>
          <w:szCs w:val="24"/>
        </w:rPr>
        <w:t>er enforce GIs for agricultural products, food, wines and spirits</w:t>
      </w:r>
      <w:r>
        <w:rPr>
          <w:rFonts w:ascii="Times New Roman" w:eastAsia="Times New Roman" w:hAnsi="Times New Roman" w:cs="Times New Roman"/>
          <w:noProof/>
          <w:color w:val="000000" w:themeColor="text1"/>
          <w:sz w:val="24"/>
          <w:szCs w:val="24"/>
        </w:rPr>
        <w:t>.</w:t>
      </w:r>
      <w:r>
        <w:rPr>
          <w:rStyle w:val="FootnoteReference"/>
          <w:rFonts w:ascii="Times New Roman" w:eastAsia="Times New Roman" w:hAnsi="Times New Roman" w:cs="Times New Roman"/>
          <w:noProof/>
          <w:color w:val="000000" w:themeColor="text1"/>
          <w:sz w:val="24"/>
          <w:szCs w:val="24"/>
        </w:rPr>
        <w:footnoteReference w:id="36"/>
      </w:r>
      <w:r>
        <w:rPr>
          <w:rFonts w:ascii="Times New Roman" w:eastAsia="Times New Roman" w:hAnsi="Times New Roman" w:cs="Times New Roman"/>
          <w:noProof/>
          <w:color w:val="000000" w:themeColor="text1"/>
          <w:sz w:val="24"/>
          <w:szCs w:val="24"/>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Only some Member States have currently in place rules to ensure GI protection for non-agricultural products (such as handicrafts). At EU level, there is currently no uniform mechanism for</w:t>
      </w:r>
      <w:r>
        <w:rPr>
          <w:rFonts w:ascii="Times New Roman" w:eastAsia="Times New Roman" w:hAnsi="Times New Roman" w:cs="Times New Roman"/>
          <w:noProof/>
          <w:color w:val="000000" w:themeColor="text1"/>
          <w:sz w:val="24"/>
          <w:szCs w:val="24"/>
        </w:rPr>
        <w:t xml:space="preserve"> the protection of such non-agricultural GIs, which are often an important part of local identity, attract tourism, retain unique skills and contribute to job creation. A recent study</w:t>
      </w:r>
      <w:r>
        <w:rPr>
          <w:rStyle w:val="FootnoteReference"/>
          <w:rFonts w:ascii="Times New Roman" w:eastAsia="Times New Roman" w:hAnsi="Times New Roman" w:cs="Times New Roman"/>
          <w:noProof/>
          <w:color w:val="000000" w:themeColor="text1"/>
          <w:sz w:val="24"/>
          <w:szCs w:val="24"/>
        </w:rPr>
        <w:footnoteReference w:id="37"/>
      </w:r>
      <w:r>
        <w:rPr>
          <w:rFonts w:ascii="Times New Roman" w:eastAsia="Times New Roman" w:hAnsi="Times New Roman" w:cs="Times New Roman"/>
          <w:noProof/>
          <w:color w:val="000000" w:themeColor="text1"/>
          <w:sz w:val="24"/>
          <w:szCs w:val="24"/>
        </w:rPr>
        <w:t xml:space="preserve"> shows that a harmonised system for non-agricultural products would be b</w:t>
      </w:r>
      <w:r>
        <w:rPr>
          <w:rFonts w:ascii="Times New Roman" w:eastAsia="Times New Roman" w:hAnsi="Times New Roman" w:cs="Times New Roman"/>
          <w:noProof/>
          <w:color w:val="000000" w:themeColor="text1"/>
          <w:sz w:val="24"/>
          <w:szCs w:val="24"/>
        </w:rPr>
        <w:t>eneficial for the EU economy. It would provide consumers with better visibility and authenticity indications for these products. It could help producers stay competitive and work together in niche markets, and give a boost to less developed regions</w:t>
      </w:r>
      <w:r>
        <w:rPr>
          <w:rStyle w:val="FootnoteReference"/>
          <w:rFonts w:ascii="Times New Roman" w:eastAsia="Times New Roman" w:hAnsi="Times New Roman" w:cs="Times New Roman"/>
          <w:noProof/>
          <w:color w:val="000000" w:themeColor="text1"/>
          <w:sz w:val="24"/>
          <w:szCs w:val="24"/>
        </w:rPr>
        <w:footnoteReference w:id="38"/>
      </w:r>
      <w:r>
        <w:rPr>
          <w:rFonts w:ascii="Times New Roman" w:eastAsia="Times New Roman" w:hAnsi="Times New Roman" w:cs="Times New Roman"/>
          <w:noProof/>
          <w:color w:val="000000" w:themeColor="text1"/>
          <w:sz w:val="24"/>
          <w:szCs w:val="24"/>
        </w:rPr>
        <w:t>. For t</w:t>
      </w:r>
      <w:r>
        <w:rPr>
          <w:rFonts w:ascii="Times New Roman" w:eastAsia="Times New Roman" w:hAnsi="Times New Roman" w:cs="Times New Roman"/>
          <w:noProof/>
          <w:color w:val="000000" w:themeColor="text1"/>
          <w:sz w:val="24"/>
          <w:szCs w:val="24"/>
        </w:rPr>
        <w:t xml:space="preserve">hese reasons, as part of the overall reform of the GI system, the Commission will, on the basis of a thorough impact assessment of its potential costs and benefits, consider the feasibility of creating an </w:t>
      </w:r>
      <w:r>
        <w:rPr>
          <w:rFonts w:ascii="Times New Roman" w:eastAsia="Times New Roman" w:hAnsi="Times New Roman" w:cs="Times New Roman"/>
          <w:b/>
          <w:bCs/>
          <w:noProof/>
          <w:color w:val="000000" w:themeColor="text1"/>
          <w:sz w:val="24"/>
          <w:szCs w:val="24"/>
        </w:rPr>
        <w:t>efficient and transparent</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bCs/>
          <w:noProof/>
          <w:color w:val="000000" w:themeColor="text1"/>
          <w:sz w:val="24"/>
          <w:szCs w:val="24"/>
        </w:rPr>
        <w:t>EU GI protection system f</w:t>
      </w:r>
      <w:r>
        <w:rPr>
          <w:rFonts w:ascii="Times New Roman" w:eastAsia="Times New Roman" w:hAnsi="Times New Roman" w:cs="Times New Roman"/>
          <w:b/>
          <w:bCs/>
          <w:noProof/>
          <w:color w:val="000000" w:themeColor="text1"/>
          <w:sz w:val="24"/>
          <w:szCs w:val="24"/>
        </w:rPr>
        <w:t>or non-agricultural products</w:t>
      </w:r>
      <w:r>
        <w:rPr>
          <w:rFonts w:ascii="Times New Roman" w:eastAsia="Times New Roman" w:hAnsi="Times New Roman" w:cs="Times New Roman"/>
          <w:noProof/>
          <w:color w:val="000000" w:themeColor="text1"/>
          <w:sz w:val="24"/>
          <w:szCs w:val="24"/>
        </w:rPr>
        <w:t xml:space="preserve">. This would also enable the EU to fully benefit from the opportunities offered by the </w:t>
      </w:r>
      <w:r>
        <w:rPr>
          <w:rFonts w:ascii="Times New Roman" w:eastAsia="Times New Roman" w:hAnsi="Times New Roman" w:cs="Times New Roman"/>
          <w:noProof/>
          <w:color w:val="000000" w:themeColor="text1"/>
          <w:sz w:val="24"/>
          <w:szCs w:val="24"/>
          <w:lang w:val="en-IE"/>
        </w:rPr>
        <w:t>international system of appellations of origin and GIs</w:t>
      </w:r>
      <w:r>
        <w:rPr>
          <w:rStyle w:val="FootnoteReference"/>
          <w:rFonts w:ascii="Times New Roman" w:eastAsia="Times New Roman" w:hAnsi="Times New Roman" w:cs="Times New Roman"/>
          <w:noProof/>
          <w:color w:val="000000" w:themeColor="text1"/>
          <w:sz w:val="24"/>
          <w:szCs w:val="24"/>
        </w:rPr>
        <w:footnoteReference w:id="39"/>
      </w:r>
      <w:r>
        <w:rPr>
          <w:rFonts w:ascii="Times New Roman" w:eastAsia="Times New Roman" w:hAnsi="Times New Roman" w:cs="Times New Roman"/>
          <w:noProof/>
          <w:color w:val="000000" w:themeColor="text1"/>
          <w:sz w:val="24"/>
          <w:szCs w:val="24"/>
        </w:rPr>
        <w:t>. Generally, it would give more of a head start when promoting the recognition of EU G</w:t>
      </w:r>
      <w:r>
        <w:rPr>
          <w:rFonts w:ascii="Times New Roman" w:eastAsia="Times New Roman" w:hAnsi="Times New Roman" w:cs="Times New Roman"/>
          <w:noProof/>
          <w:color w:val="000000" w:themeColor="text1"/>
          <w:sz w:val="24"/>
          <w:szCs w:val="24"/>
        </w:rPr>
        <w:t xml:space="preserve">Is worldwide.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bCs/>
          <w:noProof/>
          <w:color w:val="000000" w:themeColor="text1"/>
          <w:sz w:val="24"/>
          <w:szCs w:val="24"/>
          <w:lang w:val="en-IE"/>
        </w:rPr>
        <w:t xml:space="preserve">Community Plant Variety Rights </w:t>
      </w:r>
      <w:r>
        <w:rPr>
          <w:rFonts w:ascii="Times New Roman" w:eastAsia="Times New Roman" w:hAnsi="Times New Roman" w:cs="Times New Roman"/>
          <w:noProof/>
          <w:color w:val="000000" w:themeColor="text1"/>
          <w:sz w:val="24"/>
          <w:szCs w:val="24"/>
          <w:lang w:val="en-IE"/>
        </w:rPr>
        <w:t>(CPVR) system plays a crucial role for the EU economy as well.</w:t>
      </w:r>
      <w:r>
        <w:rPr>
          <w:rFonts w:ascii="Times New Roman" w:eastAsia="Times New Roman" w:hAnsi="Times New Roman" w:cs="Times New Roman"/>
          <w:noProof/>
          <w:color w:val="000000" w:themeColor="text1"/>
          <w:sz w:val="24"/>
          <w:szCs w:val="24"/>
        </w:rPr>
        <w:t xml:space="preserve"> A</w:t>
      </w:r>
      <w:r>
        <w:rPr>
          <w:rFonts w:ascii="Times New Roman" w:eastAsia="Times New Roman" w:hAnsi="Times New Roman" w:cs="Times New Roman"/>
          <w:noProof/>
          <w:color w:val="000000" w:themeColor="text1"/>
          <w:sz w:val="24"/>
          <w:szCs w:val="24"/>
          <w:lang w:val="en-US"/>
        </w:rPr>
        <w:t xml:space="preserve"> robust plant variety rights system incentives breeders to develop new varieties, thus contributing to the achievement of the European Green D</w:t>
      </w:r>
      <w:r>
        <w:rPr>
          <w:rFonts w:ascii="Times New Roman" w:eastAsia="Times New Roman" w:hAnsi="Times New Roman" w:cs="Times New Roman"/>
          <w:noProof/>
          <w:color w:val="000000" w:themeColor="text1"/>
          <w:sz w:val="24"/>
          <w:szCs w:val="24"/>
          <w:lang w:val="en-US"/>
        </w:rPr>
        <w:t xml:space="preserve">eal objectives and </w:t>
      </w:r>
      <w:r>
        <w:rPr>
          <w:rFonts w:ascii="Times New Roman" w:eastAsia="Times New Roman" w:hAnsi="Times New Roman" w:cs="Times New Roman"/>
          <w:noProof/>
          <w:color w:val="000000" w:themeColor="text1"/>
          <w:sz w:val="24"/>
          <w:szCs w:val="24"/>
          <w:lang w:val="en-US"/>
        </w:rPr>
        <w:lastRenderedPageBreak/>
        <w:t>the United Nations sustainable development goals.</w:t>
      </w:r>
      <w:r>
        <w:rPr>
          <w:rFonts w:ascii="Times New Roman" w:eastAsia="Times New Roman" w:hAnsi="Times New Roman" w:cs="Times New Roman"/>
          <w:noProof/>
          <w:color w:val="000000" w:themeColor="text1"/>
          <w:sz w:val="24"/>
          <w:szCs w:val="24"/>
          <w:lang w:val="en-IE"/>
        </w:rPr>
        <w:t xml:space="preserve"> The Commission will continue to </w:t>
      </w:r>
      <w:r>
        <w:rPr>
          <w:rFonts w:ascii="Times New Roman" w:eastAsia="Times New Roman" w:hAnsi="Times New Roman" w:cs="Times New Roman"/>
          <w:b/>
          <w:bCs/>
          <w:noProof/>
          <w:color w:val="000000" w:themeColor="text1"/>
          <w:sz w:val="24"/>
          <w:szCs w:val="24"/>
          <w:lang w:val="en-IE"/>
        </w:rPr>
        <w:t>monitor the proper application of the system and seek to bring in further improvements, where needed</w:t>
      </w:r>
      <w:r>
        <w:rPr>
          <w:rFonts w:ascii="Times New Roman" w:eastAsia="Times New Roman" w:hAnsi="Times New Roman" w:cs="Times New Roman"/>
          <w:noProof/>
          <w:color w:val="000000" w:themeColor="text1"/>
          <w:sz w:val="24"/>
          <w:szCs w:val="24"/>
          <w:vertAlign w:val="superscript"/>
          <w:lang w:val="en-US"/>
        </w:rPr>
        <w:footnoteReference w:id="40"/>
      </w:r>
      <w:r>
        <w:rPr>
          <w:rFonts w:ascii="Times New Roman" w:eastAsia="Times New Roman" w:hAnsi="Times New Roman" w:cs="Times New Roman"/>
          <w:noProof/>
          <w:color w:val="000000" w:themeColor="text1"/>
          <w:sz w:val="24"/>
          <w:szCs w:val="24"/>
          <w:lang w:val="en-IE"/>
        </w:rPr>
        <w:t>.</w:t>
      </w:r>
      <w:r>
        <w:rPr>
          <w:rFonts w:ascii="Times New Roman" w:eastAsia="Times New Roman" w:hAnsi="Times New Roman" w:cs="Times New Roman"/>
          <w:noProof/>
          <w:color w:val="000000" w:themeColor="text1"/>
          <w:sz w:val="24"/>
          <w:szCs w:val="24"/>
          <w:lang w:val="en-US"/>
        </w:rPr>
        <w:t xml:space="preserve"> </w:t>
      </w:r>
      <w:r>
        <w:rPr>
          <w:rFonts w:ascii="Times New Roman" w:eastAsia="Times New Roman" w:hAnsi="Times New Roman" w:cs="Times New Roman"/>
          <w:noProof/>
          <w:color w:val="000000" w:themeColor="text1"/>
          <w:sz w:val="24"/>
          <w:szCs w:val="24"/>
        </w:rPr>
        <w:t xml:space="preserve">The 2011 evaluation of the CPVR legislation </w:t>
      </w:r>
      <w:r>
        <w:rPr>
          <w:rFonts w:ascii="Times New Roman" w:eastAsia="Times New Roman" w:hAnsi="Times New Roman" w:cs="Times New Roman"/>
          <w:noProof/>
          <w:color w:val="000000" w:themeColor="text1"/>
          <w:sz w:val="24"/>
          <w:szCs w:val="24"/>
        </w:rPr>
        <w:t>concluded that the system, which functions well overall, should be retained, albeit with some carefully targeted adjustments. This conclusion is supported by more recently identified shortcomings</w:t>
      </w:r>
      <w:r>
        <w:rPr>
          <w:rStyle w:val="FootnoteReference"/>
          <w:rFonts w:ascii="Times New Roman" w:eastAsia="Times New Roman" w:hAnsi="Times New Roman" w:cs="Times New Roman"/>
          <w:noProof/>
          <w:color w:val="000000" w:themeColor="text1"/>
          <w:sz w:val="24"/>
          <w:szCs w:val="24"/>
        </w:rPr>
        <w:footnoteReference w:id="41"/>
      </w:r>
      <w:r>
        <w:rPr>
          <w:rFonts w:ascii="Times New Roman" w:eastAsia="Times New Roman" w:hAnsi="Times New Roman" w:cs="Times New Roman"/>
          <w:noProof/>
          <w:color w:val="000000" w:themeColor="text1"/>
          <w:sz w:val="24"/>
          <w:szCs w:val="24"/>
        </w:rPr>
        <w:t xml:space="preserve"> which could be tackled, after an evaluation, in a targeted </w:t>
      </w:r>
      <w:r>
        <w:rPr>
          <w:rFonts w:ascii="Times New Roman" w:eastAsia="Times New Roman" w:hAnsi="Times New Roman" w:cs="Times New Roman"/>
          <w:noProof/>
          <w:color w:val="000000" w:themeColor="text1"/>
          <w:sz w:val="24"/>
          <w:szCs w:val="24"/>
        </w:rPr>
        <w:t>revision of the legislation in the medium term.</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 xml:space="preserve">In addition to the aforementioned reforms, the Commission will, together with stakeholders and IP offices, explore the </w:t>
      </w:r>
      <w:r>
        <w:rPr>
          <w:rFonts w:ascii="Times New Roman" w:eastAsia="Times New Roman" w:hAnsi="Times New Roman" w:cs="Times New Roman"/>
          <w:b/>
          <w:bCs/>
          <w:noProof/>
          <w:color w:val="000000" w:themeColor="text1"/>
          <w:sz w:val="24"/>
          <w:szCs w:val="24"/>
        </w:rPr>
        <w:t>use</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bCs/>
          <w:noProof/>
          <w:color w:val="000000" w:themeColor="text1"/>
          <w:sz w:val="24"/>
          <w:szCs w:val="24"/>
        </w:rPr>
        <w:t>of</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b/>
          <w:bCs/>
          <w:noProof/>
          <w:color w:val="000000" w:themeColor="text1"/>
          <w:sz w:val="24"/>
          <w:szCs w:val="24"/>
        </w:rPr>
        <w:t xml:space="preserve">new technologies </w:t>
      </w:r>
      <w:r>
        <w:rPr>
          <w:rFonts w:ascii="Times New Roman" w:eastAsia="Times New Roman" w:hAnsi="Times New Roman" w:cs="Times New Roman"/>
          <w:noProof/>
          <w:color w:val="000000" w:themeColor="text1"/>
          <w:sz w:val="24"/>
          <w:szCs w:val="24"/>
        </w:rPr>
        <w:t>such as AI and blockchain</w:t>
      </w:r>
      <w:r>
        <w:rPr>
          <w:rFonts w:ascii="Times New Roman" w:eastAsia="Times New Roman" w:hAnsi="Times New Roman" w:cs="Times New Roman"/>
          <w:b/>
          <w:bCs/>
          <w:noProof/>
          <w:color w:val="000000" w:themeColor="text1"/>
          <w:sz w:val="24"/>
          <w:szCs w:val="24"/>
        </w:rPr>
        <w:t xml:space="preserve"> to further improve the effectiveness of</w:t>
      </w:r>
      <w:r>
        <w:rPr>
          <w:rFonts w:ascii="Times New Roman" w:eastAsia="Times New Roman" w:hAnsi="Times New Roman" w:cs="Times New Roman"/>
          <w:b/>
          <w:bCs/>
          <w:noProof/>
          <w:color w:val="000000" w:themeColor="text1"/>
          <w:sz w:val="24"/>
          <w:szCs w:val="24"/>
        </w:rPr>
        <w:t xml:space="preserve"> our IP systems.</w:t>
      </w:r>
      <w:r>
        <w:rPr>
          <w:rFonts w:ascii="Times New Roman" w:eastAsia="Times New Roman" w:hAnsi="Times New Roman" w:cs="Times New Roman"/>
          <w:noProof/>
          <w:color w:val="000000" w:themeColor="text1"/>
          <w:sz w:val="24"/>
          <w:szCs w:val="24"/>
        </w:rPr>
        <w:t xml:space="preserve"> In fact, new technologies can </w:t>
      </w:r>
      <w:r>
        <w:rPr>
          <w:rFonts w:ascii="Times New Roman" w:eastAsia="Times New Roman" w:hAnsi="Times New Roman" w:cs="Times New Roman"/>
          <w:noProof/>
          <w:color w:val="000000" w:themeColor="text1"/>
          <w:sz w:val="24"/>
          <w:szCs w:val="24"/>
          <w:lang w:val="en-IE"/>
        </w:rPr>
        <w:t>help facilitate the protection of IP</w:t>
      </w:r>
      <w:r>
        <w:rPr>
          <w:rStyle w:val="FootnoteReference"/>
          <w:rFonts w:ascii="Times New Roman" w:eastAsia="Times New Roman" w:hAnsi="Times New Roman" w:cs="Times New Roman"/>
          <w:noProof/>
          <w:color w:val="000000" w:themeColor="text1"/>
          <w:sz w:val="24"/>
          <w:szCs w:val="24"/>
          <w:lang w:val="en-IE"/>
        </w:rPr>
        <w:footnoteReference w:id="42"/>
      </w:r>
      <w:r>
        <w:rPr>
          <w:rFonts w:ascii="Times New Roman" w:eastAsia="Times New Roman" w:hAnsi="Times New Roman" w:cs="Times New Roman"/>
          <w:noProof/>
          <w:color w:val="000000" w:themeColor="text1"/>
          <w:sz w:val="24"/>
          <w:szCs w:val="24"/>
          <w:lang w:val="en-IE"/>
        </w:rPr>
        <w:t>, improve transparency, allow for a</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noProof/>
          <w:color w:val="000000" w:themeColor="text1"/>
          <w:sz w:val="24"/>
          <w:szCs w:val="24"/>
          <w:lang w:val="en-IE"/>
        </w:rPr>
        <w:t>smoother distribution of license fees,</w:t>
      </w:r>
      <w:r>
        <w:rPr>
          <w:rStyle w:val="FootnoteReference"/>
          <w:rFonts w:ascii="Times New Roman" w:eastAsia="Times New Roman" w:hAnsi="Times New Roman" w:cs="Times New Roman"/>
          <w:noProof/>
          <w:color w:val="000000" w:themeColor="text1"/>
          <w:sz w:val="24"/>
          <w:szCs w:val="24"/>
          <w:lang w:val="en-IE"/>
        </w:rPr>
        <w:footnoteReference w:id="43"/>
      </w:r>
      <w:r>
        <w:rPr>
          <w:rFonts w:ascii="Times New Roman" w:eastAsia="Times New Roman" w:hAnsi="Times New Roman" w:cs="Times New Roman"/>
          <w:noProof/>
          <w:color w:val="000000" w:themeColor="text1"/>
          <w:sz w:val="24"/>
          <w:szCs w:val="24"/>
          <w:lang w:val="en-IE"/>
        </w:rPr>
        <w:t xml:space="preserve"> and more effectively tackle counterfeiting and piracy.</w:t>
      </w:r>
      <w:r>
        <w:rPr>
          <w:rFonts w:ascii="Times New Roman" w:eastAsiaTheme="minorEastAsia" w:hAnsi="Times New Roman" w:cs="Times New Roman"/>
          <w:noProof/>
          <w:color w:val="000000"/>
          <w:sz w:val="24"/>
          <w:szCs w:val="24"/>
          <w:lang w:val="en-IE" w:eastAsia="zh-CN"/>
        </w:rPr>
        <w:t xml:space="preserve"> </w:t>
      </w:r>
      <w:r>
        <w:rPr>
          <w:rFonts w:ascii="Times New Roman" w:eastAsia="Times New Roman" w:hAnsi="Times New Roman" w:cs="Times New Roman"/>
          <w:noProof/>
          <w:color w:val="000000" w:themeColor="text1"/>
          <w:sz w:val="24"/>
          <w:szCs w:val="24"/>
          <w:lang w:val="en-IE"/>
        </w:rPr>
        <w:t xml:space="preserve">To explore the full potential of new technologies and promote the uptake thereof, the Commission will encourage </w:t>
      </w:r>
      <w:r>
        <w:rPr>
          <w:rFonts w:ascii="Times New Roman" w:hAnsi="Times New Roman"/>
          <w:noProof/>
          <w:color w:val="000000" w:themeColor="text1"/>
          <w:sz w:val="24"/>
          <w:szCs w:val="24"/>
          <w:lang w:val="en-IE"/>
        </w:rPr>
        <w:t xml:space="preserve">an </w:t>
      </w:r>
      <w:r>
        <w:rPr>
          <w:rFonts w:ascii="Times New Roman" w:hAnsi="Times New Roman"/>
          <w:b/>
          <w:bCs/>
          <w:noProof/>
          <w:color w:val="000000" w:themeColor="text1"/>
          <w:sz w:val="24"/>
          <w:szCs w:val="24"/>
          <w:lang w:val="en-IE"/>
        </w:rPr>
        <w:t xml:space="preserve">industry </w:t>
      </w:r>
      <w:r>
        <w:rPr>
          <w:rFonts w:ascii="Times New Roman" w:eastAsia="Times New Roman" w:hAnsi="Times New Roman" w:cs="Times New Roman"/>
          <w:b/>
          <w:bCs/>
          <w:noProof/>
          <w:color w:val="000000" w:themeColor="text1"/>
          <w:sz w:val="24"/>
          <w:szCs w:val="24"/>
          <w:lang w:val="en-IE"/>
        </w:rPr>
        <w:t xml:space="preserve">dialogue </w:t>
      </w:r>
      <w:r>
        <w:rPr>
          <w:rFonts w:ascii="Times New Roman" w:eastAsia="Times New Roman" w:hAnsi="Times New Roman" w:cs="Times New Roman"/>
          <w:noProof/>
          <w:color w:val="000000" w:themeColor="text1"/>
          <w:sz w:val="24"/>
          <w:szCs w:val="24"/>
          <w:lang w:val="en-IE"/>
        </w:rPr>
        <w:t xml:space="preserve">to act as a sounding board and to accompany the many ongoing initiatives in this area.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val="en-IE"/>
        </w:rPr>
        <w:t xml:space="preserve">In addition, </w:t>
      </w: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Cs/>
          <w:noProof/>
          <w:color w:val="000000" w:themeColor="text1"/>
          <w:sz w:val="24"/>
          <w:szCs w:val="24"/>
        </w:rPr>
        <w:t>digital revolution</w:t>
      </w:r>
      <w:r>
        <w:rPr>
          <w:rFonts w:ascii="Times New Roman" w:eastAsia="Times New Roman" w:hAnsi="Times New Roman" w:cs="Times New Roman"/>
          <w:bCs/>
          <w:noProof/>
          <w:color w:val="000000" w:themeColor="text1"/>
          <w:sz w:val="24"/>
          <w:szCs w:val="24"/>
        </w:rPr>
        <w:t xml:space="preserve"> requires</w:t>
      </w:r>
      <w:r>
        <w:rPr>
          <w:rFonts w:ascii="Times New Roman" w:eastAsia="Times New Roman" w:hAnsi="Times New Roman" w:cs="Times New Roman"/>
          <w:b/>
          <w:bCs/>
          <w:noProof/>
          <w:color w:val="000000" w:themeColor="text1"/>
          <w:sz w:val="24"/>
          <w:szCs w:val="24"/>
        </w:rPr>
        <w:t xml:space="preserve"> reflection on how and what is to be protected</w:t>
      </w:r>
      <w:r>
        <w:rPr>
          <w:rFonts w:ascii="Times New Roman" w:eastAsia="Times New Roman" w:hAnsi="Times New Roman" w:cs="Times New Roman"/>
          <w:noProof/>
          <w:color w:val="000000" w:themeColor="text1"/>
          <w:sz w:val="24"/>
          <w:szCs w:val="24"/>
        </w:rPr>
        <w:t xml:space="preserve">. </w:t>
      </w:r>
      <w:r>
        <w:rPr>
          <w:rFonts w:ascii="Times New Roman" w:hAnsi="Times New Roman" w:cs="Times New Roman"/>
          <w:b/>
          <w:bCs/>
          <w:noProof/>
          <w:sz w:val="24"/>
          <w:szCs w:val="24"/>
        </w:rPr>
        <w:t xml:space="preserve">AI technologies </w:t>
      </w:r>
      <w:r>
        <w:rPr>
          <w:rFonts w:ascii="Times New Roman" w:hAnsi="Times New Roman" w:cs="Times New Roman"/>
          <w:noProof/>
          <w:sz w:val="24"/>
          <w:szCs w:val="24"/>
        </w:rPr>
        <w:t>are creating new works and inventions. In some cases, for instance in the cultural sector, the use of inventive machines may become the norm. These developments raise the question of what protection should be given to products created with the help of AI t</w:t>
      </w:r>
      <w:r>
        <w:rPr>
          <w:rFonts w:ascii="Times New Roman" w:hAnsi="Times New Roman" w:cs="Times New Roman"/>
          <w:noProof/>
          <w:sz w:val="24"/>
          <w:szCs w:val="24"/>
        </w:rPr>
        <w:t xml:space="preserve">echnologies. </w:t>
      </w:r>
      <w:r>
        <w:rPr>
          <w:rFonts w:ascii="Times New Roman" w:eastAsia="Times New Roman" w:hAnsi="Times New Roman" w:cs="Times New Roman"/>
          <w:noProof/>
          <w:color w:val="000000" w:themeColor="text1"/>
          <w:sz w:val="24"/>
          <w:szCs w:val="24"/>
        </w:rPr>
        <w:t>Discussions on the impact of AI on IPRs are ongoing both in Europe and internationally (see section 6). A study published  today</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w:t>
      </w:r>
      <w:r>
        <w:rPr>
          <w:rFonts w:ascii="Times New Roman" w:eastAsia="Times New Roman" w:hAnsi="Times New Roman" w:cs="Times New Roman"/>
          <w:noProof/>
          <w:color w:val="000000" w:themeColor="text1"/>
          <w:sz w:val="24"/>
          <w:szCs w:val="24"/>
        </w:rPr>
        <w:t xml:space="preserve">stresses the need to distinguish between inventions and creations generated with the help of AI technologies and </w:t>
      </w:r>
      <w:r>
        <w:rPr>
          <w:rFonts w:ascii="Times New Roman" w:eastAsia="Times New Roman" w:hAnsi="Times New Roman" w:cs="Times New Roman"/>
          <w:noProof/>
          <w:color w:val="000000" w:themeColor="text1"/>
          <w:sz w:val="24"/>
          <w:szCs w:val="24"/>
        </w:rPr>
        <w:t xml:space="preserve">the ones solely created by AI technologies. Whilst inventions and creations autonomously created by AI technologies are still mostly a matter for the future, the Commission takes the view that AI systems should not be treated as authors or inventors. This </w:t>
      </w:r>
      <w:r>
        <w:rPr>
          <w:rFonts w:ascii="Times New Roman" w:eastAsia="Times New Roman" w:hAnsi="Times New Roman" w:cs="Times New Roman"/>
          <w:noProof/>
          <w:color w:val="000000" w:themeColor="text1"/>
          <w:sz w:val="24"/>
          <w:szCs w:val="24"/>
        </w:rPr>
        <w:t>is also supported by the line taken by the EPO in the Dabus case.</w:t>
      </w:r>
      <w:r>
        <w:rPr>
          <w:rStyle w:val="FootnoteReference"/>
          <w:rFonts w:ascii="Times New Roman" w:eastAsia="Times New Roman" w:hAnsi="Times New Roman" w:cs="Times New Roman"/>
          <w:noProof/>
          <w:color w:val="000000" w:themeColor="text1"/>
          <w:sz w:val="24"/>
          <w:szCs w:val="24"/>
        </w:rPr>
        <w:footnoteReference w:id="45"/>
      </w:r>
      <w:r>
        <w:rPr>
          <w:rFonts w:ascii="Times New Roman" w:eastAsia="Times New Roman" w:hAnsi="Times New Roman" w:cs="Times New Roman"/>
          <w:noProof/>
          <w:color w:val="000000" w:themeColor="text1"/>
          <w:sz w:val="24"/>
          <w:szCs w:val="24"/>
        </w:rPr>
        <w:t xml:space="preserve"> The study also shows that current EU IP framework and the European Patent Convention appear broadly suitable to address the challenges raised by AI-assisted inventions and creations. Howeve</w:t>
      </w:r>
      <w:r>
        <w:rPr>
          <w:rFonts w:ascii="Times New Roman" w:eastAsia="Times New Roman" w:hAnsi="Times New Roman" w:cs="Times New Roman"/>
          <w:noProof/>
          <w:color w:val="000000" w:themeColor="text1"/>
          <w:sz w:val="24"/>
          <w:szCs w:val="24"/>
        </w:rPr>
        <w:t>r, harmonisation gaps</w:t>
      </w:r>
      <w:r>
        <w:rPr>
          <w:rStyle w:val="FootnoteReference"/>
          <w:rFonts w:ascii="Times New Roman" w:eastAsia="Times New Roman" w:hAnsi="Times New Roman" w:cs="Times New Roman"/>
          <w:noProof/>
          <w:color w:val="000000" w:themeColor="text1"/>
          <w:sz w:val="24"/>
          <w:szCs w:val="24"/>
        </w:rPr>
        <w:footnoteReference w:id="46"/>
      </w:r>
      <w:r>
        <w:rPr>
          <w:rFonts w:ascii="Times New Roman" w:eastAsia="Times New Roman" w:hAnsi="Times New Roman" w:cs="Times New Roman"/>
          <w:noProof/>
          <w:color w:val="000000" w:themeColor="text1"/>
          <w:sz w:val="24"/>
          <w:szCs w:val="24"/>
        </w:rPr>
        <w:t xml:space="preserve"> and room for improvement remain.</w:t>
      </w:r>
      <w:r>
        <w:rPr>
          <w:rStyle w:val="FootnoteReference"/>
          <w:rFonts w:ascii="Times New Roman" w:eastAsia="Times New Roman" w:hAnsi="Times New Roman" w:cs="Times New Roman"/>
          <w:noProof/>
          <w:color w:val="000000" w:themeColor="text1"/>
          <w:sz w:val="24"/>
          <w:szCs w:val="24"/>
        </w:rPr>
        <w:footnoteReference w:id="47"/>
      </w:r>
      <w:r>
        <w:rPr>
          <w:rFonts w:ascii="Times New Roman" w:eastAsia="Times New Roman" w:hAnsi="Times New Roman" w:cs="Times New Roman"/>
          <w:noProof/>
          <w:color w:val="000000" w:themeColor="text1"/>
          <w:sz w:val="24"/>
          <w:szCs w:val="24"/>
        </w:rPr>
        <w:t xml:space="preserve"> These should be addressed in order for European excellence to blossom in AI. As a first step, the Commission will map and  analyse all issues and engage in stakeholder discussions. The aforementioned</w:t>
      </w:r>
      <w:r>
        <w:rPr>
          <w:rFonts w:ascii="Times New Roman" w:eastAsia="Times New Roman" w:hAnsi="Times New Roman" w:cs="Times New Roman"/>
          <w:noProof/>
          <w:color w:val="000000" w:themeColor="text1"/>
          <w:sz w:val="24"/>
          <w:szCs w:val="24"/>
        </w:rPr>
        <w:t xml:space="preserve"> industry dialogue could offer a useful forum in this context.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Finally, the Commission will </w:t>
      </w:r>
      <w:r>
        <w:rPr>
          <w:rFonts w:ascii="Times New Roman" w:eastAsia="Times New Roman" w:hAnsi="Times New Roman" w:cs="Times New Roman"/>
          <w:b/>
          <w:bCs/>
          <w:noProof/>
          <w:color w:val="000000" w:themeColor="text1"/>
          <w:sz w:val="24"/>
          <w:szCs w:val="24"/>
        </w:rPr>
        <w:t xml:space="preserve"> ensure a coherent and cutting-edge application of the rules</w:t>
      </w:r>
      <w:r>
        <w:rPr>
          <w:rFonts w:ascii="Times New Roman" w:eastAsia="Times New Roman" w:hAnsi="Times New Roman" w:cs="Times New Roman"/>
          <w:noProof/>
          <w:color w:val="000000" w:themeColor="text1"/>
          <w:sz w:val="24"/>
          <w:szCs w:val="24"/>
        </w:rPr>
        <w:t>, in co-operation with Member States and stakeholders.</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lastRenderedPageBreak/>
        <w:t xml:space="preserve">In the area of </w:t>
      </w:r>
      <w:r>
        <w:rPr>
          <w:rFonts w:ascii="Times New Roman" w:eastAsia="Times New Roman" w:hAnsi="Times New Roman" w:cs="Times New Roman"/>
          <w:b/>
          <w:bCs/>
          <w:noProof/>
          <w:color w:val="000000" w:themeColor="text1"/>
          <w:sz w:val="24"/>
          <w:szCs w:val="24"/>
        </w:rPr>
        <w:t>copyright</w:t>
      </w:r>
      <w:r>
        <w:rPr>
          <w:rFonts w:ascii="Times New Roman" w:eastAsia="Times New Roman" w:hAnsi="Times New Roman" w:cs="Times New Roman"/>
          <w:noProof/>
          <w:color w:val="000000" w:themeColor="text1"/>
          <w:sz w:val="24"/>
          <w:szCs w:val="24"/>
        </w:rPr>
        <w:t>, the Commission is focu</w:t>
      </w:r>
      <w:r>
        <w:rPr>
          <w:rFonts w:ascii="Times New Roman" w:eastAsia="Times New Roman" w:hAnsi="Times New Roman" w:cs="Times New Roman"/>
          <w:noProof/>
          <w:color w:val="000000" w:themeColor="text1"/>
          <w:sz w:val="24"/>
          <w:szCs w:val="24"/>
        </w:rPr>
        <w:t>sing on supporting the timely and effective transposition and implementation of the two newly adopted directives on the modernisation of the EU's copyright framework</w:t>
      </w:r>
      <w:r>
        <w:rPr>
          <w:rStyle w:val="FootnoteReference"/>
          <w:rFonts w:ascii="Times New Roman" w:eastAsia="Times New Roman" w:hAnsi="Times New Roman" w:cs="Times New Roman"/>
          <w:noProof/>
          <w:color w:val="000000" w:themeColor="text1"/>
          <w:sz w:val="24"/>
          <w:szCs w:val="24"/>
        </w:rPr>
        <w:footnoteReference w:id="48"/>
      </w:r>
      <w:r>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noProof/>
        </w:rPr>
        <w:t xml:space="preserve"> </w:t>
      </w:r>
      <w:r>
        <w:rPr>
          <w:rFonts w:ascii="Times New Roman" w:eastAsia="Times New Roman" w:hAnsi="Times New Roman" w:cs="Times New Roman"/>
          <w:noProof/>
          <w:color w:val="000000" w:themeColor="text1"/>
          <w:sz w:val="24"/>
          <w:szCs w:val="24"/>
        </w:rPr>
        <w:t>A crucial part of this work concerns the implementation of Article 17 of the Copyright D</w:t>
      </w:r>
      <w:r>
        <w:rPr>
          <w:rFonts w:ascii="Times New Roman" w:eastAsia="Times New Roman" w:hAnsi="Times New Roman" w:cs="Times New Roman"/>
          <w:noProof/>
          <w:color w:val="000000" w:themeColor="text1"/>
          <w:sz w:val="24"/>
          <w:szCs w:val="24"/>
        </w:rPr>
        <w:t>irective, which sets out a specific legal regime for the use of copyright-protected content by user-uploaded content sharing platforms. The Commission has carried out an extensive stakeholder dialogue to gather the views of relevant stakeholders on the mai</w:t>
      </w:r>
      <w:r>
        <w:rPr>
          <w:rFonts w:ascii="Times New Roman" w:eastAsia="Times New Roman" w:hAnsi="Times New Roman" w:cs="Times New Roman"/>
          <w:noProof/>
          <w:color w:val="000000" w:themeColor="text1"/>
          <w:sz w:val="24"/>
          <w:szCs w:val="24"/>
        </w:rPr>
        <w:t>n topics related to this article's application. Taking into account the results of the dialogue, the Commission will soon issue guidance to support Member States in implementing this provision. In relation to the existing EU copyright framework, the Commis</w:t>
      </w:r>
      <w:r>
        <w:rPr>
          <w:rFonts w:ascii="Times New Roman" w:eastAsia="Times New Roman" w:hAnsi="Times New Roman" w:cs="Times New Roman"/>
          <w:noProof/>
          <w:color w:val="000000" w:themeColor="text1"/>
          <w:sz w:val="24"/>
          <w:szCs w:val="24"/>
        </w:rPr>
        <w:t>sion will also work on a number of reports stemming from specific provisions such as review clauses set out in several EU copyright instruments, including the Term of Protection Directive, the Collective Rights Management Directive, the so-called “Marrakes</w:t>
      </w:r>
      <w:r>
        <w:rPr>
          <w:rFonts w:ascii="Times New Roman" w:eastAsia="Times New Roman" w:hAnsi="Times New Roman" w:cs="Times New Roman"/>
          <w:noProof/>
          <w:color w:val="000000" w:themeColor="text1"/>
          <w:sz w:val="24"/>
          <w:szCs w:val="24"/>
        </w:rPr>
        <w:t>h” Directive, and the Portability Regulation</w:t>
      </w:r>
      <w:r>
        <w:rPr>
          <w:rStyle w:val="FootnoteReference"/>
          <w:rFonts w:ascii="Times New Roman" w:eastAsia="Times New Roman" w:hAnsi="Times New Roman" w:cs="Times New Roman"/>
          <w:noProof/>
          <w:color w:val="000000" w:themeColor="text1"/>
          <w:sz w:val="24"/>
          <w:szCs w:val="24"/>
        </w:rPr>
        <w:footnoteReference w:id="49"/>
      </w:r>
      <w:r>
        <w:rPr>
          <w:rFonts w:ascii="Times New Roman" w:eastAsia="Times New Roman" w:hAnsi="Times New Roman" w:cs="Times New Roman"/>
          <w:noProof/>
          <w:color w:val="000000" w:themeColor="text1"/>
          <w:sz w:val="24"/>
          <w:szCs w:val="24"/>
        </w:rPr>
        <w:t>.</w:t>
      </w:r>
    </w:p>
    <w:p w:rsidR="009C2369" w:rsidRDefault="00FC21F0">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For</w:t>
      </w:r>
      <w:r>
        <w:rPr>
          <w:rFonts w:ascii="Times New Roman" w:hAnsi="Times New Roman"/>
          <w:noProof/>
          <w:color w:val="000000" w:themeColor="text1"/>
          <w:sz w:val="24"/>
        </w:rPr>
        <w:t xml:space="preserve"> the </w:t>
      </w:r>
      <w:r>
        <w:rPr>
          <w:rFonts w:ascii="Times New Roman" w:eastAsia="Times New Roman" w:hAnsi="Times New Roman" w:cs="Times New Roman"/>
          <w:noProof/>
          <w:color w:val="000000" w:themeColor="text1"/>
          <w:sz w:val="24"/>
          <w:szCs w:val="24"/>
        </w:rPr>
        <w:t>quickly developing biotech market, the application of</w:t>
      </w:r>
      <w:r>
        <w:rPr>
          <w:rFonts w:ascii="Times New Roman" w:hAnsi="Times New Roman"/>
          <w:noProof/>
          <w:color w:val="000000" w:themeColor="text1"/>
          <w:sz w:val="24"/>
        </w:rPr>
        <w:t xml:space="preserve"> </w:t>
      </w:r>
      <w:r>
        <w:rPr>
          <w:rFonts w:ascii="Times New Roman" w:eastAsia="Times New Roman" w:hAnsi="Times New Roman" w:cs="Times New Roman"/>
          <w:noProof/>
          <w:color w:val="000000" w:themeColor="text1"/>
          <w:sz w:val="24"/>
          <w:szCs w:val="24"/>
          <w:lang w:val="en-US"/>
        </w:rPr>
        <w:t xml:space="preserve">the </w:t>
      </w:r>
      <w:r>
        <w:rPr>
          <w:rFonts w:ascii="Times New Roman" w:eastAsia="Times New Roman" w:hAnsi="Times New Roman" w:cs="Times New Roman"/>
          <w:b/>
          <w:bCs/>
          <w:noProof/>
          <w:color w:val="000000" w:themeColor="text1"/>
          <w:sz w:val="24"/>
          <w:szCs w:val="24"/>
          <w:lang w:val="en-US"/>
        </w:rPr>
        <w:t>Biotech Directive</w:t>
      </w:r>
      <w:r>
        <w:rPr>
          <w:rStyle w:val="FootnoteReference"/>
          <w:rFonts w:ascii="Times New Roman" w:eastAsia="Times New Roman" w:hAnsi="Times New Roman" w:cs="Times New Roman"/>
          <w:noProof/>
          <w:color w:val="000000" w:themeColor="text1"/>
          <w:sz w:val="24"/>
          <w:szCs w:val="24"/>
          <w:lang w:val="en-US"/>
        </w:rPr>
        <w:footnoteReference w:id="50"/>
      </w:r>
      <w:r>
        <w:rPr>
          <w:rFonts w:ascii="Times New Roman" w:eastAsia="Times New Roman" w:hAnsi="Times New Roman" w:cs="Times New Roman"/>
          <w:noProof/>
          <w:color w:val="000000" w:themeColor="text1"/>
          <w:sz w:val="24"/>
          <w:szCs w:val="24"/>
          <w:lang w:val="en-US"/>
        </w:rPr>
        <w:t xml:space="preserve"> is key. </w:t>
      </w:r>
      <w:r>
        <w:rPr>
          <w:rFonts w:ascii="Times New Roman" w:eastAsia="Times New Roman" w:hAnsi="Times New Roman" w:cs="Times New Roman"/>
          <w:noProof/>
          <w:color w:val="000000" w:themeColor="text1"/>
          <w:sz w:val="24"/>
          <w:szCs w:val="24"/>
        </w:rPr>
        <w:t xml:space="preserve">Biotech patents offer crucial incentives, but should be issued in justified circumstances. The Biotech Directive </w:t>
      </w:r>
      <w:r>
        <w:rPr>
          <w:rFonts w:ascii="Times New Roman" w:eastAsia="Times New Roman" w:hAnsi="Times New Roman" w:cs="Times New Roman"/>
          <w:noProof/>
          <w:color w:val="000000" w:themeColor="text1"/>
          <w:sz w:val="24"/>
          <w:szCs w:val="24"/>
        </w:rPr>
        <w:t>offers a balanced framework in this respect, whose application will continue to be monitored by the Commission.</w:t>
      </w:r>
      <w:r>
        <w:rPr>
          <w:rStyle w:val="FootnoteReference"/>
          <w:rFonts w:ascii="Times New Roman" w:eastAsia="Times New Roman" w:hAnsi="Times New Roman" w:cs="Times New Roman"/>
          <w:noProof/>
          <w:color w:val="000000" w:themeColor="text1"/>
          <w:sz w:val="24"/>
          <w:szCs w:val="24"/>
        </w:rPr>
        <w:footnoteReference w:id="51"/>
      </w:r>
    </w:p>
    <w:p w:rsidR="009C2369" w:rsidRDefault="00FC21F0">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color w:val="000000" w:themeColor="text1"/>
        </w:rPr>
      </w:pPr>
      <w:r>
        <w:rPr>
          <w:rFonts w:ascii="Times New Roman" w:eastAsia="Times New Roman" w:hAnsi="Times New Roman" w:cs="Times New Roman"/>
          <w:b/>
          <w:bCs/>
          <w:noProof/>
          <w:color w:val="000000" w:themeColor="text1"/>
          <w:sz w:val="24"/>
          <w:szCs w:val="24"/>
        </w:rPr>
        <w:t>To improve the way IPRs are protected in the EU, the Commission will:</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support a rapid roll out of the </w:t>
      </w:r>
      <w:r>
        <w:rPr>
          <w:rFonts w:ascii="Times New Roman" w:eastAsia="Times New Roman" w:hAnsi="Times New Roman" w:cs="Times New Roman"/>
          <w:b/>
          <w:bCs/>
          <w:noProof/>
          <w:color w:val="000000" w:themeColor="text1"/>
          <w:sz w:val="24"/>
          <w:szCs w:val="24"/>
        </w:rPr>
        <w:t>unitary patent</w:t>
      </w:r>
      <w:r>
        <w:rPr>
          <w:rFonts w:ascii="Times New Roman" w:eastAsia="Times New Roman" w:hAnsi="Times New Roman" w:cs="Times New Roman"/>
          <w:noProof/>
          <w:color w:val="000000" w:themeColor="text1"/>
          <w:sz w:val="24"/>
          <w:szCs w:val="24"/>
        </w:rPr>
        <w:t xml:space="preserve"> system, to create a one-st</w:t>
      </w:r>
      <w:r>
        <w:rPr>
          <w:rFonts w:ascii="Times New Roman" w:eastAsia="Times New Roman" w:hAnsi="Times New Roman" w:cs="Times New Roman"/>
          <w:noProof/>
          <w:color w:val="000000" w:themeColor="text1"/>
          <w:sz w:val="24"/>
          <w:szCs w:val="24"/>
        </w:rPr>
        <w:t>op-shop for patent protection and enforcement across the EU (2021),</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optimise the </w:t>
      </w:r>
      <w:r>
        <w:rPr>
          <w:rFonts w:ascii="Times New Roman" w:eastAsia="Times New Roman" w:hAnsi="Times New Roman" w:cs="Times New Roman"/>
          <w:b/>
          <w:bCs/>
          <w:noProof/>
          <w:color w:val="000000" w:themeColor="text1"/>
          <w:sz w:val="24"/>
          <w:szCs w:val="24"/>
        </w:rPr>
        <w:t xml:space="preserve">supplementary protection certificates system, </w:t>
      </w:r>
      <w:r>
        <w:rPr>
          <w:rFonts w:ascii="Times New Roman" w:eastAsia="Times New Roman" w:hAnsi="Times New Roman" w:cs="Times New Roman"/>
          <w:noProof/>
          <w:color w:val="000000" w:themeColor="text1"/>
          <w:sz w:val="24"/>
          <w:szCs w:val="24"/>
        </w:rPr>
        <w:t xml:space="preserve">to make it more transparent and efficient (Q1 2022), </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eastAsia="Times New Roman" w:hAnsi="Times New Roman" w:cs="Times New Roman"/>
          <w:noProof/>
          <w:color w:val="000000" w:themeColor="text1"/>
          <w:sz w:val="24"/>
          <w:szCs w:val="24"/>
        </w:rPr>
        <w:t xml:space="preserve">modernise the EU legislation on </w:t>
      </w:r>
      <w:r>
        <w:rPr>
          <w:rFonts w:ascii="Times New Roman" w:eastAsia="Times New Roman" w:hAnsi="Times New Roman" w:cs="Times New Roman"/>
          <w:b/>
          <w:bCs/>
          <w:noProof/>
          <w:color w:val="000000" w:themeColor="text1"/>
          <w:sz w:val="24"/>
          <w:szCs w:val="24"/>
        </w:rPr>
        <w:t>industrial designs</w:t>
      </w:r>
      <w:r>
        <w:rPr>
          <w:rFonts w:ascii="Times New Roman" w:eastAsia="Times New Roman" w:hAnsi="Times New Roman" w:cs="Times New Roman"/>
          <w:noProof/>
          <w:color w:val="000000" w:themeColor="text1"/>
          <w:sz w:val="24"/>
          <w:szCs w:val="24"/>
        </w:rPr>
        <w:t xml:space="preserve">, to make it more </w:t>
      </w:r>
      <w:r>
        <w:rPr>
          <w:rFonts w:ascii="Times New Roman" w:eastAsia="Times New Roman" w:hAnsi="Times New Roman" w:cs="Times New Roman"/>
          <w:noProof/>
          <w:color w:val="000000" w:themeColor="text1"/>
          <w:sz w:val="24"/>
          <w:szCs w:val="24"/>
        </w:rPr>
        <w:t>accessible and better support the transition to the digital and green economy (Q4 2021),</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eastAsia="Times New Roman" w:hAnsi="Times New Roman" w:cs="Times New Roman"/>
          <w:noProof/>
          <w:color w:val="000000" w:themeColor="text1"/>
          <w:sz w:val="24"/>
          <w:szCs w:val="24"/>
        </w:rPr>
        <w:t xml:space="preserve">strengthen the protection system for </w:t>
      </w:r>
      <w:r>
        <w:rPr>
          <w:rFonts w:ascii="Times New Roman" w:eastAsia="Times New Roman" w:hAnsi="Times New Roman" w:cs="Times New Roman"/>
          <w:b/>
          <w:bCs/>
          <w:noProof/>
          <w:color w:val="000000" w:themeColor="text1"/>
          <w:sz w:val="24"/>
          <w:szCs w:val="24"/>
        </w:rPr>
        <w:t>geographical indications for agricultural products</w:t>
      </w:r>
      <w:r>
        <w:rPr>
          <w:rFonts w:ascii="Times New Roman" w:eastAsia="Times New Roman" w:hAnsi="Times New Roman" w:cs="Times New Roman"/>
          <w:noProof/>
          <w:color w:val="000000" w:themeColor="text1"/>
          <w:sz w:val="24"/>
          <w:szCs w:val="24"/>
        </w:rPr>
        <w:t xml:space="preserve"> to make it more effective and consider, on the basis of an impact assessment, w</w:t>
      </w:r>
      <w:r>
        <w:rPr>
          <w:rFonts w:ascii="Times New Roman" w:eastAsia="Times New Roman" w:hAnsi="Times New Roman" w:cs="Times New Roman"/>
          <w:noProof/>
          <w:color w:val="000000" w:themeColor="text1"/>
          <w:sz w:val="24"/>
          <w:szCs w:val="24"/>
        </w:rPr>
        <w:t xml:space="preserve">hether to propose an EU protection system for </w:t>
      </w:r>
      <w:r>
        <w:rPr>
          <w:rFonts w:ascii="Times New Roman" w:eastAsia="Times New Roman" w:hAnsi="Times New Roman" w:cs="Times New Roman"/>
          <w:b/>
          <w:bCs/>
          <w:noProof/>
          <w:color w:val="000000" w:themeColor="text1"/>
          <w:sz w:val="24"/>
          <w:szCs w:val="24"/>
        </w:rPr>
        <w:t>non-agricultural geographical indications</w:t>
      </w:r>
      <w:r>
        <w:rPr>
          <w:rFonts w:ascii="Times New Roman" w:eastAsia="Times New Roman" w:hAnsi="Times New Roman" w:cs="Times New Roman"/>
          <w:noProof/>
          <w:color w:val="000000" w:themeColor="text1"/>
          <w:sz w:val="24"/>
          <w:szCs w:val="24"/>
        </w:rPr>
        <w:t xml:space="preserve"> (Q4 2021), </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noProof/>
        </w:rPr>
      </w:pPr>
      <w:r>
        <w:rPr>
          <w:rFonts w:ascii="Times New Roman" w:eastAsia="Times New Roman" w:hAnsi="Times New Roman" w:cs="Times New Roman"/>
          <w:noProof/>
          <w:color w:val="000000" w:themeColor="text1"/>
          <w:sz w:val="24"/>
          <w:szCs w:val="24"/>
        </w:rPr>
        <w:t xml:space="preserve">evaluate the </w:t>
      </w:r>
      <w:r>
        <w:rPr>
          <w:rFonts w:ascii="Times New Roman" w:eastAsia="Times New Roman" w:hAnsi="Times New Roman" w:cs="Times New Roman"/>
          <w:b/>
          <w:noProof/>
          <w:color w:val="000000" w:themeColor="text1"/>
          <w:sz w:val="24"/>
          <w:szCs w:val="24"/>
        </w:rPr>
        <w:t>plant variety legislation</w:t>
      </w:r>
      <w:r>
        <w:rPr>
          <w:rFonts w:ascii="Times New Roman" w:eastAsia="Times New Roman" w:hAnsi="Times New Roman" w:cs="Times New Roman"/>
          <w:noProof/>
          <w:color w:val="000000" w:themeColor="text1"/>
          <w:sz w:val="24"/>
          <w:szCs w:val="24"/>
        </w:rPr>
        <w:t xml:space="preserve"> (Q4 2022).</w:t>
      </w:r>
    </w:p>
    <w:p w:rsidR="009C2369" w:rsidRDefault="00FC21F0">
      <w:pPr>
        <w:pStyle w:val="ListParagraph"/>
        <w:numPr>
          <w:ilvl w:val="0"/>
          <w:numId w:val="7"/>
        </w:numPr>
        <w:spacing w:before="360" w:after="120" w:line="240" w:lineRule="auto"/>
        <w:ind w:left="357" w:hanging="357"/>
        <w:contextualSpacing w:val="0"/>
        <w:jc w:val="both"/>
        <w:rPr>
          <w:rFonts w:ascii="Times New Roman" w:eastAsia="Times New Roman" w:hAnsi="Times New Roman" w:cs="Times New Roman"/>
          <w:b/>
          <w:bCs/>
          <w:smallCaps/>
          <w:noProof/>
          <w:color w:val="000000" w:themeColor="text1"/>
          <w:sz w:val="28"/>
          <w:szCs w:val="28"/>
        </w:rPr>
      </w:pPr>
      <w:r>
        <w:rPr>
          <w:rFonts w:ascii="Times New Roman" w:eastAsia="Times New Roman" w:hAnsi="Times New Roman" w:cs="Times New Roman"/>
          <w:b/>
          <w:bCs/>
          <w:smallCaps/>
          <w:noProof/>
          <w:color w:val="000000" w:themeColor="text1"/>
          <w:sz w:val="28"/>
          <w:szCs w:val="28"/>
        </w:rPr>
        <w:t xml:space="preserve">Promoting an effective use and deployment of IP, in particular by SMEs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lastRenderedPageBreak/>
        <w:t xml:space="preserve">While smart IP strategies can act </w:t>
      </w:r>
      <w:r>
        <w:rPr>
          <w:rFonts w:ascii="Times New Roman" w:eastAsia="Times New Roman" w:hAnsi="Times New Roman" w:cs="Times New Roman"/>
          <w:noProof/>
          <w:color w:val="000000" w:themeColor="text1"/>
          <w:sz w:val="24"/>
          <w:szCs w:val="24"/>
        </w:rPr>
        <w:t>as a catalyst for growth, European innovators and creators often fail to grasp the benefits of IP. This critically undermines the EU’s capacity to innovate and bolster its resilience in key areas of the economy.</w:t>
      </w:r>
      <w:r>
        <w:rPr>
          <w:noProof/>
        </w:rPr>
        <w:t xml:space="preserve"> </w:t>
      </w:r>
      <w:r>
        <w:rPr>
          <w:rFonts w:ascii="Times New Roman" w:eastAsia="Times New Roman" w:hAnsi="Times New Roman" w:cs="Times New Roman"/>
          <w:noProof/>
          <w:color w:val="000000" w:themeColor="text1"/>
          <w:sz w:val="24"/>
          <w:szCs w:val="24"/>
        </w:rPr>
        <w:t>Europe should further capitalise on the valu</w:t>
      </w:r>
      <w:r>
        <w:rPr>
          <w:rFonts w:ascii="Times New Roman" w:eastAsia="Times New Roman" w:hAnsi="Times New Roman" w:cs="Times New Roman"/>
          <w:noProof/>
          <w:color w:val="000000" w:themeColor="text1"/>
          <w:sz w:val="24"/>
          <w:szCs w:val="24"/>
        </w:rPr>
        <w:t>e of the knowledge our companies constantly create, develop and share, by</w:t>
      </w:r>
      <w:r>
        <w:rPr>
          <w:noProof/>
        </w:rPr>
        <w:t xml:space="preserve"> </w:t>
      </w:r>
      <w:r>
        <w:rPr>
          <w:rFonts w:ascii="Times New Roman" w:eastAsia="Times New Roman" w:hAnsi="Times New Roman" w:cs="Times New Roman"/>
          <w:noProof/>
          <w:color w:val="000000" w:themeColor="text1"/>
          <w:sz w:val="24"/>
          <w:szCs w:val="24"/>
        </w:rPr>
        <w:t>helping them manage these assets more actively, and facilitating better access to equity and financing.</w:t>
      </w:r>
    </w:p>
    <w:p w:rsidR="009C2369" w:rsidRDefault="00FC21F0">
      <w:pPr>
        <w:keepNext/>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To achieve this, the Commission will: </w:t>
      </w:r>
    </w:p>
    <w:p w:rsidR="009C2369" w:rsidRDefault="00FC21F0">
      <w:pPr>
        <w:numPr>
          <w:ilvl w:val="0"/>
          <w:numId w:val="45"/>
        </w:numPr>
        <w:spacing w:after="120" w:line="240" w:lineRule="auto"/>
        <w:ind w:left="714" w:hanging="357"/>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rPr>
        <w:t xml:space="preserve">In the short-term, </w:t>
      </w:r>
      <w:r>
        <w:rPr>
          <w:rFonts w:ascii="Times New Roman" w:eastAsia="Times New Roman" w:hAnsi="Times New Roman" w:cs="Times New Roman"/>
          <w:noProof/>
          <w:color w:val="000000" w:themeColor="text1"/>
          <w:sz w:val="24"/>
          <w:szCs w:val="24"/>
          <w:lang w:val="en-US"/>
        </w:rPr>
        <w:t>together with the EU</w:t>
      </w:r>
      <w:r>
        <w:rPr>
          <w:rFonts w:ascii="Times New Roman" w:eastAsia="Times New Roman" w:hAnsi="Times New Roman" w:cs="Times New Roman"/>
          <w:noProof/>
          <w:color w:val="000000" w:themeColor="text1"/>
          <w:sz w:val="24"/>
          <w:szCs w:val="24"/>
          <w:lang w:val="en-US"/>
        </w:rPr>
        <w:t xml:space="preserve">IPO, offer financial support or </w:t>
      </w:r>
      <w:r>
        <w:rPr>
          <w:rFonts w:ascii="Times New Roman" w:eastAsia="Times New Roman" w:hAnsi="Times New Roman" w:cs="Times New Roman"/>
          <w:b/>
          <w:bCs/>
          <w:noProof/>
          <w:color w:val="000000" w:themeColor="text1"/>
          <w:sz w:val="24"/>
          <w:szCs w:val="24"/>
          <w:lang w:val="en-US"/>
        </w:rPr>
        <w:t>IP vouchers</w:t>
      </w:r>
      <w:r>
        <w:rPr>
          <w:rFonts w:ascii="Times New Roman" w:eastAsia="Times New Roman" w:hAnsi="Times New Roman" w:cs="Times New Roman"/>
          <w:noProof/>
          <w:color w:val="000000" w:themeColor="text1"/>
          <w:sz w:val="24"/>
          <w:szCs w:val="24"/>
          <w:lang w:val="en-US"/>
        </w:rPr>
        <w:t xml:space="preserve"> for SMEs impacted by the COVID-19 crisis, helping them to manage their IP portfolios. The scheme, with a budget of EUR 20 million</w:t>
      </w:r>
      <w:r>
        <w:rPr>
          <w:rStyle w:val="FootnoteReference"/>
          <w:rFonts w:ascii="Times New Roman" w:eastAsia="Times New Roman" w:hAnsi="Times New Roman" w:cs="Times New Roman"/>
          <w:noProof/>
          <w:color w:val="000000" w:themeColor="text1"/>
          <w:sz w:val="24"/>
          <w:szCs w:val="24"/>
          <w:lang w:val="en-US"/>
        </w:rPr>
        <w:footnoteReference w:id="52"/>
      </w:r>
      <w:r>
        <w:rPr>
          <w:rFonts w:ascii="Times New Roman" w:eastAsia="Times New Roman" w:hAnsi="Times New Roman" w:cs="Times New Roman"/>
          <w:noProof/>
          <w:color w:val="000000" w:themeColor="text1"/>
          <w:sz w:val="24"/>
          <w:szCs w:val="24"/>
          <w:lang w:val="en-US"/>
        </w:rPr>
        <w:t xml:space="preserve"> for one year, should become operational as from 1 January 2021 and will cover partial reimbursements for trade mark and design registration and for an</w:t>
      </w:r>
      <w:r>
        <w:rPr>
          <w:rFonts w:ascii="Times New Roman" w:eastAsiaTheme="majorEastAsia" w:hAnsi="Times New Roman" w:cs="Times New Roman"/>
          <w:b/>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IP scan (a review of the intangible assets of a company by a professional and some initial advice on how</w:t>
      </w:r>
      <w:r>
        <w:rPr>
          <w:rFonts w:ascii="Times New Roman" w:eastAsia="Times New Roman" w:hAnsi="Times New Roman" w:cs="Times New Roman"/>
          <w:noProof/>
          <w:color w:val="000000" w:themeColor="text1"/>
          <w:sz w:val="24"/>
          <w:szCs w:val="24"/>
        </w:rPr>
        <w:t xml:space="preserve"> to manage those assets strategically).</w:t>
      </w:r>
      <w:r>
        <w:rPr>
          <w:rFonts w:ascii="Times New Roman" w:eastAsia="Times New Roman" w:hAnsi="Times New Roman" w:cs="Times New Roman"/>
          <w:noProof/>
          <w:color w:val="000000" w:themeColor="text1"/>
          <w:sz w:val="24"/>
          <w:szCs w:val="24"/>
          <w:vertAlign w:val="superscript"/>
        </w:rPr>
        <w:t xml:space="preserve"> </w:t>
      </w:r>
    </w:p>
    <w:p w:rsidR="009C2369" w:rsidRDefault="00FC21F0">
      <w:pPr>
        <w:numPr>
          <w:ilvl w:val="0"/>
          <w:numId w:val="45"/>
        </w:numPr>
        <w:spacing w:after="120" w:line="240" w:lineRule="auto"/>
        <w:jc w:val="both"/>
        <w:rPr>
          <w:noProof/>
        </w:rPr>
      </w:pPr>
      <w:r>
        <w:rPr>
          <w:rFonts w:ascii="Times New Roman" w:eastAsiaTheme="majorEastAsia" w:hAnsi="Times New Roman" w:cs="Times New Roman"/>
          <w:noProof/>
          <w:color w:val="000000" w:themeColor="text1"/>
          <w:sz w:val="24"/>
          <w:szCs w:val="24"/>
          <w:lang w:val="en-US"/>
        </w:rPr>
        <w:t xml:space="preserve">In parallel, it </w:t>
      </w:r>
      <w:r>
        <w:rPr>
          <w:rFonts w:ascii="Times New Roman" w:eastAsiaTheme="majorEastAsia" w:hAnsi="Times New Roman" w:cs="Times New Roman"/>
          <w:noProof/>
          <w:color w:val="000000" w:themeColor="text1"/>
          <w:sz w:val="24"/>
          <w:szCs w:val="24"/>
        </w:rPr>
        <w:t>will further roll out</w:t>
      </w:r>
      <w:r>
        <w:rPr>
          <w:rStyle w:val="FootnoteReference"/>
          <w:rFonts w:ascii="Times New Roman" w:eastAsiaTheme="majorEastAsia" w:hAnsi="Times New Roman" w:cs="Times New Roman"/>
          <w:noProof/>
          <w:color w:val="000000" w:themeColor="text1"/>
          <w:sz w:val="24"/>
          <w:szCs w:val="24"/>
        </w:rPr>
        <w:footnoteReference w:id="53"/>
      </w:r>
      <w:r>
        <w:rPr>
          <w:rFonts w:ascii="Times New Roman" w:eastAsiaTheme="majorEastAsia" w:hAnsi="Times New Roman" w:cs="Times New Roman"/>
          <w:noProof/>
          <w:color w:val="000000" w:themeColor="text1"/>
          <w:sz w:val="24"/>
          <w:szCs w:val="24"/>
        </w:rPr>
        <w:t xml:space="preserve"> tailor-made </w:t>
      </w:r>
      <w:r>
        <w:rPr>
          <w:rFonts w:ascii="Times New Roman" w:eastAsiaTheme="majorEastAsia" w:hAnsi="Times New Roman" w:cs="Times New Roman"/>
          <w:b/>
          <w:noProof/>
          <w:color w:val="000000" w:themeColor="text1"/>
          <w:sz w:val="24"/>
          <w:szCs w:val="24"/>
        </w:rPr>
        <w:t xml:space="preserve">IP advice </w:t>
      </w:r>
      <w:r>
        <w:rPr>
          <w:rFonts w:ascii="Times New Roman" w:hAnsi="Times New Roman"/>
          <w:noProof/>
          <w:color w:val="000000" w:themeColor="text1"/>
          <w:sz w:val="24"/>
        </w:rPr>
        <w:t xml:space="preserve">in the </w:t>
      </w:r>
      <w:r>
        <w:rPr>
          <w:rFonts w:ascii="Times New Roman" w:eastAsiaTheme="majorEastAsia" w:hAnsi="Times New Roman" w:cs="Times New Roman"/>
          <w:noProof/>
          <w:color w:val="000000" w:themeColor="text1"/>
          <w:sz w:val="24"/>
          <w:szCs w:val="24"/>
        </w:rPr>
        <w:t>Horizon Europe programme, assisting innovative businesses at different stages of the R&amp;I process. It will also explore possibilities to expand IP a</w:t>
      </w:r>
      <w:r>
        <w:rPr>
          <w:rFonts w:ascii="Times New Roman" w:eastAsiaTheme="majorEastAsia" w:hAnsi="Times New Roman" w:cs="Times New Roman"/>
          <w:noProof/>
          <w:color w:val="000000" w:themeColor="text1"/>
          <w:sz w:val="24"/>
          <w:szCs w:val="24"/>
        </w:rPr>
        <w:t>dvice to other EU research and investment programmes, including the advisory hub under InvestEU. For a selected group of very innovative companies, the Commission will combine strategic advice with financial support to develop IP portfolios</w:t>
      </w:r>
      <w:r>
        <w:rPr>
          <w:rFonts w:ascii="Times New Roman" w:eastAsiaTheme="majorEastAsia" w:hAnsi="Times New Roman" w:cs="Times New Roman"/>
          <w:noProof/>
          <w:color w:val="000000" w:themeColor="text1"/>
          <w:sz w:val="24"/>
          <w:szCs w:val="24"/>
          <w:vertAlign w:val="superscript"/>
        </w:rPr>
        <w:footnoteReference w:id="54"/>
      </w:r>
      <w:r>
        <w:rPr>
          <w:rFonts w:ascii="Times New Roman" w:eastAsiaTheme="majorEastAsia" w:hAnsi="Times New Roman" w:cs="Times New Roman"/>
          <w:noProof/>
          <w:color w:val="000000" w:themeColor="text1"/>
          <w:sz w:val="24"/>
          <w:szCs w:val="24"/>
        </w:rPr>
        <w:t>.</w:t>
      </w:r>
    </w:p>
    <w:p w:rsidR="009C2369" w:rsidRDefault="00FC21F0">
      <w:pPr>
        <w:numPr>
          <w:ilvl w:val="0"/>
          <w:numId w:val="45"/>
        </w:num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More broadly,</w:t>
      </w:r>
      <w:r>
        <w:rPr>
          <w:rFonts w:ascii="Times New Roman" w:eastAsia="Times New Roman" w:hAnsi="Times New Roman" w:cs="Times New Roman"/>
          <w:noProof/>
          <w:color w:val="000000" w:themeColor="text1"/>
          <w:sz w:val="24"/>
          <w:szCs w:val="24"/>
        </w:rPr>
        <w:t xml:space="preserve"> and in cooperation with the EUIPO, provide one-stop shop access to information and advice about IP</w:t>
      </w:r>
      <w:r>
        <w:rPr>
          <w:rFonts w:ascii="Times New Roman" w:eastAsia="Times New Roman" w:hAnsi="Times New Roman" w:cs="Times New Roman"/>
          <w:noProof/>
          <w:color w:val="000000" w:themeColor="text1"/>
          <w:sz w:val="24"/>
          <w:szCs w:val="24"/>
          <w:vertAlign w:val="superscript"/>
        </w:rPr>
        <w:footnoteReference w:id="55"/>
      </w:r>
      <w:r>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bCs/>
          <w:noProof/>
          <w:color w:val="000000" w:themeColor="text1"/>
          <w:sz w:val="24"/>
          <w:szCs w:val="24"/>
        </w:rPr>
        <w:t xml:space="preserve">The </w:t>
      </w:r>
      <w:r>
        <w:rPr>
          <w:rFonts w:ascii="Times New Roman" w:eastAsia="Times New Roman" w:hAnsi="Times New Roman" w:cs="Times New Roman"/>
          <w:noProof/>
          <w:color w:val="000000" w:themeColor="text1"/>
          <w:sz w:val="24"/>
          <w:szCs w:val="24"/>
        </w:rPr>
        <w:t>EUIPO</w:t>
      </w:r>
      <w:r>
        <w:rPr>
          <w:rFonts w:ascii="Times New Roman" w:eastAsia="Times New Roman" w:hAnsi="Times New Roman" w:cs="Times New Roman"/>
          <w:noProof/>
          <w:color w:val="000000" w:themeColor="text1"/>
          <w:sz w:val="24"/>
          <w:szCs w:val="24"/>
          <w:vertAlign w:val="superscript"/>
        </w:rPr>
        <w:footnoteReference w:id="56"/>
      </w:r>
      <w:r>
        <w:rPr>
          <w:rFonts w:ascii="Times New Roman" w:eastAsia="Times New Roman" w:hAnsi="Times New Roman" w:cs="Times New Roman"/>
          <w:noProof/>
          <w:color w:val="000000" w:themeColor="text1"/>
          <w:sz w:val="24"/>
          <w:szCs w:val="24"/>
        </w:rPr>
        <w:t xml:space="preserve"> will develop a platform, the </w:t>
      </w:r>
      <w:r>
        <w:rPr>
          <w:rFonts w:ascii="Times New Roman" w:eastAsia="Times New Roman" w:hAnsi="Times New Roman" w:cs="Times New Roman"/>
          <w:b/>
          <w:bCs/>
          <w:noProof/>
          <w:color w:val="000000" w:themeColor="text1"/>
          <w:sz w:val="24"/>
          <w:szCs w:val="24"/>
        </w:rPr>
        <w:t>European IP Information Centre</w:t>
      </w:r>
      <w:r>
        <w:rPr>
          <w:rFonts w:ascii="Times New Roman" w:eastAsia="Times New Roman" w:hAnsi="Times New Roman" w:cs="Times New Roman"/>
          <w:noProof/>
          <w:color w:val="000000" w:themeColor="text1"/>
          <w:sz w:val="24"/>
          <w:szCs w:val="24"/>
        </w:rPr>
        <w:t>, which will be linked to the Single Digital Gateway and will offer access to all rel</w:t>
      </w:r>
      <w:r>
        <w:rPr>
          <w:rFonts w:ascii="Times New Roman" w:eastAsia="Times New Roman" w:hAnsi="Times New Roman" w:cs="Times New Roman"/>
          <w:noProof/>
          <w:color w:val="000000" w:themeColor="text1"/>
          <w:sz w:val="24"/>
          <w:szCs w:val="24"/>
        </w:rPr>
        <w:t>evant information not only on IP formalities but also on related services (e.g. filing for domain name protection, registration of company names), while at the same time offer easy-to-use filing systems for SMEs. The Commission will also mainstream IP supp</w:t>
      </w:r>
      <w:r>
        <w:rPr>
          <w:rFonts w:ascii="Times New Roman" w:eastAsia="Times New Roman" w:hAnsi="Times New Roman" w:cs="Times New Roman"/>
          <w:noProof/>
          <w:color w:val="000000" w:themeColor="text1"/>
          <w:sz w:val="24"/>
          <w:szCs w:val="24"/>
        </w:rPr>
        <w:t>ort and advice through its various SME support networks</w:t>
      </w:r>
      <w:r>
        <w:rPr>
          <w:rFonts w:ascii="Times New Roman" w:eastAsia="Times New Roman" w:hAnsi="Times New Roman" w:cs="Times New Roman"/>
          <w:noProof/>
          <w:color w:val="000000" w:themeColor="text1"/>
          <w:sz w:val="24"/>
          <w:szCs w:val="24"/>
          <w:vertAlign w:val="superscript"/>
        </w:rPr>
        <w:footnoteReference w:id="57"/>
      </w:r>
      <w:r>
        <w:rPr>
          <w:rFonts w:ascii="Times New Roman" w:eastAsia="Times New Roman" w:hAnsi="Times New Roman" w:cs="Times New Roman"/>
          <w:noProof/>
          <w:color w:val="000000" w:themeColor="text1"/>
          <w:sz w:val="24"/>
          <w:szCs w:val="24"/>
        </w:rPr>
        <w:t xml:space="preserve"> to reach out more effectively to small businesses.</w:t>
      </w:r>
    </w:p>
    <w:p w:rsidR="009C2369" w:rsidRDefault="00FC21F0">
      <w:pPr>
        <w:numPr>
          <w:ilvl w:val="0"/>
          <w:numId w:val="45"/>
        </w:numPr>
        <w:spacing w:after="120" w:line="240" w:lineRule="auto"/>
        <w:jc w:val="both"/>
        <w:rPr>
          <w:noProof/>
        </w:rPr>
      </w:pPr>
      <w:r>
        <w:rPr>
          <w:rFonts w:ascii="Times New Roman" w:eastAsiaTheme="majorEastAsia" w:hAnsi="Times New Roman" w:cs="Times New Roman"/>
          <w:noProof/>
          <w:sz w:val="24"/>
          <w:szCs w:val="24"/>
        </w:rPr>
        <w:t>Finally, make it easier for SMEs to</w:t>
      </w:r>
      <w:r>
        <w:rPr>
          <w:rFonts w:ascii="Times New Roman" w:eastAsiaTheme="majorEastAsia" w:hAnsi="Times New Roman" w:cs="Times New Roman"/>
          <w:b/>
          <w:noProof/>
          <w:sz w:val="24"/>
          <w:szCs w:val="24"/>
        </w:rPr>
        <w:t xml:space="preserve"> leverage their IP when trying to get access to finance. </w:t>
      </w:r>
      <w:r>
        <w:rPr>
          <w:rFonts w:ascii="Times New Roman" w:eastAsiaTheme="majorEastAsia" w:hAnsi="Times New Roman" w:cs="Times New Roman"/>
          <w:noProof/>
          <w:sz w:val="24"/>
          <w:szCs w:val="24"/>
        </w:rPr>
        <w:t>Although intangibles are often amongst the most valuable</w:t>
      </w:r>
      <w:r>
        <w:rPr>
          <w:rFonts w:ascii="Times New Roman" w:eastAsiaTheme="majorEastAsia" w:hAnsi="Times New Roman" w:cs="Times New Roman"/>
          <w:noProof/>
          <w:sz w:val="24"/>
          <w:szCs w:val="24"/>
        </w:rPr>
        <w:t xml:space="preserve"> </w:t>
      </w:r>
      <w:r>
        <w:rPr>
          <w:rFonts w:ascii="Times New Roman" w:eastAsiaTheme="majorEastAsia" w:hAnsi="Times New Roman" w:cs="Times New Roman"/>
          <w:noProof/>
          <w:sz w:val="24"/>
          <w:szCs w:val="24"/>
          <w:lang w:val="en-US"/>
        </w:rPr>
        <w:t>assets</w:t>
      </w:r>
      <w:r>
        <w:rPr>
          <w:rFonts w:ascii="Times New Roman" w:eastAsiaTheme="majorEastAsia" w:hAnsi="Times New Roman" w:cs="Times New Roman"/>
          <w:noProof/>
          <w:sz w:val="24"/>
          <w:szCs w:val="24"/>
        </w:rPr>
        <w:t>, a survey shows that not many SMEs benefit from their IP when trying to get access to finance.</w:t>
      </w:r>
      <w:r>
        <w:rPr>
          <w:rFonts w:ascii="Times New Roman" w:eastAsiaTheme="majorEastAsia" w:hAnsi="Times New Roman" w:cs="Times New Roman"/>
          <w:noProof/>
          <w:color w:val="000000" w:themeColor="text1"/>
          <w:sz w:val="24"/>
          <w:szCs w:val="24"/>
          <w:vertAlign w:val="superscript"/>
        </w:rPr>
        <w:footnoteReference w:id="58"/>
      </w:r>
      <w:r>
        <w:rPr>
          <w:rFonts w:ascii="Times New Roman" w:eastAsiaTheme="majorEastAsia" w:hAnsi="Times New Roman" w:cs="Times New Roman"/>
          <w:b/>
          <w:noProof/>
          <w:sz w:val="24"/>
          <w:szCs w:val="24"/>
        </w:rPr>
        <w:t xml:space="preserve"> </w:t>
      </w:r>
      <w:r>
        <w:rPr>
          <w:rFonts w:ascii="Times New Roman" w:eastAsiaTheme="majorEastAsia" w:hAnsi="Times New Roman" w:cs="Times New Roman"/>
          <w:noProof/>
          <w:sz w:val="24"/>
          <w:szCs w:val="24"/>
        </w:rPr>
        <w:t xml:space="preserve">Banks and venture capital are reluctant to finance relying on IP as an asset and the COVID-19 crisis further increased this risk aversion. A recent </w:t>
      </w:r>
      <w:r>
        <w:rPr>
          <w:rFonts w:ascii="Times New Roman" w:eastAsiaTheme="majorEastAsia" w:hAnsi="Times New Roman" w:cs="Times New Roman"/>
          <w:noProof/>
          <w:sz w:val="24"/>
          <w:szCs w:val="24"/>
        </w:rPr>
        <w:t>study shows a clear gap in relation to financing SMEs using their intellectual assets</w:t>
      </w:r>
      <w:r>
        <w:rPr>
          <w:rFonts w:ascii="Times New Roman" w:eastAsiaTheme="majorEastAsia" w:hAnsi="Times New Roman" w:cs="Times New Roman"/>
          <w:noProof/>
          <w:color w:val="000000" w:themeColor="text1"/>
          <w:sz w:val="24"/>
          <w:szCs w:val="24"/>
          <w:vertAlign w:val="superscript"/>
        </w:rPr>
        <w:footnoteReference w:id="59"/>
      </w:r>
      <w:r>
        <w:rPr>
          <w:rFonts w:ascii="Times New Roman" w:eastAsiaTheme="majorEastAsia" w:hAnsi="Times New Roman" w:cs="Times New Roman"/>
          <w:noProof/>
          <w:sz w:val="24"/>
          <w:szCs w:val="24"/>
        </w:rPr>
        <w:t xml:space="preserve">. The Commission will discuss with the financial community how IP valuation could help </w:t>
      </w:r>
      <w:r>
        <w:rPr>
          <w:rFonts w:ascii="Times New Roman" w:eastAsiaTheme="majorEastAsia" w:hAnsi="Times New Roman" w:cs="Times New Roman"/>
          <w:noProof/>
          <w:sz w:val="24"/>
          <w:szCs w:val="24"/>
        </w:rPr>
        <w:lastRenderedPageBreak/>
        <w:t>them to better take into account SMEs’ intellectual assets</w:t>
      </w:r>
      <w:r>
        <w:rPr>
          <w:rFonts w:ascii="Times New Roman" w:eastAsiaTheme="majorEastAsia" w:hAnsi="Times New Roman" w:cs="Times New Roman"/>
          <w:noProof/>
          <w:color w:val="000000" w:themeColor="text1"/>
          <w:sz w:val="24"/>
          <w:szCs w:val="24"/>
          <w:vertAlign w:val="superscript"/>
        </w:rPr>
        <w:footnoteReference w:id="60"/>
      </w:r>
      <w:r>
        <w:rPr>
          <w:rFonts w:ascii="Times New Roman" w:eastAsiaTheme="majorEastAsia" w:hAnsi="Times New Roman" w:cs="Times New Roman"/>
          <w:noProof/>
          <w:sz w:val="24"/>
          <w:szCs w:val="24"/>
        </w:rPr>
        <w:t xml:space="preserve">. </w:t>
      </w:r>
      <w:r>
        <w:rPr>
          <w:rFonts w:ascii="Times New Roman" w:hAnsi="Times New Roman" w:cs="Times New Roman"/>
          <w:noProof/>
          <w:sz w:val="24"/>
          <w:szCs w:val="24"/>
        </w:rPr>
        <w:t>The ‘tech due diligenc</w:t>
      </w:r>
      <w:r>
        <w:rPr>
          <w:rFonts w:ascii="Times New Roman" w:hAnsi="Times New Roman" w:cs="Times New Roman"/>
          <w:noProof/>
          <w:sz w:val="24"/>
          <w:szCs w:val="24"/>
        </w:rPr>
        <w:t>e’ pilot project announced in the SME strategy will be a way to test IP evaluation in a broader technology-related context</w:t>
      </w:r>
      <w:r>
        <w:rPr>
          <w:rFonts w:ascii="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w:t>
      </w:r>
      <w:r>
        <w:rPr>
          <w:rFonts w:ascii="Times New Roman" w:eastAsiaTheme="majorEastAsia" w:hAnsi="Times New Roman" w:cs="Times New Roman"/>
          <w:noProof/>
          <w:sz w:val="24"/>
          <w:szCs w:val="24"/>
        </w:rPr>
        <w:t>Building upon the experience with existing bank guarantee mechanisms</w:t>
      </w:r>
      <w:r>
        <w:rPr>
          <w:rFonts w:ascii="Times New Roman" w:eastAsiaTheme="majorEastAsia" w:hAnsi="Times New Roman" w:cs="Times New Roman"/>
          <w:noProof/>
          <w:color w:val="000000" w:themeColor="text1"/>
          <w:sz w:val="24"/>
          <w:szCs w:val="24"/>
          <w:vertAlign w:val="superscript"/>
        </w:rPr>
        <w:footnoteReference w:id="62"/>
      </w:r>
      <w:r>
        <w:rPr>
          <w:rFonts w:ascii="Times New Roman" w:eastAsiaTheme="majorEastAsia" w:hAnsi="Times New Roman" w:cs="Times New Roman"/>
          <w:noProof/>
          <w:sz w:val="24"/>
          <w:szCs w:val="24"/>
        </w:rPr>
        <w:t>, the Commission will also explore how guarantees to support S</w:t>
      </w:r>
      <w:r>
        <w:rPr>
          <w:rFonts w:ascii="Times New Roman" w:eastAsiaTheme="majorEastAsia" w:hAnsi="Times New Roman" w:cs="Times New Roman"/>
          <w:noProof/>
          <w:sz w:val="24"/>
          <w:szCs w:val="24"/>
        </w:rPr>
        <w:t>MEs and creators in projects based on IP can be better used.</w:t>
      </w:r>
    </w:p>
    <w:p w:rsidR="009C2369" w:rsidRDefault="00FC21F0">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these SME-oriented activities, the Commission Communication on “A new ERA for Research and Innovation”</w:t>
      </w:r>
      <w:r>
        <w:rPr>
          <w:rStyle w:val="FootnoteReference"/>
          <w:rFonts w:ascii="Times New Roman" w:hAnsi="Times New Roman"/>
          <w:noProof/>
          <w:color w:val="000000" w:themeColor="text1"/>
          <w:sz w:val="24"/>
        </w:rPr>
        <w:t xml:space="preserve"> </w:t>
      </w:r>
      <w:r>
        <w:rPr>
          <w:rStyle w:val="FootnoteReference"/>
          <w:rFonts w:ascii="Times New Roman" w:hAnsi="Times New Roman"/>
          <w:noProof/>
          <w:color w:val="000000" w:themeColor="text1"/>
          <w:sz w:val="24"/>
        </w:rPr>
        <w:footnoteReference w:id="63"/>
      </w:r>
      <w:r>
        <w:rPr>
          <w:rFonts w:ascii="Times New Roman" w:hAnsi="Times New Roman" w:cs="Times New Roman"/>
          <w:noProof/>
          <w:sz w:val="24"/>
          <w:szCs w:val="24"/>
        </w:rPr>
        <w:t xml:space="preserve"> highlights the need to turn the outcomes of Europe’s excellent research int</w:t>
      </w:r>
      <w:r>
        <w:rPr>
          <w:rFonts w:ascii="Times New Roman" w:hAnsi="Times New Roman" w:cs="Times New Roman"/>
          <w:noProof/>
          <w:sz w:val="24"/>
          <w:szCs w:val="24"/>
        </w:rPr>
        <w:t xml:space="preserve">o </w:t>
      </w:r>
      <w:r>
        <w:rPr>
          <w:rFonts w:ascii="Times New Roman" w:hAnsi="Times New Roman"/>
          <w:noProof/>
          <w:color w:val="000000" w:themeColor="text1"/>
          <w:sz w:val="24"/>
        </w:rPr>
        <w:t xml:space="preserve">disruptive innovation and </w:t>
      </w:r>
      <w:r>
        <w:rPr>
          <w:rFonts w:ascii="Times New Roman" w:hAnsi="Times New Roman"/>
          <w:b/>
          <w:noProof/>
          <w:color w:val="000000" w:themeColor="text1"/>
          <w:sz w:val="24"/>
        </w:rPr>
        <w:t>promote better IP management in the wider R&amp;I community</w:t>
      </w:r>
      <w:r>
        <w:rPr>
          <w:rFonts w:ascii="Times New Roman" w:hAnsi="Times New Roman" w:cs="Times New Roman"/>
          <w:noProof/>
          <w:color w:val="000000" w:themeColor="text1"/>
          <w:sz w:val="24"/>
          <w:szCs w:val="24"/>
        </w:rPr>
        <w:t>; in this respect the Commission will launch an </w:t>
      </w:r>
      <w:r>
        <w:rPr>
          <w:rFonts w:ascii="Times New Roman" w:hAnsi="Times New Roman" w:cs="Times New Roman"/>
          <w:bCs/>
          <w:noProof/>
          <w:color w:val="000000" w:themeColor="text1"/>
          <w:sz w:val="24"/>
          <w:szCs w:val="24"/>
        </w:rPr>
        <w:t xml:space="preserve">awareness-raising campaign </w:t>
      </w:r>
      <w:r>
        <w:rPr>
          <w:rFonts w:ascii="Times New Roman" w:hAnsi="Times New Roman" w:cs="Times New Roman"/>
          <w:bCs/>
          <w:noProof/>
          <w:color w:val="000000" w:themeColor="text1"/>
          <w:sz w:val="24"/>
          <w:szCs w:val="24"/>
          <w:lang w:val="en-IE"/>
        </w:rPr>
        <w:t>to foster valorisation of IP in the valuation of companies by investors</w:t>
      </w:r>
      <w:r>
        <w:rPr>
          <w:rFonts w:ascii="Times New Roman" w:hAnsi="Times New Roman" w:cs="Times New Roman"/>
          <w:bCs/>
          <w:noProof/>
          <w:color w:val="000000" w:themeColor="text1"/>
          <w:sz w:val="24"/>
          <w:szCs w:val="24"/>
        </w:rPr>
        <w:t>.</w:t>
      </w:r>
      <w:r>
        <w:rPr>
          <w:rFonts w:ascii="Times New Roman" w:hAnsi="Times New Roman"/>
          <w:b/>
          <w:noProof/>
          <w:color w:val="000000" w:themeColor="text1"/>
          <w:sz w:val="24"/>
        </w:rPr>
        <w:t xml:space="preserve"> </w:t>
      </w:r>
      <w:r>
        <w:rPr>
          <w:rFonts w:ascii="Times New Roman" w:hAnsi="Times New Roman"/>
          <w:noProof/>
          <w:color w:val="000000" w:themeColor="text1"/>
          <w:sz w:val="24"/>
        </w:rPr>
        <w:t xml:space="preserve">For </w:t>
      </w:r>
      <w:r>
        <w:rPr>
          <w:rFonts w:ascii="Times New Roman" w:hAnsi="Times New Roman" w:cs="Times New Roman"/>
          <w:noProof/>
          <w:sz w:val="24"/>
          <w:szCs w:val="24"/>
        </w:rPr>
        <w:t>instance,</w:t>
      </w:r>
      <w:r>
        <w:rPr>
          <w:rFonts w:ascii="Times New Roman" w:hAnsi="Times New Roman" w:cs="Times New Roman"/>
          <w:b/>
          <w:bCs/>
          <w:noProof/>
          <w:sz w:val="24"/>
          <w:szCs w:val="24"/>
        </w:rPr>
        <w:t xml:space="preserve"> </w:t>
      </w:r>
      <w:r>
        <w:rPr>
          <w:rFonts w:ascii="Times New Roman" w:hAnsi="Times New Roman" w:cs="Times New Roman"/>
          <w:bCs/>
          <w:noProof/>
          <w:sz w:val="24"/>
          <w:szCs w:val="24"/>
        </w:rPr>
        <w:t xml:space="preserve">the </w:t>
      </w:r>
      <w:r>
        <w:rPr>
          <w:rFonts w:ascii="Times New Roman" w:hAnsi="Times New Roman" w:cs="Times New Roman"/>
          <w:bCs/>
          <w:noProof/>
          <w:sz w:val="24"/>
          <w:szCs w:val="24"/>
        </w:rPr>
        <w:t>Commission</w:t>
      </w:r>
      <w:r>
        <w:rPr>
          <w:rFonts w:ascii="Times New Roman" w:hAnsi="Times New Roman" w:cs="Times New Roman"/>
          <w:b/>
          <w:noProof/>
          <w:sz w:val="24"/>
          <w:szCs w:val="24"/>
        </w:rPr>
        <w:t xml:space="preserve"> </w:t>
      </w:r>
      <w:r>
        <w:rPr>
          <w:rFonts w:ascii="Times New Roman" w:hAnsi="Times New Roman" w:cs="Times New Roman"/>
          <w:noProof/>
          <w:sz w:val="24"/>
          <w:szCs w:val="24"/>
        </w:rPr>
        <w:t>will update its Recommendation on the management of intellectual property in knowledge transfer activities via the Guiding Principles for Knowledge Valorisation. This revision will be accompanied by a Code of Practice for smart use of IP</w:t>
      </w:r>
      <w:r>
        <w:rPr>
          <w:rFonts w:ascii="Times New Roman" w:hAnsi="Times New Roman" w:cs="Times New Roman"/>
          <w:bCs/>
          <w:noProof/>
          <w:sz w:val="24"/>
          <w:szCs w:val="24"/>
        </w:rPr>
        <w:t xml:space="preserve"> and </w:t>
      </w:r>
      <w:r>
        <w:rPr>
          <w:rFonts w:ascii="Times New Roman" w:hAnsi="Times New Roman" w:cs="Times New Roman"/>
          <w:noProof/>
          <w:sz w:val="24"/>
          <w:szCs w:val="24"/>
        </w:rPr>
        <w:t>com</w:t>
      </w:r>
      <w:r>
        <w:rPr>
          <w:rFonts w:ascii="Times New Roman" w:hAnsi="Times New Roman" w:cs="Times New Roman"/>
          <w:noProof/>
          <w:sz w:val="24"/>
          <w:szCs w:val="24"/>
        </w:rPr>
        <w:t xml:space="preserve">bined with InvestEU support to </w:t>
      </w:r>
      <w:r>
        <w:rPr>
          <w:rFonts w:ascii="Times New Roman" w:hAnsi="Times New Roman" w:cs="Times New Roman"/>
          <w:noProof/>
          <w:sz w:val="24"/>
          <w:szCs w:val="24"/>
          <w:lang w:val="en-US"/>
        </w:rPr>
        <w:t>project holders via technical, financial and legal advice including on intellectual property.</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cs="Times New Roman"/>
          <w:noProof/>
          <w:sz w:val="24"/>
          <w:szCs w:val="24"/>
        </w:rPr>
        <w:t xml:space="preserve">Steps will also be taken </w:t>
      </w:r>
      <w:r>
        <w:rPr>
          <w:rFonts w:ascii="Times New Roman" w:eastAsiaTheme="majorEastAsia" w:hAnsi="Times New Roman" w:cs="Times New Roman"/>
          <w:noProof/>
          <w:color w:val="000000" w:themeColor="text1"/>
          <w:sz w:val="24"/>
          <w:szCs w:val="24"/>
          <w:lang w:val="en-US"/>
        </w:rPr>
        <w:t>to</w:t>
      </w:r>
      <w:r>
        <w:rPr>
          <w:rFonts w:ascii="Times New Roman" w:eastAsiaTheme="majorEastAsia" w:hAnsi="Times New Roman" w:cs="Times New Roman"/>
          <w:b/>
          <w:bCs/>
          <w:noProof/>
          <w:color w:val="000000" w:themeColor="text1"/>
          <w:sz w:val="24"/>
          <w:szCs w:val="24"/>
          <w:lang w:val="en-US"/>
        </w:rPr>
        <w:t xml:space="preserve"> ensure that publicly funded IP is used in a fair and effective manner</w:t>
      </w:r>
      <w:r>
        <w:rPr>
          <w:rFonts w:ascii="Times New Roman" w:eastAsiaTheme="majorEastAsia" w:hAnsi="Times New Roman" w:cs="Times New Roman"/>
          <w:noProof/>
          <w:color w:val="000000" w:themeColor="text1"/>
          <w:sz w:val="24"/>
          <w:szCs w:val="24"/>
          <w:lang w:val="en-US"/>
        </w:rPr>
        <w:t>. The Commission has already launc</w:t>
      </w:r>
      <w:r>
        <w:rPr>
          <w:rFonts w:ascii="Times New Roman" w:eastAsiaTheme="majorEastAsia" w:hAnsi="Times New Roman" w:cs="Times New Roman"/>
          <w:noProof/>
          <w:color w:val="000000" w:themeColor="text1"/>
          <w:sz w:val="24"/>
          <w:szCs w:val="24"/>
          <w:lang w:val="en-US"/>
        </w:rPr>
        <w:t xml:space="preserve">hed </w:t>
      </w:r>
      <w:r>
        <w:rPr>
          <w:rFonts w:ascii="Times New Roman" w:eastAsiaTheme="majorEastAsia" w:hAnsi="Times New Roman" w:cs="Times New Roman"/>
          <w:noProof/>
          <w:color w:val="000000" w:themeColor="text1"/>
          <w:sz w:val="24"/>
          <w:szCs w:val="24"/>
        </w:rPr>
        <w:t>a new platform to favour the valorisation of EU-funded R&amp;I results</w:t>
      </w:r>
      <w:r>
        <w:rPr>
          <w:rFonts w:ascii="Times New Roman" w:eastAsiaTheme="majorEastAsia" w:hAnsi="Times New Roman" w:cs="Times New Roman"/>
          <w:noProof/>
          <w:color w:val="000000" w:themeColor="text1"/>
          <w:sz w:val="24"/>
          <w:szCs w:val="24"/>
          <w:vertAlign w:val="superscript"/>
        </w:rPr>
        <w:footnoteReference w:id="64"/>
      </w:r>
      <w:r>
        <w:rPr>
          <w:rFonts w:ascii="Times New Roman" w:eastAsiaTheme="majorEastAsia" w:hAnsi="Times New Roman" w:cs="Times New Roman"/>
          <w:noProof/>
          <w:color w:val="000000" w:themeColor="text1"/>
          <w:sz w:val="24"/>
          <w:szCs w:val="24"/>
        </w:rPr>
        <w:t xml:space="preserve"> and</w:t>
      </w:r>
      <w:r>
        <w:rPr>
          <w:rFonts w:ascii="Times New Roman" w:eastAsiaTheme="majorEastAsia" w:hAnsi="Times New Roman" w:cs="Times New Roman"/>
          <w:noProof/>
          <w:color w:val="000000" w:themeColor="text1"/>
          <w:sz w:val="24"/>
          <w:szCs w:val="24"/>
          <w:lang w:val="en-US"/>
        </w:rPr>
        <w:t xml:space="preserve"> a platform presenting </w:t>
      </w:r>
      <w:r>
        <w:rPr>
          <w:rFonts w:ascii="Times New Roman" w:eastAsiaTheme="majorEastAsia" w:hAnsi="Times New Roman" w:cs="Times New Roman"/>
          <w:noProof/>
          <w:color w:val="000000" w:themeColor="text1"/>
          <w:sz w:val="24"/>
          <w:szCs w:val="24"/>
        </w:rPr>
        <w:t>EU-supported R&amp;I to tackle the spread of coronavirus and support preparedness for other outbreaks</w:t>
      </w:r>
      <w:r>
        <w:rPr>
          <w:rFonts w:ascii="Times New Roman" w:eastAsiaTheme="majorEastAsia" w:hAnsi="Times New Roman" w:cs="Times New Roman"/>
          <w:noProof/>
          <w:color w:val="000000" w:themeColor="text1"/>
          <w:sz w:val="24"/>
          <w:szCs w:val="24"/>
          <w:vertAlign w:val="superscript"/>
          <w:lang w:val="en-US"/>
        </w:rPr>
        <w:footnoteReference w:id="65"/>
      </w:r>
      <w:r>
        <w:rPr>
          <w:rFonts w:ascii="Times New Roman" w:eastAsiaTheme="majorEastAsia" w:hAnsi="Times New Roman" w:cs="Times New Roman"/>
          <w:noProof/>
          <w:color w:val="000000" w:themeColor="text1"/>
          <w:sz w:val="24"/>
          <w:szCs w:val="24"/>
        </w:rPr>
        <w:t xml:space="preserve">. The aim is to </w:t>
      </w:r>
      <w:r>
        <w:rPr>
          <w:rFonts w:ascii="Times New Roman" w:eastAsiaTheme="majorEastAsia" w:hAnsi="Times New Roman" w:cs="Times New Roman"/>
          <w:b/>
          <w:noProof/>
          <w:color w:val="000000" w:themeColor="text1"/>
          <w:sz w:val="24"/>
          <w:szCs w:val="24"/>
        </w:rPr>
        <w:t xml:space="preserve">ensure that results achieved using EU funds </w:t>
      </w:r>
      <w:r>
        <w:rPr>
          <w:rFonts w:ascii="Times New Roman" w:eastAsiaTheme="majorEastAsia" w:hAnsi="Times New Roman" w:cs="Times New Roman"/>
          <w:b/>
          <w:noProof/>
          <w:color w:val="000000" w:themeColor="text1"/>
          <w:sz w:val="24"/>
          <w:szCs w:val="24"/>
        </w:rPr>
        <w:t>are used to the benefit of the EU economy</w:t>
      </w:r>
      <w:r>
        <w:rPr>
          <w:rFonts w:ascii="Times New Roman" w:eastAsiaTheme="majorEastAsia" w:hAnsi="Times New Roman" w:cs="Times New Roman"/>
          <w:noProof/>
          <w:color w:val="000000" w:themeColor="text1"/>
          <w:sz w:val="24"/>
          <w:szCs w:val="24"/>
        </w:rPr>
        <w:t>. This is why, under the Horizon Europe programme, when IP on research results is to be exploited primarily in non-associated third countries, applicants will need to explain how this is still in the EU's interest</w:t>
      </w:r>
      <w:r>
        <w:rPr>
          <w:rStyle w:val="FootnoteReference"/>
          <w:rFonts w:ascii="Times New Roman" w:eastAsiaTheme="majorEastAsia" w:hAnsi="Times New Roman" w:cs="Times New Roman"/>
          <w:noProof/>
          <w:color w:val="000000" w:themeColor="text1"/>
          <w:sz w:val="24"/>
          <w:szCs w:val="24"/>
        </w:rPr>
        <w:footnoteReference w:id="66"/>
      </w:r>
      <w:r>
        <w:rPr>
          <w:rFonts w:ascii="Times New Roman" w:eastAsiaTheme="majorEastAsia" w:hAnsi="Times New Roman" w:cs="Times New Roman"/>
          <w:noProof/>
          <w:color w:val="000000" w:themeColor="text1"/>
          <w:sz w:val="24"/>
          <w:szCs w:val="24"/>
        </w:rPr>
        <w:t>.</w:t>
      </w:r>
      <w:r>
        <w:rPr>
          <w:rFonts w:ascii="Times New Roman" w:eastAsiaTheme="majorEastAsia" w:hAnsi="Times New Roman" w:cs="Times New Roman"/>
          <w:noProof/>
          <w:color w:val="000000" w:themeColor="text1"/>
          <w:sz w:val="24"/>
          <w:szCs w:val="24"/>
        </w:rPr>
        <w:t xml:space="preserve"> </w:t>
      </w:r>
    </w:p>
    <w:p w:rsidR="009C2369" w:rsidRDefault="00FC21F0">
      <w:pPr>
        <w:spacing w:before="120" w:after="120" w:line="240" w:lineRule="auto"/>
        <w:jc w:val="both"/>
        <w:rPr>
          <w:rFonts w:ascii="Times New Roman" w:hAnsi="Times New Roman"/>
          <w:noProof/>
          <w:sz w:val="24"/>
          <w:szCs w:val="24"/>
        </w:rPr>
      </w:pPr>
      <w:r>
        <w:rPr>
          <w:rFonts w:ascii="Times New Roman" w:eastAsiaTheme="majorEastAsia" w:hAnsi="Times New Roman" w:cs="Times New Roman"/>
          <w:noProof/>
          <w:color w:val="000000" w:themeColor="text1"/>
          <w:sz w:val="24"/>
          <w:szCs w:val="24"/>
        </w:rPr>
        <w:t>Furthermore, IP protection and broad diffusion of new technologies will continue to be a central element of R&amp;I-related important projects of common European interest (IPCEIs) and funding under the European Regional Development Fund.</w:t>
      </w:r>
    </w:p>
    <w:p w:rsidR="009C2369" w:rsidRDefault="00FC21F0">
      <w:pPr>
        <w:spacing w:before="120" w:after="24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There is also a need to </w:t>
      </w:r>
      <w:r>
        <w:rPr>
          <w:rFonts w:ascii="Times New Roman" w:eastAsiaTheme="majorEastAsia" w:hAnsi="Times New Roman" w:cs="Times New Roman"/>
          <w:b/>
          <w:bCs/>
          <w:noProof/>
          <w:color w:val="000000" w:themeColor="text1"/>
          <w:sz w:val="24"/>
          <w:szCs w:val="24"/>
        </w:rPr>
        <w:t xml:space="preserve">improve the conditions for companies to protect and use IP in public procurement </w:t>
      </w:r>
      <w:r>
        <w:rPr>
          <w:rFonts w:ascii="Times New Roman" w:eastAsiaTheme="majorEastAsia" w:hAnsi="Times New Roman" w:cs="Times New Roman"/>
          <w:noProof/>
          <w:color w:val="000000" w:themeColor="text1"/>
          <w:sz w:val="24"/>
          <w:szCs w:val="24"/>
        </w:rPr>
        <w:t>with a view to stimulating innovation and boosting the economy. Member States should consider leaving IP ownership to the contractors where appropriate</w:t>
      </w:r>
      <w:r>
        <w:rPr>
          <w:rFonts w:ascii="Times New Roman" w:eastAsiaTheme="majorEastAsia" w:hAnsi="Times New Roman" w:cs="Times New Roman"/>
          <w:noProof/>
          <w:color w:val="000000" w:themeColor="text1"/>
          <w:sz w:val="24"/>
          <w:szCs w:val="24"/>
        </w:rPr>
        <w:t>, unless there are overriding public interests at stake or incompatible open licensing strategies in place. As announced in the SME strategy, the Commission will clarify issues related to IP in public procurement in the update of the guidance on innovation</w:t>
      </w:r>
      <w:r>
        <w:rPr>
          <w:rFonts w:ascii="Times New Roman" w:eastAsiaTheme="majorEastAsia" w:hAnsi="Times New Roman" w:cs="Times New Roman"/>
          <w:noProof/>
          <w:color w:val="000000" w:themeColor="text1"/>
          <w:sz w:val="24"/>
          <w:szCs w:val="24"/>
        </w:rPr>
        <w:t xml:space="preserve"> procurement.</w:t>
      </w:r>
    </w:p>
    <w:p w:rsidR="009C2369" w:rsidRDefault="00FC21F0">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heme="majorEastAsia" w:hAnsi="Times New Roman" w:cs="Times New Roman"/>
          <w:b/>
          <w:bCs/>
          <w:noProof/>
          <w:color w:val="000000" w:themeColor="text1"/>
          <w:sz w:val="24"/>
          <w:szCs w:val="24"/>
        </w:rPr>
      </w:pPr>
      <w:r>
        <w:rPr>
          <w:rFonts w:ascii="Times New Roman" w:eastAsiaTheme="majorEastAsia" w:hAnsi="Times New Roman" w:cs="Times New Roman"/>
          <w:b/>
          <w:bCs/>
          <w:noProof/>
          <w:color w:val="000000" w:themeColor="text1"/>
          <w:sz w:val="24"/>
          <w:szCs w:val="24"/>
        </w:rPr>
        <w:lastRenderedPageBreak/>
        <w:t>To boost the uptake and use of IP, the Commission will:</w:t>
      </w:r>
    </w:p>
    <w:p w:rsidR="009C2369" w:rsidRDefault="00FC21F0">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provide, with the EUIPO, a scheme for </w:t>
      </w:r>
      <w:r>
        <w:rPr>
          <w:rFonts w:ascii="Times New Roman" w:eastAsiaTheme="majorEastAsia" w:hAnsi="Times New Roman" w:cs="Times New Roman"/>
          <w:b/>
          <w:bCs/>
          <w:noProof/>
          <w:color w:val="000000" w:themeColor="text1"/>
          <w:sz w:val="24"/>
          <w:szCs w:val="24"/>
        </w:rPr>
        <w:t>IP SME Vouchers</w:t>
      </w:r>
      <w:r>
        <w:rPr>
          <w:rFonts w:ascii="Times New Roman" w:eastAsiaTheme="majorEastAsia" w:hAnsi="Times New Roman" w:cs="Times New Roman"/>
          <w:noProof/>
          <w:color w:val="000000" w:themeColor="text1"/>
          <w:sz w:val="24"/>
          <w:szCs w:val="24"/>
        </w:rPr>
        <w:t xml:space="preserve"> to finance IPR registration and strategic IP advice</w:t>
      </w:r>
      <w:r>
        <w:rPr>
          <w:rFonts w:ascii="Times New Roman" w:eastAsia="Times New Roman" w:hAnsi="Times New Roman" w:cs="Times New Roman"/>
          <w:noProof/>
          <w:color w:val="000000" w:themeColor="text1"/>
          <w:sz w:val="24"/>
          <w:szCs w:val="24"/>
        </w:rPr>
        <w:t xml:space="preserve"> (Q1 2021)</w:t>
      </w:r>
      <w:r>
        <w:rPr>
          <w:rFonts w:ascii="Times New Roman" w:eastAsiaTheme="majorEastAsia" w:hAnsi="Times New Roman" w:cs="Times New Roman"/>
          <w:noProof/>
          <w:color w:val="000000" w:themeColor="text1"/>
          <w:sz w:val="24"/>
          <w:szCs w:val="24"/>
        </w:rPr>
        <w:t>,</w:t>
      </w:r>
    </w:p>
    <w:p w:rsidR="009C2369" w:rsidRDefault="00FC21F0">
      <w:pPr>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eastAsiaTheme="majorEastAsia" w:hAnsi="Times New Roman" w:cs="Times New Roman"/>
          <w:noProof/>
          <w:color w:val="000000" w:themeColor="text1"/>
          <w:sz w:val="24"/>
          <w:szCs w:val="24"/>
        </w:rPr>
      </w:pPr>
      <w:r>
        <w:rPr>
          <w:rFonts w:ascii="Times New Roman" w:hAnsi="Times New Roman"/>
          <w:b/>
          <w:noProof/>
          <w:color w:val="000000" w:themeColor="text1"/>
          <w:sz w:val="24"/>
        </w:rPr>
        <w:t>roll out IP assistance services for SMEs</w:t>
      </w:r>
      <w:r>
        <w:rPr>
          <w:rFonts w:ascii="Times New Roman" w:eastAsiaTheme="majorEastAsia" w:hAnsi="Times New Roman" w:cs="Times New Roman"/>
          <w:noProof/>
          <w:color w:val="000000" w:themeColor="text1"/>
          <w:sz w:val="24"/>
          <w:szCs w:val="24"/>
        </w:rPr>
        <w:t xml:space="preserve"> in the “Horizon Europe” programme and expand it to other EU programmes (2020+).</w:t>
      </w:r>
    </w:p>
    <w:p w:rsidR="009C2369" w:rsidRDefault="00FC21F0">
      <w:pPr>
        <w:pStyle w:val="Heading2"/>
        <w:numPr>
          <w:ilvl w:val="0"/>
          <w:numId w:val="7"/>
        </w:numPr>
        <w:spacing w:before="360" w:after="240" w:line="240" w:lineRule="auto"/>
        <w:ind w:left="357" w:hanging="357"/>
        <w:jc w:val="both"/>
        <w:rPr>
          <w:rFonts w:ascii="Times New Roman" w:eastAsia="Times New Roman" w:hAnsi="Times New Roman" w:cs="Times New Roman"/>
          <w:b/>
          <w:bCs/>
          <w:smallCaps/>
          <w:noProof/>
          <w:color w:val="000000" w:themeColor="text1"/>
          <w:sz w:val="24"/>
          <w:szCs w:val="24"/>
        </w:rPr>
      </w:pPr>
      <w:r>
        <w:rPr>
          <w:rFonts w:ascii="Times New Roman" w:eastAsia="Times New Roman" w:hAnsi="Times New Roman" w:cs="Times New Roman"/>
          <w:b/>
          <w:bCs/>
          <w:smallCaps/>
          <w:noProof/>
          <w:color w:val="000000" w:themeColor="text1"/>
          <w:sz w:val="24"/>
          <w:szCs w:val="24"/>
        </w:rPr>
        <w:t>Easier access to and sharing of IP-protected assets</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In today’s economy,  easier and faster access to knowledge, data and technologies, including IP-protected ones, is crucial.</w:t>
      </w:r>
      <w:r>
        <w:rPr>
          <w:rFonts w:ascii="Times New Roman" w:eastAsiaTheme="majorEastAsia" w:hAnsi="Times New Roman" w:cs="Times New Roman"/>
          <w:noProof/>
          <w:color w:val="000000" w:themeColor="text1"/>
          <w:sz w:val="24"/>
          <w:szCs w:val="24"/>
        </w:rPr>
        <w:t xml:space="preserve"> A resilient, green</w:t>
      </w:r>
      <w:r>
        <w:rPr>
          <w:rStyle w:val="FootnoteReference"/>
          <w:rFonts w:ascii="Times New Roman" w:eastAsiaTheme="majorEastAsia" w:hAnsi="Times New Roman" w:cs="Times New Roman"/>
          <w:noProof/>
          <w:color w:val="000000" w:themeColor="text1"/>
          <w:sz w:val="24"/>
          <w:szCs w:val="24"/>
        </w:rPr>
        <w:footnoteReference w:id="67"/>
      </w:r>
      <w:r>
        <w:rPr>
          <w:rFonts w:ascii="Times New Roman" w:eastAsiaTheme="majorEastAsia" w:hAnsi="Times New Roman" w:cs="Times New Roman"/>
          <w:noProof/>
          <w:color w:val="000000" w:themeColor="text1"/>
          <w:sz w:val="24"/>
          <w:szCs w:val="24"/>
        </w:rPr>
        <w:t xml:space="preserve"> and competitive economy needs tools to facilitate access to critical IP protected technologies in times of crisis, to facilitate license copyright and standard-essential patents, and to promote data sharing. </w:t>
      </w:r>
    </w:p>
    <w:p w:rsidR="009C2369" w:rsidRDefault="00FC21F0">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eastAsiaTheme="majorEastAsia" w:hAnsi="Times New Roman" w:cs="Times New Roman"/>
          <w:i/>
          <w:iCs/>
          <w:noProof/>
          <w:color w:val="000000" w:themeColor="text1"/>
          <w:sz w:val="24"/>
          <w:szCs w:val="24"/>
        </w:rPr>
        <w:t>Better tools to facilitate</w:t>
      </w:r>
      <w:r>
        <w:rPr>
          <w:rFonts w:ascii="Times New Roman" w:eastAsiaTheme="majorEastAsia" w:hAnsi="Times New Roman" w:cs="Times New Roman"/>
          <w:i/>
          <w:iCs/>
          <w:noProof/>
          <w:color w:val="000000" w:themeColor="text1"/>
          <w:sz w:val="24"/>
          <w:szCs w:val="24"/>
        </w:rPr>
        <w:t xml:space="preserve"> access to critical IP in times of crisis</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sz w:val="24"/>
          <w:szCs w:val="24"/>
          <w:lang w:val="en-US"/>
        </w:rPr>
        <w:t xml:space="preserve">The </w:t>
      </w:r>
      <w:r>
        <w:rPr>
          <w:rFonts w:ascii="Times New Roman" w:hAnsi="Times New Roman"/>
          <w:b/>
          <w:bCs/>
          <w:noProof/>
          <w:color w:val="000000"/>
          <w:sz w:val="24"/>
          <w:szCs w:val="24"/>
          <w:lang w:val="en-US"/>
        </w:rPr>
        <w:t xml:space="preserve">COVID-19 </w:t>
      </w:r>
      <w:r>
        <w:rPr>
          <w:rFonts w:ascii="Times New Roman" w:hAnsi="Times New Roman"/>
          <w:b/>
          <w:noProof/>
          <w:color w:val="000000"/>
          <w:sz w:val="24"/>
          <w:szCs w:val="24"/>
          <w:lang w:val="en-US"/>
        </w:rPr>
        <w:t>crisis</w:t>
      </w:r>
      <w:r>
        <w:rPr>
          <w:rFonts w:ascii="Times New Roman" w:hAnsi="Times New Roman"/>
          <w:noProof/>
          <w:color w:val="000000"/>
          <w:sz w:val="24"/>
          <w:szCs w:val="24"/>
          <w:lang w:val="en-US"/>
        </w:rPr>
        <w:t xml:space="preserve"> highlights the importance of an effective IP system, offering </w:t>
      </w:r>
      <w:r>
        <w:rPr>
          <w:rFonts w:ascii="Times New Roman" w:eastAsiaTheme="majorEastAsia" w:hAnsi="Times New Roman" w:cs="Times New Roman"/>
          <w:noProof/>
          <w:color w:val="000000" w:themeColor="text1"/>
          <w:sz w:val="24"/>
          <w:szCs w:val="24"/>
        </w:rPr>
        <w:t>strong</w:t>
      </w:r>
      <w:r>
        <w:rPr>
          <w:rFonts w:ascii="Times New Roman" w:hAnsi="Times New Roman"/>
          <w:noProof/>
          <w:color w:val="000000"/>
          <w:sz w:val="24"/>
          <w:szCs w:val="24"/>
          <w:lang w:val="en-US"/>
        </w:rPr>
        <w:t xml:space="preserve"> incentives to innovate and easy access to IP for technologies. </w:t>
      </w:r>
      <w:r>
        <w:rPr>
          <w:rFonts w:ascii="Times New Roman" w:eastAsiaTheme="majorEastAsia" w:hAnsi="Times New Roman" w:cs="Times New Roman"/>
          <w:noProof/>
          <w:color w:val="000000" w:themeColor="text1"/>
          <w:sz w:val="24"/>
          <w:szCs w:val="24"/>
        </w:rPr>
        <w:t>R&amp;D funding and incentives are needed to ensure the rapid deve</w:t>
      </w:r>
      <w:r>
        <w:rPr>
          <w:rFonts w:ascii="Times New Roman" w:eastAsiaTheme="majorEastAsia" w:hAnsi="Times New Roman" w:cs="Times New Roman"/>
          <w:noProof/>
          <w:color w:val="000000" w:themeColor="text1"/>
          <w:sz w:val="24"/>
          <w:szCs w:val="24"/>
        </w:rPr>
        <w:t>lopment and availability of new technologies, such as vaccines or new treatments. Therefore, we must ensure with better tools that the IP system is allowing access to critical technologies, where and when necessary, while ensuring an adequate return on inv</w:t>
      </w:r>
      <w:r>
        <w:rPr>
          <w:rFonts w:ascii="Times New Roman" w:eastAsiaTheme="majorEastAsia" w:hAnsi="Times New Roman" w:cs="Times New Roman"/>
          <w:noProof/>
          <w:color w:val="000000" w:themeColor="text1"/>
          <w:sz w:val="24"/>
          <w:szCs w:val="24"/>
        </w:rPr>
        <w:t xml:space="preserve">estment for innovators. </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So far, the </w:t>
      </w:r>
      <w:r>
        <w:rPr>
          <w:rFonts w:ascii="Times New Roman" w:eastAsiaTheme="majorEastAsia" w:hAnsi="Times New Roman" w:cs="Times New Roman"/>
          <w:b/>
          <w:bCs/>
          <w:noProof/>
          <w:color w:val="000000" w:themeColor="text1"/>
          <w:sz w:val="24"/>
          <w:szCs w:val="24"/>
        </w:rPr>
        <w:t>COVID-19 crisis has shown the resilience of our IP system</w:t>
      </w:r>
      <w:r>
        <w:rPr>
          <w:rFonts w:ascii="Times New Roman" w:eastAsiaTheme="majorEastAsia" w:hAnsi="Times New Roman" w:cs="Times New Roman"/>
          <w:noProof/>
          <w:color w:val="000000" w:themeColor="text1"/>
          <w:sz w:val="24"/>
          <w:szCs w:val="24"/>
        </w:rPr>
        <w:t xml:space="preserve">. This is due, in large part, to strong commitment and co-operation between the public and private players and the various initiatives taken to boost the development and availability of vaccines and other critical supplies. </w:t>
      </w:r>
    </w:p>
    <w:p w:rsidR="009C2369" w:rsidRDefault="00FC21F0">
      <w:pPr>
        <w:spacing w:before="120" w:after="120" w:line="240" w:lineRule="auto"/>
        <w:jc w:val="both"/>
        <w:rPr>
          <w:rFonts w:ascii="Times New Roman" w:hAnsi="Times New Roman"/>
          <w:noProof/>
          <w:color w:val="000000"/>
          <w:sz w:val="24"/>
          <w:szCs w:val="24"/>
          <w:lang w:val="en-US"/>
        </w:rPr>
      </w:pPr>
      <w:r>
        <w:rPr>
          <w:rFonts w:ascii="Times New Roman" w:eastAsiaTheme="majorEastAsia" w:hAnsi="Times New Roman" w:cs="Times New Roman"/>
          <w:noProof/>
          <w:color w:val="000000" w:themeColor="text1"/>
          <w:sz w:val="24"/>
          <w:szCs w:val="24"/>
        </w:rPr>
        <w:t>The Commission supports volunta</w:t>
      </w:r>
      <w:r>
        <w:rPr>
          <w:rFonts w:ascii="Times New Roman" w:eastAsiaTheme="majorEastAsia" w:hAnsi="Times New Roman" w:cs="Times New Roman"/>
          <w:noProof/>
          <w:color w:val="000000" w:themeColor="text1"/>
          <w:sz w:val="24"/>
          <w:szCs w:val="24"/>
        </w:rPr>
        <w:t>ry pooling and licensing of IP related to COVID-19 therapeutics and vaccines</w:t>
      </w:r>
      <w:r>
        <w:rPr>
          <w:rStyle w:val="FootnoteReference"/>
          <w:rFonts w:ascii="Times New Roman" w:eastAsiaTheme="majorEastAsia" w:hAnsi="Times New Roman" w:cs="Times New Roman"/>
          <w:noProof/>
          <w:color w:val="000000" w:themeColor="text1"/>
          <w:sz w:val="24"/>
          <w:szCs w:val="24"/>
        </w:rPr>
        <w:footnoteReference w:id="68"/>
      </w:r>
      <w:r>
        <w:rPr>
          <w:rFonts w:ascii="Times New Roman" w:eastAsiaTheme="majorEastAsia" w:hAnsi="Times New Roman" w:cs="Times New Roman"/>
          <w:noProof/>
          <w:color w:val="000000" w:themeColor="text1"/>
          <w:sz w:val="24"/>
          <w:szCs w:val="24"/>
        </w:rPr>
        <w:t>, in line with the resolution of the World Health Assembly</w:t>
      </w:r>
      <w:r>
        <w:rPr>
          <w:rStyle w:val="FootnoteReference"/>
          <w:rFonts w:ascii="Times New Roman" w:eastAsiaTheme="majorEastAsia" w:hAnsi="Times New Roman" w:cs="Times New Roman"/>
          <w:noProof/>
          <w:color w:val="000000" w:themeColor="text1"/>
          <w:sz w:val="24"/>
          <w:szCs w:val="24"/>
        </w:rPr>
        <w:footnoteReference w:id="69"/>
      </w:r>
      <w:r>
        <w:rPr>
          <w:rFonts w:ascii="Times New Roman" w:eastAsiaTheme="majorEastAsia" w:hAnsi="Times New Roman" w:cs="Times New Roman"/>
          <w:noProof/>
          <w:color w:val="000000" w:themeColor="text1"/>
          <w:sz w:val="24"/>
          <w:szCs w:val="24"/>
        </w:rPr>
        <w:t>.</w:t>
      </w:r>
      <w:r>
        <w:rPr>
          <w:rFonts w:ascii="Times New Roman" w:hAnsi="Times New Roman"/>
          <w:noProof/>
          <w:color w:val="000000"/>
          <w:sz w:val="24"/>
          <w:szCs w:val="24"/>
          <w:lang w:val="en-US"/>
        </w:rPr>
        <w:t xml:space="preserve"> Such schemes should be based on a voluntary participation, ensuring broad and equitable access and allowing IP owners to recoup investments in a balanced way. </w:t>
      </w:r>
      <w:r>
        <w:rPr>
          <w:rFonts w:ascii="Times New Roman" w:hAnsi="Times New Roman"/>
          <w:noProof/>
          <w:color w:val="000000"/>
          <w:sz w:val="24"/>
          <w:lang w:val="en-US"/>
        </w:rPr>
        <w:t xml:space="preserve">The Commission has also taken steps to promote cooperation in the private sector to efficiently </w:t>
      </w:r>
      <w:r>
        <w:rPr>
          <w:rFonts w:ascii="Times New Roman" w:hAnsi="Times New Roman"/>
          <w:noProof/>
          <w:color w:val="000000"/>
          <w:sz w:val="24"/>
          <w:lang w:val="en-US"/>
        </w:rPr>
        <w:t>address the shortage of essential products and services</w:t>
      </w:r>
      <w:r>
        <w:rPr>
          <w:rStyle w:val="FootnoteReference"/>
          <w:rFonts w:ascii="Times New Roman" w:hAnsi="Times New Roman"/>
          <w:noProof/>
          <w:color w:val="000000"/>
          <w:sz w:val="24"/>
          <w:lang w:val="en-US"/>
        </w:rPr>
        <w:footnoteReference w:id="70"/>
      </w:r>
      <w:r>
        <w:rPr>
          <w:rFonts w:ascii="Times New Roman" w:hAnsi="Times New Roman"/>
          <w:noProof/>
          <w:color w:val="000000"/>
          <w:sz w:val="24"/>
          <w:szCs w:val="24"/>
          <w:lang w:val="en-US"/>
        </w:rPr>
        <w:t xml:space="preserve"> and to ensure that the results of publicly-funded R&amp;I programs in the EU and its Member States are made available, in particular to ramp up production of critical materials</w:t>
      </w:r>
      <w:r>
        <w:rPr>
          <w:rStyle w:val="FootnoteReference"/>
          <w:rFonts w:ascii="Times New Roman" w:hAnsi="Times New Roman"/>
          <w:noProof/>
          <w:color w:val="000000"/>
          <w:sz w:val="24"/>
          <w:szCs w:val="24"/>
          <w:lang w:val="en-US"/>
        </w:rPr>
        <w:footnoteReference w:id="71"/>
      </w:r>
      <w:r>
        <w:rPr>
          <w:rFonts w:ascii="Times New Roman" w:hAnsi="Times New Roman"/>
          <w:noProof/>
          <w:color w:val="000000"/>
          <w:sz w:val="24"/>
          <w:szCs w:val="24"/>
          <w:lang w:val="en-US"/>
        </w:rPr>
        <w:t xml:space="preserve">. </w:t>
      </w:r>
    </w:p>
    <w:p w:rsidR="009C2369" w:rsidRDefault="00FC21F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lang w:val="en-US"/>
        </w:rPr>
        <w:t>Looking forward, howeve</w:t>
      </w:r>
      <w:r>
        <w:rPr>
          <w:rFonts w:ascii="Times New Roman" w:hAnsi="Times New Roman"/>
          <w:noProof/>
          <w:color w:val="000000"/>
          <w:sz w:val="24"/>
          <w:szCs w:val="24"/>
          <w:lang w:val="en-US"/>
        </w:rPr>
        <w:t>r, the Commission sees a need to improve the</w:t>
      </w:r>
      <w:r>
        <w:rPr>
          <w:rFonts w:ascii="Times New Roman" w:hAnsi="Times New Roman"/>
          <w:b/>
          <w:bCs/>
          <w:noProof/>
          <w:color w:val="000000"/>
          <w:sz w:val="24"/>
          <w:szCs w:val="24"/>
          <w:lang w:val="en-US"/>
        </w:rPr>
        <w:t xml:space="preserve"> tools</w:t>
      </w:r>
      <w:r>
        <w:rPr>
          <w:rFonts w:ascii="Times New Roman" w:hAnsi="Times New Roman"/>
          <w:noProof/>
          <w:color w:val="000000"/>
          <w:sz w:val="24"/>
          <w:szCs w:val="24"/>
          <w:lang w:val="en-US"/>
        </w:rPr>
        <w:t xml:space="preserve"> in place </w:t>
      </w:r>
      <w:r>
        <w:rPr>
          <w:rFonts w:ascii="Times New Roman" w:hAnsi="Times New Roman"/>
          <w:b/>
          <w:bCs/>
          <w:noProof/>
          <w:color w:val="000000"/>
          <w:sz w:val="24"/>
          <w:szCs w:val="24"/>
          <w:lang w:val="en-US"/>
        </w:rPr>
        <w:t>to cope with crisis situations</w:t>
      </w:r>
      <w:r>
        <w:rPr>
          <w:rFonts w:ascii="Times New Roman" w:hAnsi="Times New Roman"/>
          <w:noProof/>
          <w:color w:val="000000"/>
          <w:sz w:val="24"/>
          <w:szCs w:val="24"/>
          <w:lang w:val="en-US"/>
        </w:rPr>
        <w:t xml:space="preserve">. </w:t>
      </w:r>
    </w:p>
    <w:p w:rsidR="009C2369" w:rsidRDefault="00FC21F0">
      <w:pPr>
        <w:spacing w:before="120" w:after="120" w:line="240" w:lineRule="auto"/>
        <w:jc w:val="both"/>
        <w:rPr>
          <w:rFonts w:ascii="Times New Roman" w:hAnsi="Times New Roman"/>
          <w:noProof/>
          <w:color w:val="000000"/>
          <w:sz w:val="24"/>
          <w:szCs w:val="24"/>
        </w:rPr>
      </w:pPr>
      <w:r>
        <w:rPr>
          <w:rFonts w:ascii="Times New Roman" w:hAnsi="Times New Roman"/>
          <w:noProof/>
          <w:color w:val="000000"/>
          <w:sz w:val="24"/>
          <w:szCs w:val="24"/>
        </w:rPr>
        <w:t>The Commission is looking into ways to incentivise the</w:t>
      </w:r>
      <w:r>
        <w:rPr>
          <w:rFonts w:ascii="Times New Roman" w:hAnsi="Times New Roman"/>
          <w:b/>
          <w:bCs/>
          <w:noProof/>
          <w:color w:val="000000"/>
          <w:sz w:val="24"/>
          <w:szCs w:val="24"/>
        </w:rPr>
        <w:t xml:space="preserve"> rapid pooling of critical IP in times of crisis</w:t>
      </w:r>
      <w:r>
        <w:rPr>
          <w:rFonts w:ascii="Times New Roman" w:hAnsi="Times New Roman"/>
          <w:noProof/>
          <w:color w:val="000000"/>
          <w:sz w:val="24"/>
          <w:szCs w:val="24"/>
        </w:rPr>
        <w:t>, for instance through a novel licensing system making critic</w:t>
      </w:r>
      <w:r>
        <w:rPr>
          <w:rFonts w:ascii="Times New Roman" w:hAnsi="Times New Roman"/>
          <w:noProof/>
          <w:color w:val="000000"/>
          <w:sz w:val="24"/>
          <w:szCs w:val="24"/>
        </w:rPr>
        <w:t xml:space="preserve">al IP available in </w:t>
      </w:r>
      <w:r>
        <w:rPr>
          <w:rFonts w:ascii="Times New Roman" w:hAnsi="Times New Roman"/>
          <w:noProof/>
          <w:color w:val="000000"/>
          <w:sz w:val="24"/>
          <w:szCs w:val="24"/>
        </w:rPr>
        <w:lastRenderedPageBreak/>
        <w:t>a controlled manner and on a temporary basis, so that the production of IP-protected products can be quickly ramped up including via repurposing manufacturing.</w:t>
      </w:r>
    </w:p>
    <w:p w:rsidR="009C2369" w:rsidRDefault="00FC21F0">
      <w:pPr>
        <w:spacing w:before="120" w:after="120" w:line="240" w:lineRule="auto"/>
        <w:jc w:val="both"/>
        <w:rPr>
          <w:rFonts w:ascii="Times New Roman" w:hAnsi="Times New Roman"/>
          <w:noProof/>
          <w:color w:val="000000"/>
          <w:sz w:val="24"/>
          <w:szCs w:val="24"/>
          <w:lang w:val="en-IE"/>
        </w:rPr>
      </w:pPr>
      <w:r>
        <w:rPr>
          <w:rFonts w:ascii="Times New Roman" w:hAnsi="Times New Roman"/>
          <w:noProof/>
          <w:color w:val="000000"/>
          <w:sz w:val="24"/>
          <w:szCs w:val="24"/>
        </w:rPr>
        <w:t xml:space="preserve">Finally, the Commission sees the need to </w:t>
      </w:r>
      <w:r>
        <w:rPr>
          <w:rFonts w:ascii="Times New Roman" w:hAnsi="Times New Roman"/>
          <w:noProof/>
          <w:color w:val="000000"/>
          <w:sz w:val="24"/>
          <w:szCs w:val="24"/>
          <w:lang w:val="en-IE"/>
        </w:rPr>
        <w:t xml:space="preserve">ensure that </w:t>
      </w:r>
      <w:r>
        <w:rPr>
          <w:rFonts w:ascii="Times New Roman" w:hAnsi="Times New Roman"/>
          <w:b/>
          <w:bCs/>
          <w:noProof/>
          <w:color w:val="000000"/>
          <w:sz w:val="24"/>
          <w:szCs w:val="24"/>
          <w:lang w:val="en-IE"/>
        </w:rPr>
        <w:t xml:space="preserve">effective systems for issuing compulsory licenses </w:t>
      </w:r>
      <w:r>
        <w:rPr>
          <w:rFonts w:ascii="Times New Roman" w:hAnsi="Times New Roman"/>
          <w:noProof/>
          <w:color w:val="000000"/>
          <w:sz w:val="24"/>
          <w:szCs w:val="24"/>
          <w:lang w:val="en-IE"/>
        </w:rPr>
        <w:t xml:space="preserve">are in place, to be used </w:t>
      </w:r>
      <w:r>
        <w:rPr>
          <w:rFonts w:ascii="Times New Roman" w:hAnsi="Times New Roman"/>
          <w:b/>
          <w:bCs/>
          <w:noProof/>
          <w:color w:val="000000"/>
          <w:sz w:val="24"/>
          <w:szCs w:val="24"/>
          <w:lang w:val="en-IE"/>
        </w:rPr>
        <w:t>as a means of last resort</w:t>
      </w:r>
      <w:r>
        <w:rPr>
          <w:rFonts w:ascii="Times New Roman" w:hAnsi="Times New Roman"/>
          <w:noProof/>
          <w:color w:val="000000"/>
          <w:sz w:val="24"/>
          <w:szCs w:val="24"/>
          <w:lang w:val="en-IE"/>
        </w:rPr>
        <w:t xml:space="preserve"> and a safety net, when all other efforts to make IP available have failed. The WTO Agreement on Trade Related Aspects of Intellectual Property Rights (TRIP</w:t>
      </w:r>
      <w:r>
        <w:rPr>
          <w:rFonts w:ascii="Times New Roman" w:hAnsi="Times New Roman"/>
          <w:noProof/>
          <w:color w:val="000000"/>
          <w:sz w:val="24"/>
          <w:szCs w:val="24"/>
          <w:lang w:val="en-IE"/>
        </w:rPr>
        <w:t xml:space="preserve">S) </w:t>
      </w:r>
      <w:r>
        <w:rPr>
          <w:rFonts w:ascii="Times New Roman" w:hAnsi="Times New Roman"/>
          <w:noProof/>
          <w:color w:val="000000"/>
          <w:sz w:val="24"/>
          <w:szCs w:val="24"/>
        </w:rPr>
        <w:t xml:space="preserve">provides for a possibility, under the conditions listed, to issue compulsory licences, </w:t>
      </w:r>
      <w:r>
        <w:rPr>
          <w:rFonts w:ascii="Times New Roman" w:hAnsi="Times New Roman"/>
          <w:i/>
          <w:noProof/>
          <w:color w:val="000000"/>
          <w:sz w:val="24"/>
          <w:szCs w:val="24"/>
        </w:rPr>
        <w:t>i.e.</w:t>
      </w:r>
      <w:r>
        <w:rPr>
          <w:rFonts w:ascii="Times New Roman" w:hAnsi="Times New Roman"/>
          <w:noProof/>
          <w:color w:val="000000"/>
          <w:sz w:val="24"/>
          <w:szCs w:val="24"/>
        </w:rPr>
        <w:t xml:space="preserve"> government’s authority to grant permission to a party seeking use of a patented invention without the consent of the patent owner. The procedure can be fast-trac</w:t>
      </w:r>
      <w:r>
        <w:rPr>
          <w:rFonts w:ascii="Times New Roman" w:hAnsi="Times New Roman"/>
          <w:noProof/>
          <w:color w:val="000000"/>
          <w:sz w:val="24"/>
          <w:szCs w:val="24"/>
        </w:rPr>
        <w:t>ked in the case of national emergency. In combination with the Doha Declaration on the TRIPS Agreement and Public Health, it is clear that each WTO Member has not only the right to grant compulsory licences, but also the freedom to determine the grounds up</w:t>
      </w:r>
      <w:r>
        <w:rPr>
          <w:rFonts w:ascii="Times New Roman" w:hAnsi="Times New Roman"/>
          <w:noProof/>
          <w:color w:val="000000"/>
          <w:sz w:val="24"/>
          <w:szCs w:val="24"/>
        </w:rPr>
        <w:t>on which such licences are granted.</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sz w:val="24"/>
          <w:szCs w:val="24"/>
          <w:lang w:val="en-US"/>
        </w:rPr>
        <w:t>In Europe, compulsory licensing is mainly governed by national law</w:t>
      </w:r>
      <w:r>
        <w:rPr>
          <w:rStyle w:val="FootnoteReference"/>
          <w:rFonts w:ascii="Times New Roman" w:hAnsi="Times New Roman"/>
          <w:noProof/>
          <w:color w:val="000000"/>
          <w:sz w:val="24"/>
          <w:szCs w:val="24"/>
          <w:lang w:val="en-US"/>
        </w:rPr>
        <w:footnoteReference w:id="72"/>
      </w:r>
      <w:r>
        <w:rPr>
          <w:rFonts w:ascii="Times New Roman" w:hAnsi="Times New Roman"/>
          <w:noProof/>
          <w:color w:val="000000"/>
          <w:sz w:val="24"/>
          <w:szCs w:val="24"/>
          <w:lang w:val="en-US"/>
        </w:rPr>
        <w:t>. The Commission calls on Member States to ensure that the tools they have are as effective as possible, for instance, by putting in place fast-track pro</w:t>
      </w:r>
      <w:r>
        <w:rPr>
          <w:rFonts w:ascii="Times New Roman" w:hAnsi="Times New Roman"/>
          <w:noProof/>
          <w:color w:val="000000"/>
          <w:sz w:val="24"/>
          <w:szCs w:val="24"/>
          <w:lang w:val="en-US"/>
        </w:rPr>
        <w:t xml:space="preserve">cedures for issuing compulsory licenses in emergency situations. In addition, </w:t>
      </w:r>
      <w:r>
        <w:rPr>
          <w:rFonts w:ascii="Times New Roman" w:hAnsi="Times New Roman" w:cs="Times New Roman"/>
          <w:noProof/>
          <w:color w:val="000000"/>
          <w:sz w:val="24"/>
          <w:szCs w:val="24"/>
          <w:lang w:val="en-US"/>
        </w:rPr>
        <w:t xml:space="preserve">it sees a need for a stronger co-ordination in this area, to avoid distortive effects on innovation and trade. </w:t>
      </w:r>
      <w:r>
        <w:rPr>
          <w:rFonts w:ascii="Times New Roman" w:hAnsi="Times New Roman" w:cs="Times New Roman"/>
          <w:b/>
          <w:bCs/>
          <w:noProof/>
          <w:color w:val="000000"/>
          <w:sz w:val="24"/>
          <w:szCs w:val="24"/>
          <w:lang w:val="en-US"/>
        </w:rPr>
        <w:t>Early</w:t>
      </w:r>
      <w:r>
        <w:rPr>
          <w:rFonts w:ascii="Times New Roman" w:hAnsi="Times New Roman"/>
          <w:b/>
          <w:bCs/>
          <w:noProof/>
          <w:color w:val="000000"/>
          <w:sz w:val="24"/>
          <w:szCs w:val="24"/>
          <w:lang w:val="en-US"/>
        </w:rPr>
        <w:t xml:space="preserve"> co-ordination and information sharing</w:t>
      </w:r>
      <w:r>
        <w:rPr>
          <w:rFonts w:ascii="Times New Roman" w:hAnsi="Times New Roman"/>
          <w:noProof/>
          <w:color w:val="000000"/>
          <w:sz w:val="24"/>
          <w:szCs w:val="24"/>
          <w:lang w:val="en-US"/>
        </w:rPr>
        <w:t xml:space="preserve"> between Member States</w:t>
      </w:r>
      <w:r>
        <w:rPr>
          <w:rFonts w:ascii="Times New Roman" w:hAnsi="Times New Roman" w:cs="Times New Roman"/>
          <w:noProof/>
          <w:color w:val="000000"/>
          <w:sz w:val="24"/>
          <w:szCs w:val="24"/>
          <w:lang w:val="en-US"/>
        </w:rPr>
        <w:t xml:space="preserve">, </w:t>
      </w:r>
      <w:r>
        <w:rPr>
          <w:rFonts w:ascii="Times New Roman" w:hAnsi="Times New Roman" w:cs="Times New Roman"/>
          <w:noProof/>
          <w:color w:val="000000"/>
          <w:sz w:val="24"/>
          <w:szCs w:val="24"/>
          <w:lang w:val="en-US"/>
        </w:rPr>
        <w:t>e.g.</w:t>
      </w:r>
      <w:r>
        <w:rPr>
          <w:rFonts w:ascii="Times New Roman" w:hAnsi="Times New Roman"/>
          <w:noProof/>
          <w:color w:val="000000"/>
          <w:sz w:val="24"/>
          <w:szCs w:val="24"/>
          <w:lang w:val="en-US"/>
        </w:rPr>
        <w:t xml:space="preserve"> on the duration of and royalties on any such licenses</w:t>
      </w:r>
      <w:r>
        <w:rPr>
          <w:rFonts w:ascii="Times New Roman" w:hAnsi="Times New Roman" w:cs="Times New Roman"/>
          <w:noProof/>
          <w:color w:val="000000"/>
          <w:sz w:val="24"/>
          <w:szCs w:val="24"/>
          <w:lang w:val="en-US"/>
        </w:rPr>
        <w:t>,</w:t>
      </w:r>
      <w:r>
        <w:rPr>
          <w:rFonts w:ascii="Times New Roman" w:hAnsi="Times New Roman"/>
          <w:noProof/>
          <w:color w:val="000000"/>
          <w:sz w:val="24"/>
          <w:szCs w:val="24"/>
          <w:lang w:val="en-US"/>
        </w:rPr>
        <w:t xml:space="preserve"> should help secure maximum benefits whilst at the same time avoiding excessive distortions. The Commission will explore with Member States the possibility of creating an emergency co-ordination me</w:t>
      </w:r>
      <w:r>
        <w:rPr>
          <w:rFonts w:ascii="Times New Roman" w:hAnsi="Times New Roman"/>
          <w:noProof/>
          <w:color w:val="000000"/>
          <w:sz w:val="24"/>
          <w:szCs w:val="24"/>
          <w:lang w:val="en-US"/>
        </w:rPr>
        <w:t>chanism, to be triggered at short notice when Member States consider issuing a compulsory license.</w:t>
      </w:r>
    </w:p>
    <w:p w:rsidR="009C2369" w:rsidRDefault="00FC21F0">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eastAsiaTheme="majorEastAsia" w:hAnsi="Times New Roman" w:cs="Times New Roman"/>
          <w:i/>
          <w:iCs/>
          <w:noProof/>
          <w:color w:val="000000" w:themeColor="text1"/>
          <w:sz w:val="24"/>
          <w:szCs w:val="24"/>
        </w:rPr>
        <w:t>Facilitating licensing of IP via enhanced transparency, notably as regards copyright</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To facilitate licensing and sharing of IP, there is a need for </w:t>
      </w:r>
      <w:r>
        <w:rPr>
          <w:rFonts w:ascii="Times New Roman" w:eastAsiaTheme="majorEastAsia" w:hAnsi="Times New Roman" w:cs="Times New Roman"/>
          <w:b/>
          <w:bCs/>
          <w:noProof/>
          <w:color w:val="000000" w:themeColor="text1"/>
          <w:sz w:val="24"/>
          <w:szCs w:val="24"/>
        </w:rPr>
        <w:t>more tran</w:t>
      </w:r>
      <w:r>
        <w:rPr>
          <w:rFonts w:ascii="Times New Roman" w:eastAsiaTheme="majorEastAsia" w:hAnsi="Times New Roman" w:cs="Times New Roman"/>
          <w:b/>
          <w:bCs/>
          <w:noProof/>
          <w:color w:val="000000" w:themeColor="text1"/>
          <w:sz w:val="24"/>
          <w:szCs w:val="24"/>
        </w:rPr>
        <w:t>sparency on ownership</w:t>
      </w:r>
      <w:r>
        <w:rPr>
          <w:rFonts w:ascii="Times New Roman" w:eastAsiaTheme="majorEastAsia" w:hAnsi="Times New Roman" w:cs="Times New Roman"/>
          <w:noProof/>
          <w:color w:val="000000" w:themeColor="text1"/>
          <w:sz w:val="24"/>
          <w:szCs w:val="24"/>
        </w:rPr>
        <w:t xml:space="preserve"> </w:t>
      </w:r>
      <w:r>
        <w:rPr>
          <w:rFonts w:ascii="Times New Roman" w:eastAsiaTheme="majorEastAsia" w:hAnsi="Times New Roman" w:cs="Times New Roman"/>
          <w:b/>
          <w:bCs/>
          <w:noProof/>
          <w:color w:val="000000" w:themeColor="text1"/>
          <w:sz w:val="24"/>
          <w:szCs w:val="24"/>
        </w:rPr>
        <w:t>and management</w:t>
      </w:r>
      <w:r>
        <w:rPr>
          <w:rFonts w:ascii="Times New Roman" w:eastAsiaTheme="majorEastAsia" w:hAnsi="Times New Roman" w:cs="Times New Roman"/>
          <w:noProof/>
          <w:color w:val="000000" w:themeColor="text1"/>
          <w:sz w:val="24"/>
          <w:szCs w:val="24"/>
        </w:rPr>
        <w:t xml:space="preserve"> of all types of IP. The unitary patent will offer real progress in the field of patents. </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Use of </w:t>
      </w:r>
      <w:r>
        <w:rPr>
          <w:rFonts w:ascii="Times New Roman" w:eastAsiaTheme="majorEastAsia" w:hAnsi="Times New Roman" w:cs="Times New Roman"/>
          <w:b/>
          <w:bCs/>
          <w:noProof/>
          <w:color w:val="000000" w:themeColor="text1"/>
          <w:sz w:val="24"/>
          <w:szCs w:val="24"/>
        </w:rPr>
        <w:t>high quality metadata and new technologies</w:t>
      </w:r>
      <w:r>
        <w:rPr>
          <w:rFonts w:ascii="Times New Roman" w:hAnsi="Times New Roman"/>
          <w:noProof/>
          <w:color w:val="000000" w:themeColor="text1"/>
          <w:sz w:val="24"/>
          <w:szCs w:val="24"/>
        </w:rPr>
        <w:t xml:space="preserve"> such as blockchain could also help </w:t>
      </w:r>
      <w:r>
        <w:rPr>
          <w:rFonts w:ascii="Times New Roman" w:eastAsiaTheme="majorEastAsia" w:hAnsi="Times New Roman" w:cs="Times New Roman"/>
          <w:noProof/>
          <w:color w:val="000000" w:themeColor="text1"/>
          <w:sz w:val="24"/>
          <w:szCs w:val="24"/>
        </w:rPr>
        <w:t>achieve</w:t>
      </w:r>
      <w:r>
        <w:rPr>
          <w:rFonts w:ascii="Times New Roman" w:hAnsi="Times New Roman"/>
          <w:noProof/>
          <w:color w:val="000000" w:themeColor="text1"/>
          <w:sz w:val="24"/>
          <w:szCs w:val="24"/>
        </w:rPr>
        <w:t xml:space="preserve"> more transparency and better rights </w:t>
      </w:r>
      <w:r>
        <w:rPr>
          <w:rFonts w:ascii="Times New Roman" w:hAnsi="Times New Roman"/>
          <w:noProof/>
          <w:color w:val="000000" w:themeColor="text1"/>
          <w:sz w:val="24"/>
          <w:szCs w:val="24"/>
        </w:rPr>
        <w:t>data management</w:t>
      </w:r>
      <w:r>
        <w:rPr>
          <w:rFonts w:ascii="Times New Roman" w:eastAsiaTheme="majorEastAsia" w:hAnsi="Times New Roman" w:cs="Times New Roman"/>
          <w:noProof/>
          <w:color w:val="000000" w:themeColor="text1"/>
          <w:sz w:val="24"/>
          <w:szCs w:val="24"/>
        </w:rPr>
        <w:t xml:space="preserve">, notably with regard to </w:t>
      </w:r>
      <w:r>
        <w:rPr>
          <w:rFonts w:ascii="Times New Roman" w:eastAsiaTheme="majorEastAsia" w:hAnsi="Times New Roman" w:cs="Times New Roman"/>
          <w:b/>
          <w:bCs/>
          <w:noProof/>
          <w:color w:val="000000" w:themeColor="text1"/>
          <w:sz w:val="24"/>
          <w:szCs w:val="24"/>
        </w:rPr>
        <w:t xml:space="preserve">copyright </w:t>
      </w:r>
      <w:r>
        <w:rPr>
          <w:rFonts w:ascii="Times New Roman" w:eastAsiaTheme="majorEastAsia" w:hAnsi="Times New Roman" w:cs="Times New Roman"/>
          <w:noProof/>
          <w:color w:val="000000" w:themeColor="text1"/>
          <w:sz w:val="24"/>
          <w:szCs w:val="24"/>
        </w:rPr>
        <w:t>and an improved identification of rights owners</w:t>
      </w:r>
      <w:r>
        <w:rPr>
          <w:rStyle w:val="FootnoteReference"/>
          <w:rFonts w:ascii="Times New Roman" w:eastAsiaTheme="majorEastAsia" w:hAnsi="Times New Roman" w:cs="Times New Roman"/>
          <w:noProof/>
          <w:color w:val="000000" w:themeColor="text1"/>
          <w:sz w:val="24"/>
          <w:szCs w:val="24"/>
        </w:rPr>
        <w:footnoteReference w:id="73"/>
      </w:r>
      <w:r>
        <w:rPr>
          <w:rFonts w:ascii="Times New Roman" w:eastAsiaTheme="majorEastAsia" w:hAnsi="Times New Roman" w:cs="Times New Roman"/>
          <w:noProof/>
          <w:color w:val="000000" w:themeColor="text1"/>
          <w:sz w:val="24"/>
          <w:szCs w:val="24"/>
        </w:rPr>
        <w:t>.</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The Commission is launching a study on copyright and new technologies, which will focus on copyright data management and artificial intelligence. The result from this study should be available in 2021. The Commission will further work with relevant stakeho</w:t>
      </w:r>
      <w:r>
        <w:rPr>
          <w:rFonts w:ascii="Times New Roman" w:eastAsiaTheme="majorEastAsia" w:hAnsi="Times New Roman" w:cs="Times New Roman"/>
          <w:noProof/>
          <w:color w:val="000000" w:themeColor="text1"/>
          <w:sz w:val="24"/>
          <w:szCs w:val="24"/>
        </w:rPr>
        <w:t xml:space="preserve">lders to promote the quality of copyright data and achieve a well-functioning </w:t>
      </w:r>
      <w:r>
        <w:rPr>
          <w:rFonts w:ascii="Times New Roman" w:eastAsiaTheme="majorEastAsia" w:hAnsi="Times New Roman" w:cs="Times New Roman"/>
          <w:b/>
          <w:bCs/>
          <w:noProof/>
          <w:color w:val="000000" w:themeColor="text1"/>
          <w:sz w:val="24"/>
          <w:szCs w:val="24"/>
        </w:rPr>
        <w:t>“copyright infrastructure</w:t>
      </w:r>
      <w:r>
        <w:rPr>
          <w:rFonts w:ascii="Times New Roman" w:eastAsiaTheme="majorEastAsia" w:hAnsi="Times New Roman" w:cs="Times New Roman"/>
          <w:noProof/>
          <w:color w:val="000000" w:themeColor="text1"/>
          <w:sz w:val="24"/>
          <w:szCs w:val="24"/>
        </w:rPr>
        <w:t>”</w:t>
      </w:r>
      <w:r>
        <w:rPr>
          <w:rStyle w:val="FootnoteReference"/>
          <w:rFonts w:ascii="Times New Roman" w:eastAsiaTheme="majorEastAsia" w:hAnsi="Times New Roman" w:cs="Times New Roman"/>
          <w:noProof/>
          <w:color w:val="000000" w:themeColor="text1"/>
          <w:sz w:val="24"/>
          <w:szCs w:val="24"/>
        </w:rPr>
        <w:footnoteReference w:id="74"/>
      </w:r>
      <w:r>
        <w:rPr>
          <w:rFonts w:ascii="Times New Roman" w:eastAsiaTheme="majorEastAsia" w:hAnsi="Times New Roman" w:cs="Times New Roman"/>
          <w:noProof/>
          <w:color w:val="000000" w:themeColor="text1"/>
          <w:sz w:val="24"/>
          <w:szCs w:val="24"/>
        </w:rPr>
        <w:t xml:space="preserve"> (e.g. improve authoritative and updated information on right holders, terms and conditions and licensing opportunities)</w:t>
      </w:r>
      <w:r>
        <w:rPr>
          <w:rFonts w:ascii="Times New Roman" w:eastAsiaTheme="majorEastAsia" w:hAnsi="Times New Roman" w:cs="Times New Roman"/>
          <w:noProof/>
          <w:color w:val="000000" w:themeColor="text1"/>
          <w:sz w:val="24"/>
          <w:szCs w:val="24"/>
          <w:vertAlign w:val="superscript"/>
        </w:rPr>
        <w:footnoteReference w:id="75"/>
      </w:r>
      <w:r>
        <w:rPr>
          <w:rFonts w:ascii="Times New Roman" w:eastAsiaTheme="majorEastAsia" w:hAnsi="Times New Roman" w:cs="Times New Roman"/>
          <w:noProof/>
          <w:color w:val="000000" w:themeColor="text1"/>
          <w:sz w:val="24"/>
          <w:szCs w:val="24"/>
        </w:rPr>
        <w:t>.</w:t>
      </w:r>
    </w:p>
    <w:p w:rsidR="009C2369" w:rsidRDefault="00FC21F0">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eastAsiaTheme="majorEastAsia" w:hAnsi="Times New Roman" w:cs="Times New Roman"/>
          <w:i/>
          <w:iCs/>
          <w:noProof/>
          <w:color w:val="000000" w:themeColor="text1"/>
          <w:sz w:val="24"/>
          <w:szCs w:val="24"/>
        </w:rPr>
        <w:t>Standard-essential patents</w:t>
      </w:r>
    </w:p>
    <w:p w:rsidR="009C2369" w:rsidRDefault="00FC21F0">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b/>
          <w:bCs/>
          <w:noProof/>
          <w:color w:val="000000" w:themeColor="text1"/>
          <w:sz w:val="24"/>
          <w:szCs w:val="24"/>
          <w:lang w:val="en-IE"/>
        </w:rPr>
        <w:t>S</w:t>
      </w:r>
      <w:r>
        <w:rPr>
          <w:rFonts w:ascii="Times New Roman" w:eastAsiaTheme="majorEastAsia" w:hAnsi="Times New Roman" w:cs="Times New Roman"/>
          <w:b/>
          <w:bCs/>
          <w:noProof/>
          <w:color w:val="000000" w:themeColor="text1"/>
          <w:sz w:val="24"/>
          <w:szCs w:val="24"/>
          <w:lang w:val="en-IE"/>
        </w:rPr>
        <w:t>tandard-essential patents</w:t>
      </w:r>
      <w:r>
        <w:rPr>
          <w:rFonts w:ascii="Times New Roman" w:eastAsiaTheme="majorEastAsia" w:hAnsi="Times New Roman" w:cs="Times New Roman"/>
          <w:noProof/>
          <w:color w:val="000000" w:themeColor="text1"/>
          <w:sz w:val="24"/>
          <w:szCs w:val="24"/>
          <w:lang w:val="en-IE"/>
        </w:rPr>
        <w:t xml:space="preserve"> (SEPs) are </w:t>
      </w:r>
      <w:r>
        <w:rPr>
          <w:rFonts w:ascii="Times New Roman" w:eastAsiaTheme="majorEastAsia" w:hAnsi="Times New Roman" w:cs="Times New Roman"/>
          <w:noProof/>
          <w:color w:val="000000" w:themeColor="text1"/>
          <w:sz w:val="24"/>
          <w:szCs w:val="24"/>
        </w:rPr>
        <w:t xml:space="preserve">patents for technologies incorporated into standards. The amount of SEPs and the number of SEP owners is increasing (e.g., for mobile </w:t>
      </w:r>
      <w:r>
        <w:rPr>
          <w:rFonts w:ascii="Times New Roman" w:eastAsiaTheme="majorEastAsia" w:hAnsi="Times New Roman" w:cs="Times New Roman"/>
          <w:noProof/>
          <w:color w:val="000000" w:themeColor="text1"/>
          <w:sz w:val="24"/>
          <w:szCs w:val="24"/>
        </w:rPr>
        <w:lastRenderedPageBreak/>
        <w:t>connectivity standards more than 25000 patent families</w:t>
      </w:r>
      <w:r>
        <w:rPr>
          <w:rStyle w:val="FootnoteReference"/>
          <w:rFonts w:ascii="Times New Roman" w:eastAsiaTheme="majorEastAsia" w:hAnsi="Times New Roman" w:cs="Times New Roman"/>
          <w:noProof/>
          <w:color w:val="000000" w:themeColor="text1"/>
          <w:sz w:val="24"/>
          <w:szCs w:val="24"/>
        </w:rPr>
        <w:footnoteReference w:id="76"/>
      </w:r>
      <w:r>
        <w:rPr>
          <w:rFonts w:ascii="Times New Roman" w:eastAsiaTheme="majorEastAsia" w:hAnsi="Times New Roman" w:cs="Times New Roman"/>
          <w:noProof/>
          <w:color w:val="000000" w:themeColor="text1"/>
          <w:sz w:val="24"/>
          <w:szCs w:val="24"/>
        </w:rPr>
        <w:t xml:space="preserve"> have been declared to ETSI by</w:t>
      </w:r>
      <w:r>
        <w:rPr>
          <w:rFonts w:ascii="Times New Roman" w:eastAsiaTheme="majorEastAsia" w:hAnsi="Times New Roman" w:cs="Times New Roman"/>
          <w:noProof/>
          <w:color w:val="000000" w:themeColor="text1"/>
          <w:sz w:val="24"/>
          <w:szCs w:val="24"/>
        </w:rPr>
        <w:t xml:space="preserve"> an increasingly large group of SEP holders, and newly emerging technology standards often contain SEPs as well).</w:t>
      </w:r>
      <w:r>
        <w:rPr>
          <w:noProof/>
        </w:rPr>
        <w:t xml:space="preserve"> </w:t>
      </w:r>
      <w:r>
        <w:rPr>
          <w:rFonts w:ascii="Times New Roman" w:eastAsiaTheme="majorEastAsia" w:hAnsi="Times New Roman" w:cs="Times New Roman"/>
          <w:noProof/>
          <w:color w:val="000000" w:themeColor="text1"/>
          <w:sz w:val="24"/>
          <w:szCs w:val="24"/>
        </w:rPr>
        <w:t>SEPs play a crucial role in the development of 5G and the Internet of Things (IoT). Digital integration of objects, devices, sensors, and everyday items, with applications ranging from connected cars, health, energy to smart cities requires interoperable s</w:t>
      </w:r>
      <w:r>
        <w:rPr>
          <w:rFonts w:ascii="Times New Roman" w:eastAsiaTheme="majorEastAsia" w:hAnsi="Times New Roman" w:cs="Times New Roman"/>
          <w:noProof/>
          <w:color w:val="000000" w:themeColor="text1"/>
          <w:sz w:val="24"/>
          <w:szCs w:val="24"/>
        </w:rPr>
        <w:t xml:space="preserve">olutions based on standards. </w:t>
      </w:r>
    </w:p>
    <w:p w:rsidR="009C2369" w:rsidRDefault="00FC21F0">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In that context, it is essential to have stable, efficient and fair rules governing the licensing of SEPs. Despite the guidance provided in the SEPs Communication in 2017</w:t>
      </w:r>
      <w:r>
        <w:rPr>
          <w:rStyle w:val="FootnoteReference"/>
          <w:rFonts w:ascii="Times New Roman" w:eastAsiaTheme="majorEastAsia" w:hAnsi="Times New Roman" w:cs="Times New Roman"/>
          <w:noProof/>
          <w:color w:val="000000" w:themeColor="text1"/>
          <w:sz w:val="24"/>
          <w:szCs w:val="24"/>
        </w:rPr>
        <w:footnoteReference w:id="77"/>
      </w:r>
      <w:r>
        <w:rPr>
          <w:rFonts w:ascii="Times New Roman" w:eastAsiaTheme="majorEastAsia" w:hAnsi="Times New Roman" w:cs="Times New Roman"/>
          <w:noProof/>
          <w:color w:val="000000" w:themeColor="text1"/>
          <w:sz w:val="24"/>
          <w:szCs w:val="24"/>
        </w:rPr>
        <w:t>, some businesses  continue to find it difficult to agr</w:t>
      </w:r>
      <w:r>
        <w:rPr>
          <w:rFonts w:ascii="Times New Roman" w:eastAsiaTheme="majorEastAsia" w:hAnsi="Times New Roman" w:cs="Times New Roman"/>
          <w:noProof/>
          <w:color w:val="000000" w:themeColor="text1"/>
          <w:sz w:val="24"/>
          <w:szCs w:val="24"/>
        </w:rPr>
        <w:t>ee on SEP licensing. This can frequently lead to disputes, in which patent holders claim that their SEP has been infringed and the other party complains that the patent holder has imposed unfair conditions on a licensing agreement. Although currently the b</w:t>
      </w:r>
      <w:r>
        <w:rPr>
          <w:rFonts w:ascii="Times New Roman" w:eastAsiaTheme="majorEastAsia" w:hAnsi="Times New Roman" w:cs="Times New Roman"/>
          <w:noProof/>
          <w:color w:val="000000" w:themeColor="text1"/>
          <w:sz w:val="24"/>
          <w:szCs w:val="24"/>
        </w:rPr>
        <w:t>iggest disputes seem to occur in the automotive sector, they may extend further as SEPs licensing is relevant also in the health, energy, smart manufacturing, digital and electronics ecosystems</w:t>
      </w:r>
      <w:r>
        <w:rPr>
          <w:rStyle w:val="FootnoteReference"/>
          <w:rFonts w:ascii="Times New Roman" w:eastAsiaTheme="majorEastAsia" w:hAnsi="Times New Roman" w:cs="Times New Roman"/>
          <w:noProof/>
          <w:color w:val="000000" w:themeColor="text1"/>
          <w:sz w:val="24"/>
          <w:szCs w:val="24"/>
        </w:rPr>
        <w:footnoteReference w:id="78"/>
      </w:r>
      <w:r>
        <w:rPr>
          <w:rFonts w:ascii="Times New Roman" w:eastAsiaTheme="majorEastAsia" w:hAnsi="Times New Roman" w:cs="Times New Roman"/>
          <w:noProof/>
          <w:color w:val="000000" w:themeColor="text1"/>
          <w:sz w:val="24"/>
          <w:szCs w:val="24"/>
        </w:rPr>
        <w:t xml:space="preserve">. </w:t>
      </w:r>
    </w:p>
    <w:p w:rsidR="009C2369" w:rsidRDefault="00FC21F0">
      <w:pPr>
        <w:spacing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In the short term, the Commission will facilitate industry-</w:t>
      </w:r>
      <w:r>
        <w:rPr>
          <w:rFonts w:ascii="Times New Roman" w:eastAsiaTheme="majorEastAsia" w:hAnsi="Times New Roman" w:cs="Times New Roman"/>
          <w:noProof/>
          <w:color w:val="000000" w:themeColor="text1"/>
          <w:sz w:val="24"/>
          <w:szCs w:val="24"/>
        </w:rPr>
        <w:t>led initiatives to reduce frictions and litigations among players in specific sectors.</w:t>
      </w:r>
    </w:p>
    <w:p w:rsidR="009C2369" w:rsidRDefault="00FC21F0">
      <w:pPr>
        <w:spacing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In parallel, building on the 2017 approach, the Commission will consider </w:t>
      </w:r>
      <w:r>
        <w:rPr>
          <w:rFonts w:ascii="Times New Roman" w:eastAsiaTheme="majorEastAsia" w:hAnsi="Times New Roman" w:cs="Times New Roman"/>
          <w:b/>
          <w:bCs/>
          <w:noProof/>
          <w:color w:val="000000" w:themeColor="text1"/>
          <w:sz w:val="24"/>
          <w:szCs w:val="24"/>
        </w:rPr>
        <w:t>reforms</w:t>
      </w:r>
      <w:r>
        <w:rPr>
          <w:rFonts w:ascii="Times New Roman" w:eastAsiaTheme="majorEastAsia" w:hAnsi="Times New Roman" w:cs="Times New Roman"/>
          <w:noProof/>
          <w:color w:val="000000" w:themeColor="text1"/>
          <w:sz w:val="24"/>
          <w:szCs w:val="24"/>
        </w:rPr>
        <w:t xml:space="preserve"> to further clarify and improve the framework governing the declaration, licensing and en</w:t>
      </w:r>
      <w:r>
        <w:rPr>
          <w:rFonts w:ascii="Times New Roman" w:eastAsiaTheme="majorEastAsia" w:hAnsi="Times New Roman" w:cs="Times New Roman"/>
          <w:noProof/>
          <w:color w:val="000000" w:themeColor="text1"/>
          <w:sz w:val="24"/>
          <w:szCs w:val="24"/>
        </w:rPr>
        <w:t>forcement of SEPs. The Commission will for instance explore the creation of an independent system of third-party essentiality checks in view of improving legal certainty and reducing litigation costs</w:t>
      </w:r>
      <w:r>
        <w:rPr>
          <w:rStyle w:val="FootnoteReference"/>
          <w:rFonts w:ascii="Times New Roman" w:eastAsiaTheme="majorEastAsia" w:hAnsi="Times New Roman" w:cs="Times New Roman"/>
          <w:noProof/>
          <w:color w:val="000000" w:themeColor="text1"/>
          <w:sz w:val="24"/>
          <w:szCs w:val="24"/>
        </w:rPr>
        <w:footnoteReference w:id="79"/>
      </w:r>
      <w:r>
        <w:rPr>
          <w:rFonts w:ascii="Times New Roman" w:eastAsiaTheme="majorEastAsia" w:hAnsi="Times New Roman" w:cs="Times New Roman"/>
          <w:noProof/>
          <w:color w:val="000000" w:themeColor="text1"/>
          <w:sz w:val="24"/>
          <w:szCs w:val="24"/>
        </w:rPr>
        <w:t>. The possible reforms will take into account the experi</w:t>
      </w:r>
      <w:r>
        <w:rPr>
          <w:rFonts w:ascii="Times New Roman" w:eastAsiaTheme="majorEastAsia" w:hAnsi="Times New Roman" w:cs="Times New Roman"/>
          <w:noProof/>
          <w:color w:val="000000" w:themeColor="text1"/>
          <w:sz w:val="24"/>
          <w:szCs w:val="24"/>
        </w:rPr>
        <w:t xml:space="preserve">ence with the guidance provided in the 2017 SEPs Communication and discussions with relevant stakeholders. </w:t>
      </w:r>
    </w:p>
    <w:p w:rsidR="009C2369" w:rsidRDefault="00FC21F0">
      <w:pPr>
        <w:pStyle w:val="ListParagraph"/>
        <w:keepNext/>
        <w:numPr>
          <w:ilvl w:val="0"/>
          <w:numId w:val="46"/>
        </w:numPr>
        <w:spacing w:before="120" w:after="120" w:line="240" w:lineRule="auto"/>
        <w:ind w:left="425" w:hanging="425"/>
        <w:contextualSpacing w:val="0"/>
        <w:jc w:val="both"/>
        <w:rPr>
          <w:rFonts w:ascii="Times New Roman" w:eastAsiaTheme="majorEastAsia" w:hAnsi="Times New Roman" w:cs="Times New Roman"/>
          <w:i/>
          <w:iCs/>
          <w:noProof/>
          <w:color w:val="000000" w:themeColor="text1"/>
          <w:sz w:val="24"/>
          <w:szCs w:val="24"/>
        </w:rPr>
      </w:pPr>
      <w:r>
        <w:rPr>
          <w:rFonts w:ascii="Times New Roman" w:eastAsiaTheme="majorEastAsia" w:hAnsi="Times New Roman" w:cs="Times New Roman"/>
          <w:i/>
          <w:iCs/>
          <w:noProof/>
          <w:color w:val="000000" w:themeColor="text1"/>
          <w:sz w:val="24"/>
          <w:szCs w:val="24"/>
        </w:rPr>
        <w:t>Promoting data sharing</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Finally, as set out in the Commission’s recent European Strategy for Data</w:t>
      </w:r>
      <w:r>
        <w:rPr>
          <w:rStyle w:val="FootnoteReference"/>
          <w:rFonts w:ascii="Times New Roman" w:eastAsia="Times New Roman" w:hAnsi="Times New Roman" w:cs="Times New Roman"/>
          <w:noProof/>
          <w:color w:val="000000" w:themeColor="text1"/>
          <w:sz w:val="24"/>
          <w:szCs w:val="24"/>
        </w:rPr>
        <w:footnoteReference w:id="80"/>
      </w:r>
      <w:r>
        <w:rPr>
          <w:rFonts w:ascii="Times New Roman" w:eastAsia="Times New Roman" w:hAnsi="Times New Roman" w:cs="Times New Roman"/>
          <w:noProof/>
          <w:color w:val="000000" w:themeColor="text1"/>
          <w:sz w:val="24"/>
          <w:szCs w:val="24"/>
        </w:rPr>
        <w:t xml:space="preserve">, the EU needs a solid </w:t>
      </w:r>
      <w:r>
        <w:rPr>
          <w:rFonts w:ascii="Times New Roman" w:eastAsia="Times New Roman" w:hAnsi="Times New Roman" w:cs="Times New Roman"/>
          <w:b/>
          <w:bCs/>
          <w:noProof/>
          <w:color w:val="000000" w:themeColor="text1"/>
          <w:sz w:val="24"/>
          <w:szCs w:val="24"/>
        </w:rPr>
        <w:t xml:space="preserve">framework to allow </w:t>
      </w:r>
      <w:r>
        <w:rPr>
          <w:rFonts w:ascii="Times New Roman" w:eastAsia="Times New Roman" w:hAnsi="Times New Roman" w:cs="Times New Roman"/>
          <w:b/>
          <w:bCs/>
          <w:noProof/>
          <w:color w:val="000000" w:themeColor="text1"/>
          <w:sz w:val="24"/>
          <w:szCs w:val="24"/>
        </w:rPr>
        <w:t>businesses to create, access, share and use data</w:t>
      </w:r>
      <w:r>
        <w:rPr>
          <w:rFonts w:ascii="Times New Roman" w:eastAsia="Times New Roman" w:hAnsi="Times New Roman" w:cs="Times New Roman"/>
          <w:noProof/>
          <w:color w:val="000000" w:themeColor="text1"/>
          <w:sz w:val="24"/>
          <w:szCs w:val="24"/>
        </w:rPr>
        <w:t>. Between 2018 and 2025 the value of the EU data economy will almost triple, reaching EUR 829 billion and representing 5.8% of  EU GDP</w:t>
      </w:r>
      <w:r>
        <w:rPr>
          <w:rStyle w:val="FootnoteReference"/>
          <w:rFonts w:ascii="Times New Roman" w:eastAsia="Times New Roman" w:hAnsi="Times New Roman" w:cs="Times New Roman"/>
          <w:noProof/>
          <w:color w:val="000000" w:themeColor="text1"/>
          <w:sz w:val="24"/>
          <w:szCs w:val="24"/>
        </w:rPr>
        <w:footnoteReference w:id="81"/>
      </w:r>
      <w:r>
        <w:rPr>
          <w:rFonts w:ascii="Times New Roman" w:eastAsia="Times New Roman" w:hAnsi="Times New Roman" w:cs="Times New Roman"/>
          <w:noProof/>
          <w:color w:val="000000" w:themeColor="text1"/>
          <w:sz w:val="24"/>
          <w:szCs w:val="24"/>
        </w:rPr>
        <w:t xml:space="preserve"> in 2025. Given that some data can be protected by IP rights or as trade </w:t>
      </w:r>
      <w:r>
        <w:rPr>
          <w:rFonts w:ascii="Times New Roman" w:eastAsia="Times New Roman" w:hAnsi="Times New Roman" w:cs="Times New Roman"/>
          <w:noProof/>
          <w:color w:val="000000" w:themeColor="text1"/>
          <w:sz w:val="24"/>
          <w:szCs w:val="24"/>
        </w:rPr>
        <w:t xml:space="preserve">secrets, the Commission is currently </w:t>
      </w:r>
      <w:r>
        <w:rPr>
          <w:rFonts w:ascii="Times New Roman" w:eastAsia="Times New Roman" w:hAnsi="Times New Roman" w:cs="Times New Roman"/>
          <w:noProof/>
          <w:sz w:val="24"/>
          <w:szCs w:val="24"/>
        </w:rPr>
        <w:t xml:space="preserve">evaluating the IP framework to ensure balance between the need to foster data sharing </w:t>
      </w:r>
      <w:r>
        <w:rPr>
          <w:rFonts w:ascii="Times New Roman" w:hAnsi="Times New Roman" w:cs="Times New Roman"/>
          <w:noProof/>
          <w:sz w:val="24"/>
          <w:szCs w:val="24"/>
          <w:lang w:val="en-US"/>
        </w:rPr>
        <w:t xml:space="preserve">(e.g. to facilitate access and use of data by SMEs, to facilitate repairs) </w:t>
      </w:r>
      <w:r>
        <w:rPr>
          <w:rFonts w:ascii="Times New Roman" w:eastAsia="Times New Roman" w:hAnsi="Times New Roman" w:cs="Times New Roman"/>
          <w:noProof/>
          <w:sz w:val="24"/>
          <w:szCs w:val="24"/>
        </w:rPr>
        <w:t>and the need to be able to safeguard legitimate interests.</w:t>
      </w:r>
      <w:r>
        <w:rPr>
          <w:rFonts w:ascii="Times New Roman" w:eastAsia="Times New Roman" w:hAnsi="Times New Roman" w:cs="Times New Roman"/>
          <w:noProof/>
          <w:sz w:val="24"/>
          <w:szCs w:val="24"/>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val="en-US"/>
        </w:rPr>
        <w:t>Fostering data sharing requires a secure environment where businesses can keep investing in data generation and collection, while sharing them in a secure way, confident that their sensitive business data will not be acquired, used or disclosed unlawfull</w:t>
      </w:r>
      <w:r>
        <w:rPr>
          <w:rFonts w:ascii="Times New Roman" w:eastAsia="Times New Roman" w:hAnsi="Times New Roman" w:cs="Times New Roman"/>
          <w:noProof/>
          <w:color w:val="000000" w:themeColor="text1"/>
          <w:sz w:val="24"/>
          <w:szCs w:val="24"/>
          <w:lang w:val="en-US"/>
        </w:rPr>
        <w:t xml:space="preserve">y. The </w:t>
      </w:r>
      <w:r>
        <w:rPr>
          <w:rFonts w:ascii="Times New Roman" w:eastAsia="Times New Roman" w:hAnsi="Times New Roman" w:cs="Times New Roman"/>
          <w:b/>
          <w:bCs/>
          <w:noProof/>
          <w:color w:val="000000" w:themeColor="text1"/>
          <w:sz w:val="24"/>
          <w:szCs w:val="24"/>
          <w:lang w:val="en-US"/>
        </w:rPr>
        <w:t>Trade Secrets Directive</w:t>
      </w:r>
      <w:r>
        <w:rPr>
          <w:rStyle w:val="FootnoteReference"/>
          <w:rFonts w:ascii="Times New Roman" w:eastAsia="Times New Roman" w:hAnsi="Times New Roman" w:cs="Times New Roman"/>
          <w:noProof/>
          <w:color w:val="000000" w:themeColor="text1"/>
          <w:sz w:val="24"/>
          <w:szCs w:val="24"/>
        </w:rPr>
        <w:footnoteReference w:id="82"/>
      </w:r>
      <w:r>
        <w:rPr>
          <w:rFonts w:ascii="Times New Roman" w:eastAsia="Times New Roman" w:hAnsi="Times New Roman" w:cs="Times New Roman"/>
          <w:noProof/>
          <w:color w:val="000000" w:themeColor="text1"/>
          <w:sz w:val="24"/>
          <w:szCs w:val="24"/>
          <w:lang w:val="en-US"/>
        </w:rPr>
        <w:t xml:space="preserve"> already provides effective tools for protection, but there may be a need to clarify its scope, e.g. which type of data or datasets could qualify as ‘trade secrets’, whether the current set of exceptions can support the data </w:t>
      </w:r>
      <w:r>
        <w:rPr>
          <w:rFonts w:ascii="Times New Roman" w:eastAsia="Times New Roman" w:hAnsi="Times New Roman" w:cs="Times New Roman"/>
          <w:noProof/>
          <w:color w:val="000000" w:themeColor="text1"/>
          <w:sz w:val="24"/>
          <w:szCs w:val="24"/>
          <w:lang w:val="en-US"/>
        </w:rPr>
        <w:t>and green</w:t>
      </w:r>
      <w:r>
        <w:rPr>
          <w:rStyle w:val="FootnoteReference"/>
          <w:rFonts w:ascii="Times New Roman" w:eastAsia="Times New Roman" w:hAnsi="Times New Roman" w:cs="Times New Roman"/>
          <w:noProof/>
          <w:color w:val="000000" w:themeColor="text1"/>
          <w:sz w:val="24"/>
          <w:szCs w:val="24"/>
          <w:lang w:val="en-US"/>
        </w:rPr>
        <w:footnoteReference w:id="83"/>
      </w:r>
      <w:r>
        <w:rPr>
          <w:rFonts w:ascii="Times New Roman" w:eastAsia="Times New Roman" w:hAnsi="Times New Roman" w:cs="Times New Roman"/>
          <w:noProof/>
          <w:color w:val="000000" w:themeColor="text1"/>
          <w:sz w:val="24"/>
          <w:szCs w:val="24"/>
          <w:lang w:val="en-US"/>
        </w:rPr>
        <w:t xml:space="preserve"> economy and whether </w:t>
      </w:r>
      <w:r>
        <w:rPr>
          <w:rFonts w:ascii="Times New Roman" w:eastAsia="Times New Roman" w:hAnsi="Times New Roman" w:cs="Times New Roman"/>
          <w:noProof/>
          <w:color w:val="000000" w:themeColor="text1"/>
          <w:sz w:val="24"/>
          <w:szCs w:val="24"/>
          <w:lang w:val="en-US"/>
        </w:rPr>
        <w:lastRenderedPageBreak/>
        <w:t>and how the tools offered by the directive can be used to efficiently counter the unlawful acquisition, use and disclosure of data and datasets. With a view to clarifying these issues and identify best practices, the Commissi</w:t>
      </w:r>
      <w:r>
        <w:rPr>
          <w:rFonts w:ascii="Times New Roman" w:eastAsia="Times New Roman" w:hAnsi="Times New Roman" w:cs="Times New Roman"/>
          <w:noProof/>
          <w:color w:val="000000" w:themeColor="text1"/>
          <w:sz w:val="24"/>
          <w:szCs w:val="24"/>
          <w:lang w:val="en-US"/>
        </w:rPr>
        <w:t>on has launched a study, with a specific focus on strategic sectors including the healthcare and automotive sectors. Based on the results, and as part of the Data Act</w:t>
      </w:r>
      <w:r>
        <w:rPr>
          <w:rStyle w:val="FootnoteReference"/>
          <w:rFonts w:ascii="Times New Roman" w:eastAsia="Times New Roman" w:hAnsi="Times New Roman" w:cs="Times New Roman"/>
          <w:noProof/>
          <w:color w:val="000000" w:themeColor="text1"/>
          <w:sz w:val="24"/>
          <w:szCs w:val="24"/>
          <w:lang w:val="en-US"/>
        </w:rPr>
        <w:footnoteReference w:id="84"/>
      </w:r>
      <w:r>
        <w:rPr>
          <w:rFonts w:ascii="Times New Roman" w:eastAsia="Times New Roman" w:hAnsi="Times New Roman" w:cs="Times New Roman"/>
          <w:noProof/>
          <w:color w:val="000000" w:themeColor="text1"/>
          <w:sz w:val="24"/>
          <w:szCs w:val="24"/>
          <w:lang w:val="en-US"/>
        </w:rPr>
        <w:t>, the Commission will consider the need for further action, e.g. targeted guidance.</w:t>
      </w:r>
    </w:p>
    <w:p w:rsidR="009C2369" w:rsidRDefault="00FC21F0">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w:t>
      </w:r>
      <w:r>
        <w:rPr>
          <w:rFonts w:ascii="Times New Roman" w:eastAsia="Times New Roman" w:hAnsi="Times New Roman" w:cs="Times New Roman"/>
          <w:b/>
          <w:bCs/>
          <w:noProof/>
          <w:color w:val="000000" w:themeColor="text1"/>
          <w:sz w:val="24"/>
          <w:szCs w:val="24"/>
        </w:rPr>
        <w:t>D</w:t>
      </w:r>
      <w:r>
        <w:rPr>
          <w:rFonts w:ascii="Times New Roman" w:eastAsia="Times New Roman" w:hAnsi="Times New Roman" w:cs="Times New Roman"/>
          <w:b/>
          <w:bCs/>
          <w:noProof/>
          <w:color w:val="000000" w:themeColor="text1"/>
          <w:sz w:val="24"/>
          <w:szCs w:val="24"/>
        </w:rPr>
        <w:t>atabase Directive</w:t>
      </w:r>
      <w:r>
        <w:rPr>
          <w:rStyle w:val="FootnoteReference"/>
          <w:rFonts w:ascii="Times New Roman" w:eastAsia="Times New Roman" w:hAnsi="Times New Roman" w:cs="Times New Roman"/>
          <w:noProof/>
          <w:color w:val="000000" w:themeColor="text1"/>
          <w:sz w:val="24"/>
          <w:szCs w:val="24"/>
        </w:rPr>
        <w:footnoteReference w:id="85"/>
      </w:r>
      <w:r>
        <w:rPr>
          <w:rFonts w:ascii="Times New Roman" w:eastAsia="Times New Roman" w:hAnsi="Times New Roman" w:cs="Times New Roman"/>
          <w:noProof/>
          <w:color w:val="000000" w:themeColor="text1"/>
          <w:sz w:val="24"/>
          <w:szCs w:val="24"/>
        </w:rPr>
        <w:t xml:space="preserve"> provides for  </w:t>
      </w:r>
      <w:r>
        <w:rPr>
          <w:rFonts w:ascii="Times New Roman" w:eastAsia="Times New Roman" w:hAnsi="Times New Roman" w:cs="Times New Roman"/>
          <w:i/>
          <w:iCs/>
          <w:noProof/>
          <w:color w:val="000000" w:themeColor="text1"/>
          <w:sz w:val="24"/>
          <w:szCs w:val="24"/>
        </w:rPr>
        <w:t>sui generis</w:t>
      </w:r>
      <w:r>
        <w:rPr>
          <w:rFonts w:ascii="Times New Roman" w:eastAsia="Times New Roman" w:hAnsi="Times New Roman" w:cs="Times New Roman"/>
          <w:noProof/>
          <w:color w:val="000000" w:themeColor="text1"/>
          <w:sz w:val="24"/>
          <w:szCs w:val="24"/>
        </w:rPr>
        <w:t xml:space="preserve"> protection for databases, which are the </w:t>
      </w:r>
      <w:r>
        <w:rPr>
          <w:rFonts w:ascii="Times New Roman" w:eastAsia="Times New Roman" w:hAnsi="Times New Roman" w:cs="Times New Roman"/>
          <w:noProof/>
          <w:color w:val="000000"/>
          <w:sz w:val="24"/>
          <w:szCs w:val="24"/>
          <w:lang w:val="en-US"/>
        </w:rPr>
        <w:t>result of substantial investments</w:t>
      </w:r>
      <w:r>
        <w:rPr>
          <w:rFonts w:ascii="Times New Roman" w:eastAsia="Times New Roman" w:hAnsi="Times New Roman" w:cs="Times New Roman"/>
          <w:noProof/>
          <w:color w:val="000000" w:themeColor="text1"/>
          <w:sz w:val="24"/>
          <w:szCs w:val="24"/>
          <w:lang w:val="en-US"/>
        </w:rPr>
        <w:t>.</w:t>
      </w:r>
      <w:r>
        <w:rPr>
          <w:rFonts w:ascii="Times New Roman" w:eastAsia="Times New Roman" w:hAnsi="Times New Roman" w:cs="Times New Roman"/>
          <w:noProof/>
          <w:color w:val="000000" w:themeColor="text1"/>
          <w:sz w:val="24"/>
          <w:szCs w:val="24"/>
        </w:rPr>
        <w:t xml:space="preserve"> A recent evaluation</w:t>
      </w:r>
      <w:r>
        <w:rPr>
          <w:rStyle w:val="FootnoteReference"/>
          <w:rFonts w:ascii="Times New Roman" w:eastAsia="Times New Roman" w:hAnsi="Times New Roman" w:cs="Times New Roman"/>
          <w:noProof/>
          <w:color w:val="000000"/>
          <w:sz w:val="24"/>
          <w:szCs w:val="24"/>
          <w:lang w:val="en-US"/>
        </w:rPr>
        <w:footnoteReference w:id="86"/>
      </w:r>
      <w:r>
        <w:rPr>
          <w:rFonts w:ascii="Times New Roman" w:eastAsia="Times New Roman" w:hAnsi="Times New Roman" w:cs="Times New Roman"/>
          <w:noProof/>
          <w:color w:val="000000"/>
          <w:sz w:val="24"/>
          <w:szCs w:val="24"/>
          <w:lang w:val="en-US"/>
        </w:rPr>
        <w:t xml:space="preserve"> showed that, while the Database Directive provides added value, it could be revisited to </w:t>
      </w:r>
      <w:r>
        <w:rPr>
          <w:rFonts w:ascii="Times New Roman" w:eastAsia="Times New Roman" w:hAnsi="Times New Roman" w:cs="Times New Roman"/>
          <w:noProof/>
          <w:color w:val="000000" w:themeColor="text1"/>
          <w:sz w:val="24"/>
          <w:szCs w:val="24"/>
        </w:rPr>
        <w:t>facilitate data access and</w:t>
      </w:r>
      <w:r>
        <w:rPr>
          <w:rFonts w:ascii="Times New Roman" w:eastAsia="Times New Roman" w:hAnsi="Times New Roman" w:cs="Times New Roman"/>
          <w:noProof/>
          <w:color w:val="000000" w:themeColor="text1"/>
          <w:sz w:val="24"/>
          <w:szCs w:val="24"/>
        </w:rPr>
        <w:t xml:space="preserve"> use. Following up on the European Strategy for Data, the Commission will therefore review the directive, notably to facilitate the sharing of and trading in machine generated data and data generated in the context of rolling out the IoT. The review will t</w:t>
      </w:r>
      <w:r>
        <w:rPr>
          <w:rFonts w:ascii="Times New Roman" w:eastAsia="Times New Roman" w:hAnsi="Times New Roman" w:cs="Times New Roman"/>
          <w:noProof/>
          <w:color w:val="000000" w:themeColor="text1"/>
          <w:sz w:val="24"/>
          <w:szCs w:val="24"/>
        </w:rPr>
        <w:t>ake place alongside the Data Act</w:t>
      </w:r>
      <w:r>
        <w:rPr>
          <w:rStyle w:val="FootnoteReference"/>
          <w:rFonts w:ascii="Times New Roman" w:eastAsia="Times New Roman" w:hAnsi="Times New Roman" w:cs="Times New Roman"/>
          <w:noProof/>
          <w:color w:val="000000" w:themeColor="text1"/>
          <w:sz w:val="24"/>
          <w:szCs w:val="24"/>
        </w:rPr>
        <w:footnoteReference w:id="87"/>
      </w:r>
      <w:r>
        <w:rPr>
          <w:rFonts w:ascii="Times New Roman" w:eastAsia="Times New Roman" w:hAnsi="Times New Roman" w:cs="Times New Roman"/>
          <w:noProof/>
          <w:color w:val="000000" w:themeColor="text1"/>
          <w:sz w:val="24"/>
          <w:szCs w:val="24"/>
        </w:rPr>
        <w:t xml:space="preserve"> and take into account initiatives of data sharing in the area of antitrust law</w:t>
      </w:r>
      <w:r>
        <w:rPr>
          <w:rStyle w:val="FootnoteReference"/>
          <w:rFonts w:ascii="Times New Roman" w:eastAsia="Times New Roman" w:hAnsi="Times New Roman" w:cs="Times New Roman"/>
          <w:noProof/>
          <w:color w:val="000000" w:themeColor="text1"/>
          <w:sz w:val="24"/>
          <w:szCs w:val="24"/>
        </w:rPr>
        <w:footnoteReference w:id="88"/>
      </w:r>
      <w:r>
        <w:rPr>
          <w:rFonts w:ascii="Times New Roman" w:eastAsia="Times New Roman" w:hAnsi="Times New Roman" w:cs="Times New Roman"/>
          <w:noProof/>
          <w:color w:val="000000" w:themeColor="text1"/>
          <w:sz w:val="24"/>
          <w:szCs w:val="24"/>
        </w:rPr>
        <w:t>.</w:t>
      </w:r>
      <w:r>
        <w:rPr>
          <w:rFonts w:ascii="Times New Roman" w:eastAsia="Times New Roman" w:hAnsi="Times New Roman" w:cs="Times New Roman"/>
          <w:noProof/>
          <w:color w:val="000000" w:themeColor="text1"/>
          <w:sz w:val="24"/>
          <w:szCs w:val="24"/>
          <w:lang w:val="en-US"/>
        </w:rPr>
        <w:t xml:space="preserve"> </w:t>
      </w:r>
    </w:p>
    <w:p w:rsidR="009C2369" w:rsidRDefault="00FC21F0">
      <w:pPr>
        <w:keepNext/>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bCs/>
          <w:noProof/>
          <w:color w:val="000000" w:themeColor="text1"/>
          <w:sz w:val="24"/>
          <w:szCs w:val="24"/>
          <w:lang w:val="en-US"/>
        </w:rPr>
      </w:pPr>
      <w:r>
        <w:rPr>
          <w:rFonts w:ascii="Times New Roman" w:eastAsia="Times New Roman" w:hAnsi="Times New Roman" w:cs="Times New Roman"/>
          <w:b/>
          <w:bCs/>
          <w:noProof/>
          <w:color w:val="000000" w:themeColor="text1"/>
          <w:sz w:val="24"/>
          <w:szCs w:val="24"/>
          <w:lang w:val="en-US"/>
        </w:rPr>
        <w:t xml:space="preserve">To facilitate licensing and sharing of IP, the Commission will: </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ensure </w:t>
      </w:r>
      <w:r>
        <w:rPr>
          <w:rFonts w:ascii="Times New Roman" w:eastAsia="Times New Roman" w:hAnsi="Times New Roman" w:cs="Times New Roman"/>
          <w:b/>
          <w:bCs/>
          <w:noProof/>
          <w:color w:val="000000" w:themeColor="text1"/>
          <w:sz w:val="24"/>
          <w:szCs w:val="24"/>
        </w:rPr>
        <w:t>the availability of critical IP in times of crisis</w:t>
      </w:r>
      <w:r>
        <w:rPr>
          <w:rFonts w:ascii="Times New Roman" w:eastAsia="Times New Roman" w:hAnsi="Times New Roman" w:cs="Times New Roman"/>
          <w:noProof/>
          <w:color w:val="000000" w:themeColor="text1"/>
          <w:sz w:val="24"/>
          <w:szCs w:val="24"/>
        </w:rPr>
        <w:t xml:space="preserve">, including via </w:t>
      </w:r>
      <w:r>
        <w:rPr>
          <w:rFonts w:ascii="Times New Roman" w:eastAsia="Times New Roman" w:hAnsi="Times New Roman" w:cs="Times New Roman"/>
          <w:noProof/>
          <w:color w:val="000000" w:themeColor="text1"/>
          <w:sz w:val="24"/>
          <w:szCs w:val="24"/>
        </w:rPr>
        <w:t>new licensing tools and a system to co-ordinate compulsory licensing (2021-22),</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improve </w:t>
      </w:r>
      <w:r>
        <w:rPr>
          <w:rFonts w:ascii="Times New Roman" w:eastAsia="Times New Roman" w:hAnsi="Times New Roman" w:cs="Times New Roman"/>
          <w:b/>
          <w:bCs/>
          <w:noProof/>
          <w:color w:val="000000" w:themeColor="text1"/>
          <w:sz w:val="24"/>
          <w:szCs w:val="24"/>
        </w:rPr>
        <w:t>transparency and predictability in SEP licensing</w:t>
      </w:r>
      <w:r>
        <w:rPr>
          <w:rFonts w:ascii="Times New Roman" w:eastAsia="Times New Roman" w:hAnsi="Times New Roman" w:cs="Times New Roman"/>
          <w:noProof/>
          <w:color w:val="000000" w:themeColor="text1"/>
          <w:sz w:val="24"/>
          <w:szCs w:val="24"/>
        </w:rPr>
        <w:t xml:space="preserve"> via encouraging industry-led initiatives, in the most affected sectors, combined with possible reforms, including regul</w:t>
      </w:r>
      <w:r>
        <w:rPr>
          <w:rFonts w:ascii="Times New Roman" w:eastAsia="Times New Roman" w:hAnsi="Times New Roman" w:cs="Times New Roman"/>
          <w:noProof/>
          <w:color w:val="000000" w:themeColor="text1"/>
          <w:sz w:val="24"/>
          <w:szCs w:val="24"/>
        </w:rPr>
        <w:t>atory if and where needed, aiming to clarify and improve the SEPs framework and offer effective transparency tools (Q1 2022).</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promote </w:t>
      </w:r>
      <w:r>
        <w:rPr>
          <w:rFonts w:ascii="Times New Roman" w:eastAsia="Times New Roman" w:hAnsi="Times New Roman" w:cs="Times New Roman"/>
          <w:b/>
          <w:bCs/>
          <w:noProof/>
          <w:color w:val="000000" w:themeColor="text1"/>
          <w:sz w:val="24"/>
          <w:szCs w:val="24"/>
        </w:rPr>
        <w:t>data access and sharing</w:t>
      </w:r>
      <w:r>
        <w:rPr>
          <w:rFonts w:ascii="Times New Roman" w:eastAsia="Times New Roman" w:hAnsi="Times New Roman" w:cs="Times New Roman"/>
          <w:noProof/>
          <w:color w:val="000000" w:themeColor="text1"/>
          <w:sz w:val="24"/>
          <w:szCs w:val="24"/>
        </w:rPr>
        <w:t>, while safeguarding legitimate interests,</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via clarification of certain key provisions of the Trade</w:t>
      </w:r>
      <w:r>
        <w:rPr>
          <w:rFonts w:ascii="Times New Roman" w:eastAsia="Times New Roman" w:hAnsi="Times New Roman" w:cs="Times New Roman"/>
          <w:noProof/>
          <w:color w:val="000000" w:themeColor="text1"/>
          <w:sz w:val="24"/>
          <w:szCs w:val="24"/>
        </w:rPr>
        <w:t xml:space="preserve"> Secrets Directive and a review of the Database Directive (Q3 2021).</w:t>
      </w:r>
    </w:p>
    <w:p w:rsidR="009C2369" w:rsidRDefault="00FC21F0">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rPr>
      </w:pPr>
      <w:r>
        <w:rPr>
          <w:rFonts w:ascii="Times New Roman" w:eastAsia="Times New Roman" w:hAnsi="Times New Roman" w:cs="Times New Roman"/>
          <w:b/>
          <w:bCs/>
          <w:smallCaps/>
          <w:noProof/>
          <w:color w:val="000000" w:themeColor="text1"/>
          <w:sz w:val="28"/>
          <w:szCs w:val="28"/>
        </w:rPr>
        <w:t>Fighting IPR Infringements</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Effective enforcement is part of a well-functioning IP system. The Commission continues to closely </w:t>
      </w:r>
      <w:r>
        <w:rPr>
          <w:rFonts w:ascii="Times New Roman" w:eastAsia="Times New Roman" w:hAnsi="Times New Roman" w:cs="Times New Roman"/>
          <w:b/>
          <w:bCs/>
          <w:noProof/>
          <w:color w:val="000000" w:themeColor="text1"/>
          <w:sz w:val="24"/>
          <w:szCs w:val="24"/>
        </w:rPr>
        <w:t>monitor the application of the Directive on the enforcement o</w:t>
      </w:r>
      <w:r>
        <w:rPr>
          <w:rFonts w:ascii="Times New Roman" w:eastAsia="Times New Roman" w:hAnsi="Times New Roman" w:cs="Times New Roman"/>
          <w:b/>
          <w:bCs/>
          <w:noProof/>
          <w:color w:val="000000" w:themeColor="text1"/>
          <w:sz w:val="24"/>
          <w:szCs w:val="24"/>
        </w:rPr>
        <w:t>f IPRs</w:t>
      </w:r>
      <w:r>
        <w:rPr>
          <w:rStyle w:val="FootnoteReference"/>
          <w:rFonts w:ascii="Times New Roman" w:eastAsia="Times New Roman" w:hAnsi="Times New Roman" w:cs="Times New Roman"/>
          <w:noProof/>
          <w:color w:val="000000" w:themeColor="text1"/>
          <w:sz w:val="24"/>
          <w:szCs w:val="24"/>
        </w:rPr>
        <w:footnoteReference w:id="89"/>
      </w:r>
      <w:r>
        <w:rPr>
          <w:rFonts w:ascii="Times New Roman" w:eastAsia="Times New Roman" w:hAnsi="Times New Roman" w:cs="Times New Roman"/>
          <w:noProof/>
          <w:color w:val="000000" w:themeColor="text1"/>
          <w:sz w:val="24"/>
          <w:szCs w:val="24"/>
        </w:rPr>
        <w:t xml:space="preserve"> to ensure effective and balanced judicial redress. It works together with Members States and stakeholders to give effect to the recent Commission guidance</w:t>
      </w:r>
      <w:r>
        <w:rPr>
          <w:rStyle w:val="FootnoteReference"/>
          <w:rFonts w:ascii="Times New Roman" w:eastAsia="Times New Roman" w:hAnsi="Times New Roman" w:cs="Times New Roman"/>
          <w:noProof/>
          <w:color w:val="000000" w:themeColor="text1"/>
          <w:sz w:val="24"/>
          <w:szCs w:val="24"/>
        </w:rPr>
        <w:footnoteReference w:id="90"/>
      </w:r>
      <w:r>
        <w:rPr>
          <w:rFonts w:ascii="Times New Roman" w:eastAsia="Times New Roman" w:hAnsi="Times New Roman" w:cs="Times New Roman"/>
          <w:noProof/>
          <w:color w:val="000000" w:themeColor="text1"/>
          <w:sz w:val="24"/>
          <w:szCs w:val="24"/>
        </w:rPr>
        <w:t>, for instance with a view to ensuring that – where all conditions are met, including that of</w:t>
      </w:r>
      <w:r>
        <w:rPr>
          <w:rFonts w:ascii="Times New Roman" w:eastAsia="Times New Roman" w:hAnsi="Times New Roman" w:cs="Times New Roman"/>
          <w:noProof/>
          <w:color w:val="000000" w:themeColor="text1"/>
          <w:sz w:val="24"/>
          <w:szCs w:val="24"/>
        </w:rPr>
        <w:t xml:space="preserve"> proportionality – injunctions are applied uniformly and efficiently across Member States.</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lastRenderedPageBreak/>
        <w:t>In the area of patents, the launch of the UPC should further facilitate and streamline patent right enforcement.</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As regards counterfeiting and piracy, the Commission</w:t>
      </w:r>
      <w:r>
        <w:rPr>
          <w:rFonts w:ascii="Times New Roman" w:eastAsia="Times New Roman" w:hAnsi="Times New Roman" w:cs="Times New Roman"/>
          <w:noProof/>
          <w:color w:val="000000" w:themeColor="text1"/>
          <w:sz w:val="24"/>
          <w:szCs w:val="24"/>
        </w:rPr>
        <w:t xml:space="preserve"> sees a clear need to step up efforts. In 2016, imports of counterfeit and pirated goods into the EU amounted to as much as EUR 121 billion, which represents up to 6.8% of EU imports (against 5% of EU imports in 2013)</w:t>
      </w:r>
      <w:r>
        <w:rPr>
          <w:rStyle w:val="FootnoteReference"/>
          <w:rFonts w:ascii="Times New Roman" w:eastAsia="Times New Roman" w:hAnsi="Times New Roman" w:cs="Times New Roman"/>
          <w:noProof/>
          <w:color w:val="000000" w:themeColor="text1"/>
          <w:sz w:val="24"/>
          <w:szCs w:val="24"/>
        </w:rPr>
        <w:footnoteReference w:id="91"/>
      </w:r>
      <w:r>
        <w:rPr>
          <w:rFonts w:ascii="Times New Roman" w:eastAsia="Times New Roman" w:hAnsi="Times New Roman" w:cs="Times New Roman"/>
          <w:noProof/>
          <w:color w:val="000000" w:themeColor="text1"/>
          <w:sz w:val="24"/>
          <w:szCs w:val="24"/>
        </w:rPr>
        <w:t>. The presence of counterfeit products</w:t>
      </w:r>
      <w:r>
        <w:rPr>
          <w:rFonts w:ascii="Times New Roman" w:eastAsia="Times New Roman" w:hAnsi="Times New Roman" w:cs="Times New Roman"/>
          <w:noProof/>
          <w:color w:val="000000" w:themeColor="text1"/>
          <w:sz w:val="24"/>
          <w:szCs w:val="24"/>
        </w:rPr>
        <w:t xml:space="preserve"> in the EU marketplace results in direct lost sales amounting to EUR 50 billion and direct employment losses of 416 000 jobs annually</w:t>
      </w:r>
      <w:r>
        <w:rPr>
          <w:rStyle w:val="FootnoteReference"/>
          <w:rFonts w:ascii="Times New Roman" w:eastAsia="Times New Roman" w:hAnsi="Times New Roman" w:cs="Times New Roman"/>
          <w:noProof/>
          <w:color w:val="000000" w:themeColor="text1"/>
          <w:sz w:val="24"/>
          <w:szCs w:val="24"/>
        </w:rPr>
        <w:footnoteReference w:id="92"/>
      </w:r>
      <w:r>
        <w:rPr>
          <w:rFonts w:ascii="Times New Roman" w:eastAsia="Times New Roman" w:hAnsi="Times New Roman" w:cs="Times New Roman"/>
          <w:noProof/>
          <w:color w:val="000000" w:themeColor="text1"/>
          <w:sz w:val="24"/>
          <w:szCs w:val="24"/>
        </w:rPr>
        <w:t>. It also constitutes serious health, safety and security threats to consumers (e.g. fake face masks)</w:t>
      </w:r>
      <w:r>
        <w:rPr>
          <w:rStyle w:val="FootnoteReference"/>
          <w:rFonts w:ascii="Times New Roman" w:eastAsia="Times New Roman" w:hAnsi="Times New Roman" w:cs="Times New Roman"/>
          <w:noProof/>
          <w:color w:val="000000" w:themeColor="text1"/>
          <w:sz w:val="24"/>
          <w:szCs w:val="24"/>
        </w:rPr>
        <w:footnoteReference w:id="93"/>
      </w:r>
      <w:r>
        <w:rPr>
          <w:rFonts w:ascii="Times New Roman" w:eastAsia="Times New Roman" w:hAnsi="Times New Roman" w:cs="Times New Roman"/>
          <w:noProof/>
          <w:color w:val="000000" w:themeColor="text1"/>
          <w:sz w:val="24"/>
          <w:szCs w:val="24"/>
        </w:rPr>
        <w:t xml:space="preserve"> and negatively impa</w:t>
      </w:r>
      <w:r>
        <w:rPr>
          <w:rFonts w:ascii="Times New Roman" w:eastAsia="Times New Roman" w:hAnsi="Times New Roman" w:cs="Times New Roman"/>
          <w:noProof/>
          <w:color w:val="000000" w:themeColor="text1"/>
          <w:sz w:val="24"/>
          <w:szCs w:val="24"/>
        </w:rPr>
        <w:t>cts the environment</w:t>
      </w:r>
      <w:r>
        <w:rPr>
          <w:rStyle w:val="FootnoteReference"/>
          <w:rFonts w:ascii="Times New Roman" w:eastAsia="Times New Roman" w:hAnsi="Times New Roman" w:cs="Times New Roman"/>
          <w:noProof/>
          <w:color w:val="000000" w:themeColor="text1"/>
          <w:sz w:val="24"/>
          <w:szCs w:val="24"/>
        </w:rPr>
        <w:footnoteReference w:id="94"/>
      </w:r>
      <w:r>
        <w:rPr>
          <w:rFonts w:ascii="Times New Roman" w:eastAsia="Times New Roman" w:hAnsi="Times New Roman" w:cs="Times New Roman"/>
          <w:noProof/>
          <w:color w:val="000000" w:themeColor="text1"/>
          <w:sz w:val="24"/>
          <w:szCs w:val="24"/>
        </w:rPr>
        <w:t>.</w:t>
      </w:r>
      <w:r>
        <w:rPr>
          <w:noProof/>
        </w:rPr>
        <w:t xml:space="preserv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New forms of IP infringements have arisen on the internet, such as cyber theft of trade secrets (accounting for an estimated EUR 60 billion of losses in the EU</w:t>
      </w:r>
      <w:r>
        <w:rPr>
          <w:rFonts w:ascii="Times New Roman" w:eastAsia="Times New Roman" w:hAnsi="Times New Roman" w:cs="Times New Roman"/>
          <w:noProof/>
          <w:color w:val="000000" w:themeColor="text1"/>
          <w:sz w:val="24"/>
          <w:szCs w:val="24"/>
          <w:vertAlign w:val="superscript"/>
        </w:rPr>
        <w:footnoteReference w:id="95"/>
      </w:r>
      <w:r>
        <w:rPr>
          <w:rFonts w:ascii="Times New Roman" w:eastAsia="Times New Roman" w:hAnsi="Times New Roman" w:cs="Times New Roman"/>
          <w:noProof/>
          <w:color w:val="000000" w:themeColor="text1"/>
          <w:sz w:val="24"/>
          <w:szCs w:val="24"/>
        </w:rPr>
        <w:t>), illegal internet protocol television (IPTV) and other forms of illegal</w:t>
      </w:r>
      <w:r>
        <w:rPr>
          <w:rFonts w:ascii="Times New Roman" w:eastAsia="Times New Roman" w:hAnsi="Times New Roman" w:cs="Times New Roman"/>
          <w:noProof/>
          <w:color w:val="000000" w:themeColor="text1"/>
          <w:sz w:val="24"/>
          <w:szCs w:val="24"/>
        </w:rPr>
        <w:t xml:space="preserve"> (live) streaming. They raise particular challenges for manufacturing, the creative and cultural industries as well as the sports sector.</w:t>
      </w:r>
    </w:p>
    <w:p w:rsidR="009C2369" w:rsidRDefault="00FC21F0">
      <w:pPr>
        <w:spacing w:before="120" w:after="120" w:line="240" w:lineRule="auto"/>
        <w:jc w:val="both"/>
        <w:rPr>
          <w:rFonts w:ascii="Times New Roman" w:eastAsiaTheme="majorEastAsia"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The Commission already announced that before the end of the year, new rules will </w:t>
      </w:r>
      <w:r>
        <w:rPr>
          <w:rFonts w:ascii="Times New Roman" w:eastAsiaTheme="majorEastAsia" w:hAnsi="Times New Roman" w:cs="Times New Roman"/>
          <w:b/>
          <w:bCs/>
          <w:noProof/>
          <w:color w:val="000000" w:themeColor="text1"/>
          <w:sz w:val="24"/>
          <w:szCs w:val="24"/>
        </w:rPr>
        <w:t>clarify and upgrade</w:t>
      </w:r>
      <w:r>
        <w:rPr>
          <w:rFonts w:ascii="Times New Roman" w:eastAsiaTheme="majorEastAsia" w:hAnsi="Times New Roman" w:cs="Times New Roman"/>
          <w:noProof/>
          <w:color w:val="000000" w:themeColor="text1"/>
          <w:sz w:val="24"/>
          <w:szCs w:val="24"/>
        </w:rPr>
        <w:t xml:space="preserve"> </w:t>
      </w:r>
      <w:r>
        <w:rPr>
          <w:rFonts w:ascii="Times New Roman" w:eastAsiaTheme="majorEastAsia" w:hAnsi="Times New Roman" w:cs="Times New Roman"/>
          <w:b/>
          <w:bCs/>
          <w:noProof/>
          <w:color w:val="000000" w:themeColor="text1"/>
          <w:sz w:val="24"/>
          <w:szCs w:val="24"/>
        </w:rPr>
        <w:t>the responsibilit</w:t>
      </w:r>
      <w:r>
        <w:rPr>
          <w:rFonts w:ascii="Times New Roman" w:eastAsiaTheme="majorEastAsia" w:hAnsi="Times New Roman" w:cs="Times New Roman"/>
          <w:b/>
          <w:bCs/>
          <w:noProof/>
          <w:color w:val="000000" w:themeColor="text1"/>
          <w:sz w:val="24"/>
          <w:szCs w:val="24"/>
        </w:rPr>
        <w:t>ies of online platforms</w:t>
      </w:r>
      <w:r>
        <w:rPr>
          <w:rFonts w:ascii="Times New Roman" w:eastAsiaTheme="majorEastAsia" w:hAnsi="Times New Roman" w:cs="Times New Roman"/>
          <w:noProof/>
          <w:color w:val="000000" w:themeColor="text1"/>
          <w:sz w:val="24"/>
          <w:szCs w:val="24"/>
        </w:rPr>
        <w:t xml:space="preserve"> and remove disincentives for their voluntary actions to address illegal content (goods or services) they intermediate. The forthcoming proposal for the Digital Services Act package will aim to harmonise a set of specific, binding an</w:t>
      </w:r>
      <w:r>
        <w:rPr>
          <w:rFonts w:ascii="Times New Roman" w:eastAsiaTheme="majorEastAsia" w:hAnsi="Times New Roman" w:cs="Times New Roman"/>
          <w:noProof/>
          <w:color w:val="000000" w:themeColor="text1"/>
          <w:sz w:val="24"/>
          <w:szCs w:val="24"/>
        </w:rPr>
        <w:t>d proportionate obligations for digital services, enforced by a strengthened supervisory framework</w:t>
      </w:r>
      <w:r>
        <w:rPr>
          <w:rFonts w:ascii="Times New Roman" w:eastAsiaTheme="majorEastAsia" w:hAnsi="Times New Roman" w:cs="Times New Roman"/>
          <w:noProof/>
          <w:color w:val="000000" w:themeColor="text1"/>
          <w:sz w:val="24"/>
          <w:szCs w:val="24"/>
          <w:vertAlign w:val="superscript"/>
        </w:rPr>
        <w:footnoteReference w:id="96"/>
      </w:r>
      <w:r>
        <w:rPr>
          <w:rFonts w:ascii="Times New Roman" w:eastAsiaTheme="majorEastAsia" w:hAnsi="Times New Roman" w:cs="Times New Roman"/>
          <w:noProof/>
          <w:color w:val="000000" w:themeColor="text1"/>
          <w:sz w:val="24"/>
          <w:szCs w:val="24"/>
        </w:rPr>
        <w:t>.</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heme="majorEastAsia" w:hAnsi="Times New Roman" w:cs="Times New Roman"/>
          <w:noProof/>
          <w:color w:val="000000" w:themeColor="text1"/>
          <w:sz w:val="24"/>
          <w:szCs w:val="24"/>
        </w:rPr>
        <w:t xml:space="preserve">In addition, </w:t>
      </w:r>
      <w:r>
        <w:rPr>
          <w:rFonts w:ascii="Times New Roman" w:eastAsia="Times New Roman" w:hAnsi="Times New Roman" w:cs="Times New Roman"/>
          <w:b/>
          <w:bCs/>
          <w:noProof/>
          <w:color w:val="000000" w:themeColor="text1"/>
          <w:sz w:val="24"/>
          <w:szCs w:val="24"/>
        </w:rPr>
        <w:t>the capacity of law enforcement authorities has to be substantially strengthened.</w:t>
      </w:r>
      <w:r>
        <w:rPr>
          <w:rFonts w:ascii="Times New Roman" w:eastAsia="Times New Roman" w:hAnsi="Times New Roman" w:cs="Times New Roman"/>
          <w:noProof/>
          <w:color w:val="000000" w:themeColor="text1"/>
          <w:sz w:val="24"/>
          <w:szCs w:val="24"/>
        </w:rPr>
        <w:t xml:space="preserve"> Counterfeiting and piracy must become a higher priority. The</w:t>
      </w:r>
      <w:r>
        <w:rPr>
          <w:rFonts w:ascii="Times New Roman" w:eastAsia="Times New Roman" w:hAnsi="Times New Roman" w:cs="Times New Roman"/>
          <w:noProof/>
          <w:color w:val="000000" w:themeColor="text1"/>
          <w:sz w:val="24"/>
          <w:szCs w:val="24"/>
        </w:rPr>
        <w:t xml:space="preserve"> Commission urges Member States and the Council to include IP crime among the priorities of the next EU Policy Cycle –</w:t>
      </w:r>
      <w:r>
        <w:rPr>
          <w:b/>
          <w:bCs/>
          <w:i/>
          <w:iCs/>
          <w:noProof/>
        </w:rPr>
        <w:t xml:space="preserve"> </w:t>
      </w:r>
      <w:r>
        <w:rPr>
          <w:rFonts w:ascii="Times New Roman" w:eastAsia="Times New Roman" w:hAnsi="Times New Roman" w:cs="Times New Roman"/>
          <w:noProof/>
          <w:color w:val="000000" w:themeColor="text1"/>
          <w:sz w:val="24"/>
          <w:szCs w:val="24"/>
        </w:rPr>
        <w:t>European multidisciplinary platform against criminal threats</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(EMPACT)</w:t>
      </w:r>
      <w:r>
        <w:rPr>
          <w:rFonts w:ascii="Times New Roman" w:eastAsia="Times New Roman" w:hAnsi="Times New Roman" w:cs="Times New Roman"/>
          <w:noProof/>
          <w:color w:val="000000" w:themeColor="text1"/>
          <w:sz w:val="24"/>
          <w:szCs w:val="24"/>
          <w:vertAlign w:val="superscript"/>
        </w:rPr>
        <w:footnoteReference w:id="97"/>
      </w:r>
      <w:r>
        <w:rPr>
          <w:rFonts w:ascii="Times New Roman" w:eastAsia="Times New Roman" w:hAnsi="Times New Roman" w:cs="Times New Roman"/>
          <w:noProof/>
          <w:color w:val="000000" w:themeColor="text1"/>
          <w:sz w:val="24"/>
          <w:szCs w:val="24"/>
        </w:rPr>
        <w:t xml:space="preserve">, for the period 2022-2025. It plans to strengthen the enforcement </w:t>
      </w:r>
      <w:r>
        <w:rPr>
          <w:rFonts w:ascii="Times New Roman" w:eastAsia="Times New Roman" w:hAnsi="Times New Roman" w:cs="Times New Roman"/>
          <w:noProof/>
          <w:color w:val="000000" w:themeColor="text1"/>
          <w:sz w:val="24"/>
          <w:szCs w:val="24"/>
        </w:rPr>
        <w:t>of IPRs at EU level, by broadening the Commission’s mandate and assigning it to the European Anti-Fraud Office (OLAF), so that the latter does not only prevent counterfeit goods from entering the Single Market but can also act against illicit production of</w:t>
      </w:r>
      <w:r>
        <w:rPr>
          <w:rFonts w:ascii="Times New Roman" w:eastAsia="Times New Roman" w:hAnsi="Times New Roman" w:cs="Times New Roman"/>
          <w:noProof/>
          <w:color w:val="000000" w:themeColor="text1"/>
          <w:sz w:val="24"/>
          <w:szCs w:val="24"/>
        </w:rPr>
        <w:t xml:space="preserve"> counterfeit goods within the EU</w:t>
      </w:r>
      <w:r>
        <w:rPr>
          <w:rFonts w:ascii="Times New Roman" w:eastAsia="Times New Roman" w:hAnsi="Times New Roman" w:cs="Times New Roman"/>
          <w:noProof/>
          <w:color w:val="000000" w:themeColor="text1"/>
          <w:sz w:val="24"/>
          <w:szCs w:val="24"/>
          <w:vertAlign w:val="superscript"/>
        </w:rPr>
        <w:footnoteReference w:id="98"/>
      </w:r>
      <w:r>
        <w:rPr>
          <w:rFonts w:ascii="Times New Roman" w:eastAsia="Times New Roman" w:hAnsi="Times New Roman" w:cs="Times New Roman"/>
          <w:noProof/>
          <w:color w:val="000000" w:themeColor="text1"/>
          <w:sz w:val="24"/>
          <w:szCs w:val="24"/>
        </w:rPr>
        <w:t xml:space="preserve">. The Commission also encourages all relevant stakeholders to continue exchanges with Europol to further improve the overall threat assessment and to foster effective and coordinated action against IP crime.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Commission</w:t>
      </w:r>
      <w:r>
        <w:rPr>
          <w:rFonts w:ascii="Times New Roman" w:eastAsia="Times New Roman" w:hAnsi="Times New Roman" w:cs="Times New Roman"/>
          <w:noProof/>
          <w:color w:val="000000" w:themeColor="text1"/>
          <w:sz w:val="24"/>
          <w:szCs w:val="24"/>
        </w:rPr>
        <w:t xml:space="preserve"> will also support Member States’ customs authorities in improving risk management and anti-fraud actions, in particular through the establishment of an EU layer of data analytics capabilities, by better equipping Member States with customs control equipme</w:t>
      </w:r>
      <w:r>
        <w:rPr>
          <w:rFonts w:ascii="Times New Roman" w:eastAsia="Times New Roman" w:hAnsi="Times New Roman" w:cs="Times New Roman"/>
          <w:noProof/>
          <w:color w:val="000000" w:themeColor="text1"/>
          <w:sz w:val="24"/>
          <w:szCs w:val="24"/>
        </w:rPr>
        <w:t>nt and by enhancing cooperation within the EU and with customs authorities of partner countries</w:t>
      </w:r>
      <w:r>
        <w:rPr>
          <w:rStyle w:val="FootnoteReference"/>
          <w:rFonts w:ascii="Times New Roman" w:eastAsia="Times New Roman" w:hAnsi="Times New Roman" w:cs="Times New Roman"/>
          <w:noProof/>
          <w:color w:val="000000" w:themeColor="text1"/>
          <w:sz w:val="24"/>
          <w:szCs w:val="24"/>
        </w:rPr>
        <w:footnoteReference w:id="99"/>
      </w:r>
      <w:r>
        <w:rPr>
          <w:rFonts w:ascii="Times New Roman" w:eastAsia="Times New Roman" w:hAnsi="Times New Roman" w:cs="Times New Roman"/>
          <w:noProof/>
          <w:color w:val="000000" w:themeColor="text1"/>
          <w:sz w:val="24"/>
          <w:szCs w:val="24"/>
        </w:rPr>
        <w:t xml:space="preser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Commission will reinforce cooperation between all involved players – right holders, suppliers, various sets of intermediaries (e.g. online platforms, social media, the advertising </w:t>
      </w:r>
      <w:r>
        <w:rPr>
          <w:rFonts w:ascii="Times New Roman" w:eastAsia="Times New Roman" w:hAnsi="Times New Roman" w:cs="Times New Roman"/>
          <w:noProof/>
          <w:color w:val="000000" w:themeColor="text1"/>
          <w:sz w:val="24"/>
          <w:szCs w:val="24"/>
        </w:rPr>
        <w:lastRenderedPageBreak/>
        <w:t>industry, payment services, domain name registrars/registries, and trans</w:t>
      </w:r>
      <w:r>
        <w:rPr>
          <w:rFonts w:ascii="Times New Roman" w:eastAsia="Times New Roman" w:hAnsi="Times New Roman" w:cs="Times New Roman"/>
          <w:noProof/>
          <w:color w:val="000000" w:themeColor="text1"/>
          <w:sz w:val="24"/>
          <w:szCs w:val="24"/>
        </w:rPr>
        <w:t xml:space="preserve">port and logistics companies) and public enforcement authorities (including administrative bodies, customs, police, market surveillance authorities and public prosecutors) to curb piracy and counterfeiting. To this end, it will </w:t>
      </w:r>
      <w:r>
        <w:rPr>
          <w:rFonts w:ascii="Times New Roman" w:hAnsi="Times New Roman"/>
          <w:noProof/>
          <w:color w:val="000000" w:themeColor="text1"/>
          <w:sz w:val="24"/>
          <w:szCs w:val="24"/>
        </w:rPr>
        <w:t>establish an</w:t>
      </w:r>
      <w:r>
        <w:rPr>
          <w:rFonts w:ascii="Times New Roman" w:hAnsi="Times New Roman"/>
          <w:b/>
          <w:bCs/>
          <w:noProof/>
          <w:color w:val="000000" w:themeColor="text1"/>
          <w:sz w:val="24"/>
          <w:szCs w:val="24"/>
        </w:rPr>
        <w:t xml:space="preserve"> </w:t>
      </w:r>
      <w:r>
        <w:rPr>
          <w:rFonts w:ascii="Times New Roman" w:eastAsia="Times New Roman" w:hAnsi="Times New Roman" w:cs="Times New Roman"/>
          <w:b/>
          <w:bCs/>
          <w:noProof/>
          <w:color w:val="000000" w:themeColor="text1"/>
          <w:sz w:val="24"/>
          <w:szCs w:val="24"/>
        </w:rPr>
        <w:t>EU Toolbox agai</w:t>
      </w:r>
      <w:r>
        <w:rPr>
          <w:rFonts w:ascii="Times New Roman" w:eastAsia="Times New Roman" w:hAnsi="Times New Roman" w:cs="Times New Roman"/>
          <w:b/>
          <w:bCs/>
          <w:noProof/>
          <w:color w:val="000000" w:themeColor="text1"/>
          <w:sz w:val="24"/>
          <w:szCs w:val="24"/>
        </w:rPr>
        <w:t>nst counterfeiting</w:t>
      </w:r>
      <w:r>
        <w:rPr>
          <w:rFonts w:ascii="Times New Roman" w:eastAsia="Times New Roman" w:hAnsi="Times New Roman" w:cs="Times New Roman"/>
          <w:noProof/>
          <w:color w:val="000000" w:themeColor="text1"/>
          <w:sz w:val="24"/>
          <w:szCs w:val="24"/>
        </w:rPr>
        <w:t>, based among others on reported practices and principles developed in the context of various industry-led initiatives</w:t>
      </w:r>
      <w:r>
        <w:rPr>
          <w:rStyle w:val="FootnoteReference"/>
          <w:rFonts w:ascii="Times New Roman" w:eastAsia="Times New Roman" w:hAnsi="Times New Roman" w:cs="Times New Roman"/>
          <w:noProof/>
          <w:color w:val="000000" w:themeColor="text1"/>
          <w:sz w:val="24"/>
          <w:szCs w:val="24"/>
        </w:rPr>
        <w:footnoteReference w:id="100"/>
      </w:r>
      <w:r>
        <w:rPr>
          <w:rFonts w:ascii="Times New Roman" w:eastAsia="Times New Roman" w:hAnsi="Times New Roman" w:cs="Times New Roman"/>
          <w:noProof/>
          <w:color w:val="000000" w:themeColor="text1"/>
          <w:sz w:val="24"/>
          <w:szCs w:val="24"/>
        </w:rPr>
        <w:t xml:space="preserve">. The Toolbox will clarify roles and responsibilities and identify ways to work together. A fundamental element is the </w:t>
      </w:r>
      <w:r>
        <w:rPr>
          <w:rFonts w:ascii="Times New Roman" w:eastAsia="Times New Roman" w:hAnsi="Times New Roman" w:cs="Times New Roman"/>
          <w:noProof/>
          <w:color w:val="000000" w:themeColor="text1"/>
          <w:sz w:val="24"/>
          <w:szCs w:val="24"/>
        </w:rPr>
        <w:t>sharing of relevant data on products and traders, in compliance with EU  data protection law, for which further guidance may be necessary</w:t>
      </w:r>
      <w:r>
        <w:rPr>
          <w:rStyle w:val="FootnoteReference"/>
          <w:rFonts w:ascii="Times New Roman" w:eastAsia="Times New Roman" w:hAnsi="Times New Roman" w:cs="Times New Roman"/>
          <w:noProof/>
          <w:color w:val="000000" w:themeColor="text1"/>
          <w:sz w:val="24"/>
          <w:szCs w:val="24"/>
        </w:rPr>
        <w:footnoteReference w:id="101"/>
      </w:r>
      <w:r>
        <w:rPr>
          <w:rFonts w:ascii="Times New Roman" w:eastAsia="Times New Roman" w:hAnsi="Times New Roman" w:cs="Times New Roman"/>
          <w:noProof/>
          <w:color w:val="000000" w:themeColor="text1"/>
          <w:sz w:val="24"/>
          <w:szCs w:val="24"/>
        </w:rPr>
        <w:t>. The Toolbox will also promote the use of new technologies such as image recognition, artificial intelligence and blo</w:t>
      </w:r>
      <w:r>
        <w:rPr>
          <w:rFonts w:ascii="Times New Roman" w:eastAsia="Times New Roman" w:hAnsi="Times New Roman" w:cs="Times New Roman"/>
          <w:noProof/>
          <w:color w:val="000000" w:themeColor="text1"/>
          <w:sz w:val="24"/>
          <w:szCs w:val="24"/>
        </w:rPr>
        <w:t>ckchain</w:t>
      </w:r>
      <w:r>
        <w:rPr>
          <w:rStyle w:val="FootnoteReference"/>
          <w:rFonts w:ascii="Times New Roman" w:eastAsia="Times New Roman" w:hAnsi="Times New Roman" w:cs="Times New Roman"/>
          <w:noProof/>
          <w:color w:val="000000" w:themeColor="text1"/>
          <w:sz w:val="24"/>
          <w:szCs w:val="24"/>
        </w:rPr>
        <w:footnoteReference w:id="102"/>
      </w:r>
      <w:r>
        <w:rPr>
          <w:rFonts w:ascii="Times New Roman" w:eastAsia="Times New Roman" w:hAnsi="Times New Roman" w:cs="Times New Roman"/>
          <w:noProof/>
          <w:color w:val="000000" w:themeColor="text1"/>
          <w:sz w:val="24"/>
          <w:szCs w:val="24"/>
        </w:rPr>
        <w:t>. Where appropriate, the Toolbox will be accompanied by benchmarks to make it possible to measure progress.</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Building on the success of specific preventive and repressive actions against fake COVID-19 related products</w:t>
      </w:r>
      <w:r>
        <w:rPr>
          <w:rStyle w:val="FootnoteReference"/>
          <w:rFonts w:ascii="Times New Roman" w:eastAsia="Times New Roman" w:hAnsi="Times New Roman" w:cs="Times New Roman"/>
          <w:noProof/>
          <w:color w:val="000000" w:themeColor="text1"/>
          <w:sz w:val="24"/>
          <w:szCs w:val="24"/>
        </w:rPr>
        <w:footnoteReference w:id="103"/>
      </w:r>
      <w:r>
        <w:rPr>
          <w:rFonts w:ascii="Times New Roman" w:eastAsia="Times New Roman" w:hAnsi="Times New Roman" w:cs="Times New Roman"/>
          <w:noProof/>
          <w:color w:val="000000" w:themeColor="text1"/>
          <w:sz w:val="24"/>
          <w:szCs w:val="24"/>
        </w:rPr>
        <w:t xml:space="preserve">, the Commission will promote </w:t>
      </w:r>
      <w:r>
        <w:rPr>
          <w:rFonts w:ascii="Times New Roman" w:eastAsia="Times New Roman" w:hAnsi="Times New Roman" w:cs="Times New Roman"/>
          <w:b/>
          <w:bCs/>
          <w:noProof/>
          <w:color w:val="000000" w:themeColor="text1"/>
          <w:sz w:val="24"/>
          <w:szCs w:val="24"/>
        </w:rPr>
        <w:t>c</w:t>
      </w:r>
      <w:r>
        <w:rPr>
          <w:rFonts w:ascii="Times New Roman" w:eastAsia="Times New Roman" w:hAnsi="Times New Roman" w:cs="Times New Roman"/>
          <w:b/>
          <w:bCs/>
          <w:noProof/>
          <w:color w:val="000000" w:themeColor="text1"/>
          <w:sz w:val="24"/>
          <w:szCs w:val="24"/>
        </w:rPr>
        <w:t xml:space="preserve">ampaigns </w:t>
      </w:r>
      <w:r>
        <w:rPr>
          <w:rFonts w:ascii="Times New Roman" w:eastAsia="Times New Roman" w:hAnsi="Times New Roman" w:cs="Times New Roman"/>
          <w:noProof/>
          <w:color w:val="000000" w:themeColor="text1"/>
          <w:sz w:val="24"/>
          <w:szCs w:val="24"/>
        </w:rPr>
        <w:t>to combat the entry of the most harmful counterfeit goods for consumers</w:t>
      </w:r>
      <w:r>
        <w:rPr>
          <w:rStyle w:val="FootnoteReference"/>
          <w:rFonts w:ascii="Times New Roman" w:eastAsia="Times New Roman" w:hAnsi="Times New Roman" w:cs="Times New Roman"/>
          <w:noProof/>
          <w:color w:val="000000" w:themeColor="text1"/>
          <w:sz w:val="24"/>
          <w:szCs w:val="24"/>
        </w:rPr>
        <w:footnoteReference w:id="104"/>
      </w:r>
      <w:r>
        <w:rPr>
          <w:rFonts w:ascii="Times New Roman" w:eastAsia="Times New Roman" w:hAnsi="Times New Roman" w:cs="Times New Roman"/>
          <w:noProof/>
          <w:color w:val="000000" w:themeColor="text1"/>
          <w:sz w:val="24"/>
          <w:szCs w:val="24"/>
        </w:rPr>
        <w:t xml:space="preserve"> on the market. </w:t>
      </w:r>
    </w:p>
    <w:p w:rsidR="009C2369" w:rsidRDefault="00FC21F0">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Finally, the economic impact of the cyber theft of trade secrets could be drastically reduced by </w:t>
      </w:r>
      <w:r>
        <w:rPr>
          <w:rFonts w:ascii="Times New Roman" w:eastAsia="Times New Roman" w:hAnsi="Times New Roman" w:cs="Times New Roman"/>
          <w:b/>
          <w:bCs/>
          <w:noProof/>
          <w:color w:val="000000" w:themeColor="text1"/>
          <w:sz w:val="24"/>
          <w:szCs w:val="24"/>
        </w:rPr>
        <w:t>promoting cybersecurity awareness and skilful IP management</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In line with its cyber-security skills and awareness-raising actions under the Security Union Strategy</w:t>
      </w:r>
      <w:r>
        <w:rPr>
          <w:rStyle w:val="FootnoteReference"/>
          <w:rFonts w:ascii="Times New Roman" w:eastAsia="Times New Roman" w:hAnsi="Times New Roman" w:cs="Times New Roman"/>
          <w:noProof/>
          <w:color w:val="000000" w:themeColor="text1"/>
          <w:sz w:val="24"/>
          <w:szCs w:val="24"/>
        </w:rPr>
        <w:footnoteReference w:id="105"/>
      </w:r>
      <w:r>
        <w:rPr>
          <w:rFonts w:ascii="Times New Roman" w:eastAsia="Times New Roman" w:hAnsi="Times New Roman" w:cs="Times New Roman"/>
          <w:noProof/>
          <w:color w:val="000000" w:themeColor="text1"/>
          <w:sz w:val="24"/>
          <w:szCs w:val="24"/>
        </w:rPr>
        <w:t>,</w:t>
      </w:r>
      <w:r>
        <w:rPr>
          <w:i/>
          <w:iCs/>
          <w:noProof/>
        </w:rPr>
        <w:t xml:space="preserve"> </w:t>
      </w:r>
      <w:r>
        <w:rPr>
          <w:rFonts w:ascii="Times New Roman" w:eastAsia="Times New Roman" w:hAnsi="Times New Roman" w:cs="Times New Roman"/>
          <w:noProof/>
          <w:color w:val="000000" w:themeColor="text1"/>
          <w:sz w:val="24"/>
          <w:szCs w:val="24"/>
        </w:rPr>
        <w:t>the Commission will, together with the EUIPO Member States and the business community, develop awareness tools and targeted guidance that will increase</w:t>
      </w:r>
      <w:r>
        <w:rPr>
          <w:rFonts w:ascii="Times New Roman" w:eastAsia="Times New Roman" w:hAnsi="Times New Roman" w:cs="Times New Roman"/>
          <w:noProof/>
          <w:color w:val="000000" w:themeColor="text1"/>
          <w:sz w:val="24"/>
          <w:szCs w:val="24"/>
        </w:rPr>
        <w:t xml:space="preserve"> the resilience of EU businesses (and SMEs in particular) against cyber theft of trade secrets.</w:t>
      </w:r>
    </w:p>
    <w:p w:rsidR="009C2369" w:rsidRDefault="00FC21F0">
      <w:pPr>
        <w:keepNext/>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To fight IPR infringements, the Commission will:</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Cs/>
          <w:noProof/>
          <w:color w:val="000000" w:themeColor="text1"/>
          <w:sz w:val="24"/>
          <w:szCs w:val="24"/>
        </w:rPr>
        <w:t>clarify and upgrade the</w:t>
      </w:r>
      <w:r>
        <w:rPr>
          <w:rFonts w:ascii="Times New Roman" w:eastAsia="Times New Roman" w:hAnsi="Times New Roman" w:cs="Times New Roman"/>
          <w:b/>
          <w:bCs/>
          <w:noProof/>
          <w:color w:val="000000" w:themeColor="text1"/>
          <w:sz w:val="24"/>
          <w:szCs w:val="24"/>
        </w:rPr>
        <w:t xml:space="preserve"> responsibilities of digital services, in particular </w:t>
      </w:r>
      <w:r>
        <w:rPr>
          <w:rFonts w:ascii="Times New Roman" w:eastAsiaTheme="majorEastAsia" w:hAnsi="Times New Roman" w:cs="Times New Roman"/>
          <w:b/>
          <w:bCs/>
          <w:noProof/>
          <w:color w:val="000000" w:themeColor="text1"/>
          <w:sz w:val="24"/>
          <w:szCs w:val="24"/>
        </w:rPr>
        <w:t>online platforms</w:t>
      </w:r>
      <w:r>
        <w:rPr>
          <w:rFonts w:ascii="Times New Roman" w:eastAsia="Times New Roman" w:hAnsi="Times New Roman" w:cs="Times New Roman"/>
          <w:noProof/>
          <w:color w:val="000000" w:themeColor="text1"/>
          <w:sz w:val="24"/>
          <w:szCs w:val="24"/>
        </w:rPr>
        <w:t xml:space="preserve">, through the </w:t>
      </w:r>
      <w:r>
        <w:rPr>
          <w:rFonts w:ascii="Times New Roman" w:eastAsia="Times New Roman" w:hAnsi="Times New Roman" w:cs="Times New Roman"/>
          <w:noProof/>
          <w:color w:val="000000" w:themeColor="text1"/>
          <w:sz w:val="24"/>
          <w:szCs w:val="24"/>
        </w:rPr>
        <w:t>Digital Services Act (Q4 2020),</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strengthen the role of OLAF in the fight against counterfeiting and piracy (2022),</w:t>
      </w:r>
    </w:p>
    <w:p w:rsidR="009C2369" w:rsidRDefault="00FC21F0">
      <w:pPr>
        <w:pStyle w:val="ListParagraph"/>
        <w:numPr>
          <w:ilvl w:val="0"/>
          <w:numId w:val="4"/>
        </w:numPr>
        <w:pBdr>
          <w:top w:val="single" w:sz="4" w:space="1" w:color="auto"/>
          <w:left w:val="single" w:sz="4" w:space="4" w:color="auto"/>
          <w:bottom w:val="single" w:sz="4" w:space="1" w:color="auto"/>
          <w:right w:val="single" w:sz="4" w:space="4" w:color="auto"/>
        </w:pBdr>
        <w:spacing w:before="120" w:after="120" w:line="240" w:lineRule="auto"/>
        <w:ind w:left="284" w:hanging="284"/>
        <w:contextualSpacing w:val="0"/>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b/>
          <w:bCs/>
          <w:noProof/>
          <w:color w:val="000000" w:themeColor="text1"/>
          <w:sz w:val="24"/>
          <w:szCs w:val="24"/>
        </w:rPr>
        <w:t>establish</w:t>
      </w:r>
      <w:r>
        <w:rPr>
          <w:rFonts w:ascii="Times New Roman" w:hAnsi="Times New Roman"/>
          <w:b/>
          <w:bCs/>
          <w:noProof/>
          <w:color w:val="000000" w:themeColor="text1"/>
          <w:sz w:val="24"/>
          <w:szCs w:val="24"/>
        </w:rPr>
        <w:t xml:space="preserve"> an </w:t>
      </w:r>
      <w:r>
        <w:rPr>
          <w:rFonts w:ascii="Times New Roman" w:eastAsia="Times New Roman" w:hAnsi="Times New Roman" w:cs="Times New Roman"/>
          <w:b/>
          <w:bCs/>
          <w:noProof/>
          <w:color w:val="000000" w:themeColor="text1"/>
          <w:sz w:val="24"/>
          <w:szCs w:val="24"/>
        </w:rPr>
        <w:t>EU Toolbox against counterfeiting</w:t>
      </w:r>
      <w:r>
        <w:rPr>
          <w:rFonts w:ascii="Times New Roman" w:eastAsia="Times New Roman" w:hAnsi="Times New Roman" w:cs="Times New Roman"/>
          <w:noProof/>
          <w:color w:val="000000" w:themeColor="text1"/>
          <w:sz w:val="24"/>
          <w:szCs w:val="24"/>
        </w:rPr>
        <w:t xml:space="preserve"> setting out principles for joint action, cooperation and data sharing among right holders, int</w:t>
      </w:r>
      <w:r>
        <w:rPr>
          <w:rFonts w:ascii="Times New Roman" w:eastAsia="Times New Roman" w:hAnsi="Times New Roman" w:cs="Times New Roman"/>
          <w:noProof/>
          <w:color w:val="000000" w:themeColor="text1"/>
          <w:sz w:val="24"/>
          <w:szCs w:val="24"/>
        </w:rPr>
        <w:t>ermediaries and law enforcement authorities (Q2 2022).</w:t>
      </w:r>
    </w:p>
    <w:p w:rsidR="009C2369" w:rsidRDefault="00FC21F0">
      <w:pPr>
        <w:pStyle w:val="Heading2"/>
        <w:numPr>
          <w:ilvl w:val="0"/>
          <w:numId w:val="7"/>
        </w:numPr>
        <w:spacing w:before="360" w:after="120" w:line="240" w:lineRule="auto"/>
        <w:ind w:left="357" w:hanging="357"/>
        <w:jc w:val="both"/>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smallCaps/>
          <w:noProof/>
          <w:color w:val="000000" w:themeColor="text1"/>
          <w:sz w:val="28"/>
          <w:szCs w:val="28"/>
        </w:rPr>
        <w:t>fair play at global level</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IP plays a major role in trade and investment and our relations with non-EU countries. IPR-intensive industries account for 93% of total EU exports of goods to the rest of the</w:t>
      </w:r>
      <w:r>
        <w:rPr>
          <w:rFonts w:ascii="Times New Roman" w:eastAsia="Times New Roman" w:hAnsi="Times New Roman" w:cs="Times New Roman"/>
          <w:noProof/>
          <w:color w:val="000000" w:themeColor="text1"/>
          <w:sz w:val="24"/>
          <w:szCs w:val="24"/>
        </w:rPr>
        <w:t xml:space="preserve"> world</w:t>
      </w:r>
      <w:r>
        <w:rPr>
          <w:rFonts w:ascii="Times New Roman" w:eastAsia="Times New Roman" w:hAnsi="Times New Roman" w:cs="Times New Roman"/>
          <w:noProof/>
          <w:color w:val="000000" w:themeColor="text1"/>
          <w:sz w:val="24"/>
          <w:szCs w:val="24"/>
          <w:vertAlign w:val="superscript"/>
        </w:rPr>
        <w:footnoteReference w:id="106"/>
      </w:r>
      <w:r>
        <w:rPr>
          <w:rFonts w:ascii="Times New Roman" w:eastAsia="Times New Roman" w:hAnsi="Times New Roman" w:cs="Times New Roman"/>
          <w:noProof/>
          <w:color w:val="000000" w:themeColor="text1"/>
          <w:sz w:val="24"/>
          <w:szCs w:val="24"/>
        </w:rPr>
        <w:t xml:space="preserve">.A growing number of countries around the world use IP assets to bolster their </w:t>
      </w:r>
      <w:r>
        <w:rPr>
          <w:rFonts w:ascii="Times New Roman" w:eastAsia="Times New Roman" w:hAnsi="Times New Roman" w:cs="Times New Roman"/>
          <w:noProof/>
          <w:color w:val="000000" w:themeColor="text1"/>
          <w:sz w:val="24"/>
          <w:szCs w:val="24"/>
        </w:rPr>
        <w:lastRenderedPageBreak/>
        <w:t xml:space="preserve">development and national competitiveness. </w:t>
      </w:r>
      <w:r>
        <w:rPr>
          <w:rFonts w:ascii="Times New Roman" w:eastAsia="Times New Roman" w:hAnsi="Times New Roman" w:cs="Times New Roman"/>
          <w:noProof/>
          <w:color w:val="000000" w:themeColor="text1"/>
          <w:sz w:val="24"/>
          <w:szCs w:val="24"/>
          <w:lang w:val="en-IE"/>
        </w:rPr>
        <w:t>IP protection policies are gaining geo-political importance</w:t>
      </w:r>
      <w:r>
        <w:rPr>
          <w:rStyle w:val="FootnoteReference"/>
          <w:rFonts w:ascii="Times New Roman" w:eastAsia="Times New Roman" w:hAnsi="Times New Roman" w:cs="Times New Roman"/>
          <w:noProof/>
          <w:color w:val="000000" w:themeColor="text1"/>
          <w:sz w:val="24"/>
          <w:szCs w:val="24"/>
          <w:lang w:val="en-IE"/>
        </w:rPr>
        <w:footnoteReference w:id="107"/>
      </w:r>
      <w:r>
        <w:rPr>
          <w:rFonts w:ascii="Times New Roman" w:eastAsia="Times New Roman" w:hAnsi="Times New Roman" w:cs="Times New Roman"/>
          <w:noProof/>
          <w:color w:val="000000" w:themeColor="text1"/>
          <w:sz w:val="24"/>
          <w:szCs w:val="24"/>
          <w:lang w:val="en-IE"/>
        </w:rPr>
        <w:t xml:space="preserv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Our businesses need to rely on a stable, global level playing field when competing abroad. </w:t>
      </w:r>
      <w:r>
        <w:rPr>
          <w:rFonts w:ascii="Times New Roman" w:eastAsia="Times New Roman" w:hAnsi="Times New Roman" w:cs="Times New Roman"/>
          <w:noProof/>
          <w:color w:val="000000" w:themeColor="text1"/>
          <w:sz w:val="24"/>
          <w:szCs w:val="24"/>
          <w:lang w:val="en-IE"/>
        </w:rPr>
        <w:t>However,</w:t>
      </w:r>
      <w:r>
        <w:rPr>
          <w:rFonts w:ascii="Times New Roman" w:eastAsia="Times New Roman" w:hAnsi="Times New Roman" w:cs="Times New Roman"/>
          <w:noProof/>
          <w:color w:val="000000" w:themeColor="text1"/>
          <w:sz w:val="24"/>
          <w:szCs w:val="24"/>
        </w:rPr>
        <w:t xml:space="preserve"> evidence</w:t>
      </w:r>
      <w:r>
        <w:rPr>
          <w:rStyle w:val="FootnoteReference"/>
          <w:rFonts w:ascii="Times New Roman" w:eastAsia="Times New Roman" w:hAnsi="Times New Roman" w:cs="Times New Roman"/>
          <w:noProof/>
          <w:color w:val="000000" w:themeColor="text1"/>
          <w:sz w:val="24"/>
          <w:szCs w:val="24"/>
        </w:rPr>
        <w:footnoteReference w:id="108"/>
      </w:r>
      <w:r>
        <w:rPr>
          <w:rFonts w:ascii="Times New Roman" w:eastAsia="Times New Roman" w:hAnsi="Times New Roman" w:cs="Times New Roman"/>
          <w:noProof/>
          <w:color w:val="000000" w:themeColor="text1"/>
          <w:sz w:val="24"/>
          <w:szCs w:val="24"/>
        </w:rPr>
        <w:t xml:space="preserve"> shows that our businesses still face great challenges when operating in non-EU countries, including weak IP rules and enforcement, forced technolo</w:t>
      </w:r>
      <w:r>
        <w:rPr>
          <w:rFonts w:ascii="Times New Roman" w:eastAsia="Times New Roman" w:hAnsi="Times New Roman" w:cs="Times New Roman"/>
          <w:noProof/>
          <w:color w:val="000000" w:themeColor="text1"/>
          <w:sz w:val="24"/>
          <w:szCs w:val="24"/>
        </w:rPr>
        <w:t>gy transfer and other unfair practices</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 xml:space="preserve">such as limitations in IP ownership of joint research results, very broad extraterritorial anti-suit injunctions and cyber theft.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With its large single market,</w:t>
      </w:r>
      <w:r>
        <w:rPr>
          <w:rFonts w:ascii="Times New Roman" w:hAnsi="Times New Roman" w:cs="Times New Roman"/>
          <w:b/>
          <w:bCs/>
          <w:noProof/>
          <w:sz w:val="24"/>
          <w:szCs w:val="24"/>
        </w:rPr>
        <w:t xml:space="preserve"> the </w:t>
      </w:r>
      <w:r>
        <w:rPr>
          <w:rFonts w:ascii="Times New Roman" w:eastAsia="Times New Roman" w:hAnsi="Times New Roman" w:cs="Times New Roman"/>
          <w:b/>
          <w:bCs/>
          <w:noProof/>
          <w:color w:val="000000" w:themeColor="text1"/>
          <w:sz w:val="24"/>
          <w:szCs w:val="24"/>
        </w:rPr>
        <w:t xml:space="preserve">EU is in a unique position to act as a global standard-setter in IP. </w:t>
      </w:r>
      <w:r>
        <w:rPr>
          <w:rFonts w:ascii="Times New Roman" w:eastAsia="Times New Roman" w:hAnsi="Times New Roman" w:cs="Times New Roman"/>
          <w:noProof/>
          <w:color w:val="000000" w:themeColor="text1"/>
          <w:sz w:val="24"/>
          <w:szCs w:val="24"/>
        </w:rPr>
        <w:t xml:space="preserve">It can and will continue to fight for a stable and effective global IP framework. At the same time, </w:t>
      </w:r>
      <w:r>
        <w:rPr>
          <w:rFonts w:ascii="Times New Roman" w:hAnsi="Times New Roman"/>
          <w:noProof/>
          <w:color w:val="000000" w:themeColor="text1"/>
          <w:sz w:val="24"/>
          <w:szCs w:val="24"/>
        </w:rPr>
        <w:t>we need</w:t>
      </w:r>
      <w:r>
        <w:rPr>
          <w:rFonts w:ascii="Times New Roman" w:eastAsia="Times New Roman" w:hAnsi="Times New Roman" w:cs="Times New Roman"/>
          <w:b/>
          <w:bCs/>
          <w:noProof/>
          <w:color w:val="000000" w:themeColor="text1"/>
          <w:sz w:val="24"/>
          <w:szCs w:val="24"/>
        </w:rPr>
        <w:t xml:space="preserve"> to better protect ourselves against IP theft</w:t>
      </w:r>
      <w:r>
        <w:rPr>
          <w:rFonts w:ascii="Times New Roman" w:hAnsi="Times New Roman"/>
          <w:noProof/>
          <w:color w:val="000000" w:themeColor="text1"/>
          <w:sz w:val="24"/>
          <w:szCs w:val="24"/>
        </w:rPr>
        <w:t>, espionage</w:t>
      </w:r>
      <w:r>
        <w:rPr>
          <w:rFonts w:ascii="Times New Roman" w:eastAsia="Times New Roman" w:hAnsi="Times New Roman" w:cs="Times New Roman"/>
          <w:b/>
          <w:bCs/>
          <w:noProof/>
          <w:color w:val="000000" w:themeColor="text1"/>
          <w:sz w:val="24"/>
          <w:szCs w:val="24"/>
        </w:rPr>
        <w:t xml:space="preserve"> </w:t>
      </w:r>
      <w:r>
        <w:rPr>
          <w:rFonts w:ascii="Times New Roman" w:eastAsia="Times New Roman" w:hAnsi="Times New Roman" w:cs="Times New Roman"/>
          <w:noProof/>
          <w:color w:val="000000" w:themeColor="text1"/>
          <w:sz w:val="24"/>
          <w:szCs w:val="24"/>
        </w:rPr>
        <w:t>and other misappropriat</w:t>
      </w:r>
      <w:r>
        <w:rPr>
          <w:rFonts w:ascii="Times New Roman" w:eastAsia="Times New Roman" w:hAnsi="Times New Roman" w:cs="Times New Roman"/>
          <w:noProof/>
          <w:color w:val="000000" w:themeColor="text1"/>
          <w:sz w:val="24"/>
          <w:szCs w:val="24"/>
        </w:rPr>
        <w:t>ions of IP originating in non-EU countries but affecting our European markets..  Member States should also pay particular attention to the effective protection of IP in critical technologies to ensure our resilience in strategic sectors</w:t>
      </w:r>
      <w:r>
        <w:rPr>
          <w:rFonts w:ascii="Times New Roman" w:eastAsia="Times New Roman" w:hAnsi="Times New Roman" w:cs="Times New Roman"/>
          <w:i/>
          <w:noProof/>
          <w:color w:val="000000" w:themeColor="text1"/>
          <w:sz w:val="24"/>
          <w:szCs w:val="24"/>
        </w:rPr>
        <w:t>.</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To achieve this, the Commission will undertake the following actions: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In the context of </w:t>
      </w:r>
      <w:r>
        <w:rPr>
          <w:rFonts w:ascii="Times New Roman" w:eastAsia="Times New Roman" w:hAnsi="Times New Roman" w:cs="Times New Roman"/>
          <w:b/>
          <w:bCs/>
          <w:noProof/>
          <w:color w:val="000000" w:themeColor="text1"/>
          <w:sz w:val="24"/>
          <w:szCs w:val="24"/>
        </w:rPr>
        <w:t>Free Trade Agreements</w:t>
      </w:r>
      <w:r>
        <w:rPr>
          <w:rFonts w:ascii="Times New Roman" w:eastAsia="Times New Roman" w:hAnsi="Times New Roman" w:cs="Times New Roman"/>
          <w:noProof/>
          <w:color w:val="000000" w:themeColor="text1"/>
          <w:sz w:val="24"/>
          <w:szCs w:val="24"/>
        </w:rPr>
        <w:t xml:space="preserve"> (FTAs), the Commission will continue to seek ambitious IP chapters with high standards of protection, to ensure </w:t>
      </w:r>
      <w:r>
        <w:rPr>
          <w:rFonts w:ascii="Times New Roman" w:hAnsi="Times New Roman" w:cs="Times New Roman"/>
          <w:noProof/>
          <w:sz w:val="24"/>
          <w:szCs w:val="24"/>
        </w:rPr>
        <w:t>a level playing field</w:t>
      </w:r>
      <w:r>
        <w:rPr>
          <w:rFonts w:ascii="Times New Roman" w:eastAsia="Times New Roman" w:hAnsi="Times New Roman" w:cs="Times New Roman"/>
          <w:noProof/>
          <w:color w:val="000000" w:themeColor="text1"/>
          <w:sz w:val="24"/>
          <w:szCs w:val="24"/>
        </w:rPr>
        <w:t xml:space="preserve"> for EU bus</w:t>
      </w:r>
      <w:r>
        <w:rPr>
          <w:rFonts w:ascii="Times New Roman" w:eastAsia="Times New Roman" w:hAnsi="Times New Roman" w:cs="Times New Roman"/>
          <w:noProof/>
          <w:color w:val="000000" w:themeColor="text1"/>
          <w:sz w:val="24"/>
          <w:szCs w:val="24"/>
        </w:rPr>
        <w:t>inesses and boost economic growth. It will strive for the full implementation of the IP provisions in existing FTAs, including through dispute settlement and where applicable the use of the Trade Enforcement Regulation, once amended.</w:t>
      </w:r>
    </w:p>
    <w:p w:rsidR="009C2369" w:rsidRDefault="00FC21F0">
      <w:pPr>
        <w:spacing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The Commission will ma</w:t>
      </w:r>
      <w:r>
        <w:rPr>
          <w:rFonts w:ascii="Times New Roman" w:eastAsia="Times New Roman" w:hAnsi="Times New Roman" w:cs="Times New Roman"/>
          <w:noProof/>
          <w:color w:val="000000" w:themeColor="text1"/>
          <w:sz w:val="24"/>
          <w:szCs w:val="24"/>
        </w:rPr>
        <w:t xml:space="preserve">ke full use of </w:t>
      </w:r>
      <w:r>
        <w:rPr>
          <w:rFonts w:ascii="Times New Roman" w:eastAsia="Times New Roman" w:hAnsi="Times New Roman" w:cs="Times New Roman"/>
          <w:b/>
          <w:bCs/>
          <w:noProof/>
          <w:color w:val="000000" w:themeColor="text1"/>
          <w:sz w:val="24"/>
          <w:szCs w:val="24"/>
          <w:lang w:val="en-US" w:eastAsia="zh-CN"/>
        </w:rPr>
        <w:t>IP dialogues</w:t>
      </w:r>
      <w:r>
        <w:rPr>
          <w:rFonts w:ascii="Times New Roman" w:eastAsia="Times New Roman" w:hAnsi="Times New Roman" w:cs="Times New Roman"/>
          <w:noProof/>
          <w:color w:val="000000" w:themeColor="text1"/>
          <w:sz w:val="24"/>
          <w:szCs w:val="24"/>
          <w:lang w:val="en-US" w:eastAsia="zh-CN"/>
        </w:rPr>
        <w:t xml:space="preserve"> with main trading partners</w:t>
      </w:r>
      <w:r>
        <w:rPr>
          <w:rFonts w:ascii="Times New Roman" w:hAnsi="Times New Roman" w:cs="Times New Roman"/>
          <w:noProof/>
          <w:color w:val="000000"/>
          <w:sz w:val="24"/>
          <w:szCs w:val="24"/>
          <w:lang w:val="en-US" w:eastAsia="zh-CN"/>
        </w:rPr>
        <w:t xml:space="preserve"> and other priority countries</w:t>
      </w:r>
      <w:r>
        <w:rPr>
          <w:rFonts w:ascii="Times New Roman" w:eastAsia="Times New Roman" w:hAnsi="Times New Roman" w:cs="Times New Roman"/>
          <w:noProof/>
          <w:color w:val="000000" w:themeColor="text1"/>
          <w:sz w:val="24"/>
          <w:szCs w:val="24"/>
          <w:lang w:val="en-US" w:eastAsia="zh-CN"/>
        </w:rPr>
        <w:t>, such as the United States, China, Republic of Korea, Thailand, Turkey and Brazil to promote reforms, and will further enhance the reach of its IP Key programmes offering t</w:t>
      </w:r>
      <w:r>
        <w:rPr>
          <w:rFonts w:ascii="Times New Roman" w:eastAsia="Times New Roman" w:hAnsi="Times New Roman" w:cs="Times New Roman"/>
          <w:noProof/>
          <w:color w:val="000000" w:themeColor="text1"/>
          <w:sz w:val="24"/>
          <w:szCs w:val="24"/>
          <w:lang w:val="en-US" w:eastAsia="zh-CN"/>
        </w:rPr>
        <w:t>echnical co-operation in China, South East Asia and Latin America.</w:t>
      </w:r>
      <w:r>
        <w:rPr>
          <w:rFonts w:ascii="Times New Roman" w:eastAsia="Times New Roman" w:hAnsi="Times New Roman" w:cs="Times New Roman"/>
          <w:noProof/>
          <w:color w:val="000000" w:themeColor="text1"/>
          <w:sz w:val="24"/>
          <w:szCs w:val="24"/>
        </w:rPr>
        <w:t xml:space="preserv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 xml:space="preserve">Whilst the Commission will continue to promote a global level playing field, it will step up efforts to protect EU companies against unfair practices. </w:t>
      </w:r>
      <w:r>
        <w:rPr>
          <w:rFonts w:ascii="Times New Roman" w:eastAsia="Times New Roman" w:hAnsi="Times New Roman" w:cs="Times New Roman"/>
          <w:noProof/>
          <w:color w:val="000000" w:themeColor="text1"/>
          <w:sz w:val="24"/>
          <w:szCs w:val="24"/>
          <w:lang w:val="en-IE"/>
        </w:rPr>
        <w:t xml:space="preserve">It will use as leverage the </w:t>
      </w:r>
      <w:r>
        <w:rPr>
          <w:rFonts w:ascii="Times New Roman" w:eastAsia="Times New Roman" w:hAnsi="Times New Roman" w:cs="Times New Roman"/>
          <w:b/>
          <w:bCs/>
          <w:noProof/>
          <w:color w:val="000000" w:themeColor="text1"/>
          <w:sz w:val="24"/>
          <w:szCs w:val="24"/>
          <w:lang w:val="en-IE"/>
        </w:rPr>
        <w:t>Counterfeit and Piracy Watch List</w:t>
      </w:r>
      <w:r>
        <w:rPr>
          <w:rStyle w:val="FootnoteReference"/>
          <w:rFonts w:ascii="Times New Roman" w:eastAsia="Times New Roman" w:hAnsi="Times New Roman" w:cs="Times New Roman"/>
          <w:noProof/>
          <w:color w:val="000000" w:themeColor="text1"/>
          <w:sz w:val="24"/>
          <w:szCs w:val="24"/>
          <w:lang w:val="en-IE"/>
        </w:rPr>
        <w:footnoteReference w:id="109"/>
      </w:r>
      <w:r>
        <w:rPr>
          <w:rFonts w:ascii="Times New Roman" w:eastAsia="Times New Roman" w:hAnsi="Times New Roman" w:cs="Times New Roman"/>
          <w:noProof/>
          <w:color w:val="000000" w:themeColor="text1"/>
          <w:sz w:val="24"/>
          <w:szCs w:val="24"/>
          <w:lang w:val="en-IE"/>
        </w:rPr>
        <w:t xml:space="preserve">, which reports marketplaces and service providers allegedly engaging in, facilitating or benefiting from counterfeiting and piracy, and the </w:t>
      </w:r>
      <w:r>
        <w:rPr>
          <w:rFonts w:ascii="Times New Roman" w:eastAsia="Times New Roman" w:hAnsi="Times New Roman" w:cs="Times New Roman"/>
          <w:b/>
          <w:bCs/>
          <w:noProof/>
          <w:color w:val="000000" w:themeColor="text1"/>
          <w:sz w:val="24"/>
          <w:szCs w:val="24"/>
          <w:lang w:val="en-IE"/>
        </w:rPr>
        <w:t>Third Country Report</w:t>
      </w:r>
      <w:r>
        <w:rPr>
          <w:rStyle w:val="FootnoteReference"/>
          <w:rFonts w:ascii="Times New Roman" w:eastAsia="Times New Roman" w:hAnsi="Times New Roman" w:cs="Times New Roman"/>
          <w:noProof/>
          <w:color w:val="000000" w:themeColor="text1"/>
          <w:sz w:val="24"/>
          <w:szCs w:val="24"/>
          <w:lang w:val="en-IE"/>
        </w:rPr>
        <w:footnoteReference w:id="110"/>
      </w:r>
      <w:r>
        <w:rPr>
          <w:rFonts w:ascii="Times New Roman" w:eastAsia="Times New Roman" w:hAnsi="Times New Roman" w:cs="Times New Roman"/>
          <w:noProof/>
          <w:color w:val="000000" w:themeColor="text1"/>
          <w:sz w:val="24"/>
          <w:szCs w:val="24"/>
          <w:lang w:val="en-IE"/>
        </w:rPr>
        <w:t>, which identifies third countries in which the state of IPR</w:t>
      </w:r>
      <w:r>
        <w:rPr>
          <w:rFonts w:ascii="Times New Roman" w:eastAsia="Times New Roman" w:hAnsi="Times New Roman" w:cs="Times New Roman"/>
          <w:noProof/>
          <w:color w:val="000000" w:themeColor="text1"/>
          <w:sz w:val="24"/>
          <w:szCs w:val="24"/>
          <w:lang w:val="en-IE"/>
        </w:rPr>
        <w:t xml:space="preserve"> protection and enforcement (online and offline) gives rise to the greatest level of concern.</w:t>
      </w:r>
      <w:r>
        <w:rPr>
          <w:rFonts w:ascii="Times New Roman" w:eastAsia="Times New Roman" w:hAnsi="Times New Roman" w:cs="Times New Roman"/>
          <w:noProof/>
          <w:color w:val="000000" w:themeColor="text1"/>
          <w:sz w:val="24"/>
          <w:szCs w:val="24"/>
          <w:lang w:val="en-US" w:eastAsia="zh-CN"/>
        </w:rPr>
        <w:t xml:space="preserve"> Both the Watch List and the Report will be updated regularly, and actions to address identified shortcomings will be closely monitored.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In addition, the Commissi</w:t>
      </w:r>
      <w:r>
        <w:rPr>
          <w:rFonts w:ascii="Times New Roman" w:eastAsia="Times New Roman" w:hAnsi="Times New Roman" w:cs="Times New Roman"/>
          <w:noProof/>
          <w:color w:val="000000" w:themeColor="text1"/>
          <w:sz w:val="24"/>
          <w:szCs w:val="24"/>
          <w:lang w:val="en-US"/>
        </w:rPr>
        <w:t xml:space="preserve">on, in its March 2020 Guidance concerning foreign direct investment and the protection of Europe’s strategic assets, called on all EU Member States to make full use of their </w:t>
      </w:r>
      <w:r>
        <w:rPr>
          <w:rFonts w:ascii="Times New Roman" w:eastAsia="Times New Roman" w:hAnsi="Times New Roman" w:cs="Times New Roman"/>
          <w:b/>
          <w:noProof/>
          <w:color w:val="000000" w:themeColor="text1"/>
          <w:sz w:val="24"/>
          <w:szCs w:val="24"/>
          <w:lang w:val="en-US"/>
        </w:rPr>
        <w:t>foreign investment screening</w:t>
      </w:r>
      <w:r>
        <w:rPr>
          <w:rFonts w:ascii="Times New Roman" w:eastAsia="Times New Roman" w:hAnsi="Times New Roman" w:cs="Times New Roman"/>
          <w:noProof/>
          <w:color w:val="000000" w:themeColor="text1"/>
          <w:sz w:val="24"/>
          <w:szCs w:val="24"/>
          <w:lang w:val="en-US"/>
        </w:rPr>
        <w:t xml:space="preserve"> mechanisms and, for those Member States that currentl</w:t>
      </w:r>
      <w:r>
        <w:rPr>
          <w:rFonts w:ascii="Times New Roman" w:eastAsia="Times New Roman" w:hAnsi="Times New Roman" w:cs="Times New Roman"/>
          <w:noProof/>
          <w:color w:val="000000" w:themeColor="text1"/>
          <w:sz w:val="24"/>
          <w:szCs w:val="24"/>
          <w:lang w:val="en-US"/>
        </w:rPr>
        <w:t>y do not have a screening mechanism, to set up a full fledged screening mechanism, in order to a</w:t>
      </w:r>
      <w:r>
        <w:rPr>
          <w:rFonts w:ascii="Times New Roman" w:eastAsia="Times New Roman" w:hAnsi="Times New Roman" w:cs="Times New Roman"/>
          <w:bCs/>
          <w:noProof/>
          <w:color w:val="000000" w:themeColor="text1"/>
          <w:sz w:val="24"/>
          <w:szCs w:val="24"/>
          <w:lang w:val="en-US"/>
        </w:rPr>
        <w:t>ddress relevant aspects of security and public order of foreign direct investments, which may involve critical IP assets in the European Union</w:t>
      </w:r>
      <w:r>
        <w:rPr>
          <w:rFonts w:ascii="Times New Roman" w:eastAsia="Times New Roman" w:hAnsi="Times New Roman" w:cs="Times New Roman"/>
          <w:noProof/>
          <w:color w:val="000000" w:themeColor="text1"/>
          <w:sz w:val="24"/>
          <w:szCs w:val="24"/>
          <w:vertAlign w:val="superscript"/>
          <w:lang w:val="en-US"/>
        </w:rPr>
        <w:footnoteReference w:id="111"/>
      </w:r>
      <w:r>
        <w:rPr>
          <w:rFonts w:ascii="Times New Roman" w:eastAsia="Times New Roman" w:hAnsi="Times New Roman" w:cs="Times New Roman"/>
          <w:noProof/>
          <w:color w:val="000000" w:themeColor="text1"/>
          <w:sz w:val="24"/>
          <w:szCs w:val="24"/>
          <w:lang w:val="en-US"/>
        </w:rPr>
        <w:t xml:space="preserv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lang w:val="en-IE"/>
        </w:rPr>
        <w:t>The Commission</w:t>
      </w:r>
      <w:r>
        <w:rPr>
          <w:rFonts w:ascii="Times New Roman" w:eastAsia="Times New Roman" w:hAnsi="Times New Roman" w:cs="Times New Roman"/>
          <w:noProof/>
          <w:color w:val="000000" w:themeColor="text1"/>
          <w:sz w:val="24"/>
          <w:szCs w:val="24"/>
          <w:lang w:val="en-IE"/>
        </w:rPr>
        <w:t xml:space="preserve"> also sees a need to</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noProof/>
          <w:color w:val="000000" w:themeColor="text1"/>
          <w:sz w:val="24"/>
          <w:szCs w:val="24"/>
          <w:lang w:val="en-IE"/>
        </w:rPr>
        <w:t>ensure that all non-EU countries and their businesses play by the rules,</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noProof/>
          <w:color w:val="000000" w:themeColor="text1"/>
          <w:sz w:val="24"/>
          <w:szCs w:val="24"/>
          <w:lang w:val="en-IE"/>
        </w:rPr>
        <w:t>including when engaging with European research organisations</w:t>
      </w:r>
      <w:r>
        <w:rPr>
          <w:rFonts w:ascii="Times New Roman" w:eastAsia="Times New Roman" w:hAnsi="Times New Roman" w:cs="Times New Roman"/>
          <w:b/>
          <w:bCs/>
          <w:noProof/>
          <w:color w:val="000000" w:themeColor="text1"/>
          <w:sz w:val="24"/>
          <w:szCs w:val="24"/>
          <w:lang w:val="en-IE"/>
        </w:rPr>
        <w:t>.</w:t>
      </w:r>
      <w:r>
        <w:rPr>
          <w:rFonts w:ascii="Times New Roman" w:eastAsia="Times New Roman" w:hAnsi="Times New Roman" w:cs="Times New Roman"/>
          <w:noProof/>
          <w:color w:val="000000" w:themeColor="text1"/>
          <w:sz w:val="24"/>
          <w:szCs w:val="24"/>
          <w:lang w:val="en-IE"/>
        </w:rPr>
        <w:t xml:space="preserve"> </w:t>
      </w:r>
      <w:r>
        <w:rPr>
          <w:rFonts w:ascii="Times New Roman" w:hAnsi="Times New Roman" w:cs="Times New Roman"/>
          <w:noProof/>
          <w:sz w:val="24"/>
          <w:szCs w:val="24"/>
          <w:lang w:val="en-IE"/>
        </w:rPr>
        <w:t xml:space="preserve">To this </w:t>
      </w:r>
      <w:r>
        <w:rPr>
          <w:rFonts w:ascii="Times New Roman" w:hAnsi="Times New Roman" w:cs="Times New Roman"/>
          <w:noProof/>
          <w:sz w:val="24"/>
          <w:szCs w:val="24"/>
          <w:lang w:val="en-IE"/>
        </w:rPr>
        <w:lastRenderedPageBreak/>
        <w:t xml:space="preserve">purpose, </w:t>
      </w:r>
      <w:r>
        <w:rPr>
          <w:rFonts w:ascii="Times New Roman" w:hAnsi="Times New Roman" w:cs="Times New Roman"/>
          <w:b/>
          <w:bCs/>
          <w:noProof/>
          <w:sz w:val="24"/>
          <w:szCs w:val="24"/>
          <w:lang w:val="en-IE"/>
        </w:rPr>
        <w:t xml:space="preserve">new framework conditions for </w:t>
      </w:r>
      <w:r>
        <w:rPr>
          <w:rFonts w:ascii="Times New Roman" w:eastAsia="Times New Roman" w:hAnsi="Times New Roman" w:cs="Times New Roman"/>
          <w:b/>
          <w:bCs/>
          <w:noProof/>
          <w:color w:val="000000" w:themeColor="text1"/>
          <w:sz w:val="24"/>
          <w:szCs w:val="24"/>
          <w:lang w:val="en-IE"/>
        </w:rPr>
        <w:t>international research cooperation with entities in no</w:t>
      </w:r>
      <w:r>
        <w:rPr>
          <w:rFonts w:ascii="Times New Roman" w:eastAsia="Times New Roman" w:hAnsi="Times New Roman" w:cs="Times New Roman"/>
          <w:b/>
          <w:bCs/>
          <w:noProof/>
          <w:color w:val="000000" w:themeColor="text1"/>
          <w:sz w:val="24"/>
          <w:szCs w:val="24"/>
          <w:lang w:val="en-IE"/>
        </w:rPr>
        <w:t>n-EU countries</w:t>
      </w:r>
      <w:r>
        <w:rPr>
          <w:rFonts w:ascii="Times New Roman" w:eastAsia="Times New Roman" w:hAnsi="Times New Roman" w:cs="Times New Roman"/>
          <w:noProof/>
          <w:color w:val="000000" w:themeColor="text1"/>
          <w:sz w:val="24"/>
          <w:szCs w:val="24"/>
          <w:lang w:val="en-IE"/>
        </w:rPr>
        <w:t xml:space="preserve"> will be developed. These will ensure a fair and non-distortive global innovation ecosystem based on a level playing field and reciprocity while maintaining high ethical and science integrity standards. In this respect, the Commission will se</w:t>
      </w:r>
      <w:r>
        <w:rPr>
          <w:rFonts w:ascii="Times New Roman" w:eastAsia="Times New Roman" w:hAnsi="Times New Roman" w:cs="Times New Roman"/>
          <w:noProof/>
          <w:color w:val="000000" w:themeColor="text1"/>
          <w:sz w:val="24"/>
          <w:szCs w:val="24"/>
          <w:lang w:val="en-IE"/>
        </w:rPr>
        <w:t xml:space="preserve">t guidelines on foreign interference targeting EU Universities and Higher Education Institutions to raise awareness of possible IP theft while engaging in international cooperation (2021).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In terms of foreign policy, the Commission will, in cooperation wi</w:t>
      </w:r>
      <w:r>
        <w:rPr>
          <w:rFonts w:ascii="Times New Roman" w:eastAsia="Times New Roman" w:hAnsi="Times New Roman" w:cs="Times New Roman"/>
          <w:noProof/>
          <w:color w:val="000000" w:themeColor="text1"/>
          <w:sz w:val="24"/>
          <w:szCs w:val="24"/>
        </w:rPr>
        <w:t xml:space="preserve">th the High Representative and Member States, stand ready to use the restrictive measures available to counter private and government-sponsored </w:t>
      </w:r>
      <w:r>
        <w:rPr>
          <w:rFonts w:ascii="Times New Roman" w:eastAsia="Times New Roman" w:hAnsi="Times New Roman" w:cs="Times New Roman"/>
          <w:b/>
          <w:bCs/>
          <w:noProof/>
          <w:color w:val="000000" w:themeColor="text1"/>
          <w:sz w:val="24"/>
          <w:szCs w:val="24"/>
        </w:rPr>
        <w:t>cyber espionage</w:t>
      </w:r>
      <w:r>
        <w:rPr>
          <w:rFonts w:ascii="Times New Roman" w:eastAsia="Times New Roman" w:hAnsi="Times New Roman" w:cs="Times New Roman"/>
          <w:noProof/>
          <w:color w:val="000000" w:themeColor="text1"/>
          <w:sz w:val="24"/>
          <w:szCs w:val="24"/>
        </w:rPr>
        <w:t xml:space="preserve"> aimed at acquiring cutting-edge European IP assets</w:t>
      </w:r>
      <w:r>
        <w:rPr>
          <w:rStyle w:val="FootnoteReference"/>
          <w:rFonts w:ascii="Times New Roman" w:eastAsia="Times New Roman" w:hAnsi="Times New Roman" w:cs="Times New Roman"/>
          <w:noProof/>
          <w:color w:val="000000" w:themeColor="text1"/>
          <w:sz w:val="24"/>
          <w:szCs w:val="24"/>
        </w:rPr>
        <w:footnoteReference w:id="112"/>
      </w:r>
      <w:r>
        <w:rPr>
          <w:rFonts w:ascii="Times New Roman" w:eastAsia="Times New Roman" w:hAnsi="Times New Roman" w:cs="Times New Roman"/>
          <w:noProof/>
          <w:color w:val="000000" w:themeColor="text1"/>
          <w:sz w:val="24"/>
          <w:szCs w:val="24"/>
        </w:rPr>
        <w:t xml:space="preserve">. </w:t>
      </w:r>
    </w:p>
    <w:p w:rsidR="009C2369" w:rsidRDefault="00FC21F0">
      <w:pPr>
        <w:spacing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lang w:val="en-IE"/>
        </w:rPr>
        <w:t xml:space="preserve">It is of utmost importance that the </w:t>
      </w:r>
      <w:r>
        <w:rPr>
          <w:rFonts w:ascii="Times New Roman" w:eastAsia="Times New Roman" w:hAnsi="Times New Roman" w:cs="Times New Roman"/>
          <w:b/>
          <w:bCs/>
          <w:noProof/>
          <w:color w:val="000000" w:themeColor="text1"/>
          <w:sz w:val="24"/>
          <w:szCs w:val="24"/>
          <w:lang w:val="en-IE"/>
        </w:rPr>
        <w:t>EU spe</w:t>
      </w:r>
      <w:r>
        <w:rPr>
          <w:rFonts w:ascii="Times New Roman" w:eastAsia="Times New Roman" w:hAnsi="Times New Roman" w:cs="Times New Roman"/>
          <w:b/>
          <w:bCs/>
          <w:noProof/>
          <w:color w:val="000000" w:themeColor="text1"/>
          <w:sz w:val="24"/>
          <w:szCs w:val="24"/>
          <w:lang w:val="en-IE"/>
        </w:rPr>
        <w:t>aks with a strong and united voice in global fora</w:t>
      </w:r>
      <w:r>
        <w:rPr>
          <w:rFonts w:ascii="Times New Roman" w:eastAsia="Times New Roman" w:hAnsi="Times New Roman" w:cs="Times New Roman"/>
          <w:noProof/>
          <w:color w:val="000000" w:themeColor="text1"/>
          <w:sz w:val="24"/>
          <w:szCs w:val="24"/>
          <w:lang w:val="en-IE"/>
        </w:rPr>
        <w:t xml:space="preserve"> such as the World Intellectual Property Organisation (WIPO), the World Trade Organisation (</w:t>
      </w:r>
      <w:r>
        <w:rPr>
          <w:rFonts w:ascii="Times New Roman" w:hAnsi="Times New Roman" w:cs="Times New Roman"/>
          <w:noProof/>
          <w:sz w:val="24"/>
          <w:szCs w:val="24"/>
          <w:lang w:val="en-IE"/>
        </w:rPr>
        <w:t>WTO),</w:t>
      </w:r>
      <w:r>
        <w:rPr>
          <w:rFonts w:ascii="Times New Roman" w:hAnsi="Times New Roman"/>
          <w:noProof/>
          <w:sz w:val="24"/>
          <w:szCs w:val="24"/>
          <w:lang w:val="en-IE"/>
        </w:rPr>
        <w:t xml:space="preserve"> the </w:t>
      </w:r>
      <w:r>
        <w:rPr>
          <w:rFonts w:ascii="Times New Roman" w:hAnsi="Times New Roman" w:cs="Times New Roman"/>
          <w:noProof/>
          <w:color w:val="4D5156"/>
          <w:sz w:val="24"/>
          <w:szCs w:val="24"/>
          <w:shd w:val="clear" w:color="auto" w:fill="FFFFFF"/>
        </w:rPr>
        <w:t>I</w:t>
      </w:r>
      <w:r>
        <w:rPr>
          <w:rFonts w:ascii="Times New Roman" w:hAnsi="Times New Roman" w:cs="Times New Roman"/>
          <w:noProof/>
          <w:sz w:val="24"/>
          <w:szCs w:val="24"/>
        </w:rPr>
        <w:t>nternational Union for the Protection of New Varieties of Plants</w:t>
      </w:r>
      <w:r>
        <w:rPr>
          <w:rFonts w:ascii="Times New Roman" w:hAnsi="Times New Roman" w:cs="Times New Roman"/>
          <w:noProof/>
          <w:sz w:val="24"/>
          <w:szCs w:val="24"/>
          <w:lang w:val="en-IE"/>
        </w:rPr>
        <w:t xml:space="preserve"> (UPOV), the World Health Organisation (WHO) and the </w:t>
      </w:r>
      <w:r>
        <w:rPr>
          <w:rFonts w:ascii="Times New Roman" w:hAnsi="Times New Roman" w:cs="Times New Roman"/>
          <w:noProof/>
          <w:sz w:val="24"/>
          <w:szCs w:val="24"/>
        </w:rPr>
        <w:t>Organisation for Economic Co-operation and Development</w:t>
      </w:r>
      <w:r>
        <w:rPr>
          <w:rFonts w:ascii="Times New Roman" w:hAnsi="Times New Roman" w:cs="Times New Roman"/>
          <w:noProof/>
          <w:sz w:val="24"/>
          <w:szCs w:val="24"/>
          <w:lang w:val="en-IE"/>
        </w:rPr>
        <w:t xml:space="preserve"> (OECD). The Commission will work together with Member States and other stakeholders to find and defend global standards of IP protection and best po</w:t>
      </w:r>
      <w:r>
        <w:rPr>
          <w:rFonts w:ascii="Times New Roman" w:hAnsi="Times New Roman" w:cs="Times New Roman"/>
          <w:noProof/>
          <w:sz w:val="24"/>
          <w:szCs w:val="24"/>
          <w:lang w:val="en-IE"/>
        </w:rPr>
        <w:t>ssible solutions to new challenges, such as the need to ensure equitable access to t</w:t>
      </w:r>
      <w:r>
        <w:rPr>
          <w:rFonts w:ascii="Times New Roman" w:eastAsia="Times New Roman" w:hAnsi="Times New Roman" w:cs="Times New Roman"/>
          <w:noProof/>
          <w:color w:val="000000" w:themeColor="text1"/>
          <w:sz w:val="24"/>
          <w:szCs w:val="24"/>
          <w:lang w:val="en-IE"/>
        </w:rPr>
        <w:t>reatments, vaccines and diagnostics in the fight against COVID-19. The WIPO debate on the implications of AI for IP is another unique opportunity for Europe to exercise inf</w:t>
      </w:r>
      <w:r>
        <w:rPr>
          <w:rFonts w:ascii="Times New Roman" w:eastAsia="Times New Roman" w:hAnsi="Times New Roman" w:cs="Times New Roman"/>
          <w:noProof/>
          <w:color w:val="000000" w:themeColor="text1"/>
          <w:sz w:val="24"/>
          <w:szCs w:val="24"/>
          <w:lang w:val="en-IE"/>
        </w:rPr>
        <w:t>luence at a moment where rule making is still taking place, which can have a long-lasting impact on the ongoing digital transformation of the world economy.</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IE"/>
        </w:rPr>
      </w:pPr>
      <w:r>
        <w:rPr>
          <w:rFonts w:ascii="Times New Roman" w:eastAsia="Times New Roman" w:hAnsi="Times New Roman" w:cs="Times New Roman"/>
          <w:noProof/>
          <w:color w:val="000000" w:themeColor="text1"/>
          <w:sz w:val="24"/>
          <w:szCs w:val="24"/>
        </w:rPr>
        <w:t>To protect the value of brands, the Commission will consider</w:t>
      </w:r>
      <w:r>
        <w:rPr>
          <w:rFonts w:ascii="Times New Roman" w:eastAsia="Times New Roman" w:hAnsi="Times New Roman" w:cs="Times New Roman"/>
          <w:b/>
          <w:noProof/>
          <w:color w:val="000000" w:themeColor="text1"/>
          <w:sz w:val="24"/>
          <w:szCs w:val="24"/>
        </w:rPr>
        <w:t xml:space="preserve"> EU accession to the Singapore Treaty o</w:t>
      </w:r>
      <w:r>
        <w:rPr>
          <w:rFonts w:ascii="Times New Roman" w:eastAsia="Times New Roman" w:hAnsi="Times New Roman" w:cs="Times New Roman"/>
          <w:b/>
          <w:noProof/>
          <w:color w:val="000000" w:themeColor="text1"/>
          <w:sz w:val="24"/>
          <w:szCs w:val="24"/>
        </w:rPr>
        <w:t>n the Law of Trademarks</w:t>
      </w:r>
      <w:r>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lang w:val="en-IE"/>
        </w:rPr>
        <w:t>The Commission will work with international partners to protect GIs worldwide through the WIPO multilateral Lisbon Registry. It will also step up its participation in global internet fora so that the</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noProof/>
          <w:color w:val="000000" w:themeColor="text1"/>
          <w:sz w:val="24"/>
          <w:szCs w:val="24"/>
          <w:lang w:val="en-IE"/>
        </w:rPr>
        <w:t>international domain name syste</w:t>
      </w:r>
      <w:r>
        <w:rPr>
          <w:rFonts w:ascii="Times New Roman" w:eastAsia="Times New Roman" w:hAnsi="Times New Roman" w:cs="Times New Roman"/>
          <w:noProof/>
          <w:color w:val="000000" w:themeColor="text1"/>
          <w:sz w:val="24"/>
          <w:szCs w:val="24"/>
          <w:lang w:val="en-IE"/>
        </w:rPr>
        <w:t>m</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bCs/>
          <w:noProof/>
          <w:color w:val="000000" w:themeColor="text1"/>
          <w:sz w:val="24"/>
          <w:szCs w:val="24"/>
          <w:lang w:val="en-IE"/>
        </w:rPr>
        <w:t>(DNS)</w:t>
      </w:r>
      <w:r>
        <w:rPr>
          <w:rFonts w:ascii="Times New Roman" w:eastAsia="Times New Roman" w:hAnsi="Times New Roman" w:cs="Times New Roman"/>
          <w:b/>
          <w:bCs/>
          <w:noProof/>
          <w:color w:val="000000" w:themeColor="text1"/>
          <w:sz w:val="24"/>
          <w:szCs w:val="24"/>
          <w:lang w:val="en-IE"/>
        </w:rPr>
        <w:t xml:space="preserve"> </w:t>
      </w:r>
      <w:r>
        <w:rPr>
          <w:rFonts w:ascii="Times New Roman" w:eastAsia="Times New Roman" w:hAnsi="Times New Roman" w:cs="Times New Roman"/>
          <w:noProof/>
          <w:color w:val="000000" w:themeColor="text1"/>
          <w:sz w:val="24"/>
          <w:szCs w:val="24"/>
          <w:lang w:val="en-IE"/>
        </w:rPr>
        <w:t xml:space="preserve">fully respects IPRs, including GIs, and </w:t>
      </w:r>
      <w:r>
        <w:rPr>
          <w:rFonts w:ascii="Times New Roman" w:hAnsi="Times New Roman" w:cs="Times New Roman"/>
          <w:noProof/>
          <w:sz w:val="24"/>
          <w:szCs w:val="24"/>
          <w:lang w:val="en-IE"/>
        </w:rPr>
        <w:t>ensure that IP protection is also reflected appropriately in policies concerning the governance of the domain name space and access to information on registrants (“Whois” data)</w:t>
      </w:r>
      <w:r>
        <w:rPr>
          <w:rFonts w:ascii="Times New Roman" w:eastAsia="Times New Roman" w:hAnsi="Times New Roman" w:cs="Times New Roman"/>
          <w:noProof/>
          <w:color w:val="000000" w:themeColor="text1"/>
          <w:sz w:val="24"/>
          <w:szCs w:val="24"/>
          <w:lang w:val="en-IE"/>
        </w:rPr>
        <w:t xml:space="preserve">. In the area of </w:t>
      </w:r>
      <w:r>
        <w:rPr>
          <w:rFonts w:ascii="Times New Roman" w:eastAsia="Times New Roman" w:hAnsi="Times New Roman" w:cs="Times New Roman"/>
          <w:b/>
          <w:bCs/>
          <w:noProof/>
          <w:color w:val="000000" w:themeColor="text1"/>
          <w:sz w:val="24"/>
          <w:szCs w:val="24"/>
          <w:lang w:val="en-IE"/>
        </w:rPr>
        <w:t>copyright</w:t>
      </w:r>
      <w:r>
        <w:rPr>
          <w:rFonts w:ascii="Times New Roman" w:eastAsia="Times New Roman" w:hAnsi="Times New Roman" w:cs="Times New Roman"/>
          <w:noProof/>
          <w:color w:val="000000" w:themeColor="text1"/>
          <w:sz w:val="24"/>
          <w:szCs w:val="24"/>
          <w:lang w:val="en-IE"/>
        </w:rPr>
        <w:t xml:space="preserve">, the </w:t>
      </w:r>
      <w:r>
        <w:rPr>
          <w:rFonts w:ascii="Times New Roman" w:eastAsia="Times New Roman" w:hAnsi="Times New Roman" w:cs="Times New Roman"/>
          <w:noProof/>
          <w:color w:val="000000" w:themeColor="text1"/>
          <w:sz w:val="24"/>
          <w:szCs w:val="24"/>
          <w:lang w:val="en-IE"/>
        </w:rPr>
        <w:t xml:space="preserve">Commission will continue to be actively involved in WIPO negotiations with the objective of reaching an agreement on a new treaty ensuring international protection to </w:t>
      </w:r>
      <w:r>
        <w:rPr>
          <w:rFonts w:ascii="Times New Roman" w:eastAsia="Times New Roman" w:hAnsi="Times New Roman" w:cs="Times New Roman"/>
          <w:b/>
          <w:bCs/>
          <w:noProof/>
          <w:color w:val="000000" w:themeColor="text1"/>
          <w:sz w:val="24"/>
          <w:szCs w:val="24"/>
          <w:lang w:val="en-IE"/>
        </w:rPr>
        <w:t>broadcasting</w:t>
      </w:r>
      <w:r>
        <w:rPr>
          <w:rFonts w:ascii="Times New Roman" w:eastAsia="Times New Roman" w:hAnsi="Times New Roman" w:cs="Times New Roman"/>
          <w:noProof/>
          <w:color w:val="000000" w:themeColor="text1"/>
          <w:sz w:val="24"/>
          <w:szCs w:val="24"/>
          <w:lang w:val="en-IE"/>
        </w:rPr>
        <w:t xml:space="preserve"> organisations. It will also work towards securing the EU's ratification of t</w:t>
      </w:r>
      <w:r>
        <w:rPr>
          <w:rFonts w:ascii="Times New Roman" w:eastAsia="Times New Roman" w:hAnsi="Times New Roman" w:cs="Times New Roman"/>
          <w:noProof/>
          <w:color w:val="000000" w:themeColor="text1"/>
          <w:sz w:val="24"/>
          <w:szCs w:val="24"/>
          <w:lang w:val="en-IE"/>
        </w:rPr>
        <w:t xml:space="preserve">he </w:t>
      </w:r>
      <w:r>
        <w:rPr>
          <w:rFonts w:ascii="Times New Roman" w:eastAsia="Times New Roman" w:hAnsi="Times New Roman" w:cs="Times New Roman"/>
          <w:b/>
          <w:bCs/>
          <w:noProof/>
          <w:color w:val="000000" w:themeColor="text1"/>
          <w:sz w:val="24"/>
          <w:szCs w:val="24"/>
          <w:lang w:val="en-IE"/>
        </w:rPr>
        <w:t xml:space="preserve">WIPO Beijing </w:t>
      </w:r>
      <w:r>
        <w:rPr>
          <w:rFonts w:ascii="Times New Roman" w:eastAsia="Times New Roman" w:hAnsi="Times New Roman" w:cs="Times New Roman"/>
          <w:b/>
          <w:bCs/>
          <w:noProof/>
          <w:sz w:val="24"/>
          <w:szCs w:val="24"/>
          <w:lang w:val="en-IE"/>
        </w:rPr>
        <w:t>Treaty</w:t>
      </w:r>
      <w:r>
        <w:rPr>
          <w:rFonts w:ascii="Times New Roman" w:hAnsi="Times New Roman" w:cs="Times New Roman"/>
          <w:noProof/>
          <w:sz w:val="24"/>
          <w:szCs w:val="24"/>
          <w:lang w:val="en-IE"/>
        </w:rPr>
        <w:t xml:space="preserve"> (signed by the EU in 2013)</w:t>
      </w:r>
      <w:r>
        <w:rPr>
          <w:rFonts w:ascii="Times New Roman" w:eastAsia="Times New Roman" w:hAnsi="Times New Roman" w:cs="Times New Roman"/>
          <w:noProof/>
          <w:sz w:val="24"/>
          <w:szCs w:val="24"/>
          <w:lang w:val="en-IE"/>
        </w:rPr>
        <w:t xml:space="preserve">, </w:t>
      </w:r>
      <w:r>
        <w:rPr>
          <w:rFonts w:ascii="Times New Roman" w:eastAsia="Times New Roman" w:hAnsi="Times New Roman" w:cs="Times New Roman"/>
          <w:noProof/>
          <w:color w:val="000000" w:themeColor="text1"/>
          <w:sz w:val="24"/>
          <w:szCs w:val="24"/>
          <w:lang w:val="en-IE"/>
        </w:rPr>
        <w:t>which grants international protection to audio-visual performances.</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rPr>
        <w:t xml:space="preserve">The Commission will continue to assist European companies abroad. In addition to the existing international </w:t>
      </w:r>
      <w:r>
        <w:rPr>
          <w:rFonts w:ascii="Times New Roman" w:eastAsia="Times New Roman" w:hAnsi="Times New Roman" w:cs="Times New Roman"/>
          <w:b/>
          <w:bCs/>
          <w:noProof/>
          <w:color w:val="000000" w:themeColor="text1"/>
          <w:sz w:val="24"/>
          <w:szCs w:val="24"/>
        </w:rPr>
        <w:t>IP SME Helpdesks</w:t>
      </w:r>
      <w:r>
        <w:rPr>
          <w:rFonts w:ascii="Times New Roman" w:eastAsia="Times New Roman" w:hAnsi="Times New Roman" w:cs="Times New Roman"/>
          <w:noProof/>
          <w:color w:val="000000" w:themeColor="text1"/>
          <w:sz w:val="24"/>
          <w:szCs w:val="24"/>
        </w:rPr>
        <w:t xml:space="preserve"> in China, South East Asia and Latin America</w:t>
      </w:r>
      <w:r>
        <w:rPr>
          <w:rStyle w:val="FootnoteReference"/>
          <w:rFonts w:ascii="Times New Roman" w:eastAsia="Times New Roman" w:hAnsi="Times New Roman" w:cs="Times New Roman"/>
          <w:noProof/>
          <w:color w:val="000000" w:themeColor="text1"/>
          <w:sz w:val="24"/>
          <w:szCs w:val="24"/>
        </w:rPr>
        <w:footnoteReference w:id="113"/>
      </w:r>
      <w:r>
        <w:rPr>
          <w:rFonts w:ascii="Times New Roman" w:eastAsia="Times New Roman" w:hAnsi="Times New Roman" w:cs="Times New Roman"/>
          <w:noProof/>
          <w:color w:val="000000" w:themeColor="text1"/>
          <w:sz w:val="24"/>
          <w:szCs w:val="24"/>
        </w:rPr>
        <w:t xml:space="preserve">, it will launch a new IP SME Helpdesk assisting European companies in India (early 2021). </w:t>
      </w:r>
    </w:p>
    <w:p w:rsidR="009C2369" w:rsidRDefault="00FC21F0">
      <w:pPr>
        <w:spacing w:before="120" w:after="240" w:line="240" w:lineRule="auto"/>
        <w:jc w:val="both"/>
        <w:rPr>
          <w:rFonts w:ascii="Times New Roman" w:eastAsia="Times New Roman" w:hAnsi="Times New Roman" w:cs="Times New Roman"/>
          <w:noProof/>
          <w:color w:val="000000" w:themeColor="text1"/>
          <w:sz w:val="24"/>
          <w:szCs w:val="24"/>
        </w:rPr>
      </w:pPr>
      <w:r>
        <w:rPr>
          <w:rFonts w:ascii="Times New Roman" w:eastAsia="Times New Roman" w:hAnsi="Times New Roman" w:cs="Times New Roman"/>
          <w:noProof/>
          <w:color w:val="000000" w:themeColor="text1"/>
          <w:sz w:val="24"/>
          <w:szCs w:val="24"/>
          <w:lang w:val="en-IE"/>
        </w:rPr>
        <w:t xml:space="preserve">Finally, the Commission will step up its efforts to offer qualified </w:t>
      </w:r>
      <w:r>
        <w:rPr>
          <w:rFonts w:ascii="Times New Roman" w:eastAsia="Times New Roman" w:hAnsi="Times New Roman" w:cs="Times New Roman"/>
          <w:b/>
          <w:bCs/>
          <w:noProof/>
          <w:color w:val="000000" w:themeColor="text1"/>
          <w:sz w:val="24"/>
          <w:szCs w:val="24"/>
          <w:lang w:val="en-IE"/>
        </w:rPr>
        <w:t>technical assistance to help developing countries</w:t>
      </w:r>
      <w:r>
        <w:rPr>
          <w:rFonts w:ascii="Times New Roman" w:eastAsia="Times New Roman" w:hAnsi="Times New Roman" w:cs="Times New Roman"/>
          <w:noProof/>
          <w:color w:val="000000" w:themeColor="text1"/>
          <w:sz w:val="24"/>
          <w:szCs w:val="24"/>
          <w:lang w:val="en-IE"/>
        </w:rPr>
        <w:t xml:space="preserve"> m</w:t>
      </w:r>
      <w:r>
        <w:rPr>
          <w:rFonts w:ascii="Times New Roman" w:eastAsia="Times New Roman" w:hAnsi="Times New Roman" w:cs="Times New Roman"/>
          <w:noProof/>
          <w:color w:val="000000" w:themeColor="text1"/>
          <w:sz w:val="24"/>
          <w:szCs w:val="24"/>
          <w:lang w:val="en-IE"/>
        </w:rPr>
        <w:t xml:space="preserve">ake best use of IP to support their economic growth. For instance, </w:t>
      </w:r>
      <w:r>
        <w:rPr>
          <w:rFonts w:ascii="Times New Roman" w:eastAsia="Times New Roman" w:hAnsi="Times New Roman" w:cs="Times New Roman"/>
          <w:noProof/>
          <w:color w:val="000000" w:themeColor="text1"/>
          <w:sz w:val="24"/>
          <w:szCs w:val="24"/>
          <w:lang w:val="en-US"/>
        </w:rPr>
        <w:t>as part of the IPR action plan for Africa, the Commission will promote better generation, protection and management of IP (including GIs</w:t>
      </w:r>
      <w:r>
        <w:rPr>
          <w:rFonts w:ascii="Times New Roman" w:eastAsia="Times New Roman" w:hAnsi="Times New Roman" w:cs="Times New Roman"/>
          <w:noProof/>
          <w:color w:val="000000" w:themeColor="text1"/>
          <w:sz w:val="24"/>
          <w:szCs w:val="24"/>
          <w:vertAlign w:val="superscript"/>
          <w:lang w:val="en-US"/>
        </w:rPr>
        <w:footnoteReference w:id="114"/>
      </w:r>
      <w:r>
        <w:rPr>
          <w:rFonts w:ascii="Times New Roman" w:eastAsia="Times New Roman" w:hAnsi="Times New Roman" w:cs="Times New Roman"/>
          <w:noProof/>
          <w:color w:val="000000" w:themeColor="text1"/>
          <w:sz w:val="24"/>
          <w:szCs w:val="24"/>
          <w:lang w:val="en-US"/>
        </w:rPr>
        <w:t>) on this continent</w:t>
      </w:r>
      <w:r>
        <w:rPr>
          <w:rStyle w:val="FootnoteReference"/>
          <w:rFonts w:ascii="Times New Roman" w:eastAsia="Times New Roman" w:hAnsi="Times New Roman" w:cs="Times New Roman"/>
          <w:noProof/>
          <w:color w:val="000000" w:themeColor="text1"/>
          <w:sz w:val="24"/>
          <w:szCs w:val="24"/>
        </w:rPr>
        <w:footnoteReference w:id="115"/>
      </w:r>
      <w:r>
        <w:rPr>
          <w:rFonts w:ascii="Times New Roman" w:eastAsia="Times New Roman" w:hAnsi="Times New Roman" w:cs="Times New Roman"/>
          <w:noProof/>
          <w:color w:val="000000" w:themeColor="text1"/>
          <w:sz w:val="24"/>
          <w:szCs w:val="24"/>
          <w:lang w:val="en-US"/>
        </w:rPr>
        <w:t>.</w:t>
      </w:r>
      <w:r>
        <w:rPr>
          <w:rFonts w:ascii="Times New Roman" w:eastAsia="Times New Roman" w:hAnsi="Times New Roman" w:cs="Times New Roman"/>
          <w:noProof/>
          <w:color w:val="000000" w:themeColor="text1"/>
          <w:sz w:val="24"/>
          <w:szCs w:val="24"/>
        </w:rPr>
        <w:t xml:space="preserve"> </w:t>
      </w:r>
    </w:p>
    <w:p w:rsidR="009C2369" w:rsidRDefault="00FC21F0">
      <w:pPr>
        <w:pStyle w:val="Heading2"/>
        <w:numPr>
          <w:ilvl w:val="0"/>
          <w:numId w:val="7"/>
        </w:numPr>
        <w:spacing w:before="360" w:after="120" w:line="240" w:lineRule="auto"/>
        <w:ind w:left="357" w:hanging="357"/>
        <w:jc w:val="both"/>
        <w:rPr>
          <w:rFonts w:ascii="Times New Roman" w:eastAsia="Times New Roman" w:hAnsi="Times New Roman" w:cs="Times New Roman"/>
          <w:b/>
          <w:bCs/>
          <w:smallCaps/>
          <w:noProof/>
          <w:color w:val="000000" w:themeColor="text1"/>
          <w:sz w:val="28"/>
          <w:szCs w:val="28"/>
        </w:rPr>
      </w:pPr>
      <w:r>
        <w:rPr>
          <w:rFonts w:ascii="Times New Roman" w:eastAsia="Times New Roman" w:hAnsi="Times New Roman" w:cs="Times New Roman"/>
          <w:b/>
          <w:bCs/>
          <w:smallCaps/>
          <w:noProof/>
          <w:color w:val="000000" w:themeColor="text1"/>
          <w:sz w:val="28"/>
          <w:szCs w:val="28"/>
        </w:rPr>
        <w:lastRenderedPageBreak/>
        <w:t xml:space="preserve">Working together with Member States and Stakeholders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 xml:space="preserve">The Commission counts on the European Parliament and the Council, as well as on all stakeholders, to support and help implement this action plan and the various actions it includes.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It also calls on Me</w:t>
      </w:r>
      <w:r>
        <w:rPr>
          <w:rFonts w:ascii="Times New Roman" w:eastAsia="Times New Roman" w:hAnsi="Times New Roman" w:cs="Times New Roman"/>
          <w:noProof/>
          <w:color w:val="000000" w:themeColor="text1"/>
          <w:sz w:val="24"/>
          <w:szCs w:val="24"/>
          <w:lang w:val="en-US"/>
        </w:rPr>
        <w:t xml:space="preserve">mber States to develop their </w:t>
      </w:r>
      <w:r>
        <w:rPr>
          <w:rFonts w:ascii="Times New Roman" w:eastAsia="Times New Roman" w:hAnsi="Times New Roman" w:cs="Times New Roman"/>
          <w:b/>
          <w:bCs/>
          <w:noProof/>
          <w:color w:val="000000" w:themeColor="text1"/>
          <w:sz w:val="24"/>
          <w:szCs w:val="24"/>
          <w:lang w:val="en-US"/>
        </w:rPr>
        <w:t>national IP policies and strategies</w:t>
      </w:r>
      <w:r>
        <w:rPr>
          <w:rFonts w:ascii="Times New Roman" w:eastAsia="Times New Roman" w:hAnsi="Times New Roman" w:cs="Times New Roman"/>
          <w:noProof/>
          <w:color w:val="000000" w:themeColor="text1"/>
          <w:sz w:val="24"/>
          <w:szCs w:val="24"/>
          <w:lang w:val="en-US"/>
        </w:rPr>
        <w:t xml:space="preserve"> in line with the objectives set out in this action plan, and make better protection and enforcement of IP a priority in their own efforts to secure economic recovery.</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The Commission will also</w:t>
      </w:r>
      <w:r>
        <w:rPr>
          <w:rFonts w:ascii="Times New Roman" w:eastAsia="Times New Roman" w:hAnsi="Times New Roman" w:cs="Times New Roman"/>
          <w:noProof/>
          <w:color w:val="000000" w:themeColor="text1"/>
          <w:sz w:val="24"/>
          <w:szCs w:val="24"/>
          <w:lang w:val="en-US"/>
        </w:rPr>
        <w:t xml:space="preserve"> stimulate debate among all relevant players, in particular in relevant industrial ecosystems, to better connect IP policy to the changing realities and needs of EU industry, in line with the Commission's strategic foresight report</w:t>
      </w:r>
      <w:r>
        <w:rPr>
          <w:rStyle w:val="FootnoteReference"/>
          <w:rFonts w:ascii="Times New Roman" w:eastAsia="Times New Roman" w:hAnsi="Times New Roman" w:cs="Times New Roman"/>
          <w:noProof/>
          <w:color w:val="000000" w:themeColor="text1"/>
          <w:sz w:val="24"/>
          <w:szCs w:val="24"/>
          <w:lang w:val="en-US"/>
        </w:rPr>
        <w:footnoteReference w:id="116"/>
      </w:r>
      <w:r>
        <w:rPr>
          <w:rFonts w:ascii="Times New Roman" w:eastAsia="Times New Roman" w:hAnsi="Times New Roman" w:cs="Times New Roman"/>
          <w:noProof/>
          <w:color w:val="000000" w:themeColor="text1"/>
          <w:sz w:val="24"/>
          <w:szCs w:val="24"/>
          <w:lang w:val="en-US"/>
        </w:rPr>
        <w:t xml:space="preserve"> and agenda. To achieve this the Commission will hold regular discussions on IP-related issues in the context of existing events and fora in which industrial policy is shaped. </w:t>
      </w:r>
    </w:p>
    <w:p w:rsidR="009C2369" w:rsidRDefault="00FC21F0">
      <w:pPr>
        <w:spacing w:line="240" w:lineRule="auto"/>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br w:type="page"/>
      </w:r>
    </w:p>
    <w:p w:rsidR="009C2369" w:rsidRDefault="00FC21F0">
      <w:pPr>
        <w:spacing w:line="240" w:lineRule="auto"/>
        <w:rPr>
          <w:noProof/>
        </w:rPr>
      </w:pPr>
      <w:r>
        <w:rPr>
          <w:rFonts w:ascii="Times New Roman" w:eastAsia="Times New Roman" w:hAnsi="Times New Roman" w:cs="Times New Roman"/>
          <w:b/>
          <w:bCs/>
          <w:smallCaps/>
          <w:noProof/>
          <w:color w:val="000000" w:themeColor="text1"/>
          <w:sz w:val="28"/>
          <w:szCs w:val="28"/>
        </w:rPr>
        <w:lastRenderedPageBreak/>
        <w:t>Appendix I</w:t>
      </w:r>
      <w:r>
        <w:rPr>
          <w:noProof/>
        </w:rPr>
        <w:t xml:space="preserve"> </w:t>
      </w:r>
    </w:p>
    <w:p w:rsidR="009C2369" w:rsidRDefault="00FC21F0">
      <w:pPr>
        <w:spacing w:line="240" w:lineRule="auto"/>
        <w:rPr>
          <w:rFonts w:ascii="Times New Roman" w:eastAsia="Times New Roman" w:hAnsi="Times New Roman" w:cs="Times New Roman"/>
          <w:b/>
          <w:bCs/>
          <w:smallCaps/>
          <w:noProof/>
          <w:color w:val="000000" w:themeColor="text1"/>
          <w:sz w:val="28"/>
          <w:szCs w:val="28"/>
        </w:rPr>
      </w:pPr>
      <w:r>
        <w:rPr>
          <w:rFonts w:ascii="Times New Roman" w:eastAsia="Times New Roman" w:hAnsi="Times New Roman" w:cs="Times New Roman"/>
          <w:b/>
          <w:bCs/>
          <w:smallCaps/>
          <w:noProof/>
          <w:color w:val="000000" w:themeColor="text1"/>
          <w:sz w:val="28"/>
          <w:szCs w:val="28"/>
        </w:rPr>
        <w:t>Contribution of IPR-intensive industries to employment</w:t>
      </w:r>
      <w:r>
        <w:rPr>
          <w:rFonts w:ascii="Times New Roman" w:eastAsia="Times New Roman" w:hAnsi="Times New Roman" w:cs="Times New Roman"/>
          <w:b/>
          <w:bCs/>
          <w:smallCaps/>
          <w:noProof/>
          <w:color w:val="000000" w:themeColor="text1"/>
          <w:sz w:val="28"/>
          <w:szCs w:val="28"/>
        </w:rPr>
        <w:br/>
        <w:t>in industr</w:t>
      </w:r>
      <w:r>
        <w:rPr>
          <w:rFonts w:ascii="Times New Roman" w:eastAsia="Times New Roman" w:hAnsi="Times New Roman" w:cs="Times New Roman"/>
          <w:b/>
          <w:bCs/>
          <w:smallCaps/>
          <w:noProof/>
          <w:color w:val="000000" w:themeColor="text1"/>
          <w:sz w:val="28"/>
          <w:szCs w:val="28"/>
        </w:rPr>
        <w:t>ial ecosystems</w:t>
      </w:r>
    </w:p>
    <w:p w:rsidR="009C2369" w:rsidRDefault="00FC21F0">
      <w:pPr>
        <w:spacing w:line="240" w:lineRule="auto"/>
        <w:rPr>
          <w:noProof/>
        </w:rPr>
      </w:pPr>
      <w:r>
        <w:rPr>
          <w:noProof/>
          <w:lang w:val="fr-BE" w:eastAsia="fr-BE"/>
        </w:rPr>
        <w:drawing>
          <wp:inline distT="0" distB="0" distL="0" distR="0">
            <wp:extent cx="6078071" cy="5697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system daisy Nov 2020_V02.JPG"/>
                    <pic:cNvPicPr/>
                  </pic:nvPicPr>
                  <pic:blipFill>
                    <a:blip r:embed="rId18">
                      <a:extLst>
                        <a:ext uri="{28A0092B-C50C-407E-A947-70E740481C1C}">
                          <a14:useLocalDpi xmlns:a14="http://schemas.microsoft.com/office/drawing/2010/main" val="0"/>
                        </a:ext>
                      </a:extLst>
                    </a:blip>
                    <a:stretch>
                      <a:fillRect/>
                    </a:stretch>
                  </pic:blipFill>
                  <pic:spPr>
                    <a:xfrm>
                      <a:off x="0" y="0"/>
                      <a:ext cx="6086153" cy="5704829"/>
                    </a:xfrm>
                    <a:prstGeom prst="rect">
                      <a:avLst/>
                    </a:prstGeom>
                  </pic:spPr>
                </pic:pic>
              </a:graphicData>
            </a:graphic>
          </wp:inline>
        </w:drawing>
      </w:r>
    </w:p>
    <w:p w:rsidR="009C2369" w:rsidRDefault="00FC21F0">
      <w:pPr>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t xml:space="preserve">Source: EUIPO and EC calculations based on </w:t>
      </w:r>
      <w:r>
        <w:rPr>
          <w:rFonts w:ascii="Times New Roman" w:hAnsi="Times New Roman"/>
          <w:noProof/>
          <w:sz w:val="20"/>
        </w:rPr>
        <w:t>study data</w:t>
      </w:r>
      <w:r>
        <w:rPr>
          <w:rFonts w:ascii="Times New Roman" w:hAnsi="Times New Roman" w:cs="Times New Roman"/>
          <w:noProof/>
          <w:sz w:val="20"/>
          <w:szCs w:val="20"/>
        </w:rPr>
        <w:t xml:space="preserve"> IPR-intensive industries and economic performance in the European Union, EPO &amp; EUIPO 2019</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This graph presents the IPR-intensive industries’ contribution to employment in each of the industrial ecosystems. This explains for instance the apparent low IPR contribution to the health ecosystem. The very IPR-intensive pharmaceutical and medical devic</w:t>
      </w:r>
      <w:r>
        <w:rPr>
          <w:rFonts w:ascii="Times New Roman" w:eastAsia="Times New Roman" w:hAnsi="Times New Roman" w:cs="Times New Roman"/>
          <w:noProof/>
          <w:color w:val="000000" w:themeColor="text1"/>
          <w:sz w:val="24"/>
          <w:szCs w:val="24"/>
          <w:lang w:val="en-US"/>
        </w:rPr>
        <w:t xml:space="preserve">es sectors contribute to only 6% of employment, while the other sectors such as hospitals and medical care are not IPR intensive. </w:t>
      </w:r>
    </w:p>
    <w:p w:rsidR="009C2369" w:rsidRDefault="00FC21F0">
      <w:pPr>
        <w:spacing w:before="120" w:after="120" w:line="240" w:lineRule="auto"/>
        <w:jc w:val="both"/>
        <w:rPr>
          <w:rFonts w:ascii="Times New Roman" w:eastAsia="Times New Roman" w:hAnsi="Times New Roman" w:cs="Times New Roman"/>
          <w:noProof/>
          <w:color w:val="000000" w:themeColor="text1"/>
          <w:sz w:val="24"/>
          <w:szCs w:val="24"/>
          <w:lang w:val="en-US"/>
        </w:rPr>
      </w:pPr>
      <w:r>
        <w:rPr>
          <w:rFonts w:ascii="Times New Roman" w:eastAsia="Times New Roman" w:hAnsi="Times New Roman" w:cs="Times New Roman"/>
          <w:noProof/>
          <w:color w:val="000000" w:themeColor="text1"/>
          <w:sz w:val="24"/>
          <w:szCs w:val="24"/>
          <w:lang w:val="en-US"/>
        </w:rPr>
        <w:t>It is a contribution of IPR-owning companies to the employment in the EU. As such it shows part of the picture of IPR influen</w:t>
      </w:r>
      <w:r>
        <w:rPr>
          <w:rFonts w:ascii="Times New Roman" w:eastAsia="Times New Roman" w:hAnsi="Times New Roman" w:cs="Times New Roman"/>
          <w:noProof/>
          <w:color w:val="000000" w:themeColor="text1"/>
          <w:sz w:val="24"/>
          <w:szCs w:val="24"/>
          <w:lang w:val="en-US"/>
        </w:rPr>
        <w:t>ce over the economy. It does not reflect a broader impact of intellectual property rights on companies that may not own themselves IPR, but use IPR protected inputs in their products or services (e.g. franchisees, technology licensees, subcontractors, hosp</w:t>
      </w:r>
      <w:r>
        <w:rPr>
          <w:rFonts w:ascii="Times New Roman" w:eastAsia="Times New Roman" w:hAnsi="Times New Roman" w:cs="Times New Roman"/>
          <w:noProof/>
          <w:color w:val="000000" w:themeColor="text1"/>
          <w:sz w:val="24"/>
          <w:szCs w:val="24"/>
          <w:lang w:val="en-US"/>
        </w:rPr>
        <w:t>itality or retail sector when sharing cultural industries products).</w:t>
      </w:r>
    </w:p>
    <w:sectPr w:rsidR="009C2369">
      <w:headerReference w:type="even" r:id="rId19"/>
      <w:headerReference w:type="default" r:id="rId20"/>
      <w:footerReference w:type="even" r:id="rId21"/>
      <w:footerReference w:type="default" r:id="rId22"/>
      <w:headerReference w:type="first" r:id="rId23"/>
      <w:footerReference w:type="first" r:id="rId24"/>
      <w:pgSz w:w="11906" w:h="16838"/>
      <w:pgMar w:top="1303" w:right="1440" w:bottom="993" w:left="1560" w:header="708"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369" w:rsidRDefault="00FC21F0">
      <w:pPr>
        <w:spacing w:after="0" w:line="240" w:lineRule="auto"/>
      </w:pPr>
      <w:r>
        <w:separator/>
      </w:r>
    </w:p>
  </w:endnote>
  <w:endnote w:type="continuationSeparator" w:id="0">
    <w:p w:rsidR="009C2369" w:rsidRDefault="00FC21F0">
      <w:pPr>
        <w:spacing w:after="0" w:line="240" w:lineRule="auto"/>
      </w:pPr>
      <w:r>
        <w:continuationSeparator/>
      </w:r>
    </w:p>
  </w:endnote>
  <w:endnote w:type="continuationNotice" w:id="1">
    <w:p w:rsidR="009C2369" w:rsidRDefault="009C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FC21F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24008355"/>
      <w:docPartObj>
        <w:docPartGallery w:val="Page Numbers (Bottom of Page)"/>
        <w:docPartUnique/>
      </w:docPartObj>
    </w:sdtPr>
    <w:sdtEndPr>
      <w:rPr>
        <w:noProof/>
      </w:rPr>
    </w:sdtEndPr>
    <w:sdtContent>
      <w:p w:rsidR="009C2369" w:rsidRDefault="00FC21F0">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9C2369" w:rsidRDefault="009C2369">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369" w:rsidRDefault="00FC21F0">
      <w:pPr>
        <w:spacing w:after="0" w:line="240" w:lineRule="auto"/>
      </w:pPr>
      <w:r>
        <w:separator/>
      </w:r>
    </w:p>
  </w:footnote>
  <w:footnote w:type="continuationSeparator" w:id="0">
    <w:p w:rsidR="009C2369" w:rsidRDefault="00FC21F0">
      <w:pPr>
        <w:spacing w:after="0" w:line="240" w:lineRule="auto"/>
      </w:pPr>
      <w:r>
        <w:continuationSeparator/>
      </w:r>
    </w:p>
  </w:footnote>
  <w:footnote w:type="continuationNotice" w:id="1">
    <w:p w:rsidR="009C2369" w:rsidRDefault="009C2369">
      <w:pPr>
        <w:spacing w:after="0" w:line="240" w:lineRule="auto"/>
      </w:pPr>
    </w:p>
  </w:footnote>
  <w:footnote w:id="2">
    <w:p w:rsidR="009C2369" w:rsidRDefault="00FC21F0">
      <w:pPr>
        <w:pStyle w:val="FootnoteText"/>
        <w:spacing w:after="0"/>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cs="Times New Roman"/>
        </w:rPr>
        <w:t xml:space="preserve"> According to the SNA2008/ESA2010 standards, the Systems of National Accounts captures a range of specific intangible assets under the 'intellectual property products' asset category, such as R&amp;D, mineral exploration, computer software and databases, enter</w:t>
      </w:r>
      <w:r>
        <w:rPr>
          <w:rFonts w:ascii="Times New Roman" w:hAnsi="Times New Roman" w:cs="Times New Roman"/>
        </w:rPr>
        <w:t>tainment, and literary and artistic originals.</w:t>
      </w:r>
    </w:p>
  </w:footnote>
  <w:footnote w:id="3">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Unlocking investment in intangible assets, </w:t>
      </w:r>
      <w:hyperlink r:id="rId1" w:history="1">
        <w:r>
          <w:rPr>
            <w:rStyle w:val="Hyperlink"/>
            <w:rFonts w:ascii="Times New Roman" w:hAnsi="Times New Roman" w:cs="Times New Roman"/>
          </w:rPr>
          <w:t>DG ECFIN discussion paper 047</w:t>
        </w:r>
      </w:hyperlink>
      <w:r>
        <w:rPr>
          <w:rFonts w:ascii="Times New Roman" w:hAnsi="Times New Roman" w:cs="Times New Roman"/>
        </w:rPr>
        <w:t>, May 2017.</w:t>
      </w:r>
    </w:p>
  </w:footnote>
  <w:footnote w:id="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 w:anchor="tab3" w:history="1">
        <w:r>
          <w:rPr>
            <w:rStyle w:val="Hyperlink"/>
            <w:rFonts w:ascii="Times New Roman" w:hAnsi="Times New Roman" w:cs="Times New Roman"/>
          </w:rPr>
          <w:t>Intellectual property rights intensive industries and economic performance in the EU</w:t>
        </w:r>
      </w:hyperlink>
      <w:r>
        <w:rPr>
          <w:rFonts w:ascii="Times New Roman" w:hAnsi="Times New Roman" w:cs="Times New Roman"/>
          <w:color w:val="000000" w:themeColor="text1"/>
        </w:rPr>
        <w:t xml:space="preserve">, </w:t>
      </w:r>
      <w:r>
        <w:rPr>
          <w:rFonts w:ascii="Times New Roman" w:hAnsi="Times New Roman" w:cs="Times New Roman"/>
        </w:rPr>
        <w:t>EUIPO-EPO, 2019.</w:t>
      </w:r>
    </w:p>
  </w:footnote>
  <w:footnote w:id="5">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rPr>
        <w:t>“Hidden treasures. Mapping Europe’s sources of competitive advantage in doing business”, D. Ka</w:t>
      </w:r>
      <w:r>
        <w:rPr>
          <w:rFonts w:ascii="Times New Roman" w:hAnsi="Times New Roman" w:cs="Times New Roman"/>
        </w:rPr>
        <w:t xml:space="preserve">lff, A. Renda, Centre for European Policy Studies (CEPS), Brussels 2019, p. 59; see also </w:t>
      </w:r>
      <w:hyperlink r:id="rId3" w:history="1">
        <w:r>
          <w:rPr>
            <w:rStyle w:val="Hyperlink"/>
            <w:rFonts w:ascii="Times New Roman" w:hAnsi="Times New Roman" w:cs="Times New Roman"/>
          </w:rPr>
          <w:t>EPO quality report 2018</w:t>
        </w:r>
      </w:hyperlink>
      <w:r>
        <w:rPr>
          <w:rFonts w:ascii="Times New Roman" w:hAnsi="Times New Roman" w:cs="Times New Roman"/>
        </w:rPr>
        <w:t>.</w:t>
      </w:r>
    </w:p>
  </w:footnote>
  <w:footnote w:id="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2019 </w:t>
      </w:r>
      <w:hyperlink r:id="rId4" w:history="1">
        <w:r>
          <w:rPr>
            <w:rStyle w:val="Hyperlink"/>
            <w:rFonts w:ascii="Times New Roman" w:hAnsi="Times New Roman" w:cs="Times New Roman"/>
          </w:rPr>
          <w:t>EU Industrial R&amp;D Investment Scoreboard</w:t>
        </w:r>
      </w:hyperlink>
      <w:r>
        <w:rPr>
          <w:rStyle w:val="Hyperlink"/>
          <w:rFonts w:ascii="Times New Roman" w:hAnsi="Times New Roman" w:cs="Times New Roman"/>
        </w:rPr>
        <w:t>.</w:t>
      </w:r>
    </w:p>
  </w:footnote>
  <w:footnote w:id="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Share of PCT applications in relation to societal challenges. See the section on climate and environment in</w:t>
      </w:r>
      <w:r>
        <w:rPr>
          <w:rFonts w:ascii="Times New Roman" w:hAnsi="Times New Roman" w:cs="Times New Roman"/>
        </w:rPr>
        <w:t xml:space="preserve"> the </w:t>
      </w:r>
      <w:hyperlink r:id="rId5" w:history="1">
        <w:r>
          <w:rPr>
            <w:rStyle w:val="Hyperlink"/>
            <w:rFonts w:ascii="Times New Roman" w:hAnsi="Times New Roman" w:cs="Times New Roman"/>
          </w:rPr>
          <w:t>Report on Science, Research and Innovation Performance of the EU</w:t>
        </w:r>
      </w:hyperlink>
      <w:r>
        <w:rPr>
          <w:rFonts w:ascii="Times New Roman" w:hAnsi="Times New Roman" w:cs="Times New Roman"/>
        </w:rPr>
        <w:t xml:space="preserve"> 2020. </w:t>
      </w:r>
      <w:hyperlink w:history="1"/>
      <w:r>
        <w:rPr>
          <w:rFonts w:ascii="Times New Roman" w:hAnsi="Times New Roman" w:cs="Times New Roman"/>
        </w:rPr>
        <w:t xml:space="preserve"> </w:t>
      </w:r>
    </w:p>
  </w:footnote>
  <w:footnote w:id="8">
    <w:p w:rsidR="009C2369" w:rsidRDefault="00FC21F0">
      <w:pPr>
        <w:pStyle w:val="FootnoteText"/>
        <w:spacing w:after="0"/>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6" w:history="1">
        <w:r>
          <w:rPr>
            <w:rStyle w:val="Hyperlink"/>
            <w:rFonts w:ascii="Times New Roman" w:hAnsi="Times New Roman" w:cs="Times New Roman"/>
          </w:rPr>
          <w:t>Climate change mitigation technologies in Europe – evidence from patent and economi</w:t>
        </w:r>
        <w:r>
          <w:rPr>
            <w:rStyle w:val="Hyperlink"/>
            <w:rFonts w:ascii="Times New Roman" w:hAnsi="Times New Roman" w:cs="Times New Roman"/>
          </w:rPr>
          <w:t>c data</w:t>
        </w:r>
      </w:hyperlink>
      <w:r>
        <w:rPr>
          <w:rFonts w:ascii="Times New Roman" w:hAnsi="Times New Roman" w:cs="Times New Roman"/>
        </w:rPr>
        <w:t>, EPO 2015.</w:t>
      </w:r>
    </w:p>
  </w:footnote>
  <w:footnote w:id="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Studies show that small and medium-sized enterprises using IPRs grow faster and are more resilient to economic crises – </w:t>
      </w:r>
      <w:hyperlink r:id="rId7" w:history="1">
        <w:r>
          <w:rPr>
            <w:rStyle w:val="Hyperlink"/>
            <w:rFonts w:ascii="Times New Roman" w:hAnsi="Times New Roman" w:cs="Times New Roman"/>
          </w:rPr>
          <w:t>High-growth firms and intellectual property rights,</w:t>
        </w:r>
        <w:r>
          <w:rPr>
            <w:rStyle w:val="Hyperlink"/>
            <w:rFonts w:ascii="Times New Roman" w:hAnsi="Times New Roman" w:cs="Times New Roman"/>
            <w:color w:val="auto"/>
            <w:u w:val="none"/>
          </w:rPr>
          <w:t xml:space="preserve"> EUIPO-EPO, 2019</w:t>
        </w:r>
      </w:hyperlink>
      <w:r>
        <w:rPr>
          <w:rStyle w:val="Hyperlink"/>
          <w:rFonts w:ascii="Times New Roman" w:hAnsi="Times New Roman" w:cs="Times New Roman"/>
          <w:color w:val="auto"/>
          <w:u w:val="none"/>
        </w:rPr>
        <w:t>.</w:t>
      </w:r>
    </w:p>
  </w:footnote>
  <w:footnote w:id="10">
    <w:p w:rsidR="009C2369" w:rsidRDefault="00FC21F0">
      <w:pPr>
        <w:pStyle w:val="FootnoteText"/>
        <w:spacing w:after="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Appendix I contains a map presenting the role </w:t>
      </w:r>
      <w:r>
        <w:rPr>
          <w:rFonts w:ascii="Times New Roman" w:hAnsi="Times New Roman" w:cs="Times New Roman"/>
        </w:rPr>
        <w:t>of IPR-intensive industries in the ecosystems.</w:t>
      </w:r>
    </w:p>
  </w:footnote>
  <w:footnote w:id="11">
    <w:p w:rsidR="009C2369" w:rsidRDefault="00FC21F0">
      <w:pPr>
        <w:pStyle w:val="FootnoteText"/>
        <w:spacing w:after="0"/>
        <w:rPr>
          <w:color w:val="FF0000"/>
          <w:lang w:val="en-IE"/>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hyperlink r:id="rId8" w:history="1">
        <w:r>
          <w:rPr>
            <w:rStyle w:val="Hyperlink"/>
            <w:rFonts w:ascii="Times New Roman" w:hAnsi="Times New Roman" w:cs="Times New Roman"/>
            <w:lang w:val="en-IE"/>
          </w:rPr>
          <w:t xml:space="preserve">COM(2020) </w:t>
        </w:r>
        <w:r>
          <w:rPr>
            <w:rStyle w:val="Hyperlink"/>
          </w:rPr>
          <w:t>761</w:t>
        </w:r>
      </w:hyperlink>
    </w:p>
  </w:footnote>
  <w:footnote w:id="12">
    <w:p w:rsidR="009C2369" w:rsidRDefault="00FC21F0">
      <w:pPr>
        <w:pStyle w:val="FootnoteText"/>
        <w:spacing w:after="0"/>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eastAsia="Times New Roman" w:hAnsi="Times New Roman" w:cs="Times New Roman"/>
          <w:color w:val="000000" w:themeColor="text1"/>
        </w:rPr>
        <w:t xml:space="preserve">For instance, a single application makes it possible today to protect a trade mark an industrial design or a plant variety across the whole EU, and there is a common set of rules on the protection of trade secrets. </w:t>
      </w:r>
    </w:p>
  </w:footnote>
  <w:footnote w:id="13">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trends and developments in </w:t>
      </w:r>
      <w:hyperlink r:id="rId9" w:history="1">
        <w:r>
          <w:rPr>
            <w:rStyle w:val="Hyperlink"/>
            <w:rFonts w:ascii="Times New Roman" w:hAnsi="Times New Roman" w:cs="Times New Roman"/>
          </w:rPr>
          <w:t>Artificial Intelligence – Challenges to the IPR framework</w:t>
        </w:r>
      </w:hyperlink>
      <w:r>
        <w:rPr>
          <w:rFonts w:ascii="Times New Roman" w:hAnsi="Times New Roman" w:cs="Times New Roman"/>
        </w:rPr>
        <w:t xml:space="preserve">, study conducted by IVIR and JIPP, November 2020. </w:t>
      </w:r>
    </w:p>
  </w:footnote>
  <w:footnote w:id="14">
    <w:p w:rsidR="009C2369" w:rsidRDefault="00FC21F0">
      <w:pPr>
        <w:pStyle w:val="FootnoteText"/>
        <w:spacing w:after="0"/>
        <w:jc w:val="both"/>
      </w:pPr>
      <w:r>
        <w:rPr>
          <w:rStyle w:val="FootnoteReference"/>
        </w:rPr>
        <w:footnoteRef/>
      </w:r>
      <w:r>
        <w:t xml:space="preserve"> </w:t>
      </w:r>
      <w:hyperlink r:id="rId10" w:history="1">
        <w:r>
          <w:rPr>
            <w:rFonts w:ascii="Times New Roman" w:hAnsi="Times New Roman" w:cs="Times New Roman"/>
          </w:rPr>
          <w:t xml:space="preserve">See </w:t>
        </w:r>
        <w:r>
          <w:rPr>
            <w:rFonts w:ascii="Times New Roman" w:hAnsi="Times New Roman" w:cs="Times New Roman"/>
          </w:rPr>
          <w:t>the relevant requirements under the Eodesign implementing regulations introduced in October 2019</w:t>
        </w:r>
      </w:hyperlink>
      <w:r>
        <w:rPr>
          <w:rFonts w:ascii="Times New Roman" w:hAnsi="Times New Roman" w:cs="Times New Roman"/>
        </w:rPr>
        <w:t xml:space="preserve"> </w:t>
      </w:r>
      <w:r>
        <w:rPr>
          <w:rFonts w:ascii="Times New Roman" w:hAnsi="Times New Roman" w:cs="Times New Roman"/>
          <w:color w:val="000000" w:themeColor="text1"/>
        </w:rPr>
        <w:t>C(2019) 2120-7, C(2019) 5380, C(2019) 6843</w:t>
      </w:r>
    </w:p>
  </w:footnote>
  <w:footnote w:id="15">
    <w:p w:rsidR="009C2369" w:rsidRDefault="00FC21F0">
      <w:pPr>
        <w:pStyle w:val="FootnoteText"/>
        <w:tabs>
          <w:tab w:val="left" w:pos="142"/>
          <w:tab w:val="left" w:pos="284"/>
        </w:tabs>
        <w:spacing w:after="0"/>
        <w:jc w:val="both"/>
        <w:rPr>
          <w:rFonts w:ascii="Times New Roman" w:hAnsi="Times New Roman" w:cs="Times New Roman"/>
          <w:color w:val="FF0000"/>
          <w:lang w:eastAsia="en-GB"/>
        </w:rPr>
      </w:pPr>
      <w:r>
        <w:rPr>
          <w:rStyle w:val="FootnoteReference"/>
          <w:rFonts w:ascii="Times New Roman" w:hAnsi="Times New Roman" w:cs="Times New Roman"/>
        </w:rPr>
        <w:footnoteRef/>
      </w:r>
      <w:r>
        <w:rPr>
          <w:rFonts w:ascii="Times New Roman" w:hAnsi="Times New Roman" w:cs="Times New Roman"/>
        </w:rPr>
        <w:t xml:space="preserve"> SMEs that did not own IP rights reported lack of knowledge about IP as the main reason for not seeking registratio</w:t>
      </w:r>
      <w:r>
        <w:rPr>
          <w:rFonts w:ascii="Times New Roman" w:hAnsi="Times New Roman" w:cs="Times New Roman"/>
        </w:rPr>
        <w:t xml:space="preserve">n (38% of respondents). </w:t>
      </w:r>
      <w:hyperlink r:id="rId11" w:history="1">
        <w:r>
          <w:rPr>
            <w:rStyle w:val="Hyperlink"/>
            <w:rFonts w:ascii="Times New Roman" w:hAnsi="Times New Roman" w:cs="Times New Roman"/>
          </w:rPr>
          <w:t>Intellectual property SME scoreboard, EUIPO 2019</w:t>
        </w:r>
      </w:hyperlink>
      <w:r>
        <w:rPr>
          <w:rFonts w:ascii="Times New Roman" w:hAnsi="Times New Roman" w:cs="Times New Roman"/>
        </w:rPr>
        <w:t>.</w:t>
      </w:r>
    </w:p>
  </w:footnote>
  <w:footnote w:id="16">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Its aim is often to sell or license it, thus monetizing the intangibles.</w:t>
      </w:r>
    </w:p>
  </w:footnote>
  <w:footnote w:id="17">
    <w:p w:rsidR="009C2369" w:rsidRDefault="00FC21F0">
      <w:pPr>
        <w:pStyle w:val="FootnoteText"/>
        <w:tabs>
          <w:tab w:val="left" w:pos="142"/>
          <w:tab w:val="left" w:pos="284"/>
        </w:tabs>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Report Science, Research and Innovation Performance of the EU 2020</w:t>
        </w:r>
      </w:hyperlink>
      <w:r>
        <w:rPr>
          <w:rFonts w:ascii="Times New Roman" w:hAnsi="Times New Roman" w:cs="Times New Roman"/>
        </w:rPr>
        <w:t xml:space="preserve">. </w:t>
      </w:r>
      <w:hyperlink w:history="1"/>
      <w:r>
        <w:rPr>
          <w:rFonts w:ascii="Times New Roman" w:hAnsi="Times New Roman" w:cs="Times New Roman"/>
        </w:rPr>
        <w:t xml:space="preserve"> </w:t>
      </w:r>
    </w:p>
  </w:footnote>
  <w:footnote w:id="18">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Fact finding study on patents declared to the 5G standard</w:t>
        </w:r>
      </w:hyperlink>
      <w:r>
        <w:rPr>
          <w:rFonts w:ascii="Times New Roman" w:hAnsi="Times New Roman" w:cs="Times New Roman"/>
        </w:rPr>
        <w:t>, IPlytics, 2020.</w:t>
      </w:r>
    </w:p>
  </w:footnote>
  <w:footnote w:id="19">
    <w:p w:rsidR="009C2369" w:rsidRDefault="00FC21F0">
      <w:pPr>
        <w:pStyle w:val="FootnoteText"/>
        <w:tabs>
          <w:tab w:val="left" w:pos="142"/>
          <w:tab w:val="left" w:pos="284"/>
        </w:tabs>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Trends in Trade in Counterfeit and Pirated Goods</w:t>
        </w:r>
      </w:hyperlink>
      <w:r>
        <w:rPr>
          <w:rFonts w:ascii="Times New Roman" w:hAnsi="Times New Roman" w:cs="Times New Roman"/>
        </w:rPr>
        <w:t>, OECD and EUIPO, 2019.</w:t>
      </w:r>
    </w:p>
  </w:footnote>
  <w:footnote w:id="20">
    <w:p w:rsidR="009C2369" w:rsidRDefault="00FC21F0">
      <w:pPr>
        <w:pStyle w:val="FootnoteText"/>
        <w:tabs>
          <w:tab w:val="left" w:pos="142"/>
          <w:tab w:val="left" w:pos="284"/>
        </w:tabs>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anchor="Status_Report_2020" w:history="1">
        <w:r>
          <w:rPr>
            <w:rStyle w:val="Hyperlink"/>
            <w:rFonts w:ascii="Times New Roman" w:hAnsi="Times New Roman" w:cs="Times New Roman"/>
          </w:rPr>
          <w:t xml:space="preserve">Status Report on IPR </w:t>
        </w:r>
        <w:r>
          <w:rPr>
            <w:rStyle w:val="Hyperlink"/>
            <w:rFonts w:ascii="Times New Roman" w:hAnsi="Times New Roman" w:cs="Times New Roman"/>
          </w:rPr>
          <w:t>infringement</w:t>
        </w:r>
      </w:hyperlink>
      <w:r>
        <w:rPr>
          <w:rFonts w:ascii="Times New Roman" w:hAnsi="Times New Roman" w:cs="Times New Roman"/>
        </w:rPr>
        <w:t>, EUIPO, 2020</w:t>
      </w:r>
      <w:r>
        <w:rPr>
          <w:rStyle w:val="Hyperlink"/>
          <w:rFonts w:ascii="Times New Roman" w:hAnsi="Times New Roman" w:cs="Times New Roman"/>
          <w:color w:val="auto"/>
          <w:u w:val="none"/>
        </w:rPr>
        <w:t xml:space="preserve">: </w:t>
      </w:r>
      <w:r>
        <w:rPr>
          <w:rFonts w:ascii="Times New Roman" w:eastAsia="Times New Roman" w:hAnsi="Times New Roman" w:cs="Times New Roman"/>
          <w:color w:val="000000" w:themeColor="text1"/>
        </w:rPr>
        <w:t>average annual figures, 2013-2017</w:t>
      </w:r>
      <w:r>
        <w:rPr>
          <w:rStyle w:val="Hyperlink"/>
          <w:rFonts w:ascii="Times New Roman" w:hAnsi="Times New Roman" w:cs="Times New Roman"/>
          <w:color w:val="auto"/>
          <w:u w:val="none"/>
        </w:rPr>
        <w:t>.</w:t>
      </w:r>
    </w:p>
  </w:footnote>
  <w:footnote w:id="21">
    <w:p w:rsidR="009C2369" w:rsidRDefault="00FC21F0">
      <w:pPr>
        <w:pStyle w:val="FootnoteText"/>
        <w:tabs>
          <w:tab w:val="left" w:pos="142"/>
          <w:tab w:val="left" w:pos="284"/>
        </w:tabs>
        <w:spacing w:after="0"/>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hyperlink r:id="rId16" w:history="1">
        <w:r>
          <w:rPr>
            <w:rStyle w:val="Hyperlink"/>
            <w:rFonts w:ascii="Times New Roman" w:hAnsi="Times New Roman" w:cs="Times New Roman"/>
          </w:rPr>
          <w:t>The scale and impact of industrial espionage and theft of trade secrets through cyber</w:t>
        </w:r>
      </w:hyperlink>
      <w:r>
        <w:rPr>
          <w:rFonts w:ascii="Times New Roman" w:hAnsi="Times New Roman" w:cs="Times New Roman"/>
        </w:rPr>
        <w:t>, 2018.</w:t>
      </w:r>
    </w:p>
  </w:footnote>
  <w:footnote w:id="22">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action plan builds on feedback</w:t>
      </w:r>
      <w:r>
        <w:rPr>
          <w:rFonts w:ascii="Times New Roman" w:hAnsi="Times New Roman" w:cs="Times New Roman"/>
        </w:rPr>
        <w:t xml:space="preserve"> received on its </w:t>
      </w:r>
      <w:hyperlink r:id="rId17" w:history="1">
        <w:r>
          <w:rPr>
            <w:rStyle w:val="Hyperlink"/>
            <w:rFonts w:ascii="Times New Roman" w:hAnsi="Times New Roman" w:cs="Times New Roman"/>
          </w:rPr>
          <w:t>roadmap</w:t>
        </w:r>
      </w:hyperlink>
      <w:r>
        <w:rPr>
          <w:rFonts w:ascii="Times New Roman" w:hAnsi="Times New Roman" w:cs="Times New Roman"/>
        </w:rPr>
        <w:t xml:space="preserve"> and input provided by Member States and stakeholders, both in writing and through discussions held du</w:t>
      </w:r>
      <w:r>
        <w:rPr>
          <w:rFonts w:ascii="Times New Roman" w:hAnsi="Times New Roman" w:cs="Times New Roman"/>
        </w:rPr>
        <w:t>ring conferences on future IP policy, as well as targeted discussions within the Parliament and Council.</w:t>
      </w:r>
    </w:p>
  </w:footnote>
  <w:footnote w:id="23">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unitary patent system is implemented through enhanced cooperation of 25 participating Member States (all EU Member States except for Spain and Cr</w:t>
      </w:r>
      <w:r>
        <w:rPr>
          <w:rFonts w:ascii="Times New Roman" w:hAnsi="Times New Roman" w:cs="Times New Roman"/>
        </w:rPr>
        <w:t>oatia).</w:t>
      </w:r>
    </w:p>
  </w:footnote>
  <w:footnote w:id="24">
    <w:p w:rsidR="009C2369" w:rsidRDefault="00FC21F0">
      <w:pPr>
        <w:pStyle w:val="FootnoteText"/>
        <w:spacing w:after="0"/>
      </w:pPr>
      <w:r>
        <w:rPr>
          <w:rStyle w:val="FootnoteReference"/>
          <w:rFonts w:ascii="Times New Roman" w:hAnsi="Times New Roman"/>
        </w:rPr>
        <w:footnoteRef/>
      </w:r>
      <w:r>
        <w:rPr>
          <w:rFonts w:ascii="Times New Roman" w:hAnsi="Times New Roman"/>
        </w:rPr>
        <w:t xml:space="preserve"> </w:t>
      </w:r>
      <w:hyperlink r:id="rId18" w:history="1">
        <w:r>
          <w:rPr>
            <w:rStyle w:val="Hyperlink"/>
            <w:rFonts w:ascii="Times New Roman" w:hAnsi="Times New Roman"/>
          </w:rPr>
          <w:t>Order of 13 February 2020</w:t>
        </w:r>
      </w:hyperlink>
      <w:r>
        <w:rPr>
          <w:rFonts w:ascii="Times New Roman" w:hAnsi="Times New Roman"/>
        </w:rPr>
        <w:t>, 2 BvR 739/17, published on 20 March 2020.</w:t>
      </w:r>
    </w:p>
  </w:footnote>
  <w:footnote w:id="25">
    <w:p w:rsidR="009C2369" w:rsidRDefault="00FC21F0">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Beyond Germany's ratification of the Agreement on the Unified Patent Court, Member States’</w:t>
      </w:r>
      <w:r>
        <w:rPr>
          <w:rFonts w:ascii="Times New Roman" w:hAnsi="Times New Roman" w:cs="Times New Roman"/>
        </w:rPr>
        <w:t xml:space="preserve"> agreement to launch the 'period of provisional application' will also be required. This will make it possible to finalise the institutional and practical set-up of the Court, ahead of the full launch of the unitary patent system. In accordance with </w:t>
      </w:r>
      <w:hyperlink r:id="rId19" w:history="1">
        <w:r>
          <w:rPr>
            <w:rStyle w:val="Hyperlink"/>
            <w:rFonts w:ascii="Times New Roman" w:hAnsi="Times New Roman" w:cs="Times New Roman"/>
          </w:rPr>
          <w:t>Regulation (EU) N° 1257/2012</w:t>
        </w:r>
      </w:hyperlink>
      <w:r>
        <w:rPr>
          <w:rFonts w:ascii="Times New Roman" w:hAnsi="Times New Roman" w:cs="Times New Roman"/>
        </w:rPr>
        <w:t xml:space="preserve"> implementing enhanced cooperation in the area of the creation of unitary patent protection, the Commission and the EPO will also</w:t>
      </w:r>
      <w:r>
        <w:rPr>
          <w:rFonts w:ascii="Times New Roman" w:hAnsi="Times New Roman" w:cs="Times New Roman"/>
        </w:rPr>
        <w:t xml:space="preserve"> need to conclude a working agreement providing for close cooperation on the operation of unitary patent system.</w:t>
      </w:r>
      <w:r>
        <w:t xml:space="preserve"> </w:t>
      </w:r>
      <w:r>
        <w:rPr>
          <w:rFonts w:ascii="Times New Roman" w:hAnsi="Times New Roman" w:cs="Times New Roman"/>
        </w:rPr>
        <w:t>The UK's withdrawal from the EU is not expected to hamper the launch of the unitary patent system.</w:t>
      </w:r>
    </w:p>
  </w:footnote>
  <w:footnote w:id="2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0" w:history="1">
        <w:r>
          <w:rPr>
            <w:rStyle w:val="Hyperlink"/>
            <w:rFonts w:ascii="Times New Roman" w:hAnsi="Times New Roman" w:cs="Times New Roman"/>
          </w:rPr>
          <w:t>Regulation (EU) N° 2019/933</w:t>
        </w:r>
      </w:hyperlink>
      <w:r>
        <w:rPr>
          <w:rFonts w:ascii="Times New Roman" w:hAnsi="Times New Roman" w:cs="Times New Roman"/>
        </w:rPr>
        <w:t xml:space="preserve"> amending Regulation (EC) N° 469/2009 concerning the supplementary protection certificate for medicinal products.</w:t>
      </w:r>
    </w:p>
  </w:footnote>
  <w:footnote w:id="27">
    <w:p w:rsidR="009C2369" w:rsidRDefault="00FC21F0">
      <w:pPr>
        <w:pStyle w:val="FootnoteText"/>
        <w:spacing w:after="0"/>
        <w:jc w:val="both"/>
        <w:rPr>
          <w:rFonts w:ascii="Times New Roman" w:hAnsi="Times New Roman"/>
        </w:rPr>
      </w:pPr>
      <w:r>
        <w:rPr>
          <w:rStyle w:val="FootnoteReference"/>
          <w:rFonts w:ascii="Times New Roman" w:hAnsi="Times New Roman" w:cs="Times New Roman"/>
        </w:rPr>
        <w:footnoteRef/>
      </w:r>
      <w:r>
        <w:rPr>
          <w:rFonts w:ascii="Times New Roman" w:hAnsi="Times New Roman" w:cs="Times New Roman"/>
          <w:i/>
          <w:iCs/>
        </w:rPr>
        <w:t xml:space="preserve"> </w:t>
      </w:r>
      <w:r>
        <w:rPr>
          <w:rFonts w:ascii="Times New Roman" w:hAnsi="Times New Roman" w:cs="Times New Roman"/>
        </w:rPr>
        <w:t xml:space="preserve">Evaluation of the EU Supplementary Protection </w:t>
      </w:r>
      <w:r>
        <w:rPr>
          <w:rFonts w:ascii="Times New Roman" w:hAnsi="Times New Roman" w:cs="Times New Roman"/>
        </w:rPr>
        <w:t>Certificate system – SWD/2020/8508</w:t>
      </w:r>
    </w:p>
  </w:footnote>
  <w:footnote w:id="2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1" w:history="1">
        <w:r>
          <w:rPr>
            <w:rStyle w:val="Hyperlink"/>
            <w:rFonts w:ascii="Times New Roman" w:hAnsi="Times New Roman" w:cs="Times New Roman"/>
          </w:rPr>
          <w:t>A New Industrial Strategy for Europe</w:t>
        </w:r>
      </w:hyperlink>
      <w:r>
        <w:rPr>
          <w:rFonts w:ascii="Times New Roman" w:hAnsi="Times New Roman" w:cs="Times New Roman"/>
        </w:rPr>
        <w:t>, COM/2020/102 final</w:t>
      </w:r>
      <w:r>
        <w:rPr>
          <w:rStyle w:val="Hyperlink"/>
          <w:rFonts w:ascii="Times New Roman" w:hAnsi="Times New Roman" w:cs="Times New Roman"/>
          <w:color w:val="auto"/>
          <w:u w:val="none"/>
        </w:rPr>
        <w:t>, p.14; “</w:t>
      </w:r>
      <w:hyperlink r:id="rId22" w:history="1">
        <w:r>
          <w:rPr>
            <w:rStyle w:val="Hyperlink"/>
            <w:rFonts w:ascii="Times New Roman" w:hAnsi="Times New Roman" w:cs="Times New Roman"/>
          </w:rPr>
          <w:t>Roadmap Pharmaceuticals – safe and affordable medicines (new EU strategy)</w:t>
        </w:r>
      </w:hyperlink>
      <w:r>
        <w:rPr>
          <w:rStyle w:val="Hyperlink"/>
          <w:rFonts w:ascii="Times New Roman" w:hAnsi="Times New Roman" w:cs="Times New Roman"/>
          <w:color w:val="auto"/>
          <w:u w:val="none"/>
        </w:rPr>
        <w:t>”.</w:t>
      </w:r>
    </w:p>
  </w:footnote>
  <w:footnote w:id="2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Bolar exemption is a defence for patent infringement espec</w:t>
      </w:r>
      <w:r>
        <w:rPr>
          <w:rFonts w:ascii="Times New Roman" w:hAnsi="Times New Roman" w:cs="Times New Roman"/>
        </w:rPr>
        <w:t>ially relevant to drugs wherein a patented invention can be exploited - for a limited time before the end of the patent term - by a third party solely for research and testing purposes and to obtain the required regulatory approvals.</w:t>
      </w:r>
    </w:p>
  </w:footnote>
  <w:footnote w:id="30">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Parliam</w:t>
      </w:r>
      <w:r>
        <w:rPr>
          <w:rFonts w:ascii="Times New Roman" w:hAnsi="Times New Roman" w:cs="Times New Roman"/>
        </w:rPr>
        <w:t xml:space="preserve">ent approved the trade mark reform package on 15 December 2015: </w:t>
      </w:r>
      <w:hyperlink r:id="rId23" w:history="1">
        <w:r>
          <w:rPr>
            <w:rStyle w:val="Hyperlink"/>
            <w:rFonts w:ascii="Times New Roman" w:hAnsi="Times New Roman" w:cs="Times New Roman"/>
          </w:rPr>
          <w:t>https://ec.europa.eu/growth/industry/policy/intellectual-property/trade-mark-protecti</w:t>
        </w:r>
        <w:r>
          <w:rPr>
            <w:rStyle w:val="Hyperlink"/>
            <w:rFonts w:ascii="Times New Roman" w:hAnsi="Times New Roman" w:cs="Times New Roman"/>
          </w:rPr>
          <w:t>on_en</w:t>
        </w:r>
      </w:hyperlink>
      <w:r>
        <w:rPr>
          <w:rFonts w:ascii="Times New Roman" w:hAnsi="Times New Roman" w:cs="Times New Roman"/>
        </w:rPr>
        <w:t>.</w:t>
      </w:r>
    </w:p>
  </w:footnote>
  <w:footnote w:id="31">
    <w:p w:rsidR="009C2369" w:rsidRDefault="00FC21F0">
      <w:pPr>
        <w:pStyle w:val="FootnoteText"/>
        <w:spacing w:after="0"/>
        <w:rPr>
          <w:rFonts w:ascii="Times New Roman" w:hAnsi="Times New Roman" w:cs="Times New Roman"/>
          <w:color w:val="FF0000"/>
        </w:rPr>
      </w:pPr>
      <w:r>
        <w:rPr>
          <w:rStyle w:val="FootnoteReference"/>
          <w:rFonts w:ascii="Times New Roman" w:hAnsi="Times New Roman"/>
        </w:rPr>
        <w:footnoteRef/>
      </w:r>
      <w:r>
        <w:rPr>
          <w:rFonts w:ascii="Times New Roman" w:hAnsi="Times New Roman"/>
        </w:rPr>
        <w:t xml:space="preserve"> </w:t>
      </w:r>
      <w:hyperlink r:id="rId24" w:history="1">
        <w:r>
          <w:rPr>
            <w:rStyle w:val="Hyperlink"/>
            <w:rFonts w:ascii="Times New Roman" w:hAnsi="Times New Roman" w:cs="Times New Roman"/>
          </w:rPr>
          <w:t>Report on the evaluation of EU legislation on design protection</w:t>
        </w:r>
      </w:hyperlink>
      <w:r>
        <w:rPr>
          <w:rFonts w:ascii="Times New Roman" w:hAnsi="Times New Roman" w:cs="Times New Roman"/>
        </w:rPr>
        <w:t>.</w:t>
      </w:r>
    </w:p>
  </w:footnote>
  <w:footnote w:id="32">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5" w:history="1">
        <w:r>
          <w:rPr>
            <w:rStyle w:val="Hyperlink"/>
            <w:rFonts w:ascii="Times New Roman" w:hAnsi="Times New Roman" w:cs="Times New Roman"/>
          </w:rPr>
          <w:t>Directive 98/71/EC</w:t>
        </w:r>
      </w:hyperlink>
      <w:r>
        <w:rPr>
          <w:rFonts w:ascii="Times New Roman" w:hAnsi="Times New Roman" w:cs="Times New Roman"/>
        </w:rPr>
        <w:t xml:space="preserve"> on the legal protection of designs and </w:t>
      </w:r>
      <w:hyperlink r:id="rId26" w:history="1">
        <w:r>
          <w:rPr>
            <w:rStyle w:val="Hyperlink"/>
            <w:rFonts w:ascii="Times New Roman" w:hAnsi="Times New Roman" w:cs="Times New Roman"/>
          </w:rPr>
          <w:t>Council Regulation (EC) N° 6/2002</w:t>
        </w:r>
      </w:hyperlink>
      <w:r>
        <w:rPr>
          <w:rFonts w:ascii="Times New Roman" w:hAnsi="Times New Roman" w:cs="Times New Roman"/>
        </w:rPr>
        <w:t xml:space="preserve"> on Community Designs</w:t>
      </w:r>
      <w:r>
        <w:rPr>
          <w:rFonts w:ascii="Times New Roman" w:hAnsi="Times New Roman" w:cs="Times New Roman"/>
        </w:rPr>
        <w:t xml:space="preserve">. </w:t>
      </w:r>
    </w:p>
  </w:footnote>
  <w:footnote w:id="33">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t>
      </w:r>
      <w:hyperlink r:id="rId27" w:history="1">
        <w:r>
          <w:rPr>
            <w:rStyle w:val="Hyperlink"/>
            <w:rFonts w:ascii="Times New Roman" w:hAnsi="Times New Roman" w:cs="Times New Roman"/>
          </w:rPr>
          <w:t>‘Farm to Fork’ strategy</w:t>
        </w:r>
      </w:hyperlink>
      <w:r>
        <w:rPr>
          <w:rFonts w:ascii="Times New Roman" w:hAnsi="Times New Roman" w:cs="Times New Roman"/>
        </w:rPr>
        <w:t xml:space="preserve"> announced by the Commission to reinforce the sustainability of criteria for GI indications.</w:t>
      </w:r>
    </w:p>
  </w:footnote>
  <w:footnote w:id="3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8" w:history="1">
        <w:r>
          <w:rPr>
            <w:rStyle w:val="Hyperlink"/>
            <w:rFonts w:ascii="Times New Roman" w:hAnsi="Times New Roman" w:cs="Times New Roman"/>
            <w:lang w:val="en-IE" w:eastAsia="fr-BE"/>
          </w:rPr>
          <w:t>Evaluation of (a</w:t>
        </w:r>
        <w:r>
          <w:rPr>
            <w:rStyle w:val="Hyperlink"/>
            <w:rFonts w:ascii="Times New Roman" w:hAnsi="Times New Roman" w:cs="Times New Roman"/>
            <w:lang w:val="en-IE" w:eastAsia="fr-BE"/>
          </w:rPr>
          <w:t>gricultural) GI and Traditional Specialities Guaranteed protected in the EU</w:t>
        </w:r>
      </w:hyperlink>
      <w:r>
        <w:rPr>
          <w:rFonts w:ascii="Times New Roman" w:hAnsi="Times New Roman" w:cs="Times New Roman"/>
          <w:lang w:val="en-IE" w:eastAsia="fr-BE"/>
        </w:rPr>
        <w:t>, 2019.</w:t>
      </w:r>
    </w:p>
  </w:footnote>
  <w:footnote w:id="35">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9" w:history="1">
        <w:r>
          <w:rPr>
            <w:rStyle w:val="Hyperlink"/>
            <w:rFonts w:ascii="Times New Roman" w:hAnsi="Times New Roman" w:cs="Times New Roman"/>
          </w:rPr>
          <w:t>Evaluation of (agricultural) GIs and Traditional Specialities Guaranteed protected in the EU</w:t>
        </w:r>
      </w:hyperlink>
      <w:r>
        <w:rPr>
          <w:rStyle w:val="Hyperlink"/>
          <w:rFonts w:ascii="Times New Roman" w:hAnsi="Times New Roman" w:cs="Times New Roman"/>
          <w:color w:val="auto"/>
          <w:u w:val="none"/>
        </w:rPr>
        <w:t>, 2019</w:t>
      </w:r>
      <w:r>
        <w:rPr>
          <w:rFonts w:ascii="Times New Roman" w:hAnsi="Times New Roman" w:cs="Times New Roman"/>
        </w:rPr>
        <w:t xml:space="preserve">. </w:t>
      </w:r>
    </w:p>
  </w:footnote>
  <w:footnote w:id="3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Revision of the EU geographical indications (GI) system in agricultural products and foodstuff, wines and spirit drinks (</w:t>
      </w:r>
      <w:hyperlink r:id="rId30" w:history="1">
        <w:r>
          <w:rPr>
            <w:rStyle w:val="Hyperlink"/>
            <w:rFonts w:ascii="Times New Roman" w:hAnsi="Times New Roman" w:cs="Times New Roman"/>
          </w:rPr>
          <w:t>IIA consultation</w:t>
        </w:r>
      </w:hyperlink>
      <w:r>
        <w:rPr>
          <w:rFonts w:ascii="Times New Roman" w:hAnsi="Times New Roman" w:cs="Times New Roman"/>
        </w:rPr>
        <w:t>).</w:t>
      </w:r>
    </w:p>
  </w:footnote>
  <w:footnote w:id="3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1" w:history="1">
        <w:r>
          <w:rPr>
            <w:rStyle w:val="Hyperlink"/>
            <w:rFonts w:ascii="Times New Roman" w:hAnsi="Times New Roman" w:cs="Times New Roman"/>
          </w:rPr>
          <w:t>Economic aspects of geographical indication protection at the EU level for non-agricultural products</w:t>
        </w:r>
      </w:hyperlink>
      <w:r>
        <w:rPr>
          <w:rFonts w:ascii="Times New Roman" w:hAnsi="Times New Roman" w:cs="Times New Roman"/>
        </w:rPr>
        <w:t>, 2020.</w:t>
      </w:r>
    </w:p>
  </w:footnote>
  <w:footnote w:id="38">
    <w:p w:rsidR="009C2369" w:rsidRDefault="00FC21F0">
      <w:pPr>
        <w:pStyle w:val="FootnoteText"/>
        <w:spacing w:after="0"/>
        <w:jc w:val="both"/>
        <w:rPr>
          <w:rFonts w:ascii="Times New Roman" w:hAnsi="Times New Roman" w:cs="Times New Roman"/>
          <w:szCs w:val="22"/>
        </w:rPr>
      </w:pPr>
      <w:r>
        <w:rPr>
          <w:rStyle w:val="FootnoteReference"/>
          <w:rFonts w:ascii="Times New Roman" w:hAnsi="Times New Roman" w:cs="Times New Roman"/>
        </w:rPr>
        <w:footnoteRef/>
      </w:r>
      <w:r>
        <w:rPr>
          <w:rFonts w:ascii="Times New Roman" w:hAnsi="Times New Roman" w:cs="Times New Roman"/>
        </w:rPr>
        <w:t xml:space="preserve"> More precisely, introduci</w:t>
      </w:r>
      <w:r>
        <w:rPr>
          <w:rFonts w:ascii="Times New Roman" w:hAnsi="Times New Roman" w:cs="Times New Roman"/>
        </w:rPr>
        <w:t>ng EU-wide GI protection for non-agricultural products could in the longer term yield an overall expected increase in intra-EU trade of about 4.9-6.6 % of current intra-EU exports (EUR 37.6-</w:t>
      </w:r>
      <w:r>
        <w:rPr>
          <w:rFonts w:ascii="Times New Roman" w:hAnsi="Times New Roman" w:cs="Times New Roman"/>
          <w:szCs w:val="22"/>
        </w:rPr>
        <w:t>50 billion). Predictions show that, with a uniform system, regiona</w:t>
      </w:r>
      <w:r>
        <w:rPr>
          <w:rFonts w:ascii="Times New Roman" w:hAnsi="Times New Roman" w:cs="Times New Roman"/>
          <w:szCs w:val="22"/>
        </w:rPr>
        <w:t xml:space="preserve">l employment could rise by 0.12-0.14% and that 284 000-338 000 new jobs could be created in the EU as a whole. See </w:t>
      </w:r>
      <w:hyperlink r:id="rId32" w:history="1">
        <w:r>
          <w:rPr>
            <w:rStyle w:val="Hyperlink"/>
            <w:rFonts w:ascii="Times New Roman" w:hAnsi="Times New Roman" w:cs="Times New Roman"/>
            <w:szCs w:val="22"/>
          </w:rPr>
          <w:t>Geographical indications for non-a</w:t>
        </w:r>
        <w:r>
          <w:rPr>
            <w:rStyle w:val="Hyperlink"/>
            <w:rFonts w:ascii="Times New Roman" w:hAnsi="Times New Roman" w:cs="Times New Roman"/>
            <w:szCs w:val="22"/>
          </w:rPr>
          <w:t>gricultural products. Cost of non-Europe report</w:t>
        </w:r>
      </w:hyperlink>
      <w:r>
        <w:rPr>
          <w:rFonts w:ascii="Times New Roman" w:hAnsi="Times New Roman" w:cs="Times New Roman"/>
          <w:szCs w:val="22"/>
        </w:rPr>
        <w:t>, 2019.</w:t>
      </w:r>
    </w:p>
  </w:footnote>
  <w:footnote w:id="3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Based on the </w:t>
      </w:r>
      <w:hyperlink r:id="rId33" w:history="1">
        <w:r>
          <w:rPr>
            <w:rStyle w:val="Hyperlink"/>
            <w:rFonts w:ascii="Times New Roman" w:hAnsi="Times New Roman" w:cs="Times New Roman"/>
          </w:rPr>
          <w:t>Lisbon system for the international registration of appellations of origin and geographical indications</w:t>
        </w:r>
      </w:hyperlink>
      <w:r>
        <w:rPr>
          <w:rFonts w:ascii="Times New Roman" w:hAnsi="Times New Roman" w:cs="Times New Roman"/>
        </w:rPr>
        <w:t xml:space="preserve"> managed by World Intellectual Prop</w:t>
      </w:r>
      <w:r>
        <w:rPr>
          <w:rFonts w:ascii="Times New Roman" w:hAnsi="Times New Roman" w:cs="Times New Roman"/>
        </w:rPr>
        <w:t>erty Organisation.</w:t>
      </w:r>
    </w:p>
  </w:footnote>
  <w:footnote w:id="4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4" w:anchor="tab3" w:history="1">
        <w:r>
          <w:rPr>
            <w:rStyle w:val="Hyperlink"/>
            <w:rFonts w:ascii="Times New Roman" w:hAnsi="Times New Roman" w:cs="Times New Roman"/>
          </w:rPr>
          <w:t>Intellectual property rights intensive industries and economic performance in the EU</w:t>
        </w:r>
      </w:hyperlink>
      <w:r>
        <w:rPr>
          <w:rFonts w:ascii="Times New Roman" w:hAnsi="Times New Roman" w:cs="Times New Roman"/>
          <w:color w:val="000000" w:themeColor="text1"/>
        </w:rPr>
        <w:t xml:space="preserve">, </w:t>
      </w:r>
      <w:r>
        <w:rPr>
          <w:rFonts w:ascii="Times New Roman" w:hAnsi="Times New Roman" w:cs="Times New Roman"/>
        </w:rPr>
        <w:t>EUIPO-EPO, 2019.</w:t>
      </w:r>
    </w:p>
  </w:footnote>
  <w:footnote w:id="41">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Identified notably from stakeholder inputs, analysis of EUCJ decisions, interinstitutional working group recommendations.</w:t>
      </w:r>
    </w:p>
  </w:footnote>
  <w:footnote w:id="42">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by speeding up novelty searches and registration procedures.</w:t>
      </w:r>
    </w:p>
  </w:footnote>
  <w:footnote w:id="43">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Copyright metadata, as regards both IP ownership and li</w:t>
      </w:r>
      <w:r>
        <w:rPr>
          <w:rFonts w:ascii="Times New Roman" w:hAnsi="Times New Roman" w:cs="Times New Roman"/>
        </w:rPr>
        <w:t>censing.</w:t>
      </w:r>
    </w:p>
  </w:footnote>
  <w:footnote w:id="44">
    <w:p w:rsidR="009C2369" w:rsidRDefault="00FC21F0">
      <w:pPr>
        <w:spacing w:after="0" w:line="240" w:lineRule="auto"/>
        <w:jc w:val="both"/>
        <w:rPr>
          <w:color w:val="000000" w:themeColor="text1"/>
        </w:rPr>
      </w:pPr>
      <w:r>
        <w:rPr>
          <w:rStyle w:val="FootnoteReference"/>
        </w:rPr>
        <w:footnoteRef/>
      </w:r>
      <w:r>
        <w:rPr>
          <w:rFonts w:ascii="Times New Roman" w:hAnsi="Times New Roman" w:cs="Times New Roman"/>
          <w:color w:val="FF0000"/>
          <w:sz w:val="20"/>
          <w:szCs w:val="20"/>
          <w:lang w:val="en-IE"/>
        </w:rPr>
        <w:t xml:space="preserve"> </w:t>
      </w:r>
      <w:r>
        <w:rPr>
          <w:rFonts w:ascii="Times New Roman" w:hAnsi="Times New Roman" w:cs="Times New Roman"/>
          <w:color w:val="000000" w:themeColor="text1"/>
          <w:sz w:val="20"/>
          <w:szCs w:val="20"/>
          <w:lang w:val="en-IE"/>
        </w:rPr>
        <w:t xml:space="preserve">Study on trends and developments in </w:t>
      </w:r>
      <w:hyperlink r:id="rId35" w:history="1">
        <w:r>
          <w:rPr>
            <w:rStyle w:val="Hyperlink"/>
            <w:rFonts w:ascii="Times New Roman" w:hAnsi="Times New Roman" w:cs="Times New Roman"/>
            <w:sz w:val="20"/>
            <w:szCs w:val="20"/>
            <w:lang w:val="en-IE"/>
          </w:rPr>
          <w:t>Artificial Intelligence – Challenges to the IPR framework</w:t>
        </w:r>
      </w:hyperlink>
      <w:r>
        <w:rPr>
          <w:rFonts w:ascii="Times New Roman" w:hAnsi="Times New Roman" w:cs="Times New Roman"/>
          <w:color w:val="FF0000"/>
          <w:sz w:val="20"/>
          <w:szCs w:val="20"/>
          <w:lang w:val="en-IE"/>
        </w:rPr>
        <w:t xml:space="preserve"> </w:t>
      </w:r>
      <w:r>
        <w:rPr>
          <w:rFonts w:ascii="Times New Roman" w:hAnsi="Times New Roman" w:cs="Times New Roman"/>
          <w:color w:val="000000" w:themeColor="text1"/>
          <w:sz w:val="20"/>
          <w:szCs w:val="20"/>
          <w:lang w:val="en-IE"/>
        </w:rPr>
        <w:t xml:space="preserve">– Study conducted by IVIR and JIPP, November 2020. </w:t>
      </w:r>
    </w:p>
  </w:footnote>
  <w:footnote w:id="45">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I</w:t>
      </w:r>
      <w:r>
        <w:rPr>
          <w:rFonts w:ascii="Times New Roman" w:hAnsi="Times New Roman" w:cs="Times New Roman"/>
          <w:color w:val="000000" w:themeColor="text1"/>
          <w:lang w:val="en-US"/>
        </w:rPr>
        <w:t>n 2018 two European patent applications</w:t>
      </w:r>
      <w:r>
        <w:rPr>
          <w:rFonts w:ascii="Times New Roman" w:hAnsi="Times New Roman" w:cs="Times New Roman"/>
          <w:color w:val="000000" w:themeColor="text1"/>
          <w:lang w:val="en-US"/>
        </w:rPr>
        <w:t xml:space="preserve"> were </w:t>
      </w:r>
      <w:r>
        <w:rPr>
          <w:rFonts w:ascii="Times New Roman" w:hAnsi="Times New Roman" w:cs="Times New Roman"/>
          <w:lang w:val="en-US"/>
        </w:rPr>
        <w:t>filed at the EPO.</w:t>
      </w:r>
      <w:r>
        <w:rPr>
          <w:rFonts w:ascii="Times New Roman" w:hAnsi="Times New Roman" w:cs="Times New Roman"/>
          <w:lang w:val="en-IE"/>
        </w:rPr>
        <w:t xml:space="preserve"> Both of them designated the “DABUS” machine as inventor. </w:t>
      </w:r>
      <w:r>
        <w:rPr>
          <w:rFonts w:ascii="Times New Roman" w:hAnsi="Times New Roman" w:cs="Times New Roman"/>
          <w:lang w:val="en-US"/>
        </w:rPr>
        <w:t xml:space="preserve">The two patent applications were refused by the EPO. The EPO considered that the inventor  </w:t>
      </w:r>
      <w:r>
        <w:rPr>
          <w:rFonts w:ascii="Times New Roman" w:hAnsi="Times New Roman" w:cs="Times New Roman"/>
          <w:lang w:val="en-IE"/>
        </w:rPr>
        <w:t>designated in a European patent must be a natural person. The EPO further understood</w:t>
      </w:r>
      <w:r>
        <w:rPr>
          <w:rFonts w:ascii="Times New Roman" w:hAnsi="Times New Roman" w:cs="Times New Roman"/>
          <w:lang w:val="en-IE"/>
        </w:rPr>
        <w:t xml:space="preserve"> the term inventor as referring to a natural according to an internationally applicable standard.</w:t>
      </w:r>
      <w:r>
        <w:rPr>
          <w:rFonts w:ascii="Times New Roman" w:hAnsi="Times New Roman" w:cs="Times New Roman"/>
          <w:lang w:val="en-US"/>
        </w:rPr>
        <w:t xml:space="preserve"> These decisions have been appealed.</w:t>
      </w:r>
    </w:p>
  </w:footnote>
  <w:footnote w:id="4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the study underlines the lack of harmonisation of rules on authorship and copyright ownership which can lead to divergent national solutions as regards AI-assisted works.</w:t>
      </w:r>
    </w:p>
  </w:footnote>
  <w:footnote w:id="4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instance, the study provides recommendations to adjust concepts </w:t>
      </w:r>
      <w:r>
        <w:rPr>
          <w:rFonts w:ascii="Times New Roman" w:hAnsi="Times New Roman" w:cs="Times New Roman"/>
        </w:rPr>
        <w:t xml:space="preserve">of patent law, such as the inventive step and the disclosure obligation, to AI-assisted inventions. </w:t>
      </w:r>
    </w:p>
  </w:footnote>
  <w:footnote w:id="4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6" w:history="1">
        <w:r>
          <w:rPr>
            <w:rStyle w:val="Hyperlink"/>
            <w:rFonts w:ascii="Times New Roman" w:hAnsi="Times New Roman" w:cs="Times New Roman"/>
          </w:rPr>
          <w:t>Directive (EU) 2019/790</w:t>
        </w:r>
      </w:hyperlink>
      <w:r>
        <w:rPr>
          <w:rFonts w:ascii="Times New Roman" w:hAnsi="Times New Roman" w:cs="Times New Roman"/>
        </w:rPr>
        <w:t xml:space="preserve"> on copyright and related r</w:t>
      </w:r>
      <w:r>
        <w:rPr>
          <w:rFonts w:ascii="Times New Roman" w:hAnsi="Times New Roman" w:cs="Times New Roman"/>
        </w:rPr>
        <w:t xml:space="preserve">ights in the digital single market and amending Directives 96/9/EC and 2001/29/EC; </w:t>
      </w:r>
      <w:hyperlink r:id="rId37" w:history="1">
        <w:r>
          <w:rPr>
            <w:rStyle w:val="Hyperlink"/>
            <w:rFonts w:ascii="Times New Roman" w:hAnsi="Times New Roman" w:cs="Times New Roman"/>
          </w:rPr>
          <w:t>Directive (EU) 2019/789</w:t>
        </w:r>
      </w:hyperlink>
      <w:r>
        <w:rPr>
          <w:rFonts w:ascii="Times New Roman" w:hAnsi="Times New Roman" w:cs="Times New Roman"/>
        </w:rPr>
        <w:t xml:space="preserve"> laying down rules on the exercise of copyrig</w:t>
      </w:r>
      <w:r>
        <w:rPr>
          <w:rFonts w:ascii="Times New Roman" w:hAnsi="Times New Roman" w:cs="Times New Roman"/>
        </w:rPr>
        <w:t>ht and related rights applicable to certain online transmissions of broadcasting organisations and retransmissions of television and radio programmes, and amending Council Directive 93/83/EEC. Member States must transpose these Directives by 7 June 2021.</w:t>
      </w:r>
    </w:p>
  </w:footnote>
  <w:footnote w:id="4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38" w:history="1">
        <w:r>
          <w:rPr>
            <w:rStyle w:val="Hyperlink"/>
            <w:rFonts w:ascii="Times New Roman" w:hAnsi="Times New Roman" w:cs="Times New Roman"/>
          </w:rPr>
          <w:t>Directive 2011/77/EU</w:t>
        </w:r>
      </w:hyperlink>
      <w:r>
        <w:rPr>
          <w:rFonts w:ascii="Times New Roman" w:hAnsi="Times New Roman" w:cs="Times New Roman"/>
        </w:rPr>
        <w:t xml:space="preserve"> amending Directive 2006/116/EC on the term of protection of copyright and certain related rights; </w:t>
      </w:r>
      <w:hyperlink r:id="rId39" w:history="1">
        <w:r>
          <w:rPr>
            <w:rStyle w:val="Hyperlink"/>
            <w:rFonts w:ascii="Times New Roman" w:hAnsi="Times New Roman" w:cs="Times New Roman"/>
          </w:rPr>
          <w:t>Directive 2014/26/EU</w:t>
        </w:r>
      </w:hyperlink>
      <w:r>
        <w:rPr>
          <w:rFonts w:ascii="Times New Roman" w:hAnsi="Times New Roman" w:cs="Times New Roman"/>
        </w:rPr>
        <w:t xml:space="preserve"> on collective management of copyright and related rights and multi-territorial licensing of rights in musical works for online use; </w:t>
      </w:r>
      <w:hyperlink r:id="rId40" w:history="1">
        <w:r>
          <w:rPr>
            <w:rStyle w:val="Hyperlink"/>
            <w:rFonts w:ascii="Times New Roman" w:hAnsi="Times New Roman" w:cs="Times New Roman"/>
          </w:rPr>
          <w:t>Directive (EU) 2017/1564</w:t>
        </w:r>
      </w:hyperlink>
      <w:r>
        <w:rPr>
          <w:rFonts w:ascii="Times New Roman" w:hAnsi="Times New Roman" w:cs="Times New Roman"/>
        </w:rPr>
        <w:t xml:space="preserve"> on certain permitted uses of certain works and other subject matter protected by copyright and related rights for the benefit of persons who are blind, vis</w:t>
      </w:r>
      <w:r>
        <w:rPr>
          <w:rFonts w:ascii="Times New Roman" w:hAnsi="Times New Roman" w:cs="Times New Roman"/>
        </w:rPr>
        <w:t xml:space="preserve">ually impaired or otherwise print-disabled; </w:t>
      </w:r>
      <w:hyperlink r:id="rId41" w:history="1">
        <w:r>
          <w:rPr>
            <w:rStyle w:val="Hyperlink"/>
            <w:rFonts w:ascii="Times New Roman" w:hAnsi="Times New Roman" w:cs="Times New Roman"/>
          </w:rPr>
          <w:t>Regulation (EU) 2017/1128</w:t>
        </w:r>
      </w:hyperlink>
      <w:r>
        <w:rPr>
          <w:rFonts w:ascii="Times New Roman" w:hAnsi="Times New Roman" w:cs="Times New Roman"/>
        </w:rPr>
        <w:t xml:space="preserve"> on cross-border portability of online content services.</w:t>
      </w:r>
    </w:p>
  </w:footnote>
  <w:footnote w:id="5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42" w:history="1">
        <w:r>
          <w:rPr>
            <w:rStyle w:val="Hyperlink"/>
            <w:rFonts w:ascii="Times New Roman" w:hAnsi="Times New Roman" w:cs="Times New Roman"/>
          </w:rPr>
          <w:t>Directive 98/44/EC</w:t>
        </w:r>
      </w:hyperlink>
      <w:r>
        <w:rPr>
          <w:rFonts w:ascii="Times New Roman" w:hAnsi="Times New Roman" w:cs="Times New Roman"/>
        </w:rPr>
        <w:t xml:space="preserve"> on the legal protection of biotechnological inventions.</w:t>
      </w:r>
    </w:p>
  </w:footnote>
  <w:footnote w:id="51">
    <w:p w:rsidR="009C2369" w:rsidRDefault="00FC21F0">
      <w:pPr>
        <w:pStyle w:val="FootnoteText"/>
        <w:spacing w:after="0"/>
        <w:jc w:val="both"/>
        <w:rPr>
          <w:lang w:val="en-IE"/>
        </w:rPr>
      </w:pPr>
      <w:r>
        <w:rPr>
          <w:rStyle w:val="FootnoteReference"/>
          <w:rFonts w:ascii="Times New Roman" w:hAnsi="Times New Roman" w:cs="Times New Roman"/>
        </w:rPr>
        <w:footnoteRef/>
      </w:r>
      <w:r>
        <w:rPr>
          <w:rFonts w:ascii="Times New Roman" w:hAnsi="Times New Roman" w:cs="Times New Roman"/>
          <w:lang w:val="en-IE"/>
        </w:rPr>
        <w:t xml:space="preserve"> N</w:t>
      </w:r>
      <w:r>
        <w:rPr>
          <w:rFonts w:ascii="Times New Roman" w:eastAsia="Times New Roman" w:hAnsi="Times New Roman" w:cs="Times New Roman"/>
          <w:color w:val="000000" w:themeColor="text1"/>
        </w:rPr>
        <w:t xml:space="preserve">otably with a view to ensuring full implementation of the Commission’s </w:t>
      </w:r>
      <w:hyperlink r:id="rId43" w:history="1">
        <w:r>
          <w:rPr>
            <w:rStyle w:val="Hyperlink"/>
            <w:rFonts w:ascii="Times New Roman" w:eastAsia="Times New Roman" w:hAnsi="Times New Roman" w:cs="Times New Roman"/>
          </w:rPr>
          <w:t>Notice</w:t>
        </w:r>
        <w:r>
          <w:rPr>
            <w:rStyle w:val="Hyperlink"/>
            <w:rFonts w:ascii="Times New Roman" w:hAnsi="Times New Roman" w:cs="Times New Roman"/>
          </w:rPr>
          <w:t xml:space="preserve"> on certain articles of Directive 98/44/EC of the European Parliament and of the Council on the legal protection of biotechnological inventions</w:t>
        </w:r>
      </w:hyperlink>
      <w:r>
        <w:rPr>
          <w:rFonts w:ascii="Times New Roman" w:hAnsi="Times New Roman" w:cs="Times New Roman"/>
        </w:rPr>
        <w:t xml:space="preserve"> </w:t>
      </w:r>
      <w:r>
        <w:rPr>
          <w:rFonts w:ascii="Times New Roman" w:eastAsia="Times New Roman" w:hAnsi="Times New Roman" w:cs="Times New Roman"/>
          <w:color w:val="000000" w:themeColor="text1"/>
        </w:rPr>
        <w:t xml:space="preserve">of 3 November 2016, as endorsed by </w:t>
      </w:r>
      <w:r>
        <w:rPr>
          <w:rFonts w:ascii="Times New Roman" w:eastAsia="Times New Roman" w:hAnsi="Times New Roman" w:cs="Times New Roman"/>
          <w:color w:val="000000" w:themeColor="text1"/>
        </w:rPr>
        <w:t>Parliament and Council, clarifying that products resulting from essentially biological processes cannot be patented.</w:t>
      </w:r>
    </w:p>
  </w:footnote>
  <w:footnote w:id="52">
    <w:p w:rsidR="009C2369" w:rsidRDefault="00FC21F0">
      <w:pPr>
        <w:pStyle w:val="FootnoteText"/>
        <w:spacing w:after="0"/>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cs="Times New Roman"/>
        </w:rPr>
        <w:t xml:space="preserve"> From the COSME programme and mainly financed by the EUIPO surplus. </w:t>
      </w:r>
    </w:p>
  </w:footnote>
  <w:footnote w:id="53">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the current programme </w:t>
      </w:r>
      <w:hyperlink r:id="rId44" w:history="1">
        <w:r>
          <w:rPr>
            <w:rStyle w:val="Hyperlink"/>
            <w:rFonts w:ascii="Times New Roman" w:hAnsi="Times New Roman" w:cs="Times New Roman"/>
            <w:lang w:val="en-IE"/>
          </w:rPr>
          <w:t>IPA4SME</w:t>
        </w:r>
      </w:hyperlink>
      <w:r>
        <w:rPr>
          <w:rFonts w:ascii="Times New Roman" w:hAnsi="Times New Roman" w:cs="Times New Roman"/>
          <w:lang w:val="en-IE"/>
        </w:rPr>
        <w:t>.</w:t>
      </w:r>
    </w:p>
  </w:footnote>
  <w:footnote w:id="5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will test the concept in the project “</w:t>
      </w:r>
      <w:hyperlink r:id="rId45" w:history="1">
        <w:r>
          <w:rPr>
            <w:rStyle w:val="Hyperlink"/>
            <w:rFonts w:ascii="Times New Roman" w:hAnsi="Times New Roman" w:cs="Times New Roman"/>
          </w:rPr>
          <w:t>Closing the finance gap for IPR-driven start-ups and SMEs</w:t>
        </w:r>
      </w:hyperlink>
      <w:r>
        <w:rPr>
          <w:rStyle w:val="Hyperlink"/>
          <w:rFonts w:ascii="Times New Roman" w:hAnsi="Times New Roman" w:cs="Times New Roman"/>
          <w:color w:val="auto"/>
          <w:u w:val="none"/>
        </w:rPr>
        <w:t>”</w:t>
      </w:r>
      <w:r>
        <w:rPr>
          <w:rFonts w:ascii="Times New Roman" w:hAnsi="Times New Roman" w:cs="Times New Roman"/>
        </w:rPr>
        <w:t xml:space="preserve">. </w:t>
      </w:r>
    </w:p>
  </w:footnote>
  <w:footnote w:id="55">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 that every SME has easy access to advice, as stressed in the SME strategy.</w:t>
      </w:r>
    </w:p>
  </w:footnote>
  <w:footnote w:id="5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an initiative under the EUIPOs</w:t>
      </w:r>
      <w:r>
        <w:t xml:space="preserve"> </w:t>
      </w:r>
      <w:r>
        <w:rPr>
          <w:rFonts w:ascii="Times New Roman" w:hAnsi="Times New Roman" w:cs="Times New Roman"/>
        </w:rPr>
        <w:t>SME programme which will be developed in cooperation with the European Union Intellectual Property Network (EUIPN) composed of the EUIPO</w:t>
      </w:r>
      <w:r>
        <w:rPr>
          <w:rFonts w:ascii="Times New Roman" w:hAnsi="Times New Roman" w:cs="Times New Roman"/>
        </w:rPr>
        <w:t xml:space="preserve"> and national IP offices of the EU Member States.</w:t>
      </w:r>
    </w:p>
  </w:footnote>
  <w:footnote w:id="5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advisors are working through networks or advice providers in the Enterprise Europe Network, the Innovation Hubs, </w:t>
      </w:r>
      <w:hyperlink r:id="rId46" w:history="1">
        <w:r>
          <w:rPr>
            <w:rStyle w:val="Hyperlink"/>
            <w:rFonts w:ascii="Times New Roman" w:hAnsi="Times New Roman" w:cs="Times New Roman"/>
          </w:rPr>
          <w:t>Cluster Networks</w:t>
        </w:r>
      </w:hyperlink>
      <w:r>
        <w:rPr>
          <w:rFonts w:ascii="Times New Roman" w:hAnsi="Times New Roman" w:cs="Times New Roman"/>
        </w:rPr>
        <w:t xml:space="preserve"> </w:t>
      </w:r>
      <w:r>
        <w:rPr>
          <w:rFonts w:ascii="Times New Roman" w:hAnsi="Times New Roman" w:cs="Times New Roman"/>
        </w:rPr>
        <w:t xml:space="preserve">or the InvestEU advisory hub (evolving from the current </w:t>
      </w:r>
      <w:hyperlink r:id="rId47" w:history="1">
        <w:r>
          <w:rPr>
            <w:rStyle w:val="Hyperlink"/>
            <w:rFonts w:ascii="Times New Roman" w:hAnsi="Times New Roman" w:cs="Times New Roman"/>
          </w:rPr>
          <w:t>European Investment Advisory Hub</w:t>
        </w:r>
      </w:hyperlink>
      <w:r>
        <w:rPr>
          <w:rFonts w:ascii="Times New Roman" w:hAnsi="Times New Roman" w:cs="Times New Roman"/>
        </w:rPr>
        <w:t>).</w:t>
      </w:r>
    </w:p>
  </w:footnote>
  <w:footnote w:id="5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w:t>
      </w:r>
      <w:hyperlink r:id="rId48" w:history="1">
        <w:r>
          <w:rPr>
            <w:rStyle w:val="Hyperlink"/>
            <w:rFonts w:ascii="Times New Roman" w:hAnsi="Times New Roman" w:cs="Times New Roman"/>
          </w:rPr>
          <w:t>EUIPO SME scor</w:t>
        </w:r>
        <w:r>
          <w:rPr>
            <w:rStyle w:val="Hyperlink"/>
            <w:rFonts w:ascii="Times New Roman" w:hAnsi="Times New Roman" w:cs="Times New Roman"/>
          </w:rPr>
          <w:t>eboard</w:t>
        </w:r>
      </w:hyperlink>
      <w:r>
        <w:rPr>
          <w:rFonts w:ascii="Times New Roman" w:hAnsi="Times New Roman" w:cs="Times New Roman"/>
        </w:rPr>
        <w:t xml:space="preserve">, 2019, only 13% of SMEs owning IP rights tried to use intangible assets to obtain finance: 9% successfully and 4% unsuccessfully. </w:t>
      </w:r>
    </w:p>
  </w:footnote>
  <w:footnote w:id="59">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Study on “</w:t>
      </w:r>
      <w:hyperlink r:id="rId49" w:history="1">
        <w:r>
          <w:rPr>
            <w:rStyle w:val="Hyperlink"/>
            <w:rFonts w:ascii="Times New Roman" w:hAnsi="Times New Roman" w:cs="Times New Roman"/>
          </w:rPr>
          <w:t>Financing intangibles: Is there a market failure?</w:t>
        </w:r>
      </w:hyperlink>
      <w:r>
        <w:rPr>
          <w:rFonts w:ascii="Times New Roman" w:hAnsi="Times New Roman" w:cs="Times New Roman"/>
        </w:rPr>
        <w:t>”, EC 2020.</w:t>
      </w:r>
    </w:p>
  </w:footnote>
  <w:footnote w:id="6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can be done within InvestEU and will build on experience gained through the project “Finance, learning, innovation and patenting for cultural and creative industries” and the study on </w:t>
      </w:r>
      <w:r>
        <w:rPr>
          <w:rFonts w:ascii="Times New Roman" w:hAnsi="Times New Roman" w:cs="Times New Roman"/>
        </w:rPr>
        <w:t>“</w:t>
      </w:r>
      <w:hyperlink r:id="rId50" w:history="1">
        <w:r>
          <w:rPr>
            <w:rStyle w:val="Hyperlink"/>
            <w:rFonts w:ascii="Times New Roman" w:hAnsi="Times New Roman" w:cs="Times New Roman"/>
          </w:rPr>
          <w:t>Financing intangibles: Is there a market failure?</w:t>
        </w:r>
      </w:hyperlink>
      <w:r>
        <w:rPr>
          <w:rFonts w:ascii="Times New Roman" w:hAnsi="Times New Roman" w:cs="Times New Roman"/>
        </w:rPr>
        <w:t>”, EC 2020.</w:t>
      </w:r>
    </w:p>
  </w:footnote>
  <w:footnote w:id="61">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1" w:history="1">
        <w:r>
          <w:rPr>
            <w:rStyle w:val="Hyperlink"/>
            <w:rFonts w:ascii="Times New Roman" w:hAnsi="Times New Roman" w:cs="Times New Roman"/>
          </w:rPr>
          <w:t>Commission communication</w:t>
        </w:r>
      </w:hyperlink>
      <w:r>
        <w:rPr>
          <w:rFonts w:ascii="Times New Roman" w:hAnsi="Times New Roman" w:cs="Times New Roman"/>
        </w:rPr>
        <w:t>, SME Strategy for a sustainable and digital Europe,</w:t>
      </w:r>
      <w:r>
        <w:rPr>
          <w:rFonts w:ascii="Times New Roman" w:hAnsi="Times New Roman" w:cs="Times New Roman"/>
          <w:b/>
          <w:color w:val="444444"/>
          <w:shd w:val="clear" w:color="auto" w:fill="FFFFFF"/>
        </w:rPr>
        <w:t xml:space="preserve"> </w:t>
      </w:r>
      <w:r>
        <w:rPr>
          <w:rFonts w:ascii="Times New Roman" w:hAnsi="Times New Roman" w:cs="Times New Roman"/>
        </w:rPr>
        <w:t xml:space="preserve">COM(2020) 103 final, 10 March 2020.  </w:t>
      </w:r>
    </w:p>
  </w:footnote>
  <w:footnote w:id="62">
    <w:p w:rsidR="009C2369" w:rsidRDefault="00FC21F0">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the </w:t>
      </w:r>
      <w:hyperlink r:id="rId52" w:history="1">
        <w:r>
          <w:rPr>
            <w:rStyle w:val="Hyperlink"/>
            <w:rFonts w:ascii="Times New Roman" w:hAnsi="Times New Roman" w:cs="Times New Roman"/>
            <w:sz w:val="20"/>
            <w:szCs w:val="20"/>
          </w:rPr>
          <w:t>InnovFin SME Guarantee Facility</w:t>
        </w:r>
      </w:hyperlink>
      <w:r>
        <w:rPr>
          <w:rFonts w:ascii="Times New Roman" w:hAnsi="Times New Roman" w:cs="Times New Roman"/>
          <w:sz w:val="20"/>
          <w:szCs w:val="20"/>
        </w:rPr>
        <w:t xml:space="preserve"> or the Culture and Creative Sectors Guarantee Facility.</w:t>
      </w:r>
    </w:p>
  </w:footnote>
  <w:footnote w:id="63">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3" w:history="1">
        <w:r>
          <w:rPr>
            <w:rStyle w:val="Hyperlink"/>
            <w:rFonts w:ascii="Times New Roman" w:hAnsi="Times New Roman" w:cs="Times New Roman"/>
          </w:rPr>
          <w:t>European Research Area (ERA) Communication</w:t>
        </w:r>
      </w:hyperlink>
      <w:r>
        <w:rPr>
          <w:rStyle w:val="Hyperlink"/>
          <w:rFonts w:ascii="Times New Roman" w:hAnsi="Times New Roman" w:cs="Times New Roman"/>
        </w:rPr>
        <w:t>.</w:t>
      </w:r>
    </w:p>
  </w:footnote>
  <w:footnote w:id="6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t>
      </w:r>
      <w:hyperlink r:id="rId54" w:history="1">
        <w:r>
          <w:rPr>
            <w:rStyle w:val="Hyperlink"/>
            <w:rFonts w:ascii="Times New Roman" w:hAnsi="Times New Roman" w:cs="Times New Roman"/>
          </w:rPr>
          <w:t>Horizon Results Platform</w:t>
        </w:r>
      </w:hyperlink>
      <w:r>
        <w:rPr>
          <w:rFonts w:ascii="Times New Roman" w:hAnsi="Times New Roman" w:cs="Times New Roman"/>
        </w:rPr>
        <w:t>.</w:t>
      </w:r>
    </w:p>
  </w:footnote>
  <w:footnote w:id="65">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t>
      </w:r>
      <w:hyperlink r:id="rId55" w:history="1">
        <w:r>
          <w:rPr>
            <w:rStyle w:val="Hyperlink"/>
            <w:rFonts w:ascii="Times New Roman" w:hAnsi="Times New Roman" w:cs="Times New Roman"/>
          </w:rPr>
          <w:t>Coronavirus research and innovation</w:t>
        </w:r>
      </w:hyperlink>
      <w:r>
        <w:rPr>
          <w:rFonts w:ascii="Times New Roman" w:hAnsi="Times New Roman" w:cs="Times New Roman"/>
        </w:rPr>
        <w:t xml:space="preserve"> platform. </w:t>
      </w:r>
    </w:p>
  </w:footnote>
  <w:footnote w:id="66">
    <w:p w:rsidR="009C2369" w:rsidRDefault="00FC21F0">
      <w:pPr>
        <w:pStyle w:val="FootnoteText"/>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cs="Times New Roman"/>
        </w:rPr>
        <w:t xml:space="preserve"> Similarly, under the European Defence Fund (EDF) dedicated provisions have also been introduced to protect the results of financially supported R&amp;D actions and their availability in the EU. These include an obligation to notify ex ante the Commssion in ca</w:t>
      </w:r>
      <w:r>
        <w:rPr>
          <w:rFonts w:ascii="Times New Roman" w:hAnsi="Times New Roman" w:cs="Times New Roman"/>
        </w:rPr>
        <w:t>se of transfer of ownerhip of results and related IP (and of granting of exclusive licences for research actions) to non-associated third countries or third country entities, and an obligation to reimburse the EU funding in case such a transfer of results/</w:t>
      </w:r>
      <w:r>
        <w:rPr>
          <w:rFonts w:ascii="Times New Roman" w:hAnsi="Times New Roman" w:cs="Times New Roman"/>
        </w:rPr>
        <w:t>IP would contravene the security and defence interests of the Union and its Member States or the objectives of the EDF.</w:t>
      </w:r>
    </w:p>
  </w:footnote>
  <w:footnote w:id="67">
    <w:p w:rsidR="009C2369" w:rsidRDefault="00FC21F0">
      <w:pPr>
        <w:pStyle w:val="FootnoteText"/>
        <w:spacing w:after="0"/>
        <w:jc w:val="both"/>
      </w:pPr>
      <w:r>
        <w:rPr>
          <w:rStyle w:val="FootnoteReference"/>
        </w:rPr>
        <w:footnoteRef/>
      </w:r>
      <w:r>
        <w:t xml:space="preserve"> </w:t>
      </w:r>
      <w:r>
        <w:rPr>
          <w:rFonts w:ascii="Times New Roman" w:hAnsi="Times New Roman" w:cs="Times New Roman"/>
        </w:rPr>
        <w:t xml:space="preserve">In the field of environmental data (allowing for the development of life-cycle analysis), IPR-controlled data should be balanced with </w:t>
      </w:r>
      <w:r>
        <w:rPr>
          <w:rFonts w:ascii="Times New Roman" w:hAnsi="Times New Roman" w:cs="Times New Roman"/>
        </w:rPr>
        <w:t>the public interest to calculate the environmental footprint of products and organisations.</w:t>
      </w:r>
    </w:p>
  </w:footnote>
  <w:footnote w:id="6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6" w:history="1">
        <w:r>
          <w:rPr>
            <w:rStyle w:val="Hyperlink"/>
            <w:rFonts w:ascii="Times New Roman" w:hAnsi="Times New Roman" w:cs="Times New Roman"/>
          </w:rPr>
          <w:t>Commission communication</w:t>
        </w:r>
      </w:hyperlink>
      <w:r>
        <w:rPr>
          <w:rFonts w:ascii="Times New Roman" w:hAnsi="Times New Roman" w:cs="Times New Roman"/>
        </w:rPr>
        <w:t xml:space="preserve"> - EU strategy for COVID-19 vaccines, C</w:t>
      </w:r>
      <w:r>
        <w:rPr>
          <w:rFonts w:ascii="Times New Roman" w:hAnsi="Times New Roman" w:cs="Times New Roman"/>
        </w:rPr>
        <w:t>OM(2020) 245 final, 17 June 2020.</w:t>
      </w:r>
    </w:p>
  </w:footnote>
  <w:footnote w:id="6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7" w:history="1">
        <w:r>
          <w:rPr>
            <w:rStyle w:val="Hyperlink"/>
            <w:rFonts w:ascii="Times New Roman" w:hAnsi="Times New Roman" w:cs="Times New Roman"/>
          </w:rPr>
          <w:t>World Health Assembly Resolution 73</w:t>
        </w:r>
      </w:hyperlink>
      <w:r>
        <w:rPr>
          <w:rFonts w:ascii="Times New Roman" w:hAnsi="Times New Roman" w:cs="Times New Roman"/>
        </w:rPr>
        <w:t>.</w:t>
      </w:r>
    </w:p>
  </w:footnote>
  <w:footnote w:id="7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58" w:history="1">
        <w:r>
          <w:rPr>
            <w:rStyle w:val="Hyperlink"/>
            <w:rFonts w:ascii="Times New Roman" w:hAnsi="Times New Roman" w:cs="Times New Roman"/>
          </w:rPr>
          <w:t>Commission communication</w:t>
        </w:r>
      </w:hyperlink>
      <w:r>
        <w:rPr>
          <w:rFonts w:ascii="Times New Roman" w:hAnsi="Times New Roman" w:cs="Times New Roman"/>
        </w:rPr>
        <w:t xml:space="preserve"> - Temporary Framework for assessing antitrust issues related to business c</w:t>
      </w:r>
      <w:r>
        <w:rPr>
          <w:rFonts w:ascii="Times New Roman" w:hAnsi="Times New Roman" w:cs="Times New Roman"/>
        </w:rPr>
        <w:t>ooperation in response to situations of urgency stemming from the current COVID-19 outbreak C(2020) 3200 final.</w:t>
      </w:r>
    </w:p>
  </w:footnote>
  <w:footnote w:id="71">
    <w:p w:rsidR="009C2369" w:rsidRDefault="00FC21F0">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The </w:t>
      </w:r>
      <w:hyperlink r:id="rId59" w:history="1">
        <w:r>
          <w:rPr>
            <w:rStyle w:val="Hyperlink"/>
            <w:rFonts w:ascii="Times New Roman" w:hAnsi="Times New Roman" w:cs="Times New Roman"/>
            <w:lang w:val="en-US"/>
          </w:rPr>
          <w:t>Manifesto for EU Covid-19 Research</w:t>
        </w:r>
      </w:hyperlink>
      <w:r>
        <w:rPr>
          <w:rFonts w:ascii="Times New Roman" w:hAnsi="Times New Roman" w:cs="Times New Roman"/>
          <w:lang w:val="en-US"/>
        </w:rPr>
        <w:t>, launched to maximise the accessibility of research results in the fight against COVID-19, has to date been supported by more than 600 organisations (such as universities, research ins</w:t>
      </w:r>
      <w:r>
        <w:rPr>
          <w:rFonts w:ascii="Times New Roman" w:hAnsi="Times New Roman" w:cs="Times New Roman"/>
          <w:lang w:val="en-US"/>
        </w:rPr>
        <w:t>titutes, private companies including SMEs and civil society organisations) and more than 1800 individuals from all over Europe and beyond.</w:t>
      </w:r>
      <w:r>
        <w:rPr>
          <w:rFonts w:ascii="Times New Roman" w:hAnsi="Times New Roman" w:cs="Times New Roman"/>
        </w:rPr>
        <w:t xml:space="preserve"> </w:t>
      </w:r>
    </w:p>
  </w:footnote>
  <w:footnote w:id="72">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The only exception is </w:t>
      </w:r>
      <w:hyperlink r:id="rId60" w:history="1">
        <w:r>
          <w:rPr>
            <w:rStyle w:val="Hyperlink"/>
            <w:rFonts w:ascii="Times New Roman" w:hAnsi="Times New Roman" w:cs="Times New Roman"/>
            <w:lang w:val="en-US"/>
          </w:rPr>
          <w:t>Regulation (EC) N° 816/2006</w:t>
        </w:r>
      </w:hyperlink>
      <w:r>
        <w:rPr>
          <w:rFonts w:ascii="Times New Roman" w:hAnsi="Times New Roman" w:cs="Times New Roman"/>
          <w:lang w:val="en-US"/>
        </w:rPr>
        <w:t xml:space="preserve"> which provides for a specific compulsory licence regime which implements Article 31bis of the TRIPS Agreement and concerns the manufacture of pharmaceutical products for export to countries with public health problems.</w:t>
      </w:r>
    </w:p>
  </w:footnote>
  <w:footnote w:id="73">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S</w:t>
      </w:r>
      <w:r>
        <w:rPr>
          <w:rFonts w:ascii="Times New Roman" w:hAnsi="Times New Roman" w:cs="Times New Roman"/>
          <w:lang w:val="en-IE"/>
        </w:rPr>
        <w:t xml:space="preserve">ee also </w:t>
      </w:r>
      <w:hyperlink r:id="rId61" w:history="1">
        <w:r>
          <w:rPr>
            <w:rStyle w:val="Hyperlink"/>
            <w:rFonts w:ascii="Times New Roman" w:hAnsi="Times New Roman" w:cs="Times New Roman"/>
            <w:lang w:val="en-IE"/>
          </w:rPr>
          <w:t>Council document 15016/19</w:t>
        </w:r>
      </w:hyperlink>
      <w:r>
        <w:rPr>
          <w:rFonts w:ascii="Times New Roman" w:hAnsi="Times New Roman" w:cs="Times New Roman"/>
          <w:lang w:val="en-IE"/>
        </w:rPr>
        <w:t xml:space="preserve"> “Developing the Copyright Infrastructure - Stocktaking of work and progress under the Finnish Presidency”.</w:t>
      </w:r>
    </w:p>
  </w:footnote>
  <w:footnote w:id="74">
    <w:p w:rsidR="009C2369" w:rsidRDefault="00FC21F0">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The set of rules, technol</w:t>
      </w:r>
      <w:r>
        <w:rPr>
          <w:rFonts w:ascii="Times New Roman" w:hAnsi="Times New Roman" w:cs="Times New Roman"/>
        </w:rPr>
        <w:t>ogies and institutions that frame data management practices in the creative industries.</w:t>
      </w:r>
    </w:p>
  </w:footnote>
  <w:footnote w:id="75">
    <w:p w:rsidR="009C2369" w:rsidRDefault="00FC21F0">
      <w:pPr>
        <w:pStyle w:val="FootnoteText"/>
        <w:spacing w:after="0"/>
        <w:jc w:val="both"/>
        <w:rPr>
          <w:rFonts w:ascii="Times New Roman" w:hAnsi="Times New Roman" w:cs="Times New Roman"/>
          <w:highlight w:val="green"/>
        </w:rPr>
      </w:pPr>
      <w:r>
        <w:rPr>
          <w:rStyle w:val="FootnoteReference"/>
          <w:rFonts w:ascii="Times New Roman" w:hAnsi="Times New Roman" w:cs="Times New Roman"/>
        </w:rPr>
        <w:footnoteRef/>
      </w:r>
      <w:r>
        <w:rPr>
          <w:rFonts w:ascii="Times New Roman" w:hAnsi="Times New Roman" w:cs="Times New Roman"/>
        </w:rPr>
        <w:t xml:space="preserve"> See “</w:t>
      </w:r>
      <w:hyperlink r:id="rId62" w:history="1">
        <w:r>
          <w:rPr>
            <w:rStyle w:val="Hyperlink"/>
            <w:rFonts w:ascii="Times New Roman" w:hAnsi="Times New Roman" w:cs="Times New Roman"/>
          </w:rPr>
          <w:t>SMART 2019/0038</w:t>
        </w:r>
      </w:hyperlink>
      <w:r>
        <w:rPr>
          <w:rFonts w:ascii="Times New Roman" w:hAnsi="Times New Roman" w:cs="Times New Roman"/>
        </w:rPr>
        <w:t xml:space="preserve"> – Study on Copyright and New technologies: copyright data manage</w:t>
      </w:r>
      <w:r>
        <w:rPr>
          <w:rFonts w:ascii="Times New Roman" w:hAnsi="Times New Roman" w:cs="Times New Roman"/>
        </w:rPr>
        <w:t>ment and Artificial Intelligence”.</w:t>
      </w:r>
    </w:p>
  </w:footnote>
  <w:footnote w:id="76">
    <w:p w:rsidR="009C2369" w:rsidRDefault="00FC21F0">
      <w:pPr>
        <w:pStyle w:val="FootnoteText"/>
        <w:spacing w:after="0"/>
        <w:jc w:val="both"/>
        <w:rPr>
          <w:rFonts w:ascii="Times New Roman" w:hAnsi="Times New Roman" w:cs="Times New Roman"/>
          <w:color w:val="FF0000"/>
        </w:rPr>
      </w:pPr>
      <w:r>
        <w:rPr>
          <w:rStyle w:val="FootnoteReference"/>
          <w:rFonts w:ascii="Times New Roman" w:hAnsi="Times New Roman" w:cs="Times New Roman"/>
        </w:rPr>
        <w:footnoteRef/>
      </w:r>
      <w:r>
        <w:rPr>
          <w:rFonts w:ascii="Times New Roman" w:hAnsi="Times New Roman" w:cs="Times New Roman"/>
        </w:rPr>
        <w:t xml:space="preserve"> </w:t>
      </w:r>
      <w:hyperlink r:id="rId63" w:history="1">
        <w:r>
          <w:rPr>
            <w:rStyle w:val="Hyperlink"/>
            <w:rFonts w:ascii="Times New Roman" w:hAnsi="Times New Roman" w:cs="Times New Roman"/>
          </w:rPr>
          <w:t>Landscape study of potentially essential patents disclosed to ETSI, 2020.</w:t>
        </w:r>
      </w:hyperlink>
      <w:r>
        <w:rPr>
          <w:rFonts w:ascii="Times New Roman" w:hAnsi="Times New Roman" w:cs="Times New Roman"/>
        </w:rPr>
        <w:t xml:space="preserve"> </w:t>
      </w:r>
    </w:p>
  </w:footnote>
  <w:footnote w:id="7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4" w:history="1">
        <w:r>
          <w:rPr>
            <w:rStyle w:val="Hyperlink"/>
            <w:rFonts w:ascii="Times New Roman" w:hAnsi="Times New Roman" w:cs="Times New Roman"/>
          </w:rPr>
          <w:t>Commission communication</w:t>
        </w:r>
      </w:hyperlink>
      <w:r>
        <w:rPr>
          <w:rFonts w:ascii="Times New Roman" w:hAnsi="Times New Roman" w:cs="Times New Roman"/>
        </w:rPr>
        <w:t xml:space="preserve"> - Setting out the EU approach to Standard Essential Patents, COM(2017) 712 final, 29 November 2017. </w:t>
      </w:r>
    </w:p>
  </w:footnote>
  <w:footnote w:id="78">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well as smart health, smart </w:t>
      </w:r>
      <w:r>
        <w:rPr>
          <w:rFonts w:ascii="Times New Roman" w:hAnsi="Times New Roman" w:cs="Times New Roman"/>
        </w:rPr>
        <w:t>energy and the internet of things.</w:t>
      </w:r>
    </w:p>
  </w:footnote>
  <w:footnote w:id="7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5" w:history="1">
        <w:r>
          <w:rPr>
            <w:rStyle w:val="Hyperlink"/>
            <w:rFonts w:ascii="Times New Roman" w:hAnsi="Times New Roman" w:cs="Times New Roman"/>
          </w:rPr>
          <w:t>Pilot study for essentiality assessment of Standard Essential Patents report</w:t>
        </w:r>
      </w:hyperlink>
      <w:r>
        <w:rPr>
          <w:rFonts w:ascii="Times New Roman" w:hAnsi="Times New Roman" w:cs="Times New Roman"/>
        </w:rPr>
        <w:t xml:space="preserve"> </w:t>
      </w:r>
      <w:r>
        <w:rPr>
          <w:rFonts w:ascii="Times New Roman" w:hAnsi="Times New Roman" w:cs="Times New Roman"/>
          <w:i/>
          <w:color w:val="FF0000"/>
          <w:lang w:val="en-IE"/>
        </w:rPr>
        <w:t xml:space="preserve"> </w:t>
      </w:r>
    </w:p>
  </w:footnote>
  <w:footnote w:id="80">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66" w:history="1">
        <w:r>
          <w:rPr>
            <w:rStyle w:val="Hyperlink"/>
            <w:rFonts w:ascii="Times New Roman" w:hAnsi="Times New Roman" w:cs="Times New Roman"/>
          </w:rPr>
          <w:t>Commission communication</w:t>
        </w:r>
      </w:hyperlink>
      <w:r>
        <w:rPr>
          <w:rFonts w:ascii="Times New Roman" w:hAnsi="Times New Roman" w:cs="Times New Roman"/>
        </w:rPr>
        <w:t xml:space="preserve"> - A European Strategy for Data, (COM)2020 66 final, 19 February 2020. </w:t>
      </w:r>
    </w:p>
  </w:footnote>
  <w:footnote w:id="81">
    <w:p w:rsidR="009C2369" w:rsidRDefault="00FC21F0">
      <w:pPr>
        <w:pStyle w:val="FootnoteText"/>
        <w:spacing w:after="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See the </w:t>
      </w:r>
      <w:hyperlink r:id="rId67" w:history="1">
        <w:r>
          <w:rPr>
            <w:rStyle w:val="Hyperlink"/>
            <w:rFonts w:ascii="Times New Roman" w:hAnsi="Times New Roman" w:cs="Times New Roman"/>
          </w:rPr>
          <w:t>factsheet on the European D</w:t>
        </w:r>
        <w:r>
          <w:rPr>
            <w:rStyle w:val="Hyperlink"/>
            <w:rFonts w:ascii="Times New Roman" w:hAnsi="Times New Roman" w:cs="Times New Roman"/>
          </w:rPr>
          <w:t>ata Strategy</w:t>
        </w:r>
      </w:hyperlink>
      <w:r>
        <w:rPr>
          <w:rFonts w:ascii="Times New Roman" w:hAnsi="Times New Roman" w:cs="Times New Roman"/>
          <w:lang w:val="en-US"/>
        </w:rPr>
        <w:t>.</w:t>
      </w:r>
    </w:p>
  </w:footnote>
  <w:footnote w:id="82">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68" w:history="1">
        <w:r>
          <w:rPr>
            <w:rStyle w:val="Hyperlink"/>
            <w:rFonts w:ascii="Times New Roman" w:hAnsi="Times New Roman" w:cs="Times New Roman"/>
            <w:lang w:val="en-IE"/>
          </w:rPr>
          <w:t>Directive (EU) 2016/943</w:t>
        </w:r>
      </w:hyperlink>
      <w:r>
        <w:rPr>
          <w:rFonts w:ascii="Times New Roman" w:hAnsi="Times New Roman" w:cs="Times New Roman"/>
          <w:bCs/>
          <w:color w:val="000000"/>
          <w:shd w:val="clear" w:color="auto" w:fill="FFFFFF"/>
        </w:rPr>
        <w:t xml:space="preserve"> on the protection of undisclosed know-how and business information (trade secrets) against their unlawful acquisition, use and disclosure.</w:t>
      </w:r>
    </w:p>
  </w:footnote>
  <w:footnote w:id="83">
    <w:p w:rsidR="009C2369" w:rsidRDefault="00FC21F0">
      <w:pPr>
        <w:pStyle w:val="FootnoteText"/>
        <w:spacing w:after="0"/>
        <w:jc w:val="both"/>
        <w:rPr>
          <w:rFonts w:ascii="Times New Roman" w:hAnsi="Times New Roman" w:cs="Times New Roman"/>
          <w:bCs/>
          <w:color w:val="000000"/>
          <w:shd w:val="clear" w:color="auto" w:fill="FFFFFF"/>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bCs/>
          <w:color w:val="000000"/>
          <w:shd w:val="clear" w:color="auto" w:fill="FFFFFF"/>
        </w:rPr>
        <w:t>In the printers’ ink and toner cartridges sector, for example, a variety of arguments have been put forward largel</w:t>
      </w:r>
      <w:r>
        <w:rPr>
          <w:rFonts w:ascii="Times New Roman" w:hAnsi="Times New Roman" w:cs="Times New Roman"/>
          <w:bCs/>
          <w:color w:val="000000"/>
          <w:shd w:val="clear" w:color="auto" w:fill="FFFFFF"/>
        </w:rPr>
        <w:t>y by OEMs against the re-manufacture of their products by third parties, while independent remanufacturers (especially SMEs) do not have the resources available to engage in legal proceedings against large OEMs, even when the remanufacturer might be operat</w:t>
      </w:r>
      <w:r>
        <w:rPr>
          <w:rFonts w:ascii="Times New Roman" w:hAnsi="Times New Roman" w:cs="Times New Roman"/>
          <w:bCs/>
          <w:color w:val="000000"/>
          <w:shd w:val="clear" w:color="auto" w:fill="FFFFFF"/>
        </w:rPr>
        <w:t xml:space="preserve">ing legally.  This perceived threat may have a chilling effect on smaller companies wishing to enter the remanufacturing business. See: </w:t>
      </w:r>
      <w:hyperlink r:id="rId69" w:history="1">
        <w:r>
          <w:rPr>
            <w:rFonts w:ascii="Times New Roman" w:hAnsi="Times New Roman" w:cs="Times New Roman"/>
            <w:color w:val="000000"/>
            <w:shd w:val="clear" w:color="auto" w:fill="FFFFFF"/>
          </w:rPr>
          <w:t>study on t</w:t>
        </w:r>
        <w:r>
          <w:rPr>
            <w:rFonts w:ascii="Times New Roman" w:hAnsi="Times New Roman" w:cs="Times New Roman"/>
            <w:color w:val="000000"/>
            <w:shd w:val="clear" w:color="auto" w:fill="FFFFFF"/>
          </w:rPr>
          <w:t xml:space="preserve">he implementation of product design requirements set out in Article 4 of the WEEE Directive </w:t>
        </w:r>
        <w:r>
          <w:rPr>
            <w:rFonts w:ascii="Times New Roman" w:hAnsi="Times New Roman" w:cs="Times New Roman"/>
            <w:bCs/>
            <w:color w:val="000000"/>
            <w:shd w:val="clear" w:color="auto" w:fill="FFFFFF"/>
          </w:rPr>
          <w:t>The case of re-</w:t>
        </w:r>
        <w:r>
          <w:rPr>
            <w:rFonts w:ascii="Times New Roman" w:hAnsi="Times New Roman" w:cs="Times New Roman"/>
            <w:color w:val="000000"/>
            <w:shd w:val="clear" w:color="auto" w:fill="FFFFFF"/>
          </w:rPr>
          <w:t>usability of printer cartridges</w:t>
        </w:r>
        <w:r>
          <w:rPr>
            <w:rFonts w:ascii="Times New Roman" w:hAnsi="Times New Roman" w:cs="Times New Roman"/>
            <w:bCs/>
            <w:color w:val="000000"/>
            <w:shd w:val="clear" w:color="auto" w:fill="FFFFFF"/>
          </w:rPr>
          <w:t>: final report</w:t>
        </w:r>
      </w:hyperlink>
      <w:r>
        <w:rPr>
          <w:rFonts w:ascii="Times New Roman" w:hAnsi="Times New Roman" w:cs="Times New Roman"/>
          <w:bCs/>
          <w:color w:val="000000"/>
          <w:shd w:val="clear" w:color="auto" w:fill="FFFFFF"/>
        </w:rPr>
        <w:t>, Kling et al,  for the European Commission DG ENV, 2018.</w:t>
      </w:r>
    </w:p>
  </w:footnote>
  <w:footnote w:id="8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Data Strategy foresees to explo</w:t>
      </w:r>
      <w:r>
        <w:rPr>
          <w:rFonts w:ascii="Times New Roman" w:hAnsi="Times New Roman" w:cs="Times New Roman"/>
        </w:rPr>
        <w:t xml:space="preserve">re the need for legislative action on issues that affect relations between actors in the data economy to provide incentives for cross-sector data sharing. Such issues </w:t>
      </w:r>
      <w:r>
        <w:rPr>
          <w:rFonts w:ascii="Times New Roman" w:hAnsi="Times New Roman" w:cs="Times New Roman"/>
          <w:lang w:val="en-IE"/>
        </w:rPr>
        <w:t xml:space="preserve">(e.g. </w:t>
      </w:r>
      <w:r>
        <w:rPr>
          <w:rFonts w:ascii="Times New Roman" w:hAnsi="Times New Roman" w:cs="Times New Roman"/>
        </w:rPr>
        <w:t>business-to-government data sharing, business-to-business data sharing through usag</w:t>
      </w:r>
      <w:r>
        <w:rPr>
          <w:rFonts w:ascii="Times New Roman" w:hAnsi="Times New Roman" w:cs="Times New Roman"/>
        </w:rPr>
        <w:t>e rights for co-generated data) could be taken forward in a Data Act (2021).</w:t>
      </w:r>
    </w:p>
  </w:footnote>
  <w:footnote w:id="85">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70" w:history="1">
        <w:r>
          <w:rPr>
            <w:rStyle w:val="Hyperlink"/>
            <w:rFonts w:ascii="Times New Roman" w:hAnsi="Times New Roman" w:cs="Times New Roman"/>
            <w:lang w:val="en-IE"/>
          </w:rPr>
          <w:t>Directive 96/9/EC</w:t>
        </w:r>
      </w:hyperlink>
      <w:r>
        <w:rPr>
          <w:rFonts w:ascii="Times New Roman" w:hAnsi="Times New Roman" w:cs="Times New Roman"/>
          <w:b/>
          <w:bCs/>
          <w:color w:val="000000"/>
          <w:shd w:val="clear" w:color="auto" w:fill="FFFFFF"/>
        </w:rPr>
        <w:t xml:space="preserve"> </w:t>
      </w:r>
      <w:r>
        <w:rPr>
          <w:rFonts w:ascii="Times New Roman" w:hAnsi="Times New Roman" w:cs="Times New Roman"/>
          <w:bCs/>
          <w:color w:val="000000"/>
          <w:shd w:val="clear" w:color="auto" w:fill="FFFFFF"/>
        </w:rPr>
        <w:t>on the legal protection of databases.</w:t>
      </w:r>
    </w:p>
  </w:footnote>
  <w:footnote w:id="8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1" w:history="1">
        <w:r>
          <w:rPr>
            <w:rStyle w:val="Hyperlink"/>
            <w:rFonts w:ascii="Times New Roman" w:hAnsi="Times New Roman" w:cs="Times New Roman"/>
          </w:rPr>
          <w:t>Evaluation of Directive 96/9/EC</w:t>
        </w:r>
      </w:hyperlink>
      <w:r>
        <w:rPr>
          <w:rFonts w:ascii="Times New Roman" w:hAnsi="Times New Roman" w:cs="Times New Roman"/>
        </w:rPr>
        <w:t xml:space="preserve"> on the legal protection of databases, SWD(2018) 147 final. </w:t>
      </w:r>
    </w:p>
  </w:footnote>
  <w:footnote w:id="87">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2" w:history="1">
        <w:r>
          <w:rPr>
            <w:rStyle w:val="Hyperlink"/>
            <w:rFonts w:ascii="Times New Roman" w:hAnsi="Times New Roman" w:cs="Times New Roman"/>
          </w:rPr>
          <w:t>Commission Work Programme 2021</w:t>
        </w:r>
      </w:hyperlink>
      <w:r>
        <w:rPr>
          <w:rFonts w:ascii="Times New Roman" w:hAnsi="Times New Roman" w:cs="Times New Roman"/>
        </w:rPr>
        <w:t>.</w:t>
      </w:r>
    </w:p>
  </w:footnote>
  <w:footnote w:id="88">
    <w:p w:rsidR="009C2369" w:rsidRDefault="00FC21F0">
      <w:pPr>
        <w:pStyle w:val="FootnoteText"/>
        <w:spacing w:after="0"/>
        <w:jc w:val="both"/>
      </w:pPr>
      <w:r>
        <w:rPr>
          <w:rStyle w:val="FootnoteReference"/>
        </w:rPr>
        <w:footnoteRef/>
      </w:r>
      <w:r>
        <w:t xml:space="preserve"> </w:t>
      </w:r>
      <w:r>
        <w:rPr>
          <w:rFonts w:ascii="Times New Roman" w:eastAsia="Times New Roman" w:hAnsi="Times New Roman" w:cs="Times New Roman"/>
          <w:color w:val="000000" w:themeColor="text1"/>
          <w:lang w:val="en-US"/>
        </w:rPr>
        <w:t>Sharing data constitutes information exchange which must take place in accordance with antitrust rules as outlined in the</w:t>
      </w:r>
      <w:r>
        <w:rPr>
          <w:rFonts w:ascii="Times New Roman" w:eastAsia="Times New Roman" w:hAnsi="Times New Roman" w:cs="Times New Roman"/>
          <w:color w:val="000000" w:themeColor="text1"/>
          <w:lang w:val="en-US"/>
        </w:rPr>
        <w:t xml:space="preserve"> Commission’s Horizontal Guidelines which explain which types of information may be shared. The current review of those guidelines will consider whether guidance is needed for data sharing for new forms of R&amp;D collaboration. The Commission will also reflec</w:t>
      </w:r>
      <w:r>
        <w:rPr>
          <w:rFonts w:ascii="Times New Roman" w:eastAsia="Times New Roman" w:hAnsi="Times New Roman" w:cs="Times New Roman"/>
          <w:color w:val="000000" w:themeColor="text1"/>
          <w:lang w:val="en-US"/>
        </w:rPr>
        <w:t>t on whether further guidance is needed on when access to data could be compelled under the essential facilities doctrine.</w:t>
      </w:r>
    </w:p>
  </w:footnote>
  <w:footnote w:id="8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73" w:history="1">
        <w:r>
          <w:rPr>
            <w:rStyle w:val="Hyperlink"/>
            <w:rFonts w:ascii="Times New Roman" w:hAnsi="Times New Roman" w:cs="Times New Roman"/>
          </w:rPr>
          <w:t>Directive 2004/48/EC</w:t>
        </w:r>
      </w:hyperlink>
      <w:r>
        <w:rPr>
          <w:rFonts w:ascii="Times New Roman" w:hAnsi="Times New Roman" w:cs="Times New Roman"/>
        </w:rPr>
        <w:t xml:space="preserve"> </w:t>
      </w:r>
      <w:r>
        <w:rPr>
          <w:rFonts w:ascii="Times New Roman" w:hAnsi="Times New Roman" w:cs="Times New Roman"/>
          <w:bCs/>
        </w:rPr>
        <w:t>on the enfor</w:t>
      </w:r>
      <w:r>
        <w:rPr>
          <w:rFonts w:ascii="Times New Roman" w:hAnsi="Times New Roman" w:cs="Times New Roman"/>
          <w:bCs/>
        </w:rPr>
        <w:t>cement of intellectual property rights.</w:t>
      </w:r>
    </w:p>
  </w:footnote>
  <w:footnote w:id="9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fldChar w:fldCharType="begin"/>
      </w:r>
      <w:r>
        <w:fldChar w:fldCharType="separate"/>
      </w:r>
      <w:r>
        <w:rPr>
          <w:rStyle w:val="Hyperlink"/>
          <w:rFonts w:ascii="Times New Roman" w:hAnsi="Times New Roman" w:cs="Times New Roman"/>
        </w:rPr>
        <w:t>Commission communication</w:t>
      </w:r>
      <w:r>
        <w:rPr>
          <w:rStyle w:val="Hyperlink"/>
          <w:rFonts w:ascii="Times New Roman" w:hAnsi="Times New Roman" w:cs="Times New Roman"/>
        </w:rPr>
        <w:fldChar w:fldCharType="end"/>
      </w:r>
      <w:hyperlink r:id="rId74" w:history="1">
        <w:r>
          <w:rPr>
            <w:rStyle w:val="Hyperlink"/>
            <w:rFonts w:ascii="Times New Roman" w:hAnsi="Times New Roman" w:cs="Times New Roman"/>
          </w:rPr>
          <w:t>Guidance on certain aspects of Directive 2004/48/EC</w:t>
        </w:r>
      </w:hyperlink>
      <w:r>
        <w:rPr>
          <w:rFonts w:ascii="Times New Roman" w:hAnsi="Times New Roman" w:cs="Times New Roman"/>
        </w:rPr>
        <w:t xml:space="preserve"> on the enforcement of intellectual property rig</w:t>
      </w:r>
      <w:r>
        <w:rPr>
          <w:rFonts w:ascii="Times New Roman" w:hAnsi="Times New Roman" w:cs="Times New Roman"/>
        </w:rPr>
        <w:t>hts, COM(2017) 708 final, 29 November 2017.</w:t>
      </w:r>
    </w:p>
  </w:footnote>
  <w:footnote w:id="91">
    <w:p w:rsidR="009C2369" w:rsidRDefault="00FC21F0">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75" w:history="1">
        <w:r>
          <w:rPr>
            <w:rStyle w:val="Hyperlink"/>
            <w:rFonts w:ascii="Times New Roman" w:hAnsi="Times New Roman" w:cs="Times New Roman"/>
          </w:rPr>
          <w:t>Trends in trade in counterfeit and pirated goods</w:t>
        </w:r>
      </w:hyperlink>
      <w:r>
        <w:rPr>
          <w:rFonts w:ascii="Times New Roman" w:hAnsi="Times New Roman" w:cs="Times New Roman"/>
        </w:rPr>
        <w:t>, OECD and EUIPO, 2019.</w:t>
      </w:r>
    </w:p>
  </w:footnote>
  <w:footnote w:id="92">
    <w:p w:rsidR="009C2369" w:rsidRDefault="00FC21F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6" w:anchor="Status_Report_2020" w:history="1">
        <w:r>
          <w:rPr>
            <w:rStyle w:val="Hyperlink"/>
            <w:rFonts w:ascii="Times New Roman" w:hAnsi="Times New Roman" w:cs="Times New Roman"/>
          </w:rPr>
          <w:t>Status report on IPR infringement</w:t>
        </w:r>
      </w:hyperlink>
      <w:r>
        <w:rPr>
          <w:rFonts w:ascii="Times New Roman" w:hAnsi="Times New Roman" w:cs="Times New Roman"/>
        </w:rPr>
        <w:t>, EUIPO,</w:t>
      </w:r>
      <w:r>
        <w:rPr>
          <w:rFonts w:ascii="Times New Roman" w:hAnsi="Times New Roman" w:cs="Times New Roman"/>
        </w:rPr>
        <w:t xml:space="preserve"> 2020</w:t>
      </w:r>
      <w:r>
        <w:rPr>
          <w:rStyle w:val="Hyperlink"/>
          <w:rFonts w:ascii="Times New Roman" w:hAnsi="Times New Roman" w:cs="Times New Roman"/>
          <w:color w:val="auto"/>
          <w:u w:val="none"/>
        </w:rPr>
        <w:t xml:space="preserve">: </w:t>
      </w:r>
      <w:r>
        <w:rPr>
          <w:rFonts w:ascii="Times New Roman" w:eastAsia="Times New Roman" w:hAnsi="Times New Roman" w:cs="Times New Roman"/>
          <w:color w:val="000000" w:themeColor="text1"/>
        </w:rPr>
        <w:t>average annual figures, 2013-2017.</w:t>
      </w:r>
    </w:p>
  </w:footnote>
  <w:footnote w:id="93">
    <w:p w:rsidR="009C2369" w:rsidRDefault="00FC21F0">
      <w:pPr>
        <w:pStyle w:val="FootnoteText"/>
        <w:spacing w:after="0"/>
        <w:rPr>
          <w:rFonts w:ascii="Times New Roman" w:hAnsi="Times New Roman" w:cs="Times New Roman"/>
        </w:rPr>
      </w:pPr>
      <w:r>
        <w:rPr>
          <w:rStyle w:val="FootnoteReference"/>
          <w:rFonts w:ascii="Times New Roman" w:hAnsi="Times New Roman"/>
        </w:rPr>
        <w:footnoteRef/>
      </w:r>
      <w:r>
        <w:rPr>
          <w:rFonts w:ascii="Times New Roman" w:hAnsi="Times New Roman" w:cs="Times New Roman"/>
        </w:rPr>
        <w:t xml:space="preserve"> </w:t>
      </w:r>
      <w:hyperlink r:id="rId77" w:history="1">
        <w:r>
          <w:rPr>
            <w:rStyle w:val="Hyperlink"/>
            <w:rFonts w:ascii="Times New Roman" w:hAnsi="Times New Roman" w:cs="Times New Roman"/>
          </w:rPr>
          <w:t>Qualitative study on risks posed</w:t>
        </w:r>
        <w:r>
          <w:rPr>
            <w:rStyle w:val="Hyperlink"/>
            <w:rFonts w:ascii="Times New Roman" w:hAnsi="Times New Roman" w:cs="Times New Roman"/>
          </w:rPr>
          <w:t xml:space="preserve"> by counterfeits to consumers</w:t>
        </w:r>
      </w:hyperlink>
      <w:r>
        <w:rPr>
          <w:rFonts w:ascii="Times New Roman" w:hAnsi="Times New Roman" w:cs="Times New Roman"/>
        </w:rPr>
        <w:t>, EUIPO 2019.</w:t>
      </w:r>
    </w:p>
  </w:footnote>
  <w:footnote w:id="94">
    <w:p w:rsidR="009C2369" w:rsidRDefault="00FC21F0">
      <w:pPr>
        <w:pStyle w:val="FootnoteText"/>
        <w:spacing w:after="0"/>
        <w:rPr>
          <w:lang w:val="en-IE"/>
        </w:rPr>
      </w:pPr>
      <w:r>
        <w:rPr>
          <w:rStyle w:val="FootnoteReference"/>
          <w:rFonts w:ascii="Times New Roman" w:hAnsi="Times New Roman"/>
        </w:rPr>
        <w:footnoteRef/>
      </w:r>
      <w:r>
        <w:rPr>
          <w:rFonts w:ascii="Times New Roman" w:hAnsi="Times New Roman"/>
        </w:rPr>
        <w:t xml:space="preserve"> </w:t>
      </w:r>
      <w:r>
        <w:rPr>
          <w:rFonts w:ascii="Times New Roman" w:hAnsi="Times New Roman" w:cs="Times New Roman"/>
        </w:rPr>
        <w:t xml:space="preserve">See operations carried out with the help of the European Anti-Fraud Office, e.g. seizure of 550 tons of illegal or counterfeit pesticides in 2019 as part of operation ‘Silver Axe IV’ (see </w:t>
      </w:r>
      <w:hyperlink r:id="rId78" w:history="1">
        <w:r>
          <w:rPr>
            <w:rStyle w:val="Hyperlink"/>
            <w:rFonts w:ascii="Times New Roman" w:hAnsi="Times New Roman" w:cs="Times New Roman"/>
          </w:rPr>
          <w:t>press release</w:t>
        </w:r>
      </w:hyperlink>
      <w:r>
        <w:rPr>
          <w:rFonts w:ascii="Times New Roman" w:hAnsi="Times New Roman" w:cs="Times New Roman"/>
        </w:rPr>
        <w:t>).</w:t>
      </w:r>
    </w:p>
  </w:footnote>
  <w:footnote w:id="95">
    <w:p w:rsidR="009C2369" w:rsidRDefault="00FC21F0">
      <w:pPr>
        <w:pStyle w:val="FootnoteText"/>
        <w:spacing w:after="0"/>
        <w:jc w:val="both"/>
        <w:rPr>
          <w:rFonts w:ascii="Times New Roman" w:hAnsi="Times New Roman" w:cs="Times New Roman"/>
          <w:sz w:val="18"/>
          <w:szCs w:val="18"/>
        </w:rPr>
      </w:pPr>
      <w:r>
        <w:rPr>
          <w:rStyle w:val="FootnoteReference"/>
          <w:rFonts w:ascii="Times New Roman" w:hAnsi="Times New Roman" w:cs="Times New Roman"/>
        </w:rPr>
        <w:footnoteRef/>
      </w:r>
      <w:r>
        <w:rPr>
          <w:rFonts w:ascii="Times New Roman" w:hAnsi="Times New Roman" w:cs="Times New Roman"/>
        </w:rPr>
        <w:t xml:space="preserve"> </w:t>
      </w:r>
      <w:hyperlink r:id="rId79" w:history="1">
        <w:r>
          <w:rPr>
            <w:rStyle w:val="Hyperlink"/>
            <w:rFonts w:ascii="Times New Roman" w:hAnsi="Times New Roman" w:cs="Times New Roman"/>
          </w:rPr>
          <w:t>The scale and impact of industrial espionage and</w:t>
        </w:r>
        <w:r>
          <w:rPr>
            <w:rStyle w:val="Hyperlink"/>
            <w:rFonts w:ascii="Times New Roman" w:hAnsi="Times New Roman" w:cs="Times New Roman"/>
          </w:rPr>
          <w:t xml:space="preserve"> theft of trade secrets through cybe</w:t>
        </w:r>
        <w:r>
          <w:rPr>
            <w:rStyle w:val="Hyperlink"/>
            <w:rFonts w:ascii="Times New Roman" w:hAnsi="Times New Roman" w:cs="Times New Roman"/>
            <w:u w:val="none"/>
          </w:rPr>
          <w:t>r</w:t>
        </w:r>
      </w:hyperlink>
      <w:r>
        <w:rPr>
          <w:rFonts w:ascii="Times New Roman" w:hAnsi="Times New Roman" w:cs="Times New Roman"/>
        </w:rPr>
        <w:t>, 2018.</w:t>
      </w:r>
    </w:p>
  </w:footnote>
  <w:footnote w:id="96">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t>
      </w:r>
      <w:hyperlink r:id="rId80" w:history="1">
        <w:r>
          <w:rPr>
            <w:rStyle w:val="Hyperlink"/>
            <w:rFonts w:ascii="Times New Roman" w:hAnsi="Times New Roman" w:cs="Times New Roman"/>
          </w:rPr>
          <w:t>p</w:t>
        </w:r>
        <w:r>
          <w:rPr>
            <w:rStyle w:val="Hyperlink"/>
            <w:rFonts w:ascii="Times New Roman" w:hAnsi="Times New Roman" w:cs="Times New Roman"/>
          </w:rPr>
          <w:t>ublic consultation</w:t>
        </w:r>
      </w:hyperlink>
      <w:r>
        <w:rPr>
          <w:rFonts w:ascii="Times New Roman" w:hAnsi="Times New Roman" w:cs="Times New Roman"/>
        </w:rPr>
        <w:t xml:space="preserve"> launched on 2 June 2020 and the follow-up.</w:t>
      </w:r>
    </w:p>
  </w:footnote>
  <w:footnote w:id="97">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81" w:history="1">
        <w:r>
          <w:rPr>
            <w:rStyle w:val="Hyperlink"/>
            <w:rFonts w:ascii="Times New Roman" w:hAnsi="Times New Roman" w:cs="Times New Roman"/>
          </w:rPr>
          <w:t>European multidisciplinary platform against criminal threats</w:t>
        </w:r>
      </w:hyperlink>
      <w:r>
        <w:rPr>
          <w:rFonts w:ascii="Times New Roman" w:hAnsi="Times New Roman" w:cs="Times New Roman"/>
        </w:rPr>
        <w:t>.</w:t>
      </w:r>
    </w:p>
  </w:footnote>
  <w:footnote w:id="9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shd w:val="clear" w:color="auto" w:fill="FFFFFF" w:themeFill="background1"/>
        </w:rPr>
        <w:footnoteRef/>
      </w:r>
      <w:r>
        <w:rPr>
          <w:rFonts w:ascii="Times New Roman" w:hAnsi="Times New Roman" w:cs="Times New Roman"/>
          <w:shd w:val="clear" w:color="auto" w:fill="FFFFFF" w:themeFill="background1"/>
        </w:rPr>
        <w:t xml:space="preserve"> </w:t>
      </w:r>
      <w:hyperlink r:id="rId82" w:history="1">
        <w:r>
          <w:rPr>
            <w:rStyle w:val="Hyperlink"/>
            <w:rFonts w:ascii="Times New Roman" w:hAnsi="Times New Roman" w:cs="Times New Roman"/>
          </w:rPr>
          <w:t>Commission communication</w:t>
        </w:r>
      </w:hyperlink>
      <w:r>
        <w:rPr>
          <w:rFonts w:ascii="Times New Roman" w:hAnsi="Times New Roman" w:cs="Times New Roman"/>
        </w:rPr>
        <w:t xml:space="preserve"> -</w:t>
      </w:r>
      <w:r>
        <w:rPr>
          <w:rFonts w:ascii="Times New Roman" w:hAnsi="Times New Roman" w:cs="Times New Roman"/>
          <w:shd w:val="clear" w:color="auto" w:fill="FFFFFF" w:themeFill="background1"/>
        </w:rPr>
        <w:t xml:space="preserve"> Long term action plan for better implementation and enforcement of single market rules, COM(2020) 94 final, pp. 11-12</w:t>
      </w:r>
      <w:r>
        <w:rPr>
          <w:rFonts w:ascii="Times New Roman" w:hAnsi="Times New Roman" w:cs="Times New Roman"/>
        </w:rPr>
        <w:t>, 10 March 2020.</w:t>
      </w:r>
    </w:p>
  </w:footnote>
  <w:footnote w:id="9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w:t>
      </w:r>
      <w:hyperlink r:id="rId83" w:history="1">
        <w:r>
          <w:rPr>
            <w:rStyle w:val="Hyperlink"/>
            <w:rFonts w:ascii="Times New Roman" w:hAnsi="Times New Roman" w:cs="Times New Roman"/>
          </w:rPr>
          <w:t>Customs Action Plan</w:t>
        </w:r>
      </w:hyperlink>
      <w:r>
        <w:rPr>
          <w:rFonts w:ascii="Times New Roman" w:hAnsi="Times New Roman" w:cs="Times New Roman"/>
        </w:rPr>
        <w:t>, COM(2020) 581 final, 28 September 2020.</w:t>
      </w:r>
    </w:p>
  </w:footnote>
  <w:footnote w:id="100">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the recently published reports on the functioning of the </w:t>
      </w:r>
      <w:hyperlink r:id="rId84" w:history="1">
        <w:r>
          <w:rPr>
            <w:rStyle w:val="Hyperlink"/>
            <w:rFonts w:ascii="Times New Roman" w:hAnsi="Times New Roman" w:cs="Times New Roman"/>
          </w:rPr>
          <w:t>Memorandum of Understanding on the sale of counterfeit goods on the internet</w:t>
        </w:r>
      </w:hyperlink>
      <w:r>
        <w:rPr>
          <w:rStyle w:val="Hyperlink"/>
          <w:rFonts w:ascii="Times New Roman" w:hAnsi="Times New Roman" w:cs="Times New Roman"/>
          <w:u w:val="none"/>
        </w:rPr>
        <w:t xml:space="preserve"> </w:t>
      </w:r>
      <w:r>
        <w:rPr>
          <w:rStyle w:val="Hyperlink"/>
          <w:rFonts w:ascii="Times New Roman" w:hAnsi="Times New Roman" w:cs="Times New Roman"/>
          <w:color w:val="auto"/>
          <w:u w:val="none"/>
        </w:rPr>
        <w:t xml:space="preserve">and the </w:t>
      </w:r>
      <w:hyperlink r:id="rId85" w:history="1">
        <w:r>
          <w:rPr>
            <w:rStyle w:val="Hyperlink"/>
            <w:rFonts w:ascii="Times New Roman" w:hAnsi="Times New Roman" w:cs="Times New Roman"/>
          </w:rPr>
          <w:t>Memorandum of Understanding on online advertising and IPR</w:t>
        </w:r>
      </w:hyperlink>
      <w:r>
        <w:rPr>
          <w:rStyle w:val="Hyperlink"/>
          <w:rFonts w:ascii="Times New Roman" w:hAnsi="Times New Roman" w:cs="Times New Roman"/>
          <w:color w:val="auto"/>
          <w:u w:val="none"/>
        </w:rPr>
        <w:t>.</w:t>
      </w:r>
    </w:p>
  </w:footnote>
  <w:footnote w:id="101">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Further expanding the </w:t>
      </w:r>
      <w:hyperlink r:id="rId86" w:history="1">
        <w:r>
          <w:rPr>
            <w:rStyle w:val="Hyperlink"/>
            <w:rFonts w:ascii="Times New Roman" w:hAnsi="Times New Roman" w:cs="Times New Roman"/>
          </w:rPr>
          <w:t>IP enforcement portal</w:t>
        </w:r>
      </w:hyperlink>
      <w:r>
        <w:rPr>
          <w:rFonts w:ascii="Times New Roman" w:hAnsi="Times New Roman" w:cs="Times New Roman"/>
          <w:u w:val="single"/>
        </w:rPr>
        <w:t xml:space="preserve"> </w:t>
      </w:r>
      <w:r>
        <w:rPr>
          <w:rFonts w:ascii="Times New Roman" w:hAnsi="Times New Roman" w:cs="Times New Roman"/>
        </w:rPr>
        <w:t xml:space="preserve">managed by the EUIPO </w:t>
      </w:r>
      <w:r>
        <w:rPr>
          <w:rFonts w:ascii="Times New Roman" w:hAnsi="Times New Roman" w:cs="Times New Roman"/>
          <w:lang w:val="en-US"/>
        </w:rPr>
        <w:t>will also</w:t>
      </w:r>
      <w:r>
        <w:rPr>
          <w:rFonts w:ascii="Times New Roman" w:hAnsi="Times New Roman" w:cs="Times New Roman"/>
        </w:rPr>
        <w:t xml:space="preserve"> allow more effective exchange of data between all relevant players. For example, expansion will include the integration of </w:t>
      </w:r>
      <w:r>
        <w:rPr>
          <w:rFonts w:ascii="Times New Roman" w:hAnsi="Times New Roman" w:cs="Times New Roman"/>
          <w:lang w:val="en-US"/>
        </w:rPr>
        <w:t>data on IPRs not yet c</w:t>
      </w:r>
      <w:r>
        <w:rPr>
          <w:rFonts w:ascii="Times New Roman" w:hAnsi="Times New Roman" w:cs="Times New Roman"/>
          <w:lang w:val="en-US"/>
        </w:rPr>
        <w:t>overed by the portal, such as plant variety rights and GIs.</w:t>
      </w:r>
      <w:r>
        <w:rPr>
          <w:rFonts w:ascii="Times New Roman" w:hAnsi="Times New Roman" w:cs="Times New Roman"/>
        </w:rPr>
        <w:t xml:space="preserve"> </w:t>
      </w:r>
    </w:p>
  </w:footnote>
  <w:footnote w:id="102">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instance, the </w:t>
      </w:r>
      <w:hyperlink r:id="rId87" w:history="1">
        <w:r>
          <w:rPr>
            <w:rStyle w:val="Hyperlink"/>
            <w:rFonts w:ascii="Times New Roman" w:hAnsi="Times New Roman" w:cs="Times New Roman"/>
          </w:rPr>
          <w:t>Anti-Counterfeiting Blockathon Forum</w:t>
        </w:r>
      </w:hyperlink>
      <w:r>
        <w:rPr>
          <w:rFonts w:ascii="Times New Roman" w:hAnsi="Times New Roman" w:cs="Times New Roman"/>
        </w:rPr>
        <w:t xml:space="preserve"> of the EUIPO Observatory, which aims to build a comm</w:t>
      </w:r>
      <w:r>
        <w:rPr>
          <w:rFonts w:ascii="Times New Roman" w:hAnsi="Times New Roman" w:cs="Times New Roman"/>
        </w:rPr>
        <w:t>on blockchain infrastructure where all parties (intermediaries, right holders and law enforcement authorities) can connect and share data to protect the supply chains against infiltration of counterfeit goods.</w:t>
      </w:r>
    </w:p>
  </w:footnote>
  <w:footnote w:id="103">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See: </w:t>
      </w:r>
      <w:hyperlink r:id="rId88" w:history="1">
        <w:r>
          <w:rPr>
            <w:rStyle w:val="Hyperlink"/>
            <w:rFonts w:ascii="Times New Roman" w:hAnsi="Times New Roman" w:cs="Times New Roman"/>
            <w:shd w:val="clear" w:color="auto" w:fill="FFFFFF"/>
          </w:rPr>
          <w:t>OLAF launches enquiry into fake COVID-19 related products</w:t>
        </w:r>
      </w:hyperlink>
      <w:r>
        <w:rPr>
          <w:rFonts w:ascii="Times New Roman" w:hAnsi="Times New Roman" w:cs="Times New Roman"/>
          <w:lang w:val="en-IE"/>
        </w:rPr>
        <w:t xml:space="preserve">. See also: </w:t>
      </w:r>
      <w:hyperlink r:id="rId89" w:history="1">
        <w:r>
          <w:rPr>
            <w:rStyle w:val="Hyperlink"/>
            <w:rFonts w:ascii="Times New Roman" w:hAnsi="Times New Roman" w:cs="Times New Roman"/>
            <w:lang w:val="en-IE"/>
          </w:rPr>
          <w:t>Overview</w:t>
        </w:r>
      </w:hyperlink>
      <w:r>
        <w:rPr>
          <w:rFonts w:ascii="Times New Roman" w:hAnsi="Times New Roman" w:cs="Times New Roman"/>
          <w:lang w:val="en-IE"/>
        </w:rPr>
        <w:t xml:space="preserve"> of the illegal activities and actions, and </w:t>
      </w:r>
      <w:hyperlink r:id="rId90" w:history="1">
        <w:r>
          <w:rPr>
            <w:rStyle w:val="Hyperlink"/>
            <w:rFonts w:ascii="Times New Roman" w:hAnsi="Times New Roman" w:cs="Times New Roman"/>
            <w:lang w:val="en-IE"/>
          </w:rPr>
          <w:t>Scams related to COVID-19</w:t>
        </w:r>
      </w:hyperlink>
      <w:r>
        <w:rPr>
          <w:rFonts w:ascii="Times New Roman" w:hAnsi="Times New Roman" w:cs="Times New Roman"/>
          <w:lang w:val="en-IE"/>
        </w:rPr>
        <w:t>.</w:t>
      </w:r>
    </w:p>
  </w:footnote>
  <w:footnote w:id="10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Consumer Centres work on educational material to raise awareness among consumers on the risks of counterfeit goods. </w:t>
      </w:r>
      <w:hyperlink r:id="rId91" w:history="1">
        <w:r>
          <w:rPr>
            <w:rStyle w:val="Hyperlink"/>
            <w:rFonts w:ascii="Times New Roman" w:hAnsi="Times New Roman" w:cs="Times New Roman"/>
          </w:rPr>
          <w:t>Tips and tricks to consumers</w:t>
        </w:r>
      </w:hyperlink>
      <w:r>
        <w:rPr>
          <w:rFonts w:ascii="Times New Roman" w:hAnsi="Times New Roman" w:cs="Times New Roman"/>
        </w:rPr>
        <w:t xml:space="preserve"> and </w:t>
      </w:r>
      <w:hyperlink r:id="rId92" w:history="1">
        <w:r>
          <w:rPr>
            <w:rStyle w:val="Hyperlink"/>
            <w:rFonts w:ascii="Times New Roman" w:hAnsi="Times New Roman" w:cs="Times New Roman"/>
          </w:rPr>
          <w:t>ECC Report on coun</w:t>
        </w:r>
        <w:r>
          <w:rPr>
            <w:rStyle w:val="Hyperlink"/>
            <w:rFonts w:ascii="Times New Roman" w:hAnsi="Times New Roman" w:cs="Times New Roman"/>
          </w:rPr>
          <w:t>terfeiting</w:t>
        </w:r>
      </w:hyperlink>
      <w:r>
        <w:rPr>
          <w:rFonts w:ascii="Times New Roman" w:hAnsi="Times New Roman" w:cs="Times New Roman"/>
        </w:rPr>
        <w:t>.</w:t>
      </w:r>
    </w:p>
  </w:footnote>
  <w:footnote w:id="105">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Security Union Strategy, COM(2020) 605 final (page 25).</w:t>
      </w:r>
    </w:p>
  </w:footnote>
  <w:footnote w:id="106">
    <w:p w:rsidR="009C2369" w:rsidRDefault="00FC21F0">
      <w:pPr>
        <w:pStyle w:val="FootnoteText"/>
        <w:spacing w:after="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hyperlink r:id="rId93" w:history="1">
        <w:r>
          <w:rPr>
            <w:rStyle w:val="Hyperlink"/>
            <w:rFonts w:ascii="Times New Roman" w:hAnsi="Times New Roman" w:cs="Times New Roman"/>
            <w:lang w:val="en-IE"/>
          </w:rPr>
          <w:t>2019 Status report on IPR infringement</w:t>
        </w:r>
      </w:hyperlink>
      <w:r>
        <w:rPr>
          <w:rFonts w:ascii="Times New Roman" w:hAnsi="Times New Roman" w:cs="Times New Roman"/>
          <w:lang w:val="en-IE"/>
        </w:rPr>
        <w:t xml:space="preserve">, European Observatory on </w:t>
      </w:r>
      <w:r>
        <w:rPr>
          <w:rFonts w:ascii="Times New Roman" w:hAnsi="Times New Roman" w:cs="Times New Roman"/>
        </w:rPr>
        <w:t>Infringements</w:t>
      </w:r>
      <w:r>
        <w:rPr>
          <w:rFonts w:ascii="Times New Roman" w:hAnsi="Times New Roman" w:cs="Times New Roman"/>
          <w:lang w:val="en-IE"/>
        </w:rPr>
        <w:t xml:space="preserve"> of IPR, 2019.</w:t>
      </w:r>
    </w:p>
  </w:footnote>
  <w:footnote w:id="107">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e.g. </w:t>
      </w:r>
      <w:hyperlink r:id="rId94" w:history="1">
        <w:r>
          <w:rPr>
            <w:rStyle w:val="Hyperlink"/>
            <w:rFonts w:ascii="Times New Roman" w:hAnsi="Times New Roman" w:cs="Times New Roman"/>
          </w:rPr>
          <w:t>Dec</w:t>
        </w:r>
        <w:r>
          <w:rPr>
            <w:rStyle w:val="Hyperlink"/>
            <w:rFonts w:ascii="Times New Roman" w:hAnsi="Times New Roman" w:cs="Times New Roman"/>
          </w:rPr>
          <w:t>laration adopted by G7 countries</w:t>
        </w:r>
      </w:hyperlink>
      <w:r>
        <w:rPr>
          <w:rFonts w:ascii="Times New Roman" w:hAnsi="Times New Roman" w:cs="Times New Roman"/>
        </w:rPr>
        <w:t xml:space="preserve"> in 2019.</w:t>
      </w:r>
    </w:p>
  </w:footnote>
  <w:footnote w:id="108">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5" w:history="1">
        <w:r>
          <w:rPr>
            <w:rStyle w:val="Hyperlink"/>
            <w:rFonts w:ascii="Times New Roman" w:hAnsi="Times New Roman" w:cs="Times New Roman"/>
          </w:rPr>
          <w:t>Report from the Commission</w:t>
        </w:r>
      </w:hyperlink>
      <w:r>
        <w:rPr>
          <w:rFonts w:ascii="Times New Roman" w:hAnsi="Times New Roman" w:cs="Times New Roman"/>
        </w:rPr>
        <w:t xml:space="preserve"> on the protection and enforcement of intellectual property rights in third countries, SWD(2019) 452</w:t>
      </w:r>
      <w:r>
        <w:rPr>
          <w:rFonts w:ascii="Times New Roman" w:hAnsi="Times New Roman" w:cs="Times New Roman"/>
        </w:rPr>
        <w:t xml:space="preserve"> final/2.</w:t>
      </w:r>
    </w:p>
  </w:footnote>
  <w:footnote w:id="109">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6" w:history="1">
        <w:r>
          <w:rPr>
            <w:rStyle w:val="Hyperlink"/>
            <w:rFonts w:ascii="Times New Roman" w:hAnsi="Times New Roman" w:cs="Times New Roman"/>
          </w:rPr>
          <w:t>SWD(2018)492</w:t>
        </w:r>
      </w:hyperlink>
      <w:r>
        <w:rPr>
          <w:rStyle w:val="Hyperlink"/>
          <w:rFonts w:ascii="Times New Roman" w:hAnsi="Times New Roman" w:cs="Times New Roman"/>
          <w:color w:val="auto"/>
          <w:u w:val="none"/>
        </w:rPr>
        <w:t>.</w:t>
      </w:r>
      <w:r>
        <w:rPr>
          <w:rFonts w:ascii="Times New Roman" w:hAnsi="Times New Roman" w:cs="Times New Roman"/>
        </w:rPr>
        <w:t xml:space="preserve"> </w:t>
      </w:r>
    </w:p>
  </w:footnote>
  <w:footnote w:id="110">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7" w:history="1">
        <w:r>
          <w:rPr>
            <w:rStyle w:val="Hyperlink"/>
            <w:rFonts w:ascii="Times New Roman" w:hAnsi="Times New Roman" w:cs="Times New Roman"/>
          </w:rPr>
          <w:t>SWD(2019)452</w:t>
        </w:r>
      </w:hyperlink>
      <w:r>
        <w:rPr>
          <w:rFonts w:ascii="Times New Roman" w:hAnsi="Times New Roman" w:cs="Times New Roman"/>
        </w:rPr>
        <w:t>.</w:t>
      </w:r>
    </w:p>
  </w:footnote>
  <w:footnote w:id="111">
    <w:p w:rsidR="009C2369" w:rsidRDefault="00FC21F0">
      <w:pPr>
        <w:pStyle w:val="FootnoteText"/>
        <w:spacing w:after="0"/>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hyperlink r:id="rId98" w:history="1">
        <w:r>
          <w:rPr>
            <w:rStyle w:val="Hyperlink"/>
            <w:rFonts w:ascii="Times New Roman" w:hAnsi="Times New Roman" w:cs="Times New Roman"/>
            <w:lang w:val="en-US"/>
          </w:rPr>
          <w:t>Commission communication</w:t>
        </w:r>
      </w:hyperlink>
      <w:r>
        <w:rPr>
          <w:rFonts w:ascii="Times New Roman" w:hAnsi="Times New Roman" w:cs="Times New Roman"/>
          <w:lang w:val="en-US"/>
        </w:rPr>
        <w:t xml:space="preserve"> – </w:t>
      </w:r>
      <w:r>
        <w:rPr>
          <w:rFonts w:ascii="Times New Roman" w:hAnsi="Times New Roman" w:cs="Times New Roman"/>
          <w:bCs/>
          <w:lang w:val="en-US"/>
        </w:rPr>
        <w:t>Guidance to the Member States concerning foreign direct investment and free movement of capital from third countries, and the pr</w:t>
      </w:r>
      <w:r>
        <w:rPr>
          <w:rFonts w:ascii="Times New Roman" w:hAnsi="Times New Roman" w:cs="Times New Roman"/>
          <w:bCs/>
          <w:lang w:val="en-US"/>
        </w:rPr>
        <w:t xml:space="preserve">otection of Europe’s strategic assets, ahead of the application of Regulation (EU) 2019/452 (FDI Screening Regulation) </w:t>
      </w:r>
      <w:r>
        <w:rPr>
          <w:rFonts w:ascii="Times New Roman" w:hAnsi="Times New Roman" w:cs="Times New Roman"/>
          <w:lang w:val="en-US"/>
        </w:rPr>
        <w:t>(2020/C 99 I/01).</w:t>
      </w:r>
      <w:r>
        <w:rPr>
          <w:rFonts w:ascii="Times New Roman" w:hAnsi="Times New Roman" w:cs="Times New Roman"/>
          <w:sz w:val="24"/>
          <w:szCs w:val="24"/>
          <w:lang w:val="en-US"/>
        </w:rPr>
        <w:t xml:space="preserve"> </w:t>
      </w:r>
      <w:r>
        <w:rPr>
          <w:rFonts w:ascii="Times New Roman" w:hAnsi="Times New Roman" w:cs="Times New Roman"/>
          <w:lang w:val="en-US"/>
        </w:rPr>
        <w:t>For example, technologies for the manufacture of PPEs or future vaccines.</w:t>
      </w:r>
    </w:p>
  </w:footnote>
  <w:footnote w:id="112">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9" w:history="1">
        <w:r>
          <w:rPr>
            <w:rStyle w:val="Hyperlink"/>
            <w:rFonts w:ascii="Times New Roman" w:hAnsi="Times New Roman" w:cs="Times New Roman"/>
          </w:rPr>
          <w:t>Council Decision (CFSP) 2020/1127</w:t>
        </w:r>
      </w:hyperlink>
      <w:r>
        <w:rPr>
          <w:rFonts w:ascii="Times New Roman" w:hAnsi="Times New Roman" w:cs="Times New Roman"/>
        </w:rPr>
        <w:t>.</w:t>
      </w:r>
    </w:p>
  </w:footnote>
  <w:footnote w:id="113">
    <w:p w:rsidR="009C2369" w:rsidRDefault="00FC21F0">
      <w:pPr>
        <w:pStyle w:val="FootnoteText"/>
        <w:spacing w:after="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hyperlink r:id="rId100" w:history="1">
        <w:r>
          <w:rPr>
            <w:rStyle w:val="Hyperlink"/>
            <w:rFonts w:ascii="Times New Roman" w:hAnsi="Times New Roman" w:cs="Times New Roman"/>
            <w:lang w:val="en-IE"/>
          </w:rPr>
          <w:t>International IP SME Helpdesk</w:t>
        </w:r>
      </w:hyperlink>
      <w:r>
        <w:rPr>
          <w:rFonts w:ascii="Times New Roman" w:hAnsi="Times New Roman" w:cs="Times New Roman"/>
          <w:lang w:val="en-IE"/>
        </w:rPr>
        <w:t xml:space="preserve">. </w:t>
      </w:r>
    </w:p>
  </w:footnote>
  <w:footnote w:id="114">
    <w:p w:rsidR="009C2369" w:rsidRDefault="00FC21F0">
      <w:pPr>
        <w:pStyle w:val="FootnoteText"/>
        <w:spacing w:after="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1" w:history="1">
        <w:r>
          <w:rPr>
            <w:rStyle w:val="Hyperlink"/>
            <w:rFonts w:ascii="Times New Roman" w:hAnsi="Times New Roman" w:cs="Times New Roman"/>
          </w:rPr>
          <w:t>Continental strategy for geographical indications in Africa 2018-2023</w:t>
        </w:r>
      </w:hyperlink>
      <w:r>
        <w:rPr>
          <w:rFonts w:ascii="Times New Roman" w:hAnsi="Times New Roman" w:cs="Times New Roman"/>
        </w:rPr>
        <w:t>.</w:t>
      </w:r>
    </w:p>
  </w:footnote>
  <w:footnote w:id="115">
    <w:p w:rsidR="009C2369" w:rsidRDefault="00FC21F0">
      <w:pPr>
        <w:pStyle w:val="FootnoteText"/>
        <w:spacing w:after="0"/>
        <w:jc w:val="both"/>
        <w:rPr>
          <w:rFonts w:ascii="Times New Roman" w:hAnsi="Times New Roman" w:cs="Times New Roman"/>
          <w:sz w:val="18"/>
          <w:szCs w:val="18"/>
          <w:highlight w:val="yellow"/>
        </w:rPr>
      </w:pPr>
      <w:r>
        <w:rPr>
          <w:rStyle w:val="FootnoteReference"/>
          <w:rFonts w:ascii="Times New Roman" w:hAnsi="Times New Roman" w:cs="Times New Roman"/>
          <w:szCs w:val="18"/>
        </w:rPr>
        <w:footnoteRef/>
      </w:r>
      <w:r>
        <w:rPr>
          <w:rFonts w:ascii="Times New Roman" w:hAnsi="Times New Roman" w:cs="Times New Roman"/>
          <w:szCs w:val="18"/>
        </w:rPr>
        <w:t xml:space="preserve"> </w:t>
      </w:r>
      <w:hyperlink r:id="rId102" w:history="1">
        <w:r>
          <w:rPr>
            <w:rStyle w:val="Hyperlink"/>
            <w:rFonts w:ascii="Times New Roman" w:hAnsi="Times New Roman" w:cs="Times New Roman"/>
            <w:szCs w:val="18"/>
          </w:rPr>
          <w:t>The Africa-EU Partnership</w:t>
        </w:r>
      </w:hyperlink>
      <w:r>
        <w:rPr>
          <w:rFonts w:ascii="Times New Roman" w:hAnsi="Times New Roman" w:cs="Times New Roman"/>
          <w:szCs w:val="18"/>
        </w:rPr>
        <w:t xml:space="preserve">. </w:t>
      </w:r>
    </w:p>
  </w:footnote>
  <w:footnote w:id="116">
    <w:p w:rsidR="009C2369" w:rsidRDefault="00FC21F0">
      <w:pPr>
        <w:pStyle w:val="FootnoteText"/>
        <w:spacing w:after="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03" w:history="1">
        <w:r>
          <w:rPr>
            <w:rStyle w:val="Hyperlink"/>
            <w:rFonts w:ascii="Times New Roman" w:hAnsi="Times New Roman" w:cs="Times New Roman"/>
          </w:rPr>
          <w:t>2020 Strategic Foresight Report</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69" w:rsidRDefault="009C2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CB"/>
    <w:multiLevelType w:val="hybridMultilevel"/>
    <w:tmpl w:val="C436D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702645"/>
    <w:multiLevelType w:val="hybridMultilevel"/>
    <w:tmpl w:val="9AC8729A"/>
    <w:lvl w:ilvl="0" w:tplc="080C0001">
      <w:start w:val="1"/>
      <w:numFmt w:val="bullet"/>
      <w:lvlText w:val=""/>
      <w:lvlJc w:val="left"/>
      <w:pPr>
        <w:tabs>
          <w:tab w:val="num" w:pos="720"/>
        </w:tabs>
        <w:ind w:left="720" w:hanging="360"/>
      </w:pPr>
      <w:rPr>
        <w:rFonts w:ascii="Symbol" w:hAnsi="Symbol" w:hint="default"/>
      </w:rPr>
    </w:lvl>
    <w:lvl w:ilvl="1" w:tplc="22462764" w:tentative="1">
      <w:start w:val="1"/>
      <w:numFmt w:val="bullet"/>
      <w:lvlText w:val="•"/>
      <w:lvlJc w:val="left"/>
      <w:pPr>
        <w:tabs>
          <w:tab w:val="num" w:pos="1440"/>
        </w:tabs>
        <w:ind w:left="1440" w:hanging="360"/>
      </w:pPr>
      <w:rPr>
        <w:rFonts w:ascii="Arial" w:hAnsi="Arial" w:hint="default"/>
      </w:rPr>
    </w:lvl>
    <w:lvl w:ilvl="2" w:tplc="B4EC6900" w:tentative="1">
      <w:start w:val="1"/>
      <w:numFmt w:val="bullet"/>
      <w:lvlText w:val="•"/>
      <w:lvlJc w:val="left"/>
      <w:pPr>
        <w:tabs>
          <w:tab w:val="num" w:pos="2160"/>
        </w:tabs>
        <w:ind w:left="2160" w:hanging="360"/>
      </w:pPr>
      <w:rPr>
        <w:rFonts w:ascii="Arial" w:hAnsi="Arial" w:hint="default"/>
      </w:rPr>
    </w:lvl>
    <w:lvl w:ilvl="3" w:tplc="8CA05F34" w:tentative="1">
      <w:start w:val="1"/>
      <w:numFmt w:val="bullet"/>
      <w:lvlText w:val="•"/>
      <w:lvlJc w:val="left"/>
      <w:pPr>
        <w:tabs>
          <w:tab w:val="num" w:pos="2880"/>
        </w:tabs>
        <w:ind w:left="2880" w:hanging="360"/>
      </w:pPr>
      <w:rPr>
        <w:rFonts w:ascii="Arial" w:hAnsi="Arial" w:hint="default"/>
      </w:rPr>
    </w:lvl>
    <w:lvl w:ilvl="4" w:tplc="A3965932" w:tentative="1">
      <w:start w:val="1"/>
      <w:numFmt w:val="bullet"/>
      <w:lvlText w:val="•"/>
      <w:lvlJc w:val="left"/>
      <w:pPr>
        <w:tabs>
          <w:tab w:val="num" w:pos="3600"/>
        </w:tabs>
        <w:ind w:left="3600" w:hanging="360"/>
      </w:pPr>
      <w:rPr>
        <w:rFonts w:ascii="Arial" w:hAnsi="Arial" w:hint="default"/>
      </w:rPr>
    </w:lvl>
    <w:lvl w:ilvl="5" w:tplc="39C49318" w:tentative="1">
      <w:start w:val="1"/>
      <w:numFmt w:val="bullet"/>
      <w:lvlText w:val="•"/>
      <w:lvlJc w:val="left"/>
      <w:pPr>
        <w:tabs>
          <w:tab w:val="num" w:pos="4320"/>
        </w:tabs>
        <w:ind w:left="4320" w:hanging="360"/>
      </w:pPr>
      <w:rPr>
        <w:rFonts w:ascii="Arial" w:hAnsi="Arial" w:hint="default"/>
      </w:rPr>
    </w:lvl>
    <w:lvl w:ilvl="6" w:tplc="95707ECC" w:tentative="1">
      <w:start w:val="1"/>
      <w:numFmt w:val="bullet"/>
      <w:lvlText w:val="•"/>
      <w:lvlJc w:val="left"/>
      <w:pPr>
        <w:tabs>
          <w:tab w:val="num" w:pos="5040"/>
        </w:tabs>
        <w:ind w:left="5040" w:hanging="360"/>
      </w:pPr>
      <w:rPr>
        <w:rFonts w:ascii="Arial" w:hAnsi="Arial" w:hint="default"/>
      </w:rPr>
    </w:lvl>
    <w:lvl w:ilvl="7" w:tplc="DC5EB6DE" w:tentative="1">
      <w:start w:val="1"/>
      <w:numFmt w:val="bullet"/>
      <w:lvlText w:val="•"/>
      <w:lvlJc w:val="left"/>
      <w:pPr>
        <w:tabs>
          <w:tab w:val="num" w:pos="5760"/>
        </w:tabs>
        <w:ind w:left="5760" w:hanging="360"/>
      </w:pPr>
      <w:rPr>
        <w:rFonts w:ascii="Arial" w:hAnsi="Arial" w:hint="default"/>
      </w:rPr>
    </w:lvl>
    <w:lvl w:ilvl="8" w:tplc="17E402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7E1B4C"/>
    <w:multiLevelType w:val="hybridMultilevel"/>
    <w:tmpl w:val="CA466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9F65E40"/>
    <w:multiLevelType w:val="hybridMultilevel"/>
    <w:tmpl w:val="30C0B7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1E22D63"/>
    <w:multiLevelType w:val="hybridMultilevel"/>
    <w:tmpl w:val="960251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3C7922"/>
    <w:multiLevelType w:val="hybridMultilevel"/>
    <w:tmpl w:val="DCDA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57DE7"/>
    <w:multiLevelType w:val="hybridMultilevel"/>
    <w:tmpl w:val="7B9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52709"/>
    <w:multiLevelType w:val="hybridMultilevel"/>
    <w:tmpl w:val="5FD04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9A4BDD"/>
    <w:multiLevelType w:val="hybridMultilevel"/>
    <w:tmpl w:val="186E7C56"/>
    <w:lvl w:ilvl="0" w:tplc="33A25AE2">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C90629"/>
    <w:multiLevelType w:val="hybridMultilevel"/>
    <w:tmpl w:val="21505F7E"/>
    <w:lvl w:ilvl="0" w:tplc="BBAC3CFA">
      <w:start w:val="1"/>
      <w:numFmt w:val="bullet"/>
      <w:lvlText w:val=""/>
      <w:lvlJc w:val="left"/>
      <w:pPr>
        <w:ind w:left="720" w:hanging="360"/>
      </w:pPr>
      <w:rPr>
        <w:rFonts w:ascii="Symbol" w:hAnsi="Symbol"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00363"/>
    <w:multiLevelType w:val="hybridMultilevel"/>
    <w:tmpl w:val="3D4A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BD44E8"/>
    <w:multiLevelType w:val="hybridMultilevel"/>
    <w:tmpl w:val="70E45718"/>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322E81"/>
    <w:multiLevelType w:val="hybridMultilevel"/>
    <w:tmpl w:val="74960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D974AD"/>
    <w:multiLevelType w:val="hybridMultilevel"/>
    <w:tmpl w:val="BDE23454"/>
    <w:lvl w:ilvl="0" w:tplc="FBA0CE60">
      <w:start w:val="1"/>
      <w:numFmt w:val="bullet"/>
      <w:lvlText w:val=""/>
      <w:lvlJc w:val="left"/>
      <w:pPr>
        <w:ind w:left="720" w:hanging="360"/>
      </w:pPr>
      <w:rPr>
        <w:rFonts w:ascii="Symbol" w:hAnsi="Symbol" w:hint="default"/>
      </w:rPr>
    </w:lvl>
    <w:lvl w:ilvl="1" w:tplc="B858AF66">
      <w:start w:val="1"/>
      <w:numFmt w:val="bullet"/>
      <w:lvlText w:val="o"/>
      <w:lvlJc w:val="left"/>
      <w:pPr>
        <w:ind w:left="1440" w:hanging="360"/>
      </w:pPr>
      <w:rPr>
        <w:rFonts w:ascii="Courier New" w:hAnsi="Courier New" w:hint="default"/>
      </w:rPr>
    </w:lvl>
    <w:lvl w:ilvl="2" w:tplc="5E36BF94">
      <w:start w:val="1"/>
      <w:numFmt w:val="bullet"/>
      <w:lvlText w:val=""/>
      <w:lvlJc w:val="left"/>
      <w:pPr>
        <w:ind w:left="2160" w:hanging="360"/>
      </w:pPr>
      <w:rPr>
        <w:rFonts w:ascii="Wingdings" w:hAnsi="Wingdings" w:hint="default"/>
      </w:rPr>
    </w:lvl>
    <w:lvl w:ilvl="3" w:tplc="07746604">
      <w:start w:val="1"/>
      <w:numFmt w:val="bullet"/>
      <w:lvlText w:val=""/>
      <w:lvlJc w:val="left"/>
      <w:pPr>
        <w:ind w:left="2880" w:hanging="360"/>
      </w:pPr>
      <w:rPr>
        <w:rFonts w:ascii="Symbol" w:hAnsi="Symbol" w:hint="default"/>
      </w:rPr>
    </w:lvl>
    <w:lvl w:ilvl="4" w:tplc="085289F0">
      <w:start w:val="1"/>
      <w:numFmt w:val="bullet"/>
      <w:lvlText w:val="o"/>
      <w:lvlJc w:val="left"/>
      <w:pPr>
        <w:ind w:left="3600" w:hanging="360"/>
      </w:pPr>
      <w:rPr>
        <w:rFonts w:ascii="Courier New" w:hAnsi="Courier New" w:hint="default"/>
      </w:rPr>
    </w:lvl>
    <w:lvl w:ilvl="5" w:tplc="2BB66C6C">
      <w:start w:val="1"/>
      <w:numFmt w:val="bullet"/>
      <w:lvlText w:val=""/>
      <w:lvlJc w:val="left"/>
      <w:pPr>
        <w:ind w:left="4320" w:hanging="360"/>
      </w:pPr>
      <w:rPr>
        <w:rFonts w:ascii="Wingdings" w:hAnsi="Wingdings" w:hint="default"/>
      </w:rPr>
    </w:lvl>
    <w:lvl w:ilvl="6" w:tplc="C56E9DA0">
      <w:start w:val="1"/>
      <w:numFmt w:val="bullet"/>
      <w:lvlText w:val=""/>
      <w:lvlJc w:val="left"/>
      <w:pPr>
        <w:ind w:left="5040" w:hanging="360"/>
      </w:pPr>
      <w:rPr>
        <w:rFonts w:ascii="Symbol" w:hAnsi="Symbol" w:hint="default"/>
      </w:rPr>
    </w:lvl>
    <w:lvl w:ilvl="7" w:tplc="8430C052">
      <w:start w:val="1"/>
      <w:numFmt w:val="bullet"/>
      <w:lvlText w:val="o"/>
      <w:lvlJc w:val="left"/>
      <w:pPr>
        <w:ind w:left="5760" w:hanging="360"/>
      </w:pPr>
      <w:rPr>
        <w:rFonts w:ascii="Courier New" w:hAnsi="Courier New" w:hint="default"/>
      </w:rPr>
    </w:lvl>
    <w:lvl w:ilvl="8" w:tplc="C00C2388">
      <w:start w:val="1"/>
      <w:numFmt w:val="bullet"/>
      <w:lvlText w:val=""/>
      <w:lvlJc w:val="left"/>
      <w:pPr>
        <w:ind w:left="6480" w:hanging="360"/>
      </w:pPr>
      <w:rPr>
        <w:rFonts w:ascii="Wingdings" w:hAnsi="Wingdings" w:hint="default"/>
      </w:rPr>
    </w:lvl>
  </w:abstractNum>
  <w:abstractNum w:abstractNumId="14" w15:restartNumberingAfterBreak="0">
    <w:nsid w:val="2CBF51F3"/>
    <w:multiLevelType w:val="multilevel"/>
    <w:tmpl w:val="372AC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5454A9"/>
    <w:multiLevelType w:val="hybridMultilevel"/>
    <w:tmpl w:val="2EA86A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514443"/>
    <w:multiLevelType w:val="hybridMultilevel"/>
    <w:tmpl w:val="78AAB69A"/>
    <w:lvl w:ilvl="0" w:tplc="FEFC8F3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7E038C"/>
    <w:multiLevelType w:val="hybridMultilevel"/>
    <w:tmpl w:val="836EA88A"/>
    <w:lvl w:ilvl="0" w:tplc="ED846C16">
      <w:start w:val="1"/>
      <w:numFmt w:val="bullet"/>
      <w:pStyle w:val="LTTBody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7A5779E"/>
    <w:multiLevelType w:val="hybridMultilevel"/>
    <w:tmpl w:val="5412B02C"/>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7B42773"/>
    <w:multiLevelType w:val="hybridMultilevel"/>
    <w:tmpl w:val="1DB8A334"/>
    <w:lvl w:ilvl="0" w:tplc="D4EE276C">
      <w:start w:val="1"/>
      <w:numFmt w:val="upperRoman"/>
      <w:lvlText w:val="%1."/>
      <w:lvlJc w:val="left"/>
      <w:pPr>
        <w:ind w:left="720" w:hanging="360"/>
      </w:pPr>
      <w:rPr>
        <w:rFonts w:ascii="Times New Roman" w:hAnsi="Times New Roman" w:hint="default"/>
        <w:b w:val="0"/>
        <w:i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1542D6"/>
    <w:multiLevelType w:val="hybridMultilevel"/>
    <w:tmpl w:val="B1E0876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Times New Roman"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Times New Roman"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Times New Roman" w:hint="default"/>
      </w:rPr>
    </w:lvl>
    <w:lvl w:ilvl="8" w:tplc="080C0005">
      <w:start w:val="1"/>
      <w:numFmt w:val="bullet"/>
      <w:lvlText w:val=""/>
      <w:lvlJc w:val="left"/>
      <w:pPr>
        <w:ind w:left="6120" w:hanging="360"/>
      </w:pPr>
      <w:rPr>
        <w:rFonts w:ascii="Wingdings" w:hAnsi="Wingdings" w:hint="default"/>
      </w:rPr>
    </w:lvl>
  </w:abstractNum>
  <w:abstractNum w:abstractNumId="21" w15:restartNumberingAfterBreak="0">
    <w:nsid w:val="3B1D0BCE"/>
    <w:multiLevelType w:val="hybridMultilevel"/>
    <w:tmpl w:val="2DB4C3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952DED"/>
    <w:multiLevelType w:val="hybridMultilevel"/>
    <w:tmpl w:val="4752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F195F"/>
    <w:multiLevelType w:val="hybridMultilevel"/>
    <w:tmpl w:val="EDC2E2EA"/>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F4E4E9A"/>
    <w:multiLevelType w:val="hybridMultilevel"/>
    <w:tmpl w:val="5EC64E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5614B48"/>
    <w:multiLevelType w:val="hybridMultilevel"/>
    <w:tmpl w:val="305A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15C9B"/>
    <w:multiLevelType w:val="hybridMultilevel"/>
    <w:tmpl w:val="F7EA72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D39518B"/>
    <w:multiLevelType w:val="hybridMultilevel"/>
    <w:tmpl w:val="F550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5004B"/>
    <w:multiLevelType w:val="hybridMultilevel"/>
    <w:tmpl w:val="B80C1C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59571564"/>
    <w:multiLevelType w:val="hybridMultilevel"/>
    <w:tmpl w:val="85C6A2CE"/>
    <w:lvl w:ilvl="0" w:tplc="8F1E15CC">
      <w:start w:val="2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67575"/>
    <w:multiLevelType w:val="hybridMultilevel"/>
    <w:tmpl w:val="FA180A98"/>
    <w:lvl w:ilvl="0" w:tplc="BBAC3C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D78B2"/>
    <w:multiLevelType w:val="hybridMultilevel"/>
    <w:tmpl w:val="78B070FA"/>
    <w:lvl w:ilvl="0" w:tplc="F98295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875BF"/>
    <w:multiLevelType w:val="multilevel"/>
    <w:tmpl w:val="0809001F"/>
    <w:lvl w:ilvl="0">
      <w:start w:val="1"/>
      <w:numFmt w:val="decimal"/>
      <w:lvlText w:val="%1."/>
      <w:lvlJc w:val="left"/>
      <w:pPr>
        <w:ind w:left="360" w:hanging="360"/>
      </w:pPr>
    </w:lvl>
    <w:lvl w:ilvl="1">
      <w:start w:val="1"/>
      <w:numFmt w:val="decimal"/>
      <w:lvlText w:val="%1.%2."/>
      <w:lvlJc w:val="left"/>
      <w:pPr>
        <w:ind w:left="596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272FFA"/>
    <w:multiLevelType w:val="hybridMultilevel"/>
    <w:tmpl w:val="726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21E5E"/>
    <w:multiLevelType w:val="hybridMultilevel"/>
    <w:tmpl w:val="73FE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3B3ACF"/>
    <w:multiLevelType w:val="hybridMultilevel"/>
    <w:tmpl w:val="BC989A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24B2F68"/>
    <w:multiLevelType w:val="hybridMultilevel"/>
    <w:tmpl w:val="52B6815A"/>
    <w:lvl w:ilvl="0" w:tplc="86EC95A4">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8A30646"/>
    <w:multiLevelType w:val="hybridMultilevel"/>
    <w:tmpl w:val="B41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D616723"/>
    <w:multiLevelType w:val="hybridMultilevel"/>
    <w:tmpl w:val="120CAF50"/>
    <w:lvl w:ilvl="0" w:tplc="806C174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2555AA"/>
    <w:multiLevelType w:val="hybridMultilevel"/>
    <w:tmpl w:val="4CC80EAA"/>
    <w:lvl w:ilvl="0" w:tplc="8E42EF4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F6D7973"/>
    <w:multiLevelType w:val="hybridMultilevel"/>
    <w:tmpl w:val="07AC97A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1" w15:restartNumberingAfterBreak="0">
    <w:nsid w:val="705712DD"/>
    <w:multiLevelType w:val="hybridMultilevel"/>
    <w:tmpl w:val="EE000012"/>
    <w:lvl w:ilvl="0" w:tplc="1F0679D8">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11C119C"/>
    <w:multiLevelType w:val="hybridMultilevel"/>
    <w:tmpl w:val="9356B9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20F0066"/>
    <w:multiLevelType w:val="hybridMultilevel"/>
    <w:tmpl w:val="E8665532"/>
    <w:lvl w:ilvl="0" w:tplc="BBAC3C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22F3D90"/>
    <w:multiLevelType w:val="hybridMultilevel"/>
    <w:tmpl w:val="13D06D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15:restartNumberingAfterBreak="0">
    <w:nsid w:val="73124B66"/>
    <w:multiLevelType w:val="hybridMultilevel"/>
    <w:tmpl w:val="7B5266BE"/>
    <w:lvl w:ilvl="0" w:tplc="9B9E8A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6932469"/>
    <w:multiLevelType w:val="hybridMultilevel"/>
    <w:tmpl w:val="5D82DC12"/>
    <w:lvl w:ilvl="0" w:tplc="806C17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010A81"/>
    <w:multiLevelType w:val="hybridMultilevel"/>
    <w:tmpl w:val="33547E40"/>
    <w:lvl w:ilvl="0" w:tplc="9440E9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40419A"/>
    <w:multiLevelType w:val="hybridMultilevel"/>
    <w:tmpl w:val="28D27BD6"/>
    <w:lvl w:ilvl="0" w:tplc="65141D9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9" w15:restartNumberingAfterBreak="0">
    <w:nsid w:val="7F7921B0"/>
    <w:multiLevelType w:val="hybridMultilevel"/>
    <w:tmpl w:val="50367F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40"/>
  </w:num>
  <w:num w:numId="4">
    <w:abstractNumId w:val="30"/>
  </w:num>
  <w:num w:numId="5">
    <w:abstractNumId w:val="28"/>
  </w:num>
  <w:num w:numId="6">
    <w:abstractNumId w:val="44"/>
  </w:num>
  <w:num w:numId="7">
    <w:abstractNumId w:val="32"/>
  </w:num>
  <w:num w:numId="8">
    <w:abstractNumId w:val="3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7"/>
  </w:num>
  <w:num w:numId="16">
    <w:abstractNumId w:val="37"/>
  </w:num>
  <w:num w:numId="17">
    <w:abstractNumId w:val="5"/>
  </w:num>
  <w:num w:numId="18">
    <w:abstractNumId w:val="0"/>
  </w:num>
  <w:num w:numId="19">
    <w:abstractNumId w:val="23"/>
  </w:num>
  <w:num w:numId="20">
    <w:abstractNumId w:val="41"/>
  </w:num>
  <w:num w:numId="21">
    <w:abstractNumId w:val="4"/>
  </w:num>
  <w:num w:numId="22">
    <w:abstractNumId w:val="35"/>
  </w:num>
  <w:num w:numId="23">
    <w:abstractNumId w:val="15"/>
  </w:num>
  <w:num w:numId="24">
    <w:abstractNumId w:val="49"/>
  </w:num>
  <w:num w:numId="25">
    <w:abstractNumId w:val="19"/>
  </w:num>
  <w:num w:numId="26">
    <w:abstractNumId w:val="9"/>
  </w:num>
  <w:num w:numId="27">
    <w:abstractNumId w:val="16"/>
  </w:num>
  <w:num w:numId="28">
    <w:abstractNumId w:val="24"/>
  </w:num>
  <w:num w:numId="29">
    <w:abstractNumId w:val="47"/>
  </w:num>
  <w:num w:numId="30">
    <w:abstractNumId w:val="3"/>
  </w:num>
  <w:num w:numId="31">
    <w:abstractNumId w:val="42"/>
  </w:num>
  <w:num w:numId="32">
    <w:abstractNumId w:val="43"/>
  </w:num>
  <w:num w:numId="33">
    <w:abstractNumId w:val="26"/>
  </w:num>
  <w:num w:numId="34">
    <w:abstractNumId w:val="48"/>
  </w:num>
  <w:num w:numId="35">
    <w:abstractNumId w:val="26"/>
  </w:num>
  <w:num w:numId="36">
    <w:abstractNumId w:val="18"/>
  </w:num>
  <w:num w:numId="37">
    <w:abstractNumId w:val="39"/>
  </w:num>
  <w:num w:numId="38">
    <w:abstractNumId w:val="17"/>
  </w:num>
  <w:num w:numId="39">
    <w:abstractNumId w:val="11"/>
  </w:num>
  <w:num w:numId="40">
    <w:abstractNumId w:val="8"/>
  </w:num>
  <w:num w:numId="41">
    <w:abstractNumId w:val="22"/>
  </w:num>
  <w:num w:numId="42">
    <w:abstractNumId w:val="34"/>
  </w:num>
  <w:num w:numId="43">
    <w:abstractNumId w:val="10"/>
  </w:num>
  <w:num w:numId="44">
    <w:abstractNumId w:val="30"/>
  </w:num>
  <w:num w:numId="45">
    <w:abstractNumId w:val="21"/>
  </w:num>
  <w:num w:numId="46">
    <w:abstractNumId w:val="12"/>
  </w:num>
  <w:num w:numId="47">
    <w:abstractNumId w:val="25"/>
  </w:num>
  <w:num w:numId="48">
    <w:abstractNumId w:val="20"/>
  </w:num>
  <w:num w:numId="49">
    <w:abstractNumId w:val="29"/>
  </w:num>
  <w:num w:numId="50">
    <w:abstractNumId w:val="36"/>
  </w:num>
  <w:num w:numId="51">
    <w:abstractNumId w:val="6"/>
  </w:num>
  <w:num w:numId="52">
    <w:abstractNumId w:val="33"/>
  </w:num>
  <w:num w:numId="53">
    <w:abstractNumId w:val="45"/>
  </w:num>
  <w:num w:numId="54">
    <w:abstractNumId w:val="46"/>
  </w:num>
  <w:num w:numId="55">
    <w:abstractNumId w:val="38"/>
  </w:num>
  <w:num w:numId="56">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nl-NL" w:vendorID="64" w:dllVersion="131078" w:nlCheck="1" w:checkStyle="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DE12D49-9289-4FF9-B472-5C44117E10C6"/>
    <w:docVar w:name="LW_COVERPAGE_TYPE" w:val="1"/>
    <w:docVar w:name="LW_CROSSREFERENCE" w:val="&lt;UNUSED&gt;"/>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Making the most of the EU\u8217?s innovative potential&lt;/FMT&gt;_x000d__x000d__x000d__x000d__x000d__x000d__x000d__x000d__x000d__x000d__x000d__x000d__x000d__x000b_&lt;FMT:Bold&gt;An intellectual property action plan to support the EU\u8217?s recovery and resilience&lt;/FMT&gt;_x000d__x000d__x000d__x000d_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w:rsids>
    <w:rsidRoot w:val="009C2369"/>
    <w:rsid w:val="009C2369"/>
    <w:rsid w:val="00FC21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Recommendation,OBC Bullet,Dot pt,F5 List Paragraph,List Paragraph1,No Spacing1,List Paragraph Char Char Char,Indicator Text,Colorful List - Accent 11,Numbered Para 1,Bullet 1,Bullet Points,List Paragraph2,L,Premier,CV text,3"/>
    <w:basedOn w:val="Normal"/>
    <w:link w:val="ListParagraphChar"/>
    <w:uiPriority w:val="34"/>
    <w:qFormat/>
    <w:pPr>
      <w:ind w:left="720"/>
      <w:contextualSpacing/>
    </w:p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link w:val="FootnoteTextChar"/>
    <w:unhideWhenUsed/>
    <w:qFormat/>
    <w:pPr>
      <w:spacing w:after="6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link w:val="FootnoteText"/>
    <w:qFormat/>
    <w:rPr>
      <w:sz w:val="20"/>
      <w:szCs w:val="20"/>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Ref"/>
    <w:basedOn w:val="DefaultParagraphFont"/>
    <w:link w:val="CharCharChar"/>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lang w:val="fr-BE"/>
    </w:rPr>
  </w:style>
  <w:style w:type="character" w:customStyle="1" w:styleId="CommentTextChar">
    <w:name w:val="Comment Text Char"/>
    <w:basedOn w:val="DefaultParagraphFont"/>
    <w:link w:val="CommentText"/>
    <w:uiPriority w:val="99"/>
    <w:rPr>
      <w:sz w:val="20"/>
      <w:szCs w:val="20"/>
      <w:lang w:val="fr-BE"/>
    </w:rPr>
  </w:style>
  <w:style w:type="paragraph" w:styleId="CommentSubject">
    <w:name w:val="annotation subject"/>
    <w:basedOn w:val="CommentText"/>
    <w:next w:val="CommentText"/>
    <w:link w:val="CommentSubjectChar"/>
    <w:uiPriority w:val="99"/>
    <w:semiHidden/>
    <w:unhideWhenUsed/>
    <w:pPr>
      <w:spacing w:after="200"/>
    </w:pPr>
    <w:rPr>
      <w:b/>
      <w:bCs/>
      <w:lang w:val="en-GB"/>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unhideWhenUsed/>
    <w:pPr>
      <w:spacing w:after="8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CharCharChar">
    <w:name w:val="Char Char Char"/>
    <w:basedOn w:val="Normal"/>
    <w:link w:val="FootnoteReference"/>
    <w:uiPriority w:val="99"/>
    <w:pPr>
      <w:spacing w:after="160" w:line="240" w:lineRule="exact"/>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dttext">
    <w:name w:val="dttext"/>
    <w:basedOn w:val="DefaultParagraphFont"/>
  </w:style>
  <w:style w:type="character" w:customStyle="1" w:styleId="ex-sent">
    <w:name w:val="ex-sent"/>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1 Char"/>
    <w:basedOn w:val="DefaultParagraphFont"/>
    <w:link w:val="ListParagraph"/>
    <w:uiPriority w:val="34"/>
    <w:locked/>
  </w:style>
  <w:style w:type="paragraph" w:customStyle="1" w:styleId="xmsonormal">
    <w:name w:val="xmsonormal"/>
    <w:basedOn w:val="Normal"/>
    <w:pPr>
      <w:spacing w:after="0" w:line="240" w:lineRule="auto"/>
    </w:pPr>
    <w:rPr>
      <w:rFonts w:ascii="Times New Roman" w:hAnsi="Times New Roman" w:cs="Times New Roman"/>
      <w:sz w:val="24"/>
      <w:szCs w:val="24"/>
      <w:lang w:val="fr-BE" w:eastAsia="fr-BE"/>
    </w:rPr>
  </w:style>
  <w:style w:type="paragraph" w:customStyle="1" w:styleId="LTTBody1">
    <w:name w:val="LTT Body 1"/>
    <w:basedOn w:val="Normal"/>
    <w:qFormat/>
    <w:pPr>
      <w:numPr>
        <w:numId w:val="38"/>
      </w:numPr>
      <w:spacing w:after="0" w:line="240" w:lineRule="auto"/>
    </w:pPr>
    <w:rPr>
      <w:rFonts w:ascii="Calibri" w:eastAsia="Times New Roman" w:hAnsi="Calibri" w:cs="Calibri"/>
      <w:sz w:val="28"/>
      <w:szCs w:val="28"/>
      <w:lang w:eastAsia="en-GB"/>
    </w:rPr>
  </w:style>
  <w:style w:type="paragraph" w:customStyle="1" w:styleId="xmsonormal0">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776">
      <w:bodyDiv w:val="1"/>
      <w:marLeft w:val="0"/>
      <w:marRight w:val="0"/>
      <w:marTop w:val="0"/>
      <w:marBottom w:val="0"/>
      <w:divBdr>
        <w:top w:val="none" w:sz="0" w:space="0" w:color="auto"/>
        <w:left w:val="none" w:sz="0" w:space="0" w:color="auto"/>
        <w:bottom w:val="none" w:sz="0" w:space="0" w:color="auto"/>
        <w:right w:val="none" w:sz="0" w:space="0" w:color="auto"/>
      </w:divBdr>
    </w:div>
    <w:div w:id="15080572">
      <w:bodyDiv w:val="1"/>
      <w:marLeft w:val="0"/>
      <w:marRight w:val="0"/>
      <w:marTop w:val="0"/>
      <w:marBottom w:val="0"/>
      <w:divBdr>
        <w:top w:val="none" w:sz="0" w:space="0" w:color="auto"/>
        <w:left w:val="none" w:sz="0" w:space="0" w:color="auto"/>
        <w:bottom w:val="none" w:sz="0" w:space="0" w:color="auto"/>
        <w:right w:val="none" w:sz="0" w:space="0" w:color="auto"/>
      </w:divBdr>
      <w:divsChild>
        <w:div w:id="307058495">
          <w:marLeft w:val="708"/>
          <w:marRight w:val="0"/>
          <w:marTop w:val="0"/>
          <w:marBottom w:val="120"/>
          <w:divBdr>
            <w:top w:val="none" w:sz="0" w:space="0" w:color="auto"/>
            <w:left w:val="none" w:sz="0" w:space="0" w:color="auto"/>
            <w:bottom w:val="none" w:sz="0" w:space="0" w:color="auto"/>
            <w:right w:val="none" w:sz="0" w:space="0" w:color="auto"/>
          </w:divBdr>
        </w:div>
        <w:div w:id="871184280">
          <w:marLeft w:val="708"/>
          <w:marRight w:val="0"/>
          <w:marTop w:val="0"/>
          <w:marBottom w:val="120"/>
          <w:divBdr>
            <w:top w:val="none" w:sz="0" w:space="0" w:color="auto"/>
            <w:left w:val="none" w:sz="0" w:space="0" w:color="auto"/>
            <w:bottom w:val="none" w:sz="0" w:space="0" w:color="auto"/>
            <w:right w:val="none" w:sz="0" w:space="0" w:color="auto"/>
          </w:divBdr>
        </w:div>
        <w:div w:id="1254971391">
          <w:marLeft w:val="708"/>
          <w:marRight w:val="0"/>
          <w:marTop w:val="0"/>
          <w:marBottom w:val="120"/>
          <w:divBdr>
            <w:top w:val="none" w:sz="0" w:space="0" w:color="auto"/>
            <w:left w:val="none" w:sz="0" w:space="0" w:color="auto"/>
            <w:bottom w:val="none" w:sz="0" w:space="0" w:color="auto"/>
            <w:right w:val="none" w:sz="0" w:space="0" w:color="auto"/>
          </w:divBdr>
        </w:div>
        <w:div w:id="1786579571">
          <w:marLeft w:val="708"/>
          <w:marRight w:val="0"/>
          <w:marTop w:val="0"/>
          <w:marBottom w:val="120"/>
          <w:divBdr>
            <w:top w:val="none" w:sz="0" w:space="0" w:color="auto"/>
            <w:left w:val="none" w:sz="0" w:space="0" w:color="auto"/>
            <w:bottom w:val="none" w:sz="0" w:space="0" w:color="auto"/>
            <w:right w:val="none" w:sz="0" w:space="0" w:color="auto"/>
          </w:divBdr>
        </w:div>
        <w:div w:id="1527870752">
          <w:marLeft w:val="708"/>
          <w:marRight w:val="0"/>
          <w:marTop w:val="0"/>
          <w:marBottom w:val="120"/>
          <w:divBdr>
            <w:top w:val="none" w:sz="0" w:space="0" w:color="auto"/>
            <w:left w:val="none" w:sz="0" w:space="0" w:color="auto"/>
            <w:bottom w:val="none" w:sz="0" w:space="0" w:color="auto"/>
            <w:right w:val="none" w:sz="0" w:space="0" w:color="auto"/>
          </w:divBdr>
        </w:div>
        <w:div w:id="1749812314">
          <w:marLeft w:val="708"/>
          <w:marRight w:val="0"/>
          <w:marTop w:val="0"/>
          <w:marBottom w:val="120"/>
          <w:divBdr>
            <w:top w:val="none" w:sz="0" w:space="0" w:color="auto"/>
            <w:left w:val="none" w:sz="0" w:space="0" w:color="auto"/>
            <w:bottom w:val="none" w:sz="0" w:space="0" w:color="auto"/>
            <w:right w:val="none" w:sz="0" w:space="0" w:color="auto"/>
          </w:divBdr>
        </w:div>
        <w:div w:id="216163628">
          <w:marLeft w:val="708"/>
          <w:marRight w:val="0"/>
          <w:marTop w:val="0"/>
          <w:marBottom w:val="240"/>
          <w:divBdr>
            <w:top w:val="none" w:sz="0" w:space="0" w:color="auto"/>
            <w:left w:val="none" w:sz="0" w:space="0" w:color="auto"/>
            <w:bottom w:val="none" w:sz="0" w:space="0" w:color="auto"/>
            <w:right w:val="none" w:sz="0" w:space="0" w:color="auto"/>
          </w:divBdr>
        </w:div>
      </w:divsChild>
    </w:div>
    <w:div w:id="20515221">
      <w:bodyDiv w:val="1"/>
      <w:marLeft w:val="0"/>
      <w:marRight w:val="0"/>
      <w:marTop w:val="0"/>
      <w:marBottom w:val="0"/>
      <w:divBdr>
        <w:top w:val="none" w:sz="0" w:space="0" w:color="auto"/>
        <w:left w:val="none" w:sz="0" w:space="0" w:color="auto"/>
        <w:bottom w:val="none" w:sz="0" w:space="0" w:color="auto"/>
        <w:right w:val="none" w:sz="0" w:space="0" w:color="auto"/>
      </w:divBdr>
      <w:divsChild>
        <w:div w:id="95760924">
          <w:marLeft w:val="547"/>
          <w:marRight w:val="0"/>
          <w:marTop w:val="96"/>
          <w:marBottom w:val="0"/>
          <w:divBdr>
            <w:top w:val="none" w:sz="0" w:space="0" w:color="auto"/>
            <w:left w:val="none" w:sz="0" w:space="0" w:color="auto"/>
            <w:bottom w:val="none" w:sz="0" w:space="0" w:color="auto"/>
            <w:right w:val="none" w:sz="0" w:space="0" w:color="auto"/>
          </w:divBdr>
        </w:div>
      </w:divsChild>
    </w:div>
    <w:div w:id="30962281">
      <w:bodyDiv w:val="1"/>
      <w:marLeft w:val="0"/>
      <w:marRight w:val="0"/>
      <w:marTop w:val="0"/>
      <w:marBottom w:val="0"/>
      <w:divBdr>
        <w:top w:val="none" w:sz="0" w:space="0" w:color="auto"/>
        <w:left w:val="none" w:sz="0" w:space="0" w:color="auto"/>
        <w:bottom w:val="none" w:sz="0" w:space="0" w:color="auto"/>
        <w:right w:val="none" w:sz="0" w:space="0" w:color="auto"/>
      </w:divBdr>
    </w:div>
    <w:div w:id="51925532">
      <w:bodyDiv w:val="1"/>
      <w:marLeft w:val="0"/>
      <w:marRight w:val="0"/>
      <w:marTop w:val="0"/>
      <w:marBottom w:val="0"/>
      <w:divBdr>
        <w:top w:val="none" w:sz="0" w:space="0" w:color="auto"/>
        <w:left w:val="none" w:sz="0" w:space="0" w:color="auto"/>
        <w:bottom w:val="none" w:sz="0" w:space="0" w:color="auto"/>
        <w:right w:val="none" w:sz="0" w:space="0" w:color="auto"/>
      </w:divBdr>
    </w:div>
    <w:div w:id="65033102">
      <w:bodyDiv w:val="1"/>
      <w:marLeft w:val="0"/>
      <w:marRight w:val="0"/>
      <w:marTop w:val="0"/>
      <w:marBottom w:val="0"/>
      <w:divBdr>
        <w:top w:val="none" w:sz="0" w:space="0" w:color="auto"/>
        <w:left w:val="none" w:sz="0" w:space="0" w:color="auto"/>
        <w:bottom w:val="none" w:sz="0" w:space="0" w:color="auto"/>
        <w:right w:val="none" w:sz="0" w:space="0" w:color="auto"/>
      </w:divBdr>
    </w:div>
    <w:div w:id="75903329">
      <w:bodyDiv w:val="1"/>
      <w:marLeft w:val="0"/>
      <w:marRight w:val="0"/>
      <w:marTop w:val="0"/>
      <w:marBottom w:val="0"/>
      <w:divBdr>
        <w:top w:val="none" w:sz="0" w:space="0" w:color="auto"/>
        <w:left w:val="none" w:sz="0" w:space="0" w:color="auto"/>
        <w:bottom w:val="none" w:sz="0" w:space="0" w:color="auto"/>
        <w:right w:val="none" w:sz="0" w:space="0" w:color="auto"/>
      </w:divBdr>
    </w:div>
    <w:div w:id="95445364">
      <w:bodyDiv w:val="1"/>
      <w:marLeft w:val="0"/>
      <w:marRight w:val="0"/>
      <w:marTop w:val="0"/>
      <w:marBottom w:val="0"/>
      <w:divBdr>
        <w:top w:val="none" w:sz="0" w:space="0" w:color="auto"/>
        <w:left w:val="none" w:sz="0" w:space="0" w:color="auto"/>
        <w:bottom w:val="none" w:sz="0" w:space="0" w:color="auto"/>
        <w:right w:val="none" w:sz="0" w:space="0" w:color="auto"/>
      </w:divBdr>
    </w:div>
    <w:div w:id="111287696">
      <w:bodyDiv w:val="1"/>
      <w:marLeft w:val="0"/>
      <w:marRight w:val="0"/>
      <w:marTop w:val="0"/>
      <w:marBottom w:val="0"/>
      <w:divBdr>
        <w:top w:val="none" w:sz="0" w:space="0" w:color="auto"/>
        <w:left w:val="none" w:sz="0" w:space="0" w:color="auto"/>
        <w:bottom w:val="none" w:sz="0" w:space="0" w:color="auto"/>
        <w:right w:val="none" w:sz="0" w:space="0" w:color="auto"/>
      </w:divBdr>
    </w:div>
    <w:div w:id="112361071">
      <w:bodyDiv w:val="1"/>
      <w:marLeft w:val="0"/>
      <w:marRight w:val="0"/>
      <w:marTop w:val="0"/>
      <w:marBottom w:val="0"/>
      <w:divBdr>
        <w:top w:val="none" w:sz="0" w:space="0" w:color="auto"/>
        <w:left w:val="none" w:sz="0" w:space="0" w:color="auto"/>
        <w:bottom w:val="none" w:sz="0" w:space="0" w:color="auto"/>
        <w:right w:val="none" w:sz="0" w:space="0" w:color="auto"/>
      </w:divBdr>
    </w:div>
    <w:div w:id="123734857">
      <w:bodyDiv w:val="1"/>
      <w:marLeft w:val="0"/>
      <w:marRight w:val="0"/>
      <w:marTop w:val="0"/>
      <w:marBottom w:val="0"/>
      <w:divBdr>
        <w:top w:val="none" w:sz="0" w:space="0" w:color="auto"/>
        <w:left w:val="none" w:sz="0" w:space="0" w:color="auto"/>
        <w:bottom w:val="none" w:sz="0" w:space="0" w:color="auto"/>
        <w:right w:val="none" w:sz="0" w:space="0" w:color="auto"/>
      </w:divBdr>
    </w:div>
    <w:div w:id="141821794">
      <w:bodyDiv w:val="1"/>
      <w:marLeft w:val="0"/>
      <w:marRight w:val="0"/>
      <w:marTop w:val="0"/>
      <w:marBottom w:val="0"/>
      <w:divBdr>
        <w:top w:val="none" w:sz="0" w:space="0" w:color="auto"/>
        <w:left w:val="none" w:sz="0" w:space="0" w:color="auto"/>
        <w:bottom w:val="none" w:sz="0" w:space="0" w:color="auto"/>
        <w:right w:val="none" w:sz="0" w:space="0" w:color="auto"/>
      </w:divBdr>
    </w:div>
    <w:div w:id="150027669">
      <w:bodyDiv w:val="1"/>
      <w:marLeft w:val="0"/>
      <w:marRight w:val="0"/>
      <w:marTop w:val="0"/>
      <w:marBottom w:val="0"/>
      <w:divBdr>
        <w:top w:val="none" w:sz="0" w:space="0" w:color="auto"/>
        <w:left w:val="none" w:sz="0" w:space="0" w:color="auto"/>
        <w:bottom w:val="none" w:sz="0" w:space="0" w:color="auto"/>
        <w:right w:val="none" w:sz="0" w:space="0" w:color="auto"/>
      </w:divBdr>
      <w:divsChild>
        <w:div w:id="944730387">
          <w:marLeft w:val="1166"/>
          <w:marRight w:val="0"/>
          <w:marTop w:val="96"/>
          <w:marBottom w:val="0"/>
          <w:divBdr>
            <w:top w:val="none" w:sz="0" w:space="0" w:color="auto"/>
            <w:left w:val="none" w:sz="0" w:space="0" w:color="auto"/>
            <w:bottom w:val="none" w:sz="0" w:space="0" w:color="auto"/>
            <w:right w:val="none" w:sz="0" w:space="0" w:color="auto"/>
          </w:divBdr>
        </w:div>
        <w:div w:id="346179209">
          <w:marLeft w:val="1166"/>
          <w:marRight w:val="0"/>
          <w:marTop w:val="96"/>
          <w:marBottom w:val="0"/>
          <w:divBdr>
            <w:top w:val="none" w:sz="0" w:space="0" w:color="auto"/>
            <w:left w:val="none" w:sz="0" w:space="0" w:color="auto"/>
            <w:bottom w:val="none" w:sz="0" w:space="0" w:color="auto"/>
            <w:right w:val="none" w:sz="0" w:space="0" w:color="auto"/>
          </w:divBdr>
        </w:div>
        <w:div w:id="861281040">
          <w:marLeft w:val="1166"/>
          <w:marRight w:val="0"/>
          <w:marTop w:val="96"/>
          <w:marBottom w:val="0"/>
          <w:divBdr>
            <w:top w:val="none" w:sz="0" w:space="0" w:color="auto"/>
            <w:left w:val="none" w:sz="0" w:space="0" w:color="auto"/>
            <w:bottom w:val="none" w:sz="0" w:space="0" w:color="auto"/>
            <w:right w:val="none" w:sz="0" w:space="0" w:color="auto"/>
          </w:divBdr>
        </w:div>
        <w:div w:id="1697073804">
          <w:marLeft w:val="1166"/>
          <w:marRight w:val="0"/>
          <w:marTop w:val="96"/>
          <w:marBottom w:val="0"/>
          <w:divBdr>
            <w:top w:val="none" w:sz="0" w:space="0" w:color="auto"/>
            <w:left w:val="none" w:sz="0" w:space="0" w:color="auto"/>
            <w:bottom w:val="none" w:sz="0" w:space="0" w:color="auto"/>
            <w:right w:val="none" w:sz="0" w:space="0" w:color="auto"/>
          </w:divBdr>
        </w:div>
      </w:divsChild>
    </w:div>
    <w:div w:id="180625679">
      <w:bodyDiv w:val="1"/>
      <w:marLeft w:val="0"/>
      <w:marRight w:val="0"/>
      <w:marTop w:val="0"/>
      <w:marBottom w:val="0"/>
      <w:divBdr>
        <w:top w:val="none" w:sz="0" w:space="0" w:color="auto"/>
        <w:left w:val="none" w:sz="0" w:space="0" w:color="auto"/>
        <w:bottom w:val="none" w:sz="0" w:space="0" w:color="auto"/>
        <w:right w:val="none" w:sz="0" w:space="0" w:color="auto"/>
      </w:divBdr>
    </w:div>
    <w:div w:id="187376593">
      <w:bodyDiv w:val="1"/>
      <w:marLeft w:val="0"/>
      <w:marRight w:val="0"/>
      <w:marTop w:val="0"/>
      <w:marBottom w:val="0"/>
      <w:divBdr>
        <w:top w:val="none" w:sz="0" w:space="0" w:color="auto"/>
        <w:left w:val="none" w:sz="0" w:space="0" w:color="auto"/>
        <w:bottom w:val="none" w:sz="0" w:space="0" w:color="auto"/>
        <w:right w:val="none" w:sz="0" w:space="0" w:color="auto"/>
      </w:divBdr>
      <w:divsChild>
        <w:div w:id="2129616879">
          <w:marLeft w:val="446"/>
          <w:marRight w:val="0"/>
          <w:marTop w:val="0"/>
          <w:marBottom w:val="120"/>
          <w:divBdr>
            <w:top w:val="none" w:sz="0" w:space="0" w:color="auto"/>
            <w:left w:val="none" w:sz="0" w:space="0" w:color="auto"/>
            <w:bottom w:val="none" w:sz="0" w:space="0" w:color="auto"/>
            <w:right w:val="none" w:sz="0" w:space="0" w:color="auto"/>
          </w:divBdr>
        </w:div>
      </w:divsChild>
    </w:div>
    <w:div w:id="192690848">
      <w:bodyDiv w:val="1"/>
      <w:marLeft w:val="0"/>
      <w:marRight w:val="0"/>
      <w:marTop w:val="0"/>
      <w:marBottom w:val="0"/>
      <w:divBdr>
        <w:top w:val="none" w:sz="0" w:space="0" w:color="auto"/>
        <w:left w:val="none" w:sz="0" w:space="0" w:color="auto"/>
        <w:bottom w:val="none" w:sz="0" w:space="0" w:color="auto"/>
        <w:right w:val="none" w:sz="0" w:space="0" w:color="auto"/>
      </w:divBdr>
    </w:div>
    <w:div w:id="218059727">
      <w:bodyDiv w:val="1"/>
      <w:marLeft w:val="0"/>
      <w:marRight w:val="0"/>
      <w:marTop w:val="0"/>
      <w:marBottom w:val="0"/>
      <w:divBdr>
        <w:top w:val="none" w:sz="0" w:space="0" w:color="auto"/>
        <w:left w:val="none" w:sz="0" w:space="0" w:color="auto"/>
        <w:bottom w:val="none" w:sz="0" w:space="0" w:color="auto"/>
        <w:right w:val="none" w:sz="0" w:space="0" w:color="auto"/>
      </w:divBdr>
    </w:div>
    <w:div w:id="257907103">
      <w:bodyDiv w:val="1"/>
      <w:marLeft w:val="0"/>
      <w:marRight w:val="0"/>
      <w:marTop w:val="0"/>
      <w:marBottom w:val="0"/>
      <w:divBdr>
        <w:top w:val="none" w:sz="0" w:space="0" w:color="auto"/>
        <w:left w:val="none" w:sz="0" w:space="0" w:color="auto"/>
        <w:bottom w:val="none" w:sz="0" w:space="0" w:color="auto"/>
        <w:right w:val="none" w:sz="0" w:space="0" w:color="auto"/>
      </w:divBdr>
    </w:div>
    <w:div w:id="296254773">
      <w:bodyDiv w:val="1"/>
      <w:marLeft w:val="0"/>
      <w:marRight w:val="0"/>
      <w:marTop w:val="0"/>
      <w:marBottom w:val="0"/>
      <w:divBdr>
        <w:top w:val="none" w:sz="0" w:space="0" w:color="auto"/>
        <w:left w:val="none" w:sz="0" w:space="0" w:color="auto"/>
        <w:bottom w:val="none" w:sz="0" w:space="0" w:color="auto"/>
        <w:right w:val="none" w:sz="0" w:space="0" w:color="auto"/>
      </w:divBdr>
    </w:div>
    <w:div w:id="317810452">
      <w:bodyDiv w:val="1"/>
      <w:marLeft w:val="0"/>
      <w:marRight w:val="0"/>
      <w:marTop w:val="0"/>
      <w:marBottom w:val="0"/>
      <w:divBdr>
        <w:top w:val="none" w:sz="0" w:space="0" w:color="auto"/>
        <w:left w:val="none" w:sz="0" w:space="0" w:color="auto"/>
        <w:bottom w:val="none" w:sz="0" w:space="0" w:color="auto"/>
        <w:right w:val="none" w:sz="0" w:space="0" w:color="auto"/>
      </w:divBdr>
    </w:div>
    <w:div w:id="328872841">
      <w:bodyDiv w:val="1"/>
      <w:marLeft w:val="0"/>
      <w:marRight w:val="0"/>
      <w:marTop w:val="0"/>
      <w:marBottom w:val="0"/>
      <w:divBdr>
        <w:top w:val="none" w:sz="0" w:space="0" w:color="auto"/>
        <w:left w:val="none" w:sz="0" w:space="0" w:color="auto"/>
        <w:bottom w:val="none" w:sz="0" w:space="0" w:color="auto"/>
        <w:right w:val="none" w:sz="0" w:space="0" w:color="auto"/>
      </w:divBdr>
      <w:divsChild>
        <w:div w:id="2116292449">
          <w:marLeft w:val="547"/>
          <w:marRight w:val="0"/>
          <w:marTop w:val="96"/>
          <w:marBottom w:val="0"/>
          <w:divBdr>
            <w:top w:val="none" w:sz="0" w:space="0" w:color="auto"/>
            <w:left w:val="none" w:sz="0" w:space="0" w:color="auto"/>
            <w:bottom w:val="none" w:sz="0" w:space="0" w:color="auto"/>
            <w:right w:val="none" w:sz="0" w:space="0" w:color="auto"/>
          </w:divBdr>
        </w:div>
        <w:div w:id="623737731">
          <w:marLeft w:val="547"/>
          <w:marRight w:val="0"/>
          <w:marTop w:val="96"/>
          <w:marBottom w:val="0"/>
          <w:divBdr>
            <w:top w:val="none" w:sz="0" w:space="0" w:color="auto"/>
            <w:left w:val="none" w:sz="0" w:space="0" w:color="auto"/>
            <w:bottom w:val="none" w:sz="0" w:space="0" w:color="auto"/>
            <w:right w:val="none" w:sz="0" w:space="0" w:color="auto"/>
          </w:divBdr>
        </w:div>
        <w:div w:id="1073818604">
          <w:marLeft w:val="547"/>
          <w:marRight w:val="0"/>
          <w:marTop w:val="96"/>
          <w:marBottom w:val="0"/>
          <w:divBdr>
            <w:top w:val="none" w:sz="0" w:space="0" w:color="auto"/>
            <w:left w:val="none" w:sz="0" w:space="0" w:color="auto"/>
            <w:bottom w:val="none" w:sz="0" w:space="0" w:color="auto"/>
            <w:right w:val="none" w:sz="0" w:space="0" w:color="auto"/>
          </w:divBdr>
        </w:div>
      </w:divsChild>
    </w:div>
    <w:div w:id="342512705">
      <w:bodyDiv w:val="1"/>
      <w:marLeft w:val="0"/>
      <w:marRight w:val="0"/>
      <w:marTop w:val="0"/>
      <w:marBottom w:val="0"/>
      <w:divBdr>
        <w:top w:val="none" w:sz="0" w:space="0" w:color="auto"/>
        <w:left w:val="none" w:sz="0" w:space="0" w:color="auto"/>
        <w:bottom w:val="none" w:sz="0" w:space="0" w:color="auto"/>
        <w:right w:val="none" w:sz="0" w:space="0" w:color="auto"/>
      </w:divBdr>
    </w:div>
    <w:div w:id="352732379">
      <w:bodyDiv w:val="1"/>
      <w:marLeft w:val="0"/>
      <w:marRight w:val="0"/>
      <w:marTop w:val="0"/>
      <w:marBottom w:val="0"/>
      <w:divBdr>
        <w:top w:val="none" w:sz="0" w:space="0" w:color="auto"/>
        <w:left w:val="none" w:sz="0" w:space="0" w:color="auto"/>
        <w:bottom w:val="none" w:sz="0" w:space="0" w:color="auto"/>
        <w:right w:val="none" w:sz="0" w:space="0" w:color="auto"/>
      </w:divBdr>
    </w:div>
    <w:div w:id="368383863">
      <w:bodyDiv w:val="1"/>
      <w:marLeft w:val="0"/>
      <w:marRight w:val="0"/>
      <w:marTop w:val="0"/>
      <w:marBottom w:val="0"/>
      <w:divBdr>
        <w:top w:val="none" w:sz="0" w:space="0" w:color="auto"/>
        <w:left w:val="none" w:sz="0" w:space="0" w:color="auto"/>
        <w:bottom w:val="none" w:sz="0" w:space="0" w:color="auto"/>
        <w:right w:val="none" w:sz="0" w:space="0" w:color="auto"/>
      </w:divBdr>
    </w:div>
    <w:div w:id="378629068">
      <w:bodyDiv w:val="1"/>
      <w:marLeft w:val="0"/>
      <w:marRight w:val="0"/>
      <w:marTop w:val="0"/>
      <w:marBottom w:val="0"/>
      <w:divBdr>
        <w:top w:val="none" w:sz="0" w:space="0" w:color="auto"/>
        <w:left w:val="none" w:sz="0" w:space="0" w:color="auto"/>
        <w:bottom w:val="none" w:sz="0" w:space="0" w:color="auto"/>
        <w:right w:val="none" w:sz="0" w:space="0" w:color="auto"/>
      </w:divBdr>
    </w:div>
    <w:div w:id="379207867">
      <w:bodyDiv w:val="1"/>
      <w:marLeft w:val="0"/>
      <w:marRight w:val="0"/>
      <w:marTop w:val="0"/>
      <w:marBottom w:val="0"/>
      <w:divBdr>
        <w:top w:val="none" w:sz="0" w:space="0" w:color="auto"/>
        <w:left w:val="none" w:sz="0" w:space="0" w:color="auto"/>
        <w:bottom w:val="none" w:sz="0" w:space="0" w:color="auto"/>
        <w:right w:val="none" w:sz="0" w:space="0" w:color="auto"/>
      </w:divBdr>
    </w:div>
    <w:div w:id="389114436">
      <w:bodyDiv w:val="1"/>
      <w:marLeft w:val="0"/>
      <w:marRight w:val="0"/>
      <w:marTop w:val="0"/>
      <w:marBottom w:val="0"/>
      <w:divBdr>
        <w:top w:val="none" w:sz="0" w:space="0" w:color="auto"/>
        <w:left w:val="none" w:sz="0" w:space="0" w:color="auto"/>
        <w:bottom w:val="none" w:sz="0" w:space="0" w:color="auto"/>
        <w:right w:val="none" w:sz="0" w:space="0" w:color="auto"/>
      </w:divBdr>
    </w:div>
    <w:div w:id="400100991">
      <w:bodyDiv w:val="1"/>
      <w:marLeft w:val="0"/>
      <w:marRight w:val="0"/>
      <w:marTop w:val="0"/>
      <w:marBottom w:val="0"/>
      <w:divBdr>
        <w:top w:val="none" w:sz="0" w:space="0" w:color="auto"/>
        <w:left w:val="none" w:sz="0" w:space="0" w:color="auto"/>
        <w:bottom w:val="none" w:sz="0" w:space="0" w:color="auto"/>
        <w:right w:val="none" w:sz="0" w:space="0" w:color="auto"/>
      </w:divBdr>
    </w:div>
    <w:div w:id="404301799">
      <w:bodyDiv w:val="1"/>
      <w:marLeft w:val="0"/>
      <w:marRight w:val="0"/>
      <w:marTop w:val="0"/>
      <w:marBottom w:val="0"/>
      <w:divBdr>
        <w:top w:val="none" w:sz="0" w:space="0" w:color="auto"/>
        <w:left w:val="none" w:sz="0" w:space="0" w:color="auto"/>
        <w:bottom w:val="none" w:sz="0" w:space="0" w:color="auto"/>
        <w:right w:val="none" w:sz="0" w:space="0" w:color="auto"/>
      </w:divBdr>
    </w:div>
    <w:div w:id="414279391">
      <w:bodyDiv w:val="1"/>
      <w:marLeft w:val="0"/>
      <w:marRight w:val="0"/>
      <w:marTop w:val="0"/>
      <w:marBottom w:val="0"/>
      <w:divBdr>
        <w:top w:val="none" w:sz="0" w:space="0" w:color="auto"/>
        <w:left w:val="none" w:sz="0" w:space="0" w:color="auto"/>
        <w:bottom w:val="none" w:sz="0" w:space="0" w:color="auto"/>
        <w:right w:val="none" w:sz="0" w:space="0" w:color="auto"/>
      </w:divBdr>
    </w:div>
    <w:div w:id="448547138">
      <w:bodyDiv w:val="1"/>
      <w:marLeft w:val="0"/>
      <w:marRight w:val="0"/>
      <w:marTop w:val="0"/>
      <w:marBottom w:val="0"/>
      <w:divBdr>
        <w:top w:val="none" w:sz="0" w:space="0" w:color="auto"/>
        <w:left w:val="none" w:sz="0" w:space="0" w:color="auto"/>
        <w:bottom w:val="none" w:sz="0" w:space="0" w:color="auto"/>
        <w:right w:val="none" w:sz="0" w:space="0" w:color="auto"/>
      </w:divBdr>
    </w:div>
    <w:div w:id="479231175">
      <w:bodyDiv w:val="1"/>
      <w:marLeft w:val="0"/>
      <w:marRight w:val="0"/>
      <w:marTop w:val="0"/>
      <w:marBottom w:val="0"/>
      <w:divBdr>
        <w:top w:val="none" w:sz="0" w:space="0" w:color="auto"/>
        <w:left w:val="none" w:sz="0" w:space="0" w:color="auto"/>
        <w:bottom w:val="none" w:sz="0" w:space="0" w:color="auto"/>
        <w:right w:val="none" w:sz="0" w:space="0" w:color="auto"/>
      </w:divBdr>
    </w:div>
    <w:div w:id="487135702">
      <w:bodyDiv w:val="1"/>
      <w:marLeft w:val="0"/>
      <w:marRight w:val="0"/>
      <w:marTop w:val="0"/>
      <w:marBottom w:val="0"/>
      <w:divBdr>
        <w:top w:val="none" w:sz="0" w:space="0" w:color="auto"/>
        <w:left w:val="none" w:sz="0" w:space="0" w:color="auto"/>
        <w:bottom w:val="none" w:sz="0" w:space="0" w:color="auto"/>
        <w:right w:val="none" w:sz="0" w:space="0" w:color="auto"/>
      </w:divBdr>
    </w:div>
    <w:div w:id="501629493">
      <w:bodyDiv w:val="1"/>
      <w:marLeft w:val="0"/>
      <w:marRight w:val="0"/>
      <w:marTop w:val="0"/>
      <w:marBottom w:val="0"/>
      <w:divBdr>
        <w:top w:val="none" w:sz="0" w:space="0" w:color="auto"/>
        <w:left w:val="none" w:sz="0" w:space="0" w:color="auto"/>
        <w:bottom w:val="none" w:sz="0" w:space="0" w:color="auto"/>
        <w:right w:val="none" w:sz="0" w:space="0" w:color="auto"/>
      </w:divBdr>
    </w:div>
    <w:div w:id="518662007">
      <w:bodyDiv w:val="1"/>
      <w:marLeft w:val="0"/>
      <w:marRight w:val="0"/>
      <w:marTop w:val="0"/>
      <w:marBottom w:val="0"/>
      <w:divBdr>
        <w:top w:val="none" w:sz="0" w:space="0" w:color="auto"/>
        <w:left w:val="none" w:sz="0" w:space="0" w:color="auto"/>
        <w:bottom w:val="none" w:sz="0" w:space="0" w:color="auto"/>
        <w:right w:val="none" w:sz="0" w:space="0" w:color="auto"/>
      </w:divBdr>
    </w:div>
    <w:div w:id="528300775">
      <w:bodyDiv w:val="1"/>
      <w:marLeft w:val="0"/>
      <w:marRight w:val="0"/>
      <w:marTop w:val="0"/>
      <w:marBottom w:val="0"/>
      <w:divBdr>
        <w:top w:val="none" w:sz="0" w:space="0" w:color="auto"/>
        <w:left w:val="none" w:sz="0" w:space="0" w:color="auto"/>
        <w:bottom w:val="none" w:sz="0" w:space="0" w:color="auto"/>
        <w:right w:val="none" w:sz="0" w:space="0" w:color="auto"/>
      </w:divBdr>
    </w:div>
    <w:div w:id="577634729">
      <w:bodyDiv w:val="1"/>
      <w:marLeft w:val="0"/>
      <w:marRight w:val="0"/>
      <w:marTop w:val="0"/>
      <w:marBottom w:val="0"/>
      <w:divBdr>
        <w:top w:val="none" w:sz="0" w:space="0" w:color="auto"/>
        <w:left w:val="none" w:sz="0" w:space="0" w:color="auto"/>
        <w:bottom w:val="none" w:sz="0" w:space="0" w:color="auto"/>
        <w:right w:val="none" w:sz="0" w:space="0" w:color="auto"/>
      </w:divBdr>
    </w:div>
    <w:div w:id="579604185">
      <w:bodyDiv w:val="1"/>
      <w:marLeft w:val="0"/>
      <w:marRight w:val="0"/>
      <w:marTop w:val="0"/>
      <w:marBottom w:val="0"/>
      <w:divBdr>
        <w:top w:val="none" w:sz="0" w:space="0" w:color="auto"/>
        <w:left w:val="none" w:sz="0" w:space="0" w:color="auto"/>
        <w:bottom w:val="none" w:sz="0" w:space="0" w:color="auto"/>
        <w:right w:val="none" w:sz="0" w:space="0" w:color="auto"/>
      </w:divBdr>
    </w:div>
    <w:div w:id="613514056">
      <w:bodyDiv w:val="1"/>
      <w:marLeft w:val="0"/>
      <w:marRight w:val="0"/>
      <w:marTop w:val="0"/>
      <w:marBottom w:val="0"/>
      <w:divBdr>
        <w:top w:val="none" w:sz="0" w:space="0" w:color="auto"/>
        <w:left w:val="none" w:sz="0" w:space="0" w:color="auto"/>
        <w:bottom w:val="none" w:sz="0" w:space="0" w:color="auto"/>
        <w:right w:val="none" w:sz="0" w:space="0" w:color="auto"/>
      </w:divBdr>
      <w:divsChild>
        <w:div w:id="180509162">
          <w:marLeft w:val="547"/>
          <w:marRight w:val="0"/>
          <w:marTop w:val="96"/>
          <w:marBottom w:val="0"/>
          <w:divBdr>
            <w:top w:val="none" w:sz="0" w:space="0" w:color="auto"/>
            <w:left w:val="none" w:sz="0" w:space="0" w:color="auto"/>
            <w:bottom w:val="none" w:sz="0" w:space="0" w:color="auto"/>
            <w:right w:val="none" w:sz="0" w:space="0" w:color="auto"/>
          </w:divBdr>
        </w:div>
        <w:div w:id="902103678">
          <w:marLeft w:val="547"/>
          <w:marRight w:val="0"/>
          <w:marTop w:val="96"/>
          <w:marBottom w:val="0"/>
          <w:divBdr>
            <w:top w:val="none" w:sz="0" w:space="0" w:color="auto"/>
            <w:left w:val="none" w:sz="0" w:space="0" w:color="auto"/>
            <w:bottom w:val="none" w:sz="0" w:space="0" w:color="auto"/>
            <w:right w:val="none" w:sz="0" w:space="0" w:color="auto"/>
          </w:divBdr>
        </w:div>
      </w:divsChild>
    </w:div>
    <w:div w:id="641886670">
      <w:bodyDiv w:val="1"/>
      <w:marLeft w:val="0"/>
      <w:marRight w:val="0"/>
      <w:marTop w:val="0"/>
      <w:marBottom w:val="0"/>
      <w:divBdr>
        <w:top w:val="none" w:sz="0" w:space="0" w:color="auto"/>
        <w:left w:val="none" w:sz="0" w:space="0" w:color="auto"/>
        <w:bottom w:val="none" w:sz="0" w:space="0" w:color="auto"/>
        <w:right w:val="none" w:sz="0" w:space="0" w:color="auto"/>
      </w:divBdr>
    </w:div>
    <w:div w:id="666983776">
      <w:bodyDiv w:val="1"/>
      <w:marLeft w:val="0"/>
      <w:marRight w:val="0"/>
      <w:marTop w:val="0"/>
      <w:marBottom w:val="0"/>
      <w:divBdr>
        <w:top w:val="none" w:sz="0" w:space="0" w:color="auto"/>
        <w:left w:val="none" w:sz="0" w:space="0" w:color="auto"/>
        <w:bottom w:val="none" w:sz="0" w:space="0" w:color="auto"/>
        <w:right w:val="none" w:sz="0" w:space="0" w:color="auto"/>
      </w:divBdr>
    </w:div>
    <w:div w:id="722406283">
      <w:bodyDiv w:val="1"/>
      <w:marLeft w:val="0"/>
      <w:marRight w:val="0"/>
      <w:marTop w:val="0"/>
      <w:marBottom w:val="0"/>
      <w:divBdr>
        <w:top w:val="none" w:sz="0" w:space="0" w:color="auto"/>
        <w:left w:val="none" w:sz="0" w:space="0" w:color="auto"/>
        <w:bottom w:val="none" w:sz="0" w:space="0" w:color="auto"/>
        <w:right w:val="none" w:sz="0" w:space="0" w:color="auto"/>
      </w:divBdr>
    </w:div>
    <w:div w:id="728577993">
      <w:bodyDiv w:val="1"/>
      <w:marLeft w:val="0"/>
      <w:marRight w:val="0"/>
      <w:marTop w:val="0"/>
      <w:marBottom w:val="0"/>
      <w:divBdr>
        <w:top w:val="none" w:sz="0" w:space="0" w:color="auto"/>
        <w:left w:val="none" w:sz="0" w:space="0" w:color="auto"/>
        <w:bottom w:val="none" w:sz="0" w:space="0" w:color="auto"/>
        <w:right w:val="none" w:sz="0" w:space="0" w:color="auto"/>
      </w:divBdr>
    </w:div>
    <w:div w:id="762577031">
      <w:bodyDiv w:val="1"/>
      <w:marLeft w:val="0"/>
      <w:marRight w:val="0"/>
      <w:marTop w:val="0"/>
      <w:marBottom w:val="0"/>
      <w:divBdr>
        <w:top w:val="none" w:sz="0" w:space="0" w:color="auto"/>
        <w:left w:val="none" w:sz="0" w:space="0" w:color="auto"/>
        <w:bottom w:val="none" w:sz="0" w:space="0" w:color="auto"/>
        <w:right w:val="none" w:sz="0" w:space="0" w:color="auto"/>
      </w:divBdr>
    </w:div>
    <w:div w:id="782921427">
      <w:bodyDiv w:val="1"/>
      <w:marLeft w:val="0"/>
      <w:marRight w:val="0"/>
      <w:marTop w:val="0"/>
      <w:marBottom w:val="0"/>
      <w:divBdr>
        <w:top w:val="none" w:sz="0" w:space="0" w:color="auto"/>
        <w:left w:val="none" w:sz="0" w:space="0" w:color="auto"/>
        <w:bottom w:val="none" w:sz="0" w:space="0" w:color="auto"/>
        <w:right w:val="none" w:sz="0" w:space="0" w:color="auto"/>
      </w:divBdr>
    </w:div>
    <w:div w:id="816729917">
      <w:bodyDiv w:val="1"/>
      <w:marLeft w:val="0"/>
      <w:marRight w:val="0"/>
      <w:marTop w:val="0"/>
      <w:marBottom w:val="0"/>
      <w:divBdr>
        <w:top w:val="none" w:sz="0" w:space="0" w:color="auto"/>
        <w:left w:val="none" w:sz="0" w:space="0" w:color="auto"/>
        <w:bottom w:val="none" w:sz="0" w:space="0" w:color="auto"/>
        <w:right w:val="none" w:sz="0" w:space="0" w:color="auto"/>
      </w:divBdr>
      <w:divsChild>
        <w:div w:id="2039697862">
          <w:marLeft w:val="0"/>
          <w:marRight w:val="0"/>
          <w:marTop w:val="120"/>
          <w:marBottom w:val="120"/>
          <w:divBdr>
            <w:top w:val="none" w:sz="0" w:space="0" w:color="auto"/>
            <w:left w:val="none" w:sz="0" w:space="0" w:color="auto"/>
            <w:bottom w:val="none" w:sz="0" w:space="0" w:color="auto"/>
            <w:right w:val="none" w:sz="0" w:space="0" w:color="auto"/>
          </w:divBdr>
        </w:div>
      </w:divsChild>
    </w:div>
    <w:div w:id="843397277">
      <w:bodyDiv w:val="1"/>
      <w:marLeft w:val="0"/>
      <w:marRight w:val="0"/>
      <w:marTop w:val="0"/>
      <w:marBottom w:val="0"/>
      <w:divBdr>
        <w:top w:val="none" w:sz="0" w:space="0" w:color="auto"/>
        <w:left w:val="none" w:sz="0" w:space="0" w:color="auto"/>
        <w:bottom w:val="none" w:sz="0" w:space="0" w:color="auto"/>
        <w:right w:val="none" w:sz="0" w:space="0" w:color="auto"/>
      </w:divBdr>
    </w:div>
    <w:div w:id="862327803">
      <w:bodyDiv w:val="1"/>
      <w:marLeft w:val="0"/>
      <w:marRight w:val="0"/>
      <w:marTop w:val="0"/>
      <w:marBottom w:val="0"/>
      <w:divBdr>
        <w:top w:val="none" w:sz="0" w:space="0" w:color="auto"/>
        <w:left w:val="none" w:sz="0" w:space="0" w:color="auto"/>
        <w:bottom w:val="none" w:sz="0" w:space="0" w:color="auto"/>
        <w:right w:val="none" w:sz="0" w:space="0" w:color="auto"/>
      </w:divBdr>
    </w:div>
    <w:div w:id="914752571">
      <w:bodyDiv w:val="1"/>
      <w:marLeft w:val="0"/>
      <w:marRight w:val="0"/>
      <w:marTop w:val="0"/>
      <w:marBottom w:val="0"/>
      <w:divBdr>
        <w:top w:val="none" w:sz="0" w:space="0" w:color="auto"/>
        <w:left w:val="none" w:sz="0" w:space="0" w:color="auto"/>
        <w:bottom w:val="none" w:sz="0" w:space="0" w:color="auto"/>
        <w:right w:val="none" w:sz="0" w:space="0" w:color="auto"/>
      </w:divBdr>
      <w:divsChild>
        <w:div w:id="413555600">
          <w:marLeft w:val="547"/>
          <w:marRight w:val="0"/>
          <w:marTop w:val="115"/>
          <w:marBottom w:val="0"/>
          <w:divBdr>
            <w:top w:val="none" w:sz="0" w:space="0" w:color="auto"/>
            <w:left w:val="none" w:sz="0" w:space="0" w:color="auto"/>
            <w:bottom w:val="none" w:sz="0" w:space="0" w:color="auto"/>
            <w:right w:val="none" w:sz="0" w:space="0" w:color="auto"/>
          </w:divBdr>
        </w:div>
      </w:divsChild>
    </w:div>
    <w:div w:id="920791018">
      <w:bodyDiv w:val="1"/>
      <w:marLeft w:val="0"/>
      <w:marRight w:val="0"/>
      <w:marTop w:val="0"/>
      <w:marBottom w:val="0"/>
      <w:divBdr>
        <w:top w:val="none" w:sz="0" w:space="0" w:color="auto"/>
        <w:left w:val="none" w:sz="0" w:space="0" w:color="auto"/>
        <w:bottom w:val="none" w:sz="0" w:space="0" w:color="auto"/>
        <w:right w:val="none" w:sz="0" w:space="0" w:color="auto"/>
      </w:divBdr>
    </w:div>
    <w:div w:id="924000213">
      <w:bodyDiv w:val="1"/>
      <w:marLeft w:val="0"/>
      <w:marRight w:val="0"/>
      <w:marTop w:val="0"/>
      <w:marBottom w:val="0"/>
      <w:divBdr>
        <w:top w:val="none" w:sz="0" w:space="0" w:color="auto"/>
        <w:left w:val="none" w:sz="0" w:space="0" w:color="auto"/>
        <w:bottom w:val="none" w:sz="0" w:space="0" w:color="auto"/>
        <w:right w:val="none" w:sz="0" w:space="0" w:color="auto"/>
      </w:divBdr>
      <w:divsChild>
        <w:div w:id="1225676042">
          <w:marLeft w:val="708"/>
          <w:marRight w:val="0"/>
          <w:marTop w:val="0"/>
          <w:marBottom w:val="120"/>
          <w:divBdr>
            <w:top w:val="none" w:sz="0" w:space="0" w:color="auto"/>
            <w:left w:val="none" w:sz="0" w:space="0" w:color="auto"/>
            <w:bottom w:val="none" w:sz="0" w:space="0" w:color="auto"/>
            <w:right w:val="none" w:sz="0" w:space="0" w:color="auto"/>
          </w:divBdr>
        </w:div>
        <w:div w:id="226385208">
          <w:marLeft w:val="708"/>
          <w:marRight w:val="0"/>
          <w:marTop w:val="0"/>
          <w:marBottom w:val="120"/>
          <w:divBdr>
            <w:top w:val="none" w:sz="0" w:space="0" w:color="auto"/>
            <w:left w:val="none" w:sz="0" w:space="0" w:color="auto"/>
            <w:bottom w:val="none" w:sz="0" w:space="0" w:color="auto"/>
            <w:right w:val="none" w:sz="0" w:space="0" w:color="auto"/>
          </w:divBdr>
        </w:div>
        <w:div w:id="1634603105">
          <w:marLeft w:val="708"/>
          <w:marRight w:val="0"/>
          <w:marTop w:val="0"/>
          <w:marBottom w:val="120"/>
          <w:divBdr>
            <w:top w:val="none" w:sz="0" w:space="0" w:color="auto"/>
            <w:left w:val="none" w:sz="0" w:space="0" w:color="auto"/>
            <w:bottom w:val="none" w:sz="0" w:space="0" w:color="auto"/>
            <w:right w:val="none" w:sz="0" w:space="0" w:color="auto"/>
          </w:divBdr>
        </w:div>
        <w:div w:id="1544177364">
          <w:marLeft w:val="708"/>
          <w:marRight w:val="0"/>
          <w:marTop w:val="0"/>
          <w:marBottom w:val="120"/>
          <w:divBdr>
            <w:top w:val="none" w:sz="0" w:space="0" w:color="auto"/>
            <w:left w:val="none" w:sz="0" w:space="0" w:color="auto"/>
            <w:bottom w:val="none" w:sz="0" w:space="0" w:color="auto"/>
            <w:right w:val="none" w:sz="0" w:space="0" w:color="auto"/>
          </w:divBdr>
        </w:div>
        <w:div w:id="1200892489">
          <w:marLeft w:val="708"/>
          <w:marRight w:val="0"/>
          <w:marTop w:val="0"/>
          <w:marBottom w:val="120"/>
          <w:divBdr>
            <w:top w:val="none" w:sz="0" w:space="0" w:color="auto"/>
            <w:left w:val="none" w:sz="0" w:space="0" w:color="auto"/>
            <w:bottom w:val="none" w:sz="0" w:space="0" w:color="auto"/>
            <w:right w:val="none" w:sz="0" w:space="0" w:color="auto"/>
          </w:divBdr>
        </w:div>
        <w:div w:id="886452097">
          <w:marLeft w:val="708"/>
          <w:marRight w:val="0"/>
          <w:marTop w:val="0"/>
          <w:marBottom w:val="120"/>
          <w:divBdr>
            <w:top w:val="none" w:sz="0" w:space="0" w:color="auto"/>
            <w:left w:val="none" w:sz="0" w:space="0" w:color="auto"/>
            <w:bottom w:val="none" w:sz="0" w:space="0" w:color="auto"/>
            <w:right w:val="none" w:sz="0" w:space="0" w:color="auto"/>
          </w:divBdr>
        </w:div>
        <w:div w:id="2105227523">
          <w:marLeft w:val="708"/>
          <w:marRight w:val="0"/>
          <w:marTop w:val="0"/>
          <w:marBottom w:val="240"/>
          <w:divBdr>
            <w:top w:val="none" w:sz="0" w:space="0" w:color="auto"/>
            <w:left w:val="none" w:sz="0" w:space="0" w:color="auto"/>
            <w:bottom w:val="none" w:sz="0" w:space="0" w:color="auto"/>
            <w:right w:val="none" w:sz="0" w:space="0" w:color="auto"/>
          </w:divBdr>
        </w:div>
      </w:divsChild>
    </w:div>
    <w:div w:id="933437286">
      <w:bodyDiv w:val="1"/>
      <w:marLeft w:val="0"/>
      <w:marRight w:val="0"/>
      <w:marTop w:val="0"/>
      <w:marBottom w:val="0"/>
      <w:divBdr>
        <w:top w:val="none" w:sz="0" w:space="0" w:color="auto"/>
        <w:left w:val="none" w:sz="0" w:space="0" w:color="auto"/>
        <w:bottom w:val="none" w:sz="0" w:space="0" w:color="auto"/>
        <w:right w:val="none" w:sz="0" w:space="0" w:color="auto"/>
      </w:divBdr>
      <w:divsChild>
        <w:div w:id="201989220">
          <w:marLeft w:val="1166"/>
          <w:marRight w:val="0"/>
          <w:marTop w:val="96"/>
          <w:marBottom w:val="0"/>
          <w:divBdr>
            <w:top w:val="none" w:sz="0" w:space="0" w:color="auto"/>
            <w:left w:val="none" w:sz="0" w:space="0" w:color="auto"/>
            <w:bottom w:val="none" w:sz="0" w:space="0" w:color="auto"/>
            <w:right w:val="none" w:sz="0" w:space="0" w:color="auto"/>
          </w:divBdr>
        </w:div>
      </w:divsChild>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196968575">
          <w:marLeft w:val="1656"/>
          <w:marRight w:val="0"/>
          <w:marTop w:val="0"/>
          <w:marBottom w:val="0"/>
          <w:divBdr>
            <w:top w:val="none" w:sz="0" w:space="0" w:color="auto"/>
            <w:left w:val="none" w:sz="0" w:space="0" w:color="auto"/>
            <w:bottom w:val="none" w:sz="0" w:space="0" w:color="auto"/>
            <w:right w:val="none" w:sz="0" w:space="0" w:color="auto"/>
          </w:divBdr>
        </w:div>
        <w:div w:id="256600513">
          <w:marLeft w:val="1656"/>
          <w:marRight w:val="0"/>
          <w:marTop w:val="0"/>
          <w:marBottom w:val="0"/>
          <w:divBdr>
            <w:top w:val="none" w:sz="0" w:space="0" w:color="auto"/>
            <w:left w:val="none" w:sz="0" w:space="0" w:color="auto"/>
            <w:bottom w:val="none" w:sz="0" w:space="0" w:color="auto"/>
            <w:right w:val="none" w:sz="0" w:space="0" w:color="auto"/>
          </w:divBdr>
        </w:div>
        <w:div w:id="1363289042">
          <w:marLeft w:val="1656"/>
          <w:marRight w:val="0"/>
          <w:marTop w:val="0"/>
          <w:marBottom w:val="0"/>
          <w:divBdr>
            <w:top w:val="none" w:sz="0" w:space="0" w:color="auto"/>
            <w:left w:val="none" w:sz="0" w:space="0" w:color="auto"/>
            <w:bottom w:val="none" w:sz="0" w:space="0" w:color="auto"/>
            <w:right w:val="none" w:sz="0" w:space="0" w:color="auto"/>
          </w:divBdr>
        </w:div>
      </w:divsChild>
    </w:div>
    <w:div w:id="948706211">
      <w:bodyDiv w:val="1"/>
      <w:marLeft w:val="0"/>
      <w:marRight w:val="0"/>
      <w:marTop w:val="0"/>
      <w:marBottom w:val="0"/>
      <w:divBdr>
        <w:top w:val="none" w:sz="0" w:space="0" w:color="auto"/>
        <w:left w:val="none" w:sz="0" w:space="0" w:color="auto"/>
        <w:bottom w:val="none" w:sz="0" w:space="0" w:color="auto"/>
        <w:right w:val="none" w:sz="0" w:space="0" w:color="auto"/>
      </w:divBdr>
    </w:div>
    <w:div w:id="956183670">
      <w:bodyDiv w:val="1"/>
      <w:marLeft w:val="0"/>
      <w:marRight w:val="0"/>
      <w:marTop w:val="0"/>
      <w:marBottom w:val="0"/>
      <w:divBdr>
        <w:top w:val="none" w:sz="0" w:space="0" w:color="auto"/>
        <w:left w:val="none" w:sz="0" w:space="0" w:color="auto"/>
        <w:bottom w:val="none" w:sz="0" w:space="0" w:color="auto"/>
        <w:right w:val="none" w:sz="0" w:space="0" w:color="auto"/>
      </w:divBdr>
    </w:div>
    <w:div w:id="958218298">
      <w:bodyDiv w:val="1"/>
      <w:marLeft w:val="0"/>
      <w:marRight w:val="0"/>
      <w:marTop w:val="0"/>
      <w:marBottom w:val="0"/>
      <w:divBdr>
        <w:top w:val="none" w:sz="0" w:space="0" w:color="auto"/>
        <w:left w:val="none" w:sz="0" w:space="0" w:color="auto"/>
        <w:bottom w:val="none" w:sz="0" w:space="0" w:color="auto"/>
        <w:right w:val="none" w:sz="0" w:space="0" w:color="auto"/>
      </w:divBdr>
    </w:div>
    <w:div w:id="971716597">
      <w:bodyDiv w:val="1"/>
      <w:marLeft w:val="0"/>
      <w:marRight w:val="0"/>
      <w:marTop w:val="0"/>
      <w:marBottom w:val="0"/>
      <w:divBdr>
        <w:top w:val="none" w:sz="0" w:space="0" w:color="auto"/>
        <w:left w:val="none" w:sz="0" w:space="0" w:color="auto"/>
        <w:bottom w:val="none" w:sz="0" w:space="0" w:color="auto"/>
        <w:right w:val="none" w:sz="0" w:space="0" w:color="auto"/>
      </w:divBdr>
    </w:div>
    <w:div w:id="972173675">
      <w:bodyDiv w:val="1"/>
      <w:marLeft w:val="0"/>
      <w:marRight w:val="0"/>
      <w:marTop w:val="0"/>
      <w:marBottom w:val="0"/>
      <w:divBdr>
        <w:top w:val="none" w:sz="0" w:space="0" w:color="auto"/>
        <w:left w:val="none" w:sz="0" w:space="0" w:color="auto"/>
        <w:bottom w:val="none" w:sz="0" w:space="0" w:color="auto"/>
        <w:right w:val="none" w:sz="0" w:space="0" w:color="auto"/>
      </w:divBdr>
      <w:divsChild>
        <w:div w:id="1863086136">
          <w:marLeft w:val="1267"/>
          <w:marRight w:val="0"/>
          <w:marTop w:val="120"/>
          <w:marBottom w:val="120"/>
          <w:divBdr>
            <w:top w:val="none" w:sz="0" w:space="0" w:color="auto"/>
            <w:left w:val="none" w:sz="0" w:space="0" w:color="auto"/>
            <w:bottom w:val="none" w:sz="0" w:space="0" w:color="auto"/>
            <w:right w:val="none" w:sz="0" w:space="0" w:color="auto"/>
          </w:divBdr>
        </w:div>
      </w:divsChild>
    </w:div>
    <w:div w:id="995301809">
      <w:bodyDiv w:val="1"/>
      <w:marLeft w:val="0"/>
      <w:marRight w:val="0"/>
      <w:marTop w:val="0"/>
      <w:marBottom w:val="0"/>
      <w:divBdr>
        <w:top w:val="none" w:sz="0" w:space="0" w:color="auto"/>
        <w:left w:val="none" w:sz="0" w:space="0" w:color="auto"/>
        <w:bottom w:val="none" w:sz="0" w:space="0" w:color="auto"/>
        <w:right w:val="none" w:sz="0" w:space="0" w:color="auto"/>
      </w:divBdr>
    </w:div>
    <w:div w:id="1002703712">
      <w:bodyDiv w:val="1"/>
      <w:marLeft w:val="0"/>
      <w:marRight w:val="0"/>
      <w:marTop w:val="0"/>
      <w:marBottom w:val="0"/>
      <w:divBdr>
        <w:top w:val="none" w:sz="0" w:space="0" w:color="auto"/>
        <w:left w:val="none" w:sz="0" w:space="0" w:color="auto"/>
        <w:bottom w:val="none" w:sz="0" w:space="0" w:color="auto"/>
        <w:right w:val="none" w:sz="0" w:space="0" w:color="auto"/>
      </w:divBdr>
    </w:div>
    <w:div w:id="1003582789">
      <w:bodyDiv w:val="1"/>
      <w:marLeft w:val="0"/>
      <w:marRight w:val="0"/>
      <w:marTop w:val="0"/>
      <w:marBottom w:val="0"/>
      <w:divBdr>
        <w:top w:val="none" w:sz="0" w:space="0" w:color="auto"/>
        <w:left w:val="none" w:sz="0" w:space="0" w:color="auto"/>
        <w:bottom w:val="none" w:sz="0" w:space="0" w:color="auto"/>
        <w:right w:val="none" w:sz="0" w:space="0" w:color="auto"/>
      </w:divBdr>
      <w:divsChild>
        <w:div w:id="608204007">
          <w:marLeft w:val="1166"/>
          <w:marRight w:val="0"/>
          <w:marTop w:val="96"/>
          <w:marBottom w:val="0"/>
          <w:divBdr>
            <w:top w:val="none" w:sz="0" w:space="0" w:color="auto"/>
            <w:left w:val="none" w:sz="0" w:space="0" w:color="auto"/>
            <w:bottom w:val="none" w:sz="0" w:space="0" w:color="auto"/>
            <w:right w:val="none" w:sz="0" w:space="0" w:color="auto"/>
          </w:divBdr>
        </w:div>
        <w:div w:id="1366128279">
          <w:marLeft w:val="1166"/>
          <w:marRight w:val="0"/>
          <w:marTop w:val="96"/>
          <w:marBottom w:val="0"/>
          <w:divBdr>
            <w:top w:val="none" w:sz="0" w:space="0" w:color="auto"/>
            <w:left w:val="none" w:sz="0" w:space="0" w:color="auto"/>
            <w:bottom w:val="none" w:sz="0" w:space="0" w:color="auto"/>
            <w:right w:val="none" w:sz="0" w:space="0" w:color="auto"/>
          </w:divBdr>
        </w:div>
        <w:div w:id="1579830012">
          <w:marLeft w:val="1166"/>
          <w:marRight w:val="0"/>
          <w:marTop w:val="96"/>
          <w:marBottom w:val="0"/>
          <w:divBdr>
            <w:top w:val="none" w:sz="0" w:space="0" w:color="auto"/>
            <w:left w:val="none" w:sz="0" w:space="0" w:color="auto"/>
            <w:bottom w:val="none" w:sz="0" w:space="0" w:color="auto"/>
            <w:right w:val="none" w:sz="0" w:space="0" w:color="auto"/>
          </w:divBdr>
        </w:div>
        <w:div w:id="1615332284">
          <w:marLeft w:val="1166"/>
          <w:marRight w:val="0"/>
          <w:marTop w:val="96"/>
          <w:marBottom w:val="0"/>
          <w:divBdr>
            <w:top w:val="none" w:sz="0" w:space="0" w:color="auto"/>
            <w:left w:val="none" w:sz="0" w:space="0" w:color="auto"/>
            <w:bottom w:val="none" w:sz="0" w:space="0" w:color="auto"/>
            <w:right w:val="none" w:sz="0" w:space="0" w:color="auto"/>
          </w:divBdr>
        </w:div>
      </w:divsChild>
    </w:div>
    <w:div w:id="1024593974">
      <w:bodyDiv w:val="1"/>
      <w:marLeft w:val="0"/>
      <w:marRight w:val="0"/>
      <w:marTop w:val="0"/>
      <w:marBottom w:val="0"/>
      <w:divBdr>
        <w:top w:val="none" w:sz="0" w:space="0" w:color="auto"/>
        <w:left w:val="none" w:sz="0" w:space="0" w:color="auto"/>
        <w:bottom w:val="none" w:sz="0" w:space="0" w:color="auto"/>
        <w:right w:val="none" w:sz="0" w:space="0" w:color="auto"/>
      </w:divBdr>
      <w:divsChild>
        <w:div w:id="846864605">
          <w:marLeft w:val="547"/>
          <w:marRight w:val="0"/>
          <w:marTop w:val="115"/>
          <w:marBottom w:val="0"/>
          <w:divBdr>
            <w:top w:val="none" w:sz="0" w:space="0" w:color="auto"/>
            <w:left w:val="none" w:sz="0" w:space="0" w:color="auto"/>
            <w:bottom w:val="none" w:sz="0" w:space="0" w:color="auto"/>
            <w:right w:val="none" w:sz="0" w:space="0" w:color="auto"/>
          </w:divBdr>
        </w:div>
      </w:divsChild>
    </w:div>
    <w:div w:id="1035930271">
      <w:bodyDiv w:val="1"/>
      <w:marLeft w:val="0"/>
      <w:marRight w:val="0"/>
      <w:marTop w:val="0"/>
      <w:marBottom w:val="0"/>
      <w:divBdr>
        <w:top w:val="none" w:sz="0" w:space="0" w:color="auto"/>
        <w:left w:val="none" w:sz="0" w:space="0" w:color="auto"/>
        <w:bottom w:val="none" w:sz="0" w:space="0" w:color="auto"/>
        <w:right w:val="none" w:sz="0" w:space="0" w:color="auto"/>
      </w:divBdr>
    </w:div>
    <w:div w:id="1059783580">
      <w:bodyDiv w:val="1"/>
      <w:marLeft w:val="0"/>
      <w:marRight w:val="0"/>
      <w:marTop w:val="0"/>
      <w:marBottom w:val="0"/>
      <w:divBdr>
        <w:top w:val="none" w:sz="0" w:space="0" w:color="auto"/>
        <w:left w:val="none" w:sz="0" w:space="0" w:color="auto"/>
        <w:bottom w:val="none" w:sz="0" w:space="0" w:color="auto"/>
        <w:right w:val="none" w:sz="0" w:space="0" w:color="auto"/>
      </w:divBdr>
    </w:div>
    <w:div w:id="1095518001">
      <w:bodyDiv w:val="1"/>
      <w:marLeft w:val="0"/>
      <w:marRight w:val="0"/>
      <w:marTop w:val="0"/>
      <w:marBottom w:val="0"/>
      <w:divBdr>
        <w:top w:val="none" w:sz="0" w:space="0" w:color="auto"/>
        <w:left w:val="none" w:sz="0" w:space="0" w:color="auto"/>
        <w:bottom w:val="none" w:sz="0" w:space="0" w:color="auto"/>
        <w:right w:val="none" w:sz="0" w:space="0" w:color="auto"/>
      </w:divBdr>
      <w:divsChild>
        <w:div w:id="276183155">
          <w:marLeft w:val="547"/>
          <w:marRight w:val="0"/>
          <w:marTop w:val="96"/>
          <w:marBottom w:val="0"/>
          <w:divBdr>
            <w:top w:val="none" w:sz="0" w:space="0" w:color="auto"/>
            <w:left w:val="none" w:sz="0" w:space="0" w:color="auto"/>
            <w:bottom w:val="none" w:sz="0" w:space="0" w:color="auto"/>
            <w:right w:val="none" w:sz="0" w:space="0" w:color="auto"/>
          </w:divBdr>
        </w:div>
        <w:div w:id="693698796">
          <w:marLeft w:val="547"/>
          <w:marRight w:val="0"/>
          <w:marTop w:val="96"/>
          <w:marBottom w:val="0"/>
          <w:divBdr>
            <w:top w:val="none" w:sz="0" w:space="0" w:color="auto"/>
            <w:left w:val="none" w:sz="0" w:space="0" w:color="auto"/>
            <w:bottom w:val="none" w:sz="0" w:space="0" w:color="auto"/>
            <w:right w:val="none" w:sz="0" w:space="0" w:color="auto"/>
          </w:divBdr>
        </w:div>
        <w:div w:id="1455372278">
          <w:marLeft w:val="547"/>
          <w:marRight w:val="0"/>
          <w:marTop w:val="96"/>
          <w:marBottom w:val="0"/>
          <w:divBdr>
            <w:top w:val="none" w:sz="0" w:space="0" w:color="auto"/>
            <w:left w:val="none" w:sz="0" w:space="0" w:color="auto"/>
            <w:bottom w:val="none" w:sz="0" w:space="0" w:color="auto"/>
            <w:right w:val="none" w:sz="0" w:space="0" w:color="auto"/>
          </w:divBdr>
        </w:div>
        <w:div w:id="1576740852">
          <w:marLeft w:val="547"/>
          <w:marRight w:val="0"/>
          <w:marTop w:val="96"/>
          <w:marBottom w:val="0"/>
          <w:divBdr>
            <w:top w:val="none" w:sz="0" w:space="0" w:color="auto"/>
            <w:left w:val="none" w:sz="0" w:space="0" w:color="auto"/>
            <w:bottom w:val="none" w:sz="0" w:space="0" w:color="auto"/>
            <w:right w:val="none" w:sz="0" w:space="0" w:color="auto"/>
          </w:divBdr>
        </w:div>
      </w:divsChild>
    </w:div>
    <w:div w:id="1095638373">
      <w:bodyDiv w:val="1"/>
      <w:marLeft w:val="0"/>
      <w:marRight w:val="0"/>
      <w:marTop w:val="0"/>
      <w:marBottom w:val="0"/>
      <w:divBdr>
        <w:top w:val="none" w:sz="0" w:space="0" w:color="auto"/>
        <w:left w:val="none" w:sz="0" w:space="0" w:color="auto"/>
        <w:bottom w:val="none" w:sz="0" w:space="0" w:color="auto"/>
        <w:right w:val="none" w:sz="0" w:space="0" w:color="auto"/>
      </w:divBdr>
    </w:div>
    <w:div w:id="1106851128">
      <w:bodyDiv w:val="1"/>
      <w:marLeft w:val="0"/>
      <w:marRight w:val="0"/>
      <w:marTop w:val="0"/>
      <w:marBottom w:val="0"/>
      <w:divBdr>
        <w:top w:val="none" w:sz="0" w:space="0" w:color="auto"/>
        <w:left w:val="none" w:sz="0" w:space="0" w:color="auto"/>
        <w:bottom w:val="none" w:sz="0" w:space="0" w:color="auto"/>
        <w:right w:val="none" w:sz="0" w:space="0" w:color="auto"/>
      </w:divBdr>
    </w:div>
    <w:div w:id="1115908659">
      <w:bodyDiv w:val="1"/>
      <w:marLeft w:val="0"/>
      <w:marRight w:val="0"/>
      <w:marTop w:val="0"/>
      <w:marBottom w:val="0"/>
      <w:divBdr>
        <w:top w:val="none" w:sz="0" w:space="0" w:color="auto"/>
        <w:left w:val="none" w:sz="0" w:space="0" w:color="auto"/>
        <w:bottom w:val="none" w:sz="0" w:space="0" w:color="auto"/>
        <w:right w:val="none" w:sz="0" w:space="0" w:color="auto"/>
      </w:divBdr>
    </w:div>
    <w:div w:id="1118379218">
      <w:bodyDiv w:val="1"/>
      <w:marLeft w:val="0"/>
      <w:marRight w:val="0"/>
      <w:marTop w:val="0"/>
      <w:marBottom w:val="0"/>
      <w:divBdr>
        <w:top w:val="none" w:sz="0" w:space="0" w:color="auto"/>
        <w:left w:val="none" w:sz="0" w:space="0" w:color="auto"/>
        <w:bottom w:val="none" w:sz="0" w:space="0" w:color="auto"/>
        <w:right w:val="none" w:sz="0" w:space="0" w:color="auto"/>
      </w:divBdr>
    </w:div>
    <w:div w:id="1133210706">
      <w:bodyDiv w:val="1"/>
      <w:marLeft w:val="0"/>
      <w:marRight w:val="0"/>
      <w:marTop w:val="0"/>
      <w:marBottom w:val="0"/>
      <w:divBdr>
        <w:top w:val="none" w:sz="0" w:space="0" w:color="auto"/>
        <w:left w:val="none" w:sz="0" w:space="0" w:color="auto"/>
        <w:bottom w:val="none" w:sz="0" w:space="0" w:color="auto"/>
        <w:right w:val="none" w:sz="0" w:space="0" w:color="auto"/>
      </w:divBdr>
    </w:div>
    <w:div w:id="1142306317">
      <w:bodyDiv w:val="1"/>
      <w:marLeft w:val="0"/>
      <w:marRight w:val="0"/>
      <w:marTop w:val="0"/>
      <w:marBottom w:val="0"/>
      <w:divBdr>
        <w:top w:val="none" w:sz="0" w:space="0" w:color="auto"/>
        <w:left w:val="none" w:sz="0" w:space="0" w:color="auto"/>
        <w:bottom w:val="none" w:sz="0" w:space="0" w:color="auto"/>
        <w:right w:val="none" w:sz="0" w:space="0" w:color="auto"/>
      </w:divBdr>
    </w:div>
    <w:div w:id="1144851746">
      <w:bodyDiv w:val="1"/>
      <w:marLeft w:val="0"/>
      <w:marRight w:val="0"/>
      <w:marTop w:val="0"/>
      <w:marBottom w:val="0"/>
      <w:divBdr>
        <w:top w:val="none" w:sz="0" w:space="0" w:color="auto"/>
        <w:left w:val="none" w:sz="0" w:space="0" w:color="auto"/>
        <w:bottom w:val="none" w:sz="0" w:space="0" w:color="auto"/>
        <w:right w:val="none" w:sz="0" w:space="0" w:color="auto"/>
      </w:divBdr>
    </w:div>
    <w:div w:id="1174491586">
      <w:bodyDiv w:val="1"/>
      <w:marLeft w:val="0"/>
      <w:marRight w:val="0"/>
      <w:marTop w:val="0"/>
      <w:marBottom w:val="0"/>
      <w:divBdr>
        <w:top w:val="none" w:sz="0" w:space="0" w:color="auto"/>
        <w:left w:val="none" w:sz="0" w:space="0" w:color="auto"/>
        <w:bottom w:val="none" w:sz="0" w:space="0" w:color="auto"/>
        <w:right w:val="none" w:sz="0" w:space="0" w:color="auto"/>
      </w:divBdr>
    </w:div>
    <w:div w:id="1180051088">
      <w:bodyDiv w:val="1"/>
      <w:marLeft w:val="0"/>
      <w:marRight w:val="0"/>
      <w:marTop w:val="0"/>
      <w:marBottom w:val="0"/>
      <w:divBdr>
        <w:top w:val="none" w:sz="0" w:space="0" w:color="auto"/>
        <w:left w:val="none" w:sz="0" w:space="0" w:color="auto"/>
        <w:bottom w:val="none" w:sz="0" w:space="0" w:color="auto"/>
        <w:right w:val="none" w:sz="0" w:space="0" w:color="auto"/>
      </w:divBdr>
      <w:divsChild>
        <w:div w:id="113251481">
          <w:marLeft w:val="1416"/>
          <w:marRight w:val="0"/>
          <w:marTop w:val="0"/>
          <w:marBottom w:val="0"/>
          <w:divBdr>
            <w:top w:val="none" w:sz="0" w:space="0" w:color="auto"/>
            <w:left w:val="none" w:sz="0" w:space="0" w:color="auto"/>
            <w:bottom w:val="none" w:sz="0" w:space="0" w:color="auto"/>
            <w:right w:val="none" w:sz="0" w:space="0" w:color="auto"/>
          </w:divBdr>
        </w:div>
      </w:divsChild>
    </w:div>
    <w:div w:id="1186360312">
      <w:bodyDiv w:val="1"/>
      <w:marLeft w:val="0"/>
      <w:marRight w:val="0"/>
      <w:marTop w:val="0"/>
      <w:marBottom w:val="0"/>
      <w:divBdr>
        <w:top w:val="none" w:sz="0" w:space="0" w:color="auto"/>
        <w:left w:val="none" w:sz="0" w:space="0" w:color="auto"/>
        <w:bottom w:val="none" w:sz="0" w:space="0" w:color="auto"/>
        <w:right w:val="none" w:sz="0" w:space="0" w:color="auto"/>
      </w:divBdr>
    </w:div>
    <w:div w:id="1210804885">
      <w:bodyDiv w:val="1"/>
      <w:marLeft w:val="0"/>
      <w:marRight w:val="0"/>
      <w:marTop w:val="0"/>
      <w:marBottom w:val="0"/>
      <w:divBdr>
        <w:top w:val="none" w:sz="0" w:space="0" w:color="auto"/>
        <w:left w:val="none" w:sz="0" w:space="0" w:color="auto"/>
        <w:bottom w:val="none" w:sz="0" w:space="0" w:color="auto"/>
        <w:right w:val="none" w:sz="0" w:space="0" w:color="auto"/>
      </w:divBdr>
    </w:div>
    <w:div w:id="1219823094">
      <w:bodyDiv w:val="1"/>
      <w:marLeft w:val="0"/>
      <w:marRight w:val="0"/>
      <w:marTop w:val="0"/>
      <w:marBottom w:val="0"/>
      <w:divBdr>
        <w:top w:val="none" w:sz="0" w:space="0" w:color="auto"/>
        <w:left w:val="none" w:sz="0" w:space="0" w:color="auto"/>
        <w:bottom w:val="none" w:sz="0" w:space="0" w:color="auto"/>
        <w:right w:val="none" w:sz="0" w:space="0" w:color="auto"/>
      </w:divBdr>
      <w:divsChild>
        <w:div w:id="1340111599">
          <w:marLeft w:val="0"/>
          <w:marRight w:val="0"/>
          <w:marTop w:val="0"/>
          <w:marBottom w:val="0"/>
          <w:divBdr>
            <w:top w:val="none" w:sz="0" w:space="0" w:color="auto"/>
            <w:left w:val="none" w:sz="0" w:space="0" w:color="auto"/>
            <w:bottom w:val="none" w:sz="0" w:space="0" w:color="auto"/>
            <w:right w:val="none" w:sz="0" w:space="0" w:color="auto"/>
          </w:divBdr>
        </w:div>
      </w:divsChild>
    </w:div>
    <w:div w:id="1226264114">
      <w:bodyDiv w:val="1"/>
      <w:marLeft w:val="0"/>
      <w:marRight w:val="0"/>
      <w:marTop w:val="0"/>
      <w:marBottom w:val="0"/>
      <w:divBdr>
        <w:top w:val="none" w:sz="0" w:space="0" w:color="auto"/>
        <w:left w:val="none" w:sz="0" w:space="0" w:color="auto"/>
        <w:bottom w:val="none" w:sz="0" w:space="0" w:color="auto"/>
        <w:right w:val="none" w:sz="0" w:space="0" w:color="auto"/>
      </w:divBdr>
    </w:div>
    <w:div w:id="1226338830">
      <w:bodyDiv w:val="1"/>
      <w:marLeft w:val="0"/>
      <w:marRight w:val="0"/>
      <w:marTop w:val="0"/>
      <w:marBottom w:val="0"/>
      <w:divBdr>
        <w:top w:val="none" w:sz="0" w:space="0" w:color="auto"/>
        <w:left w:val="none" w:sz="0" w:space="0" w:color="auto"/>
        <w:bottom w:val="none" w:sz="0" w:space="0" w:color="auto"/>
        <w:right w:val="none" w:sz="0" w:space="0" w:color="auto"/>
      </w:divBdr>
    </w:div>
    <w:div w:id="1227959918">
      <w:bodyDiv w:val="1"/>
      <w:marLeft w:val="0"/>
      <w:marRight w:val="0"/>
      <w:marTop w:val="0"/>
      <w:marBottom w:val="0"/>
      <w:divBdr>
        <w:top w:val="none" w:sz="0" w:space="0" w:color="auto"/>
        <w:left w:val="none" w:sz="0" w:space="0" w:color="auto"/>
        <w:bottom w:val="none" w:sz="0" w:space="0" w:color="auto"/>
        <w:right w:val="none" w:sz="0" w:space="0" w:color="auto"/>
      </w:divBdr>
    </w:div>
    <w:div w:id="1239289134">
      <w:bodyDiv w:val="1"/>
      <w:marLeft w:val="0"/>
      <w:marRight w:val="0"/>
      <w:marTop w:val="0"/>
      <w:marBottom w:val="0"/>
      <w:divBdr>
        <w:top w:val="none" w:sz="0" w:space="0" w:color="auto"/>
        <w:left w:val="none" w:sz="0" w:space="0" w:color="auto"/>
        <w:bottom w:val="none" w:sz="0" w:space="0" w:color="auto"/>
        <w:right w:val="none" w:sz="0" w:space="0" w:color="auto"/>
      </w:divBdr>
    </w:div>
    <w:div w:id="1247418574">
      <w:bodyDiv w:val="1"/>
      <w:marLeft w:val="0"/>
      <w:marRight w:val="0"/>
      <w:marTop w:val="0"/>
      <w:marBottom w:val="0"/>
      <w:divBdr>
        <w:top w:val="none" w:sz="0" w:space="0" w:color="auto"/>
        <w:left w:val="none" w:sz="0" w:space="0" w:color="auto"/>
        <w:bottom w:val="none" w:sz="0" w:space="0" w:color="auto"/>
        <w:right w:val="none" w:sz="0" w:space="0" w:color="auto"/>
      </w:divBdr>
      <w:divsChild>
        <w:div w:id="286620320">
          <w:marLeft w:val="547"/>
          <w:marRight w:val="0"/>
          <w:marTop w:val="96"/>
          <w:marBottom w:val="0"/>
          <w:divBdr>
            <w:top w:val="none" w:sz="0" w:space="0" w:color="auto"/>
            <w:left w:val="none" w:sz="0" w:space="0" w:color="auto"/>
            <w:bottom w:val="none" w:sz="0" w:space="0" w:color="auto"/>
            <w:right w:val="none" w:sz="0" w:space="0" w:color="auto"/>
          </w:divBdr>
        </w:div>
        <w:div w:id="1918132565">
          <w:marLeft w:val="547"/>
          <w:marRight w:val="0"/>
          <w:marTop w:val="96"/>
          <w:marBottom w:val="0"/>
          <w:divBdr>
            <w:top w:val="none" w:sz="0" w:space="0" w:color="auto"/>
            <w:left w:val="none" w:sz="0" w:space="0" w:color="auto"/>
            <w:bottom w:val="none" w:sz="0" w:space="0" w:color="auto"/>
            <w:right w:val="none" w:sz="0" w:space="0" w:color="auto"/>
          </w:divBdr>
        </w:div>
        <w:div w:id="133912061">
          <w:marLeft w:val="547"/>
          <w:marRight w:val="0"/>
          <w:marTop w:val="96"/>
          <w:marBottom w:val="0"/>
          <w:divBdr>
            <w:top w:val="none" w:sz="0" w:space="0" w:color="auto"/>
            <w:left w:val="none" w:sz="0" w:space="0" w:color="auto"/>
            <w:bottom w:val="none" w:sz="0" w:space="0" w:color="auto"/>
            <w:right w:val="none" w:sz="0" w:space="0" w:color="auto"/>
          </w:divBdr>
        </w:div>
        <w:div w:id="1777292469">
          <w:marLeft w:val="547"/>
          <w:marRight w:val="0"/>
          <w:marTop w:val="96"/>
          <w:marBottom w:val="0"/>
          <w:divBdr>
            <w:top w:val="none" w:sz="0" w:space="0" w:color="auto"/>
            <w:left w:val="none" w:sz="0" w:space="0" w:color="auto"/>
            <w:bottom w:val="none" w:sz="0" w:space="0" w:color="auto"/>
            <w:right w:val="none" w:sz="0" w:space="0" w:color="auto"/>
          </w:divBdr>
        </w:div>
      </w:divsChild>
    </w:div>
    <w:div w:id="1274089572">
      <w:bodyDiv w:val="1"/>
      <w:marLeft w:val="0"/>
      <w:marRight w:val="0"/>
      <w:marTop w:val="0"/>
      <w:marBottom w:val="0"/>
      <w:divBdr>
        <w:top w:val="none" w:sz="0" w:space="0" w:color="auto"/>
        <w:left w:val="none" w:sz="0" w:space="0" w:color="auto"/>
        <w:bottom w:val="none" w:sz="0" w:space="0" w:color="auto"/>
        <w:right w:val="none" w:sz="0" w:space="0" w:color="auto"/>
      </w:divBdr>
    </w:div>
    <w:div w:id="1303659784">
      <w:bodyDiv w:val="1"/>
      <w:marLeft w:val="0"/>
      <w:marRight w:val="0"/>
      <w:marTop w:val="0"/>
      <w:marBottom w:val="0"/>
      <w:divBdr>
        <w:top w:val="none" w:sz="0" w:space="0" w:color="auto"/>
        <w:left w:val="none" w:sz="0" w:space="0" w:color="auto"/>
        <w:bottom w:val="none" w:sz="0" w:space="0" w:color="auto"/>
        <w:right w:val="none" w:sz="0" w:space="0" w:color="auto"/>
      </w:divBdr>
    </w:div>
    <w:div w:id="1304238782">
      <w:bodyDiv w:val="1"/>
      <w:marLeft w:val="0"/>
      <w:marRight w:val="0"/>
      <w:marTop w:val="0"/>
      <w:marBottom w:val="0"/>
      <w:divBdr>
        <w:top w:val="none" w:sz="0" w:space="0" w:color="auto"/>
        <w:left w:val="none" w:sz="0" w:space="0" w:color="auto"/>
        <w:bottom w:val="none" w:sz="0" w:space="0" w:color="auto"/>
        <w:right w:val="none" w:sz="0" w:space="0" w:color="auto"/>
      </w:divBdr>
    </w:div>
    <w:div w:id="1310330308">
      <w:bodyDiv w:val="1"/>
      <w:marLeft w:val="0"/>
      <w:marRight w:val="0"/>
      <w:marTop w:val="0"/>
      <w:marBottom w:val="0"/>
      <w:divBdr>
        <w:top w:val="none" w:sz="0" w:space="0" w:color="auto"/>
        <w:left w:val="none" w:sz="0" w:space="0" w:color="auto"/>
        <w:bottom w:val="none" w:sz="0" w:space="0" w:color="auto"/>
        <w:right w:val="none" w:sz="0" w:space="0" w:color="auto"/>
      </w:divBdr>
    </w:div>
    <w:div w:id="1328821823">
      <w:bodyDiv w:val="1"/>
      <w:marLeft w:val="0"/>
      <w:marRight w:val="0"/>
      <w:marTop w:val="0"/>
      <w:marBottom w:val="0"/>
      <w:divBdr>
        <w:top w:val="none" w:sz="0" w:space="0" w:color="auto"/>
        <w:left w:val="none" w:sz="0" w:space="0" w:color="auto"/>
        <w:bottom w:val="none" w:sz="0" w:space="0" w:color="auto"/>
        <w:right w:val="none" w:sz="0" w:space="0" w:color="auto"/>
      </w:divBdr>
    </w:div>
    <w:div w:id="1332949095">
      <w:bodyDiv w:val="1"/>
      <w:marLeft w:val="0"/>
      <w:marRight w:val="0"/>
      <w:marTop w:val="0"/>
      <w:marBottom w:val="0"/>
      <w:divBdr>
        <w:top w:val="none" w:sz="0" w:space="0" w:color="auto"/>
        <w:left w:val="none" w:sz="0" w:space="0" w:color="auto"/>
        <w:bottom w:val="none" w:sz="0" w:space="0" w:color="auto"/>
        <w:right w:val="none" w:sz="0" w:space="0" w:color="auto"/>
      </w:divBdr>
    </w:div>
    <w:div w:id="1346707546">
      <w:bodyDiv w:val="1"/>
      <w:marLeft w:val="0"/>
      <w:marRight w:val="0"/>
      <w:marTop w:val="0"/>
      <w:marBottom w:val="0"/>
      <w:divBdr>
        <w:top w:val="none" w:sz="0" w:space="0" w:color="auto"/>
        <w:left w:val="none" w:sz="0" w:space="0" w:color="auto"/>
        <w:bottom w:val="none" w:sz="0" w:space="0" w:color="auto"/>
        <w:right w:val="none" w:sz="0" w:space="0" w:color="auto"/>
      </w:divBdr>
    </w:div>
    <w:div w:id="1357584015">
      <w:bodyDiv w:val="1"/>
      <w:marLeft w:val="0"/>
      <w:marRight w:val="0"/>
      <w:marTop w:val="0"/>
      <w:marBottom w:val="0"/>
      <w:divBdr>
        <w:top w:val="none" w:sz="0" w:space="0" w:color="auto"/>
        <w:left w:val="none" w:sz="0" w:space="0" w:color="auto"/>
        <w:bottom w:val="none" w:sz="0" w:space="0" w:color="auto"/>
        <w:right w:val="none" w:sz="0" w:space="0" w:color="auto"/>
      </w:divBdr>
    </w:div>
    <w:div w:id="1367099721">
      <w:bodyDiv w:val="1"/>
      <w:marLeft w:val="0"/>
      <w:marRight w:val="0"/>
      <w:marTop w:val="0"/>
      <w:marBottom w:val="0"/>
      <w:divBdr>
        <w:top w:val="none" w:sz="0" w:space="0" w:color="auto"/>
        <w:left w:val="none" w:sz="0" w:space="0" w:color="auto"/>
        <w:bottom w:val="none" w:sz="0" w:space="0" w:color="auto"/>
        <w:right w:val="none" w:sz="0" w:space="0" w:color="auto"/>
      </w:divBdr>
    </w:div>
    <w:div w:id="1388138955">
      <w:bodyDiv w:val="1"/>
      <w:marLeft w:val="0"/>
      <w:marRight w:val="0"/>
      <w:marTop w:val="0"/>
      <w:marBottom w:val="0"/>
      <w:divBdr>
        <w:top w:val="none" w:sz="0" w:space="0" w:color="auto"/>
        <w:left w:val="none" w:sz="0" w:space="0" w:color="auto"/>
        <w:bottom w:val="none" w:sz="0" w:space="0" w:color="auto"/>
        <w:right w:val="none" w:sz="0" w:space="0" w:color="auto"/>
      </w:divBdr>
    </w:div>
    <w:div w:id="1406024664">
      <w:bodyDiv w:val="1"/>
      <w:marLeft w:val="0"/>
      <w:marRight w:val="0"/>
      <w:marTop w:val="0"/>
      <w:marBottom w:val="0"/>
      <w:divBdr>
        <w:top w:val="none" w:sz="0" w:space="0" w:color="auto"/>
        <w:left w:val="none" w:sz="0" w:space="0" w:color="auto"/>
        <w:bottom w:val="none" w:sz="0" w:space="0" w:color="auto"/>
        <w:right w:val="none" w:sz="0" w:space="0" w:color="auto"/>
      </w:divBdr>
    </w:div>
    <w:div w:id="1470443213">
      <w:bodyDiv w:val="1"/>
      <w:marLeft w:val="0"/>
      <w:marRight w:val="0"/>
      <w:marTop w:val="0"/>
      <w:marBottom w:val="0"/>
      <w:divBdr>
        <w:top w:val="none" w:sz="0" w:space="0" w:color="auto"/>
        <w:left w:val="none" w:sz="0" w:space="0" w:color="auto"/>
        <w:bottom w:val="none" w:sz="0" w:space="0" w:color="auto"/>
        <w:right w:val="none" w:sz="0" w:space="0" w:color="auto"/>
      </w:divBdr>
      <w:divsChild>
        <w:div w:id="1044335263">
          <w:marLeft w:val="547"/>
          <w:marRight w:val="0"/>
          <w:marTop w:val="115"/>
          <w:marBottom w:val="0"/>
          <w:divBdr>
            <w:top w:val="none" w:sz="0" w:space="0" w:color="auto"/>
            <w:left w:val="none" w:sz="0" w:space="0" w:color="auto"/>
            <w:bottom w:val="none" w:sz="0" w:space="0" w:color="auto"/>
            <w:right w:val="none" w:sz="0" w:space="0" w:color="auto"/>
          </w:divBdr>
        </w:div>
      </w:divsChild>
    </w:div>
    <w:div w:id="1477065807">
      <w:bodyDiv w:val="1"/>
      <w:marLeft w:val="0"/>
      <w:marRight w:val="0"/>
      <w:marTop w:val="0"/>
      <w:marBottom w:val="0"/>
      <w:divBdr>
        <w:top w:val="none" w:sz="0" w:space="0" w:color="auto"/>
        <w:left w:val="none" w:sz="0" w:space="0" w:color="auto"/>
        <w:bottom w:val="none" w:sz="0" w:space="0" w:color="auto"/>
        <w:right w:val="none" w:sz="0" w:space="0" w:color="auto"/>
      </w:divBdr>
    </w:div>
    <w:div w:id="1481270233">
      <w:bodyDiv w:val="1"/>
      <w:marLeft w:val="0"/>
      <w:marRight w:val="0"/>
      <w:marTop w:val="0"/>
      <w:marBottom w:val="0"/>
      <w:divBdr>
        <w:top w:val="none" w:sz="0" w:space="0" w:color="auto"/>
        <w:left w:val="none" w:sz="0" w:space="0" w:color="auto"/>
        <w:bottom w:val="none" w:sz="0" w:space="0" w:color="auto"/>
        <w:right w:val="none" w:sz="0" w:space="0" w:color="auto"/>
      </w:divBdr>
    </w:div>
    <w:div w:id="1483690980">
      <w:bodyDiv w:val="1"/>
      <w:marLeft w:val="0"/>
      <w:marRight w:val="0"/>
      <w:marTop w:val="0"/>
      <w:marBottom w:val="0"/>
      <w:divBdr>
        <w:top w:val="none" w:sz="0" w:space="0" w:color="auto"/>
        <w:left w:val="none" w:sz="0" w:space="0" w:color="auto"/>
        <w:bottom w:val="none" w:sz="0" w:space="0" w:color="auto"/>
        <w:right w:val="none" w:sz="0" w:space="0" w:color="auto"/>
      </w:divBdr>
      <w:divsChild>
        <w:div w:id="1180701117">
          <w:marLeft w:val="1166"/>
          <w:marRight w:val="0"/>
          <w:marTop w:val="96"/>
          <w:marBottom w:val="0"/>
          <w:divBdr>
            <w:top w:val="none" w:sz="0" w:space="0" w:color="auto"/>
            <w:left w:val="none" w:sz="0" w:space="0" w:color="auto"/>
            <w:bottom w:val="none" w:sz="0" w:space="0" w:color="auto"/>
            <w:right w:val="none" w:sz="0" w:space="0" w:color="auto"/>
          </w:divBdr>
        </w:div>
        <w:div w:id="1349138272">
          <w:marLeft w:val="1166"/>
          <w:marRight w:val="0"/>
          <w:marTop w:val="96"/>
          <w:marBottom w:val="0"/>
          <w:divBdr>
            <w:top w:val="none" w:sz="0" w:space="0" w:color="auto"/>
            <w:left w:val="none" w:sz="0" w:space="0" w:color="auto"/>
            <w:bottom w:val="none" w:sz="0" w:space="0" w:color="auto"/>
            <w:right w:val="none" w:sz="0" w:space="0" w:color="auto"/>
          </w:divBdr>
        </w:div>
        <w:div w:id="1472939537">
          <w:marLeft w:val="1166"/>
          <w:marRight w:val="0"/>
          <w:marTop w:val="96"/>
          <w:marBottom w:val="0"/>
          <w:divBdr>
            <w:top w:val="none" w:sz="0" w:space="0" w:color="auto"/>
            <w:left w:val="none" w:sz="0" w:space="0" w:color="auto"/>
            <w:bottom w:val="none" w:sz="0" w:space="0" w:color="auto"/>
            <w:right w:val="none" w:sz="0" w:space="0" w:color="auto"/>
          </w:divBdr>
        </w:div>
        <w:div w:id="1702315906">
          <w:marLeft w:val="1166"/>
          <w:marRight w:val="0"/>
          <w:marTop w:val="96"/>
          <w:marBottom w:val="0"/>
          <w:divBdr>
            <w:top w:val="none" w:sz="0" w:space="0" w:color="auto"/>
            <w:left w:val="none" w:sz="0" w:space="0" w:color="auto"/>
            <w:bottom w:val="none" w:sz="0" w:space="0" w:color="auto"/>
            <w:right w:val="none" w:sz="0" w:space="0" w:color="auto"/>
          </w:divBdr>
        </w:div>
      </w:divsChild>
    </w:div>
    <w:div w:id="1513110800">
      <w:bodyDiv w:val="1"/>
      <w:marLeft w:val="0"/>
      <w:marRight w:val="0"/>
      <w:marTop w:val="0"/>
      <w:marBottom w:val="0"/>
      <w:divBdr>
        <w:top w:val="none" w:sz="0" w:space="0" w:color="auto"/>
        <w:left w:val="none" w:sz="0" w:space="0" w:color="auto"/>
        <w:bottom w:val="none" w:sz="0" w:space="0" w:color="auto"/>
        <w:right w:val="none" w:sz="0" w:space="0" w:color="auto"/>
      </w:divBdr>
    </w:div>
    <w:div w:id="1527450004">
      <w:bodyDiv w:val="1"/>
      <w:marLeft w:val="0"/>
      <w:marRight w:val="0"/>
      <w:marTop w:val="0"/>
      <w:marBottom w:val="0"/>
      <w:divBdr>
        <w:top w:val="none" w:sz="0" w:space="0" w:color="auto"/>
        <w:left w:val="none" w:sz="0" w:space="0" w:color="auto"/>
        <w:bottom w:val="none" w:sz="0" w:space="0" w:color="auto"/>
        <w:right w:val="none" w:sz="0" w:space="0" w:color="auto"/>
      </w:divBdr>
    </w:div>
    <w:div w:id="1548176044">
      <w:bodyDiv w:val="1"/>
      <w:marLeft w:val="0"/>
      <w:marRight w:val="0"/>
      <w:marTop w:val="0"/>
      <w:marBottom w:val="0"/>
      <w:divBdr>
        <w:top w:val="none" w:sz="0" w:space="0" w:color="auto"/>
        <w:left w:val="none" w:sz="0" w:space="0" w:color="auto"/>
        <w:bottom w:val="none" w:sz="0" w:space="0" w:color="auto"/>
        <w:right w:val="none" w:sz="0" w:space="0" w:color="auto"/>
      </w:divBdr>
    </w:div>
    <w:div w:id="1548687057">
      <w:bodyDiv w:val="1"/>
      <w:marLeft w:val="0"/>
      <w:marRight w:val="0"/>
      <w:marTop w:val="0"/>
      <w:marBottom w:val="0"/>
      <w:divBdr>
        <w:top w:val="none" w:sz="0" w:space="0" w:color="auto"/>
        <w:left w:val="none" w:sz="0" w:space="0" w:color="auto"/>
        <w:bottom w:val="none" w:sz="0" w:space="0" w:color="auto"/>
        <w:right w:val="none" w:sz="0" w:space="0" w:color="auto"/>
      </w:divBdr>
    </w:div>
    <w:div w:id="1551769824">
      <w:bodyDiv w:val="1"/>
      <w:marLeft w:val="0"/>
      <w:marRight w:val="0"/>
      <w:marTop w:val="0"/>
      <w:marBottom w:val="0"/>
      <w:divBdr>
        <w:top w:val="none" w:sz="0" w:space="0" w:color="auto"/>
        <w:left w:val="none" w:sz="0" w:space="0" w:color="auto"/>
        <w:bottom w:val="none" w:sz="0" w:space="0" w:color="auto"/>
        <w:right w:val="none" w:sz="0" w:space="0" w:color="auto"/>
      </w:divBdr>
      <w:divsChild>
        <w:div w:id="1399787649">
          <w:marLeft w:val="0"/>
          <w:marRight w:val="0"/>
          <w:marTop w:val="0"/>
          <w:marBottom w:val="0"/>
          <w:divBdr>
            <w:top w:val="none" w:sz="0" w:space="0" w:color="auto"/>
            <w:left w:val="none" w:sz="0" w:space="0" w:color="auto"/>
            <w:bottom w:val="none" w:sz="0" w:space="0" w:color="auto"/>
            <w:right w:val="none" w:sz="0" w:space="0" w:color="auto"/>
          </w:divBdr>
        </w:div>
        <w:div w:id="1033923113">
          <w:marLeft w:val="0"/>
          <w:marRight w:val="0"/>
          <w:marTop w:val="0"/>
          <w:marBottom w:val="0"/>
          <w:divBdr>
            <w:top w:val="none" w:sz="0" w:space="0" w:color="auto"/>
            <w:left w:val="none" w:sz="0" w:space="0" w:color="auto"/>
            <w:bottom w:val="none" w:sz="0" w:space="0" w:color="auto"/>
            <w:right w:val="none" w:sz="0" w:space="0" w:color="auto"/>
          </w:divBdr>
        </w:div>
      </w:divsChild>
    </w:div>
    <w:div w:id="1552571663">
      <w:bodyDiv w:val="1"/>
      <w:marLeft w:val="0"/>
      <w:marRight w:val="0"/>
      <w:marTop w:val="0"/>
      <w:marBottom w:val="0"/>
      <w:divBdr>
        <w:top w:val="none" w:sz="0" w:space="0" w:color="auto"/>
        <w:left w:val="none" w:sz="0" w:space="0" w:color="auto"/>
        <w:bottom w:val="none" w:sz="0" w:space="0" w:color="auto"/>
        <w:right w:val="none" w:sz="0" w:space="0" w:color="auto"/>
      </w:divBdr>
    </w:div>
    <w:div w:id="1555853325">
      <w:bodyDiv w:val="1"/>
      <w:marLeft w:val="0"/>
      <w:marRight w:val="0"/>
      <w:marTop w:val="0"/>
      <w:marBottom w:val="0"/>
      <w:divBdr>
        <w:top w:val="none" w:sz="0" w:space="0" w:color="auto"/>
        <w:left w:val="none" w:sz="0" w:space="0" w:color="auto"/>
        <w:bottom w:val="none" w:sz="0" w:space="0" w:color="auto"/>
        <w:right w:val="none" w:sz="0" w:space="0" w:color="auto"/>
      </w:divBdr>
    </w:div>
    <w:div w:id="1562205470">
      <w:bodyDiv w:val="1"/>
      <w:marLeft w:val="0"/>
      <w:marRight w:val="0"/>
      <w:marTop w:val="0"/>
      <w:marBottom w:val="0"/>
      <w:divBdr>
        <w:top w:val="none" w:sz="0" w:space="0" w:color="auto"/>
        <w:left w:val="none" w:sz="0" w:space="0" w:color="auto"/>
        <w:bottom w:val="none" w:sz="0" w:space="0" w:color="auto"/>
        <w:right w:val="none" w:sz="0" w:space="0" w:color="auto"/>
      </w:divBdr>
    </w:div>
    <w:div w:id="1630433766">
      <w:bodyDiv w:val="1"/>
      <w:marLeft w:val="0"/>
      <w:marRight w:val="0"/>
      <w:marTop w:val="0"/>
      <w:marBottom w:val="0"/>
      <w:divBdr>
        <w:top w:val="none" w:sz="0" w:space="0" w:color="auto"/>
        <w:left w:val="none" w:sz="0" w:space="0" w:color="auto"/>
        <w:bottom w:val="none" w:sz="0" w:space="0" w:color="auto"/>
        <w:right w:val="none" w:sz="0" w:space="0" w:color="auto"/>
      </w:divBdr>
      <w:divsChild>
        <w:div w:id="1749571135">
          <w:marLeft w:val="0"/>
          <w:marRight w:val="0"/>
          <w:marTop w:val="0"/>
          <w:marBottom w:val="0"/>
          <w:divBdr>
            <w:top w:val="none" w:sz="0" w:space="0" w:color="auto"/>
            <w:left w:val="none" w:sz="0" w:space="0" w:color="auto"/>
            <w:bottom w:val="none" w:sz="0" w:space="0" w:color="auto"/>
            <w:right w:val="none" w:sz="0" w:space="0" w:color="auto"/>
          </w:divBdr>
        </w:div>
      </w:divsChild>
    </w:div>
    <w:div w:id="1637032198">
      <w:bodyDiv w:val="1"/>
      <w:marLeft w:val="0"/>
      <w:marRight w:val="0"/>
      <w:marTop w:val="0"/>
      <w:marBottom w:val="0"/>
      <w:divBdr>
        <w:top w:val="none" w:sz="0" w:space="0" w:color="auto"/>
        <w:left w:val="none" w:sz="0" w:space="0" w:color="auto"/>
        <w:bottom w:val="none" w:sz="0" w:space="0" w:color="auto"/>
        <w:right w:val="none" w:sz="0" w:space="0" w:color="auto"/>
      </w:divBdr>
    </w:div>
    <w:div w:id="1657296655">
      <w:bodyDiv w:val="1"/>
      <w:marLeft w:val="0"/>
      <w:marRight w:val="0"/>
      <w:marTop w:val="0"/>
      <w:marBottom w:val="0"/>
      <w:divBdr>
        <w:top w:val="none" w:sz="0" w:space="0" w:color="auto"/>
        <w:left w:val="none" w:sz="0" w:space="0" w:color="auto"/>
        <w:bottom w:val="none" w:sz="0" w:space="0" w:color="auto"/>
        <w:right w:val="none" w:sz="0" w:space="0" w:color="auto"/>
      </w:divBdr>
    </w:div>
    <w:div w:id="1660960984">
      <w:bodyDiv w:val="1"/>
      <w:marLeft w:val="0"/>
      <w:marRight w:val="0"/>
      <w:marTop w:val="0"/>
      <w:marBottom w:val="0"/>
      <w:divBdr>
        <w:top w:val="none" w:sz="0" w:space="0" w:color="auto"/>
        <w:left w:val="none" w:sz="0" w:space="0" w:color="auto"/>
        <w:bottom w:val="none" w:sz="0" w:space="0" w:color="auto"/>
        <w:right w:val="none" w:sz="0" w:space="0" w:color="auto"/>
      </w:divBdr>
    </w:div>
    <w:div w:id="1670862285">
      <w:bodyDiv w:val="1"/>
      <w:marLeft w:val="0"/>
      <w:marRight w:val="0"/>
      <w:marTop w:val="0"/>
      <w:marBottom w:val="0"/>
      <w:divBdr>
        <w:top w:val="none" w:sz="0" w:space="0" w:color="auto"/>
        <w:left w:val="none" w:sz="0" w:space="0" w:color="auto"/>
        <w:bottom w:val="none" w:sz="0" w:space="0" w:color="auto"/>
        <w:right w:val="none" w:sz="0" w:space="0" w:color="auto"/>
      </w:divBdr>
    </w:div>
    <w:div w:id="1682006024">
      <w:bodyDiv w:val="1"/>
      <w:marLeft w:val="0"/>
      <w:marRight w:val="0"/>
      <w:marTop w:val="0"/>
      <w:marBottom w:val="0"/>
      <w:divBdr>
        <w:top w:val="none" w:sz="0" w:space="0" w:color="auto"/>
        <w:left w:val="none" w:sz="0" w:space="0" w:color="auto"/>
        <w:bottom w:val="none" w:sz="0" w:space="0" w:color="auto"/>
        <w:right w:val="none" w:sz="0" w:space="0" w:color="auto"/>
      </w:divBdr>
    </w:div>
    <w:div w:id="1719744886">
      <w:bodyDiv w:val="1"/>
      <w:marLeft w:val="0"/>
      <w:marRight w:val="0"/>
      <w:marTop w:val="0"/>
      <w:marBottom w:val="0"/>
      <w:divBdr>
        <w:top w:val="none" w:sz="0" w:space="0" w:color="auto"/>
        <w:left w:val="none" w:sz="0" w:space="0" w:color="auto"/>
        <w:bottom w:val="none" w:sz="0" w:space="0" w:color="auto"/>
        <w:right w:val="none" w:sz="0" w:space="0" w:color="auto"/>
      </w:divBdr>
      <w:divsChild>
        <w:div w:id="2107145261">
          <w:marLeft w:val="1440"/>
          <w:marRight w:val="0"/>
          <w:marTop w:val="0"/>
          <w:marBottom w:val="0"/>
          <w:divBdr>
            <w:top w:val="none" w:sz="0" w:space="0" w:color="auto"/>
            <w:left w:val="none" w:sz="0" w:space="0" w:color="auto"/>
            <w:bottom w:val="none" w:sz="0" w:space="0" w:color="auto"/>
            <w:right w:val="none" w:sz="0" w:space="0" w:color="auto"/>
          </w:divBdr>
        </w:div>
        <w:div w:id="66854129">
          <w:marLeft w:val="1440"/>
          <w:marRight w:val="0"/>
          <w:marTop w:val="0"/>
          <w:marBottom w:val="0"/>
          <w:divBdr>
            <w:top w:val="none" w:sz="0" w:space="0" w:color="auto"/>
            <w:left w:val="none" w:sz="0" w:space="0" w:color="auto"/>
            <w:bottom w:val="none" w:sz="0" w:space="0" w:color="auto"/>
            <w:right w:val="none" w:sz="0" w:space="0" w:color="auto"/>
          </w:divBdr>
        </w:div>
      </w:divsChild>
    </w:div>
    <w:div w:id="1722366939">
      <w:bodyDiv w:val="1"/>
      <w:marLeft w:val="0"/>
      <w:marRight w:val="0"/>
      <w:marTop w:val="0"/>
      <w:marBottom w:val="0"/>
      <w:divBdr>
        <w:top w:val="none" w:sz="0" w:space="0" w:color="auto"/>
        <w:left w:val="none" w:sz="0" w:space="0" w:color="auto"/>
        <w:bottom w:val="none" w:sz="0" w:space="0" w:color="auto"/>
        <w:right w:val="none" w:sz="0" w:space="0" w:color="auto"/>
      </w:divBdr>
    </w:div>
    <w:div w:id="1732658923">
      <w:bodyDiv w:val="1"/>
      <w:marLeft w:val="0"/>
      <w:marRight w:val="0"/>
      <w:marTop w:val="0"/>
      <w:marBottom w:val="0"/>
      <w:divBdr>
        <w:top w:val="none" w:sz="0" w:space="0" w:color="auto"/>
        <w:left w:val="none" w:sz="0" w:space="0" w:color="auto"/>
        <w:bottom w:val="none" w:sz="0" w:space="0" w:color="auto"/>
        <w:right w:val="none" w:sz="0" w:space="0" w:color="auto"/>
      </w:divBdr>
      <w:divsChild>
        <w:div w:id="154536064">
          <w:marLeft w:val="547"/>
          <w:marRight w:val="0"/>
          <w:marTop w:val="96"/>
          <w:marBottom w:val="0"/>
          <w:divBdr>
            <w:top w:val="none" w:sz="0" w:space="0" w:color="auto"/>
            <w:left w:val="none" w:sz="0" w:space="0" w:color="auto"/>
            <w:bottom w:val="none" w:sz="0" w:space="0" w:color="auto"/>
            <w:right w:val="none" w:sz="0" w:space="0" w:color="auto"/>
          </w:divBdr>
        </w:div>
        <w:div w:id="1736970824">
          <w:marLeft w:val="547"/>
          <w:marRight w:val="0"/>
          <w:marTop w:val="96"/>
          <w:marBottom w:val="0"/>
          <w:divBdr>
            <w:top w:val="none" w:sz="0" w:space="0" w:color="auto"/>
            <w:left w:val="none" w:sz="0" w:space="0" w:color="auto"/>
            <w:bottom w:val="none" w:sz="0" w:space="0" w:color="auto"/>
            <w:right w:val="none" w:sz="0" w:space="0" w:color="auto"/>
          </w:divBdr>
        </w:div>
      </w:divsChild>
    </w:div>
    <w:div w:id="1753621915">
      <w:bodyDiv w:val="1"/>
      <w:marLeft w:val="0"/>
      <w:marRight w:val="0"/>
      <w:marTop w:val="0"/>
      <w:marBottom w:val="0"/>
      <w:divBdr>
        <w:top w:val="none" w:sz="0" w:space="0" w:color="auto"/>
        <w:left w:val="none" w:sz="0" w:space="0" w:color="auto"/>
        <w:bottom w:val="none" w:sz="0" w:space="0" w:color="auto"/>
        <w:right w:val="none" w:sz="0" w:space="0" w:color="auto"/>
      </w:divBdr>
    </w:div>
    <w:div w:id="1761292809">
      <w:bodyDiv w:val="1"/>
      <w:marLeft w:val="0"/>
      <w:marRight w:val="0"/>
      <w:marTop w:val="0"/>
      <w:marBottom w:val="0"/>
      <w:divBdr>
        <w:top w:val="none" w:sz="0" w:space="0" w:color="auto"/>
        <w:left w:val="none" w:sz="0" w:space="0" w:color="auto"/>
        <w:bottom w:val="none" w:sz="0" w:space="0" w:color="auto"/>
        <w:right w:val="none" w:sz="0" w:space="0" w:color="auto"/>
      </w:divBdr>
      <w:divsChild>
        <w:div w:id="1541360744">
          <w:marLeft w:val="1656"/>
          <w:marRight w:val="0"/>
          <w:marTop w:val="0"/>
          <w:marBottom w:val="0"/>
          <w:divBdr>
            <w:top w:val="none" w:sz="0" w:space="0" w:color="auto"/>
            <w:left w:val="none" w:sz="0" w:space="0" w:color="auto"/>
            <w:bottom w:val="none" w:sz="0" w:space="0" w:color="auto"/>
            <w:right w:val="none" w:sz="0" w:space="0" w:color="auto"/>
          </w:divBdr>
        </w:div>
        <w:div w:id="1818302278">
          <w:marLeft w:val="1656"/>
          <w:marRight w:val="0"/>
          <w:marTop w:val="0"/>
          <w:marBottom w:val="0"/>
          <w:divBdr>
            <w:top w:val="none" w:sz="0" w:space="0" w:color="auto"/>
            <w:left w:val="none" w:sz="0" w:space="0" w:color="auto"/>
            <w:bottom w:val="none" w:sz="0" w:space="0" w:color="auto"/>
            <w:right w:val="none" w:sz="0" w:space="0" w:color="auto"/>
          </w:divBdr>
        </w:div>
        <w:div w:id="388039529">
          <w:marLeft w:val="1656"/>
          <w:marRight w:val="0"/>
          <w:marTop w:val="0"/>
          <w:marBottom w:val="0"/>
          <w:divBdr>
            <w:top w:val="none" w:sz="0" w:space="0" w:color="auto"/>
            <w:left w:val="none" w:sz="0" w:space="0" w:color="auto"/>
            <w:bottom w:val="none" w:sz="0" w:space="0" w:color="auto"/>
            <w:right w:val="none" w:sz="0" w:space="0" w:color="auto"/>
          </w:divBdr>
        </w:div>
      </w:divsChild>
    </w:div>
    <w:div w:id="1761565936">
      <w:bodyDiv w:val="1"/>
      <w:marLeft w:val="0"/>
      <w:marRight w:val="0"/>
      <w:marTop w:val="0"/>
      <w:marBottom w:val="0"/>
      <w:divBdr>
        <w:top w:val="none" w:sz="0" w:space="0" w:color="auto"/>
        <w:left w:val="none" w:sz="0" w:space="0" w:color="auto"/>
        <w:bottom w:val="none" w:sz="0" w:space="0" w:color="auto"/>
        <w:right w:val="none" w:sz="0" w:space="0" w:color="auto"/>
      </w:divBdr>
    </w:div>
    <w:div w:id="1789859984">
      <w:bodyDiv w:val="1"/>
      <w:marLeft w:val="0"/>
      <w:marRight w:val="0"/>
      <w:marTop w:val="0"/>
      <w:marBottom w:val="0"/>
      <w:divBdr>
        <w:top w:val="none" w:sz="0" w:space="0" w:color="auto"/>
        <w:left w:val="none" w:sz="0" w:space="0" w:color="auto"/>
        <w:bottom w:val="none" w:sz="0" w:space="0" w:color="auto"/>
        <w:right w:val="none" w:sz="0" w:space="0" w:color="auto"/>
      </w:divBdr>
      <w:divsChild>
        <w:div w:id="473645367">
          <w:marLeft w:val="446"/>
          <w:marRight w:val="0"/>
          <w:marTop w:val="240"/>
          <w:marBottom w:val="120"/>
          <w:divBdr>
            <w:top w:val="none" w:sz="0" w:space="0" w:color="auto"/>
            <w:left w:val="none" w:sz="0" w:space="0" w:color="auto"/>
            <w:bottom w:val="none" w:sz="0" w:space="0" w:color="auto"/>
            <w:right w:val="none" w:sz="0" w:space="0" w:color="auto"/>
          </w:divBdr>
        </w:div>
      </w:divsChild>
    </w:div>
    <w:div w:id="1794134812">
      <w:bodyDiv w:val="1"/>
      <w:marLeft w:val="0"/>
      <w:marRight w:val="0"/>
      <w:marTop w:val="0"/>
      <w:marBottom w:val="0"/>
      <w:divBdr>
        <w:top w:val="none" w:sz="0" w:space="0" w:color="auto"/>
        <w:left w:val="none" w:sz="0" w:space="0" w:color="auto"/>
        <w:bottom w:val="none" w:sz="0" w:space="0" w:color="auto"/>
        <w:right w:val="none" w:sz="0" w:space="0" w:color="auto"/>
      </w:divBdr>
    </w:div>
    <w:div w:id="1794789859">
      <w:bodyDiv w:val="1"/>
      <w:marLeft w:val="0"/>
      <w:marRight w:val="0"/>
      <w:marTop w:val="0"/>
      <w:marBottom w:val="0"/>
      <w:divBdr>
        <w:top w:val="none" w:sz="0" w:space="0" w:color="auto"/>
        <w:left w:val="none" w:sz="0" w:space="0" w:color="auto"/>
        <w:bottom w:val="none" w:sz="0" w:space="0" w:color="auto"/>
        <w:right w:val="none" w:sz="0" w:space="0" w:color="auto"/>
      </w:divBdr>
    </w:div>
    <w:div w:id="1816530019">
      <w:bodyDiv w:val="1"/>
      <w:marLeft w:val="0"/>
      <w:marRight w:val="0"/>
      <w:marTop w:val="0"/>
      <w:marBottom w:val="0"/>
      <w:divBdr>
        <w:top w:val="none" w:sz="0" w:space="0" w:color="auto"/>
        <w:left w:val="none" w:sz="0" w:space="0" w:color="auto"/>
        <w:bottom w:val="none" w:sz="0" w:space="0" w:color="auto"/>
        <w:right w:val="none" w:sz="0" w:space="0" w:color="auto"/>
      </w:divBdr>
    </w:div>
    <w:div w:id="1822309074">
      <w:bodyDiv w:val="1"/>
      <w:marLeft w:val="0"/>
      <w:marRight w:val="0"/>
      <w:marTop w:val="0"/>
      <w:marBottom w:val="0"/>
      <w:divBdr>
        <w:top w:val="none" w:sz="0" w:space="0" w:color="auto"/>
        <w:left w:val="none" w:sz="0" w:space="0" w:color="auto"/>
        <w:bottom w:val="none" w:sz="0" w:space="0" w:color="auto"/>
        <w:right w:val="none" w:sz="0" w:space="0" w:color="auto"/>
      </w:divBdr>
      <w:divsChild>
        <w:div w:id="16664978">
          <w:marLeft w:val="547"/>
          <w:marRight w:val="0"/>
          <w:marTop w:val="96"/>
          <w:marBottom w:val="0"/>
          <w:divBdr>
            <w:top w:val="none" w:sz="0" w:space="0" w:color="auto"/>
            <w:left w:val="none" w:sz="0" w:space="0" w:color="auto"/>
            <w:bottom w:val="none" w:sz="0" w:space="0" w:color="auto"/>
            <w:right w:val="none" w:sz="0" w:space="0" w:color="auto"/>
          </w:divBdr>
        </w:div>
        <w:div w:id="1632441140">
          <w:marLeft w:val="547"/>
          <w:marRight w:val="0"/>
          <w:marTop w:val="96"/>
          <w:marBottom w:val="0"/>
          <w:divBdr>
            <w:top w:val="none" w:sz="0" w:space="0" w:color="auto"/>
            <w:left w:val="none" w:sz="0" w:space="0" w:color="auto"/>
            <w:bottom w:val="none" w:sz="0" w:space="0" w:color="auto"/>
            <w:right w:val="none" w:sz="0" w:space="0" w:color="auto"/>
          </w:divBdr>
        </w:div>
        <w:div w:id="509760939">
          <w:marLeft w:val="547"/>
          <w:marRight w:val="0"/>
          <w:marTop w:val="96"/>
          <w:marBottom w:val="0"/>
          <w:divBdr>
            <w:top w:val="none" w:sz="0" w:space="0" w:color="auto"/>
            <w:left w:val="none" w:sz="0" w:space="0" w:color="auto"/>
            <w:bottom w:val="none" w:sz="0" w:space="0" w:color="auto"/>
            <w:right w:val="none" w:sz="0" w:space="0" w:color="auto"/>
          </w:divBdr>
        </w:div>
        <w:div w:id="748767840">
          <w:marLeft w:val="547"/>
          <w:marRight w:val="0"/>
          <w:marTop w:val="96"/>
          <w:marBottom w:val="0"/>
          <w:divBdr>
            <w:top w:val="none" w:sz="0" w:space="0" w:color="auto"/>
            <w:left w:val="none" w:sz="0" w:space="0" w:color="auto"/>
            <w:bottom w:val="none" w:sz="0" w:space="0" w:color="auto"/>
            <w:right w:val="none" w:sz="0" w:space="0" w:color="auto"/>
          </w:divBdr>
        </w:div>
      </w:divsChild>
    </w:div>
    <w:div w:id="1830290079">
      <w:bodyDiv w:val="1"/>
      <w:marLeft w:val="0"/>
      <w:marRight w:val="0"/>
      <w:marTop w:val="0"/>
      <w:marBottom w:val="0"/>
      <w:divBdr>
        <w:top w:val="none" w:sz="0" w:space="0" w:color="auto"/>
        <w:left w:val="none" w:sz="0" w:space="0" w:color="auto"/>
        <w:bottom w:val="none" w:sz="0" w:space="0" w:color="auto"/>
        <w:right w:val="none" w:sz="0" w:space="0" w:color="auto"/>
      </w:divBdr>
    </w:div>
    <w:div w:id="1845777377">
      <w:bodyDiv w:val="1"/>
      <w:marLeft w:val="0"/>
      <w:marRight w:val="0"/>
      <w:marTop w:val="0"/>
      <w:marBottom w:val="0"/>
      <w:divBdr>
        <w:top w:val="none" w:sz="0" w:space="0" w:color="auto"/>
        <w:left w:val="none" w:sz="0" w:space="0" w:color="auto"/>
        <w:bottom w:val="none" w:sz="0" w:space="0" w:color="auto"/>
        <w:right w:val="none" w:sz="0" w:space="0" w:color="auto"/>
      </w:divBdr>
    </w:div>
    <w:div w:id="1862695063">
      <w:bodyDiv w:val="1"/>
      <w:marLeft w:val="0"/>
      <w:marRight w:val="0"/>
      <w:marTop w:val="0"/>
      <w:marBottom w:val="0"/>
      <w:divBdr>
        <w:top w:val="none" w:sz="0" w:space="0" w:color="auto"/>
        <w:left w:val="none" w:sz="0" w:space="0" w:color="auto"/>
        <w:bottom w:val="none" w:sz="0" w:space="0" w:color="auto"/>
        <w:right w:val="none" w:sz="0" w:space="0" w:color="auto"/>
      </w:divBdr>
    </w:div>
    <w:div w:id="1872376265">
      <w:bodyDiv w:val="1"/>
      <w:marLeft w:val="0"/>
      <w:marRight w:val="0"/>
      <w:marTop w:val="0"/>
      <w:marBottom w:val="0"/>
      <w:divBdr>
        <w:top w:val="none" w:sz="0" w:space="0" w:color="auto"/>
        <w:left w:val="none" w:sz="0" w:space="0" w:color="auto"/>
        <w:bottom w:val="none" w:sz="0" w:space="0" w:color="auto"/>
        <w:right w:val="none" w:sz="0" w:space="0" w:color="auto"/>
      </w:divBdr>
    </w:div>
    <w:div w:id="1877157098">
      <w:bodyDiv w:val="1"/>
      <w:marLeft w:val="0"/>
      <w:marRight w:val="0"/>
      <w:marTop w:val="0"/>
      <w:marBottom w:val="0"/>
      <w:divBdr>
        <w:top w:val="none" w:sz="0" w:space="0" w:color="auto"/>
        <w:left w:val="none" w:sz="0" w:space="0" w:color="auto"/>
        <w:bottom w:val="none" w:sz="0" w:space="0" w:color="auto"/>
        <w:right w:val="none" w:sz="0" w:space="0" w:color="auto"/>
      </w:divBdr>
    </w:div>
    <w:div w:id="1885436973">
      <w:bodyDiv w:val="1"/>
      <w:marLeft w:val="0"/>
      <w:marRight w:val="0"/>
      <w:marTop w:val="0"/>
      <w:marBottom w:val="0"/>
      <w:divBdr>
        <w:top w:val="none" w:sz="0" w:space="0" w:color="auto"/>
        <w:left w:val="none" w:sz="0" w:space="0" w:color="auto"/>
        <w:bottom w:val="none" w:sz="0" w:space="0" w:color="auto"/>
        <w:right w:val="none" w:sz="0" w:space="0" w:color="auto"/>
      </w:divBdr>
    </w:div>
    <w:div w:id="1896578328">
      <w:bodyDiv w:val="1"/>
      <w:marLeft w:val="0"/>
      <w:marRight w:val="0"/>
      <w:marTop w:val="0"/>
      <w:marBottom w:val="0"/>
      <w:divBdr>
        <w:top w:val="none" w:sz="0" w:space="0" w:color="auto"/>
        <w:left w:val="none" w:sz="0" w:space="0" w:color="auto"/>
        <w:bottom w:val="none" w:sz="0" w:space="0" w:color="auto"/>
        <w:right w:val="none" w:sz="0" w:space="0" w:color="auto"/>
      </w:divBdr>
    </w:div>
    <w:div w:id="1903129351">
      <w:bodyDiv w:val="1"/>
      <w:marLeft w:val="0"/>
      <w:marRight w:val="0"/>
      <w:marTop w:val="0"/>
      <w:marBottom w:val="0"/>
      <w:divBdr>
        <w:top w:val="none" w:sz="0" w:space="0" w:color="auto"/>
        <w:left w:val="none" w:sz="0" w:space="0" w:color="auto"/>
        <w:bottom w:val="none" w:sz="0" w:space="0" w:color="auto"/>
        <w:right w:val="none" w:sz="0" w:space="0" w:color="auto"/>
      </w:divBdr>
    </w:div>
    <w:div w:id="1906067823">
      <w:bodyDiv w:val="1"/>
      <w:marLeft w:val="0"/>
      <w:marRight w:val="0"/>
      <w:marTop w:val="0"/>
      <w:marBottom w:val="0"/>
      <w:divBdr>
        <w:top w:val="none" w:sz="0" w:space="0" w:color="auto"/>
        <w:left w:val="none" w:sz="0" w:space="0" w:color="auto"/>
        <w:bottom w:val="none" w:sz="0" w:space="0" w:color="auto"/>
        <w:right w:val="none" w:sz="0" w:space="0" w:color="auto"/>
      </w:divBdr>
    </w:div>
    <w:div w:id="1964379250">
      <w:bodyDiv w:val="1"/>
      <w:marLeft w:val="0"/>
      <w:marRight w:val="0"/>
      <w:marTop w:val="0"/>
      <w:marBottom w:val="0"/>
      <w:divBdr>
        <w:top w:val="none" w:sz="0" w:space="0" w:color="auto"/>
        <w:left w:val="none" w:sz="0" w:space="0" w:color="auto"/>
        <w:bottom w:val="none" w:sz="0" w:space="0" w:color="auto"/>
        <w:right w:val="none" w:sz="0" w:space="0" w:color="auto"/>
      </w:divBdr>
      <w:divsChild>
        <w:div w:id="254169268">
          <w:marLeft w:val="547"/>
          <w:marRight w:val="0"/>
          <w:marTop w:val="96"/>
          <w:marBottom w:val="0"/>
          <w:divBdr>
            <w:top w:val="none" w:sz="0" w:space="0" w:color="auto"/>
            <w:left w:val="none" w:sz="0" w:space="0" w:color="auto"/>
            <w:bottom w:val="none" w:sz="0" w:space="0" w:color="auto"/>
            <w:right w:val="none" w:sz="0" w:space="0" w:color="auto"/>
          </w:divBdr>
        </w:div>
        <w:div w:id="748304898">
          <w:marLeft w:val="547"/>
          <w:marRight w:val="0"/>
          <w:marTop w:val="96"/>
          <w:marBottom w:val="0"/>
          <w:divBdr>
            <w:top w:val="none" w:sz="0" w:space="0" w:color="auto"/>
            <w:left w:val="none" w:sz="0" w:space="0" w:color="auto"/>
            <w:bottom w:val="none" w:sz="0" w:space="0" w:color="auto"/>
            <w:right w:val="none" w:sz="0" w:space="0" w:color="auto"/>
          </w:divBdr>
        </w:div>
      </w:divsChild>
    </w:div>
    <w:div w:id="1991857641">
      <w:bodyDiv w:val="1"/>
      <w:marLeft w:val="0"/>
      <w:marRight w:val="0"/>
      <w:marTop w:val="0"/>
      <w:marBottom w:val="0"/>
      <w:divBdr>
        <w:top w:val="none" w:sz="0" w:space="0" w:color="auto"/>
        <w:left w:val="none" w:sz="0" w:space="0" w:color="auto"/>
        <w:bottom w:val="none" w:sz="0" w:space="0" w:color="auto"/>
        <w:right w:val="none" w:sz="0" w:space="0" w:color="auto"/>
      </w:divBdr>
    </w:div>
    <w:div w:id="2001154934">
      <w:bodyDiv w:val="1"/>
      <w:marLeft w:val="0"/>
      <w:marRight w:val="0"/>
      <w:marTop w:val="0"/>
      <w:marBottom w:val="0"/>
      <w:divBdr>
        <w:top w:val="none" w:sz="0" w:space="0" w:color="auto"/>
        <w:left w:val="none" w:sz="0" w:space="0" w:color="auto"/>
        <w:bottom w:val="none" w:sz="0" w:space="0" w:color="auto"/>
        <w:right w:val="none" w:sz="0" w:space="0" w:color="auto"/>
      </w:divBdr>
    </w:div>
    <w:div w:id="2002848716">
      <w:bodyDiv w:val="1"/>
      <w:marLeft w:val="0"/>
      <w:marRight w:val="0"/>
      <w:marTop w:val="0"/>
      <w:marBottom w:val="0"/>
      <w:divBdr>
        <w:top w:val="none" w:sz="0" w:space="0" w:color="auto"/>
        <w:left w:val="none" w:sz="0" w:space="0" w:color="auto"/>
        <w:bottom w:val="none" w:sz="0" w:space="0" w:color="auto"/>
        <w:right w:val="none" w:sz="0" w:space="0" w:color="auto"/>
      </w:divBdr>
    </w:div>
    <w:div w:id="2037387339">
      <w:bodyDiv w:val="1"/>
      <w:marLeft w:val="0"/>
      <w:marRight w:val="0"/>
      <w:marTop w:val="0"/>
      <w:marBottom w:val="0"/>
      <w:divBdr>
        <w:top w:val="none" w:sz="0" w:space="0" w:color="auto"/>
        <w:left w:val="none" w:sz="0" w:space="0" w:color="auto"/>
        <w:bottom w:val="none" w:sz="0" w:space="0" w:color="auto"/>
        <w:right w:val="none" w:sz="0" w:space="0" w:color="auto"/>
      </w:divBdr>
    </w:div>
    <w:div w:id="2060593751">
      <w:bodyDiv w:val="1"/>
      <w:marLeft w:val="0"/>
      <w:marRight w:val="0"/>
      <w:marTop w:val="0"/>
      <w:marBottom w:val="0"/>
      <w:divBdr>
        <w:top w:val="none" w:sz="0" w:space="0" w:color="auto"/>
        <w:left w:val="none" w:sz="0" w:space="0" w:color="auto"/>
        <w:bottom w:val="none" w:sz="0" w:space="0" w:color="auto"/>
        <w:right w:val="none" w:sz="0" w:space="0" w:color="auto"/>
      </w:divBdr>
    </w:div>
    <w:div w:id="2067029580">
      <w:bodyDiv w:val="1"/>
      <w:marLeft w:val="0"/>
      <w:marRight w:val="0"/>
      <w:marTop w:val="0"/>
      <w:marBottom w:val="0"/>
      <w:divBdr>
        <w:top w:val="none" w:sz="0" w:space="0" w:color="auto"/>
        <w:left w:val="none" w:sz="0" w:space="0" w:color="auto"/>
        <w:bottom w:val="none" w:sz="0" w:space="0" w:color="auto"/>
        <w:right w:val="none" w:sz="0" w:space="0" w:color="auto"/>
      </w:divBdr>
      <w:divsChild>
        <w:div w:id="1734767234">
          <w:marLeft w:val="0"/>
          <w:marRight w:val="0"/>
          <w:marTop w:val="0"/>
          <w:marBottom w:val="0"/>
          <w:divBdr>
            <w:top w:val="none" w:sz="0" w:space="0" w:color="auto"/>
            <w:left w:val="none" w:sz="0" w:space="0" w:color="auto"/>
            <w:bottom w:val="none" w:sz="0" w:space="0" w:color="auto"/>
            <w:right w:val="none" w:sz="0" w:space="0" w:color="auto"/>
          </w:divBdr>
        </w:div>
        <w:div w:id="285626697">
          <w:marLeft w:val="0"/>
          <w:marRight w:val="0"/>
          <w:marTop w:val="0"/>
          <w:marBottom w:val="0"/>
          <w:divBdr>
            <w:top w:val="none" w:sz="0" w:space="0" w:color="auto"/>
            <w:left w:val="none" w:sz="0" w:space="0" w:color="auto"/>
            <w:bottom w:val="none" w:sz="0" w:space="0" w:color="auto"/>
            <w:right w:val="none" w:sz="0" w:space="0" w:color="auto"/>
          </w:divBdr>
        </w:div>
      </w:divsChild>
    </w:div>
    <w:div w:id="2079016994">
      <w:bodyDiv w:val="1"/>
      <w:marLeft w:val="0"/>
      <w:marRight w:val="0"/>
      <w:marTop w:val="0"/>
      <w:marBottom w:val="0"/>
      <w:divBdr>
        <w:top w:val="none" w:sz="0" w:space="0" w:color="auto"/>
        <w:left w:val="none" w:sz="0" w:space="0" w:color="auto"/>
        <w:bottom w:val="none" w:sz="0" w:space="0" w:color="auto"/>
        <w:right w:val="none" w:sz="0" w:space="0" w:color="auto"/>
      </w:divBdr>
    </w:div>
    <w:div w:id="2081713389">
      <w:bodyDiv w:val="1"/>
      <w:marLeft w:val="0"/>
      <w:marRight w:val="0"/>
      <w:marTop w:val="0"/>
      <w:marBottom w:val="0"/>
      <w:divBdr>
        <w:top w:val="none" w:sz="0" w:space="0" w:color="auto"/>
        <w:left w:val="none" w:sz="0" w:space="0" w:color="auto"/>
        <w:bottom w:val="none" w:sz="0" w:space="0" w:color="auto"/>
        <w:right w:val="none" w:sz="0" w:space="0" w:color="auto"/>
      </w:divBdr>
    </w:div>
    <w:div w:id="2085684154">
      <w:bodyDiv w:val="1"/>
      <w:marLeft w:val="0"/>
      <w:marRight w:val="0"/>
      <w:marTop w:val="0"/>
      <w:marBottom w:val="0"/>
      <w:divBdr>
        <w:top w:val="none" w:sz="0" w:space="0" w:color="auto"/>
        <w:left w:val="none" w:sz="0" w:space="0" w:color="auto"/>
        <w:bottom w:val="none" w:sz="0" w:space="0" w:color="auto"/>
        <w:right w:val="none" w:sz="0" w:space="0" w:color="auto"/>
      </w:divBdr>
    </w:div>
    <w:div w:id="2120829114">
      <w:bodyDiv w:val="1"/>
      <w:marLeft w:val="0"/>
      <w:marRight w:val="0"/>
      <w:marTop w:val="0"/>
      <w:marBottom w:val="0"/>
      <w:divBdr>
        <w:top w:val="none" w:sz="0" w:space="0" w:color="auto"/>
        <w:left w:val="none" w:sz="0" w:space="0" w:color="auto"/>
        <w:bottom w:val="none" w:sz="0" w:space="0" w:color="auto"/>
        <w:right w:val="none" w:sz="0" w:space="0" w:color="auto"/>
      </w:divBdr>
      <w:divsChild>
        <w:div w:id="1510872786">
          <w:marLeft w:val="2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6" Type="http://schemas.openxmlformats.org/officeDocument/2006/relationships/hyperlink" Target="https://eur-lex.europa.eu/legal-content/EN/TXT/?uri=CELEX%3A32002R0006&amp;qid=1605102777807" TargetMode="External"/><Relationship Id="rId21" Type="http://schemas.openxmlformats.org/officeDocument/2006/relationships/hyperlink" Target="https://eur-lex.europa.eu/legal-content/EN/TXT/?qid=1593086905382&amp;uri=CELEX:52020DC0102" TargetMode="External"/><Relationship Id="rId42" Type="http://schemas.openxmlformats.org/officeDocument/2006/relationships/hyperlink" Target="https://eur-lex.europa.eu/legal-content/EN/TXT/?uri=CELEX%3A31998L0044&amp;qid=1605105545389" TargetMode="External"/><Relationship Id="rId47" Type="http://schemas.openxmlformats.org/officeDocument/2006/relationships/hyperlink" Target="https://eiah.eib.org/index.htm" TargetMode="External"/><Relationship Id="rId63" Type="http://schemas.openxmlformats.org/officeDocument/2006/relationships/hyperlink" Target="https://publications.jrc.ec.europa.eu/repository/handle/JRC121411" TargetMode="External"/><Relationship Id="rId68" Type="http://schemas.openxmlformats.org/officeDocument/2006/relationships/hyperlink" Target="https://eur-lex.europa.eu/legal-content/EN/TXT/HTML/?uri=CELEX:32016L0943&amp;from=EN" TargetMode="External"/><Relationship Id="rId84" Type="http://schemas.openxmlformats.org/officeDocument/2006/relationships/hyperlink" Target="https://ec.europa.eu/growth/industry/policy/intellectual-property/enforcement/memorandum-understanding-sale-counterfeit-goods-internet_en" TargetMode="External"/><Relationship Id="rId89" Type="http://schemas.openxmlformats.org/officeDocument/2006/relationships/hyperlink" Target="https://www.europol.europa.eu/newsroom/news/how-criminals-profit-covid-19-pandemic" TargetMode="External"/><Relationship Id="rId7" Type="http://schemas.openxmlformats.org/officeDocument/2006/relationships/hyperlink" Target="https://euipo.europa.eu/tunnel-web/secure/webdav/guest/document_library/observatory/documents/reports/2019_High-growth_firms_and_intellectual_property_rights/2019_High-growth_firms_and_intellectual_property_rights_executive_summary_EN.pdf" TargetMode="External"/><Relationship Id="rId71" Type="http://schemas.openxmlformats.org/officeDocument/2006/relationships/hyperlink" Target="https://data.consilium.europa.eu/doc/document/ST-8467-2018-INIT/en/pdf" TargetMode="External"/><Relationship Id="rId92" Type="http://schemas.openxmlformats.org/officeDocument/2006/relationships/hyperlink" Target="https://www.eccbelgium.be/press/press-releases/14032017-the-impact-of-counterfeiting-on-online-consumer-rights-in-europe" TargetMode="External"/><Relationship Id="rId2" Type="http://schemas.openxmlformats.org/officeDocument/2006/relationships/hyperlink" Target="https://www.epo.org/service-support/publications.html?pubid=201" TargetMode="External"/><Relationship Id="rId16" Type="http://schemas.openxmlformats.org/officeDocument/2006/relationships/hyperlink" Target="https://ec.europa.eu/docsroom/documents/34841" TargetMode="External"/><Relationship Id="rId29" Type="http://schemas.openxmlformats.org/officeDocument/2006/relationships/hyperlink" Target="https://ec.europa.eu/info/law/better-regulation/have-your-say/initiatives/2029-Evaluation-of-Geographical-Indications-and-Traditional-Specialities-Guaranteed-protected-in-the-EU" TargetMode="External"/><Relationship Id="rId11" Type="http://schemas.openxmlformats.org/officeDocument/2006/relationships/hyperlink" Target="https://euipo.europa.eu/ohimportal/en/web/observatory/sme-scoreboard" TargetMode="External"/><Relationship Id="rId24" Type="http://schemas.openxmlformats.org/officeDocument/2006/relationships/hyperlink" Target="https://ec.europa.eu/growth/industry/policy/intellectual-property/industrial-design/protection_en" TargetMode="External"/><Relationship Id="rId32" Type="http://schemas.openxmlformats.org/officeDocument/2006/relationships/hyperlink" Target="https://www.europarl.europa.eu/RegData/etudes/STUD/2019/631764/EPRS_STU(2019)631764_EN.pdf" TargetMode="External"/><Relationship Id="rId37" Type="http://schemas.openxmlformats.org/officeDocument/2006/relationships/hyperlink" Target="https://eur-lex.europa.eu/legal-content/EN/TXT/?uri=CELEX%3A32019L0789&amp;qid=1605105244358" TargetMode="External"/><Relationship Id="rId40" Type="http://schemas.openxmlformats.org/officeDocument/2006/relationships/hyperlink" Target="https://eur-lex.europa.eu/legal-content/EN/TXT/?uri=CELEX%3A32017L1564&amp;qid=1605105393179" TargetMode="External"/><Relationship Id="rId45" Type="http://schemas.openxmlformats.org/officeDocument/2006/relationships/hyperlink" Target="https://ec.europa.eu/info/funding-tenders/opportunities/portal/screen/opportunities/topic-details/innosup-10-2020" TargetMode="External"/><Relationship Id="rId53" Type="http://schemas.openxmlformats.org/officeDocument/2006/relationships/hyperlink" Target="https://eur-lex.europa.eu/legal-content/EN/TXT/?uri=COM%3A2020%3A628%3AFIN" TargetMode="External"/><Relationship Id="rId58" Type="http://schemas.openxmlformats.org/officeDocument/2006/relationships/hyperlink" Target="https://ec.europa.eu/info/sites/info/files/framework_communication_antitrust_issues_related_to_cooperation_between_competitors_in_covid-19.pdf" TargetMode="External"/><Relationship Id="rId66" Type="http://schemas.openxmlformats.org/officeDocument/2006/relationships/hyperlink" Target="https://eur-lex.europa.eu/legal-content/EN/TXT/HTML/?uri=CELEX:52020DC0066&amp;from=EN" TargetMode="External"/><Relationship Id="rId74" Type="http://schemas.openxmlformats.org/officeDocument/2006/relationships/hyperlink" Target="https://eur-lex.europa.eu/legal-content/EN/TXT/?uri=CELEX%3A52017DC0708" TargetMode="External"/><Relationship Id="rId79" Type="http://schemas.openxmlformats.org/officeDocument/2006/relationships/hyperlink" Target="https://ec.europa.eu/docsroom/documents/34841" TargetMode="External"/><Relationship Id="rId87" Type="http://schemas.openxmlformats.org/officeDocument/2006/relationships/hyperlink" Target="https://euipo.europa.eu/ohimportal/en/news/-/action/view/4963920" TargetMode="External"/><Relationship Id="rId102" Type="http://schemas.openxmlformats.org/officeDocument/2006/relationships/hyperlink" Target="https://africa-eu-partnership.org/en/afcfta" TargetMode="External"/><Relationship Id="rId5" Type="http://schemas.openxmlformats.org/officeDocument/2006/relationships/hyperlink" Target="https://ec.europa.eu/info/research-and-innovation/strategy/support-policy-making/support-national-research-and-innovation-policy-making/srip-report_en" TargetMode="External"/><Relationship Id="rId61" Type="http://schemas.openxmlformats.org/officeDocument/2006/relationships/hyperlink" Target="https://data.consilium.europa.eu/doc/document/ST-15016-2019-INIT/en/pdf" TargetMode="External"/><Relationship Id="rId82" Type="http://schemas.openxmlformats.org/officeDocument/2006/relationships/hyperlink" Target="https://eur-lex.europa.eu/legal-content/EN/TXT/PDF/?uri=CELEX:52020DC0094&amp;from=EN" TargetMode="External"/><Relationship Id="rId90" Type="http://schemas.openxmlformats.org/officeDocument/2006/relationships/hyperlink" Target="https://ec.europa.eu/info/live-work-travel-eu/consumers/enforcement-consumer-protection/scams-related-covid-19_en" TargetMode="External"/><Relationship Id="rId95" Type="http://schemas.openxmlformats.org/officeDocument/2006/relationships/hyperlink" Target="https://trade.ec.europa.eu/doclib/docs/2020/january/tradoc_158561.pdf" TargetMode="External"/><Relationship Id="rId19" Type="http://schemas.openxmlformats.org/officeDocument/2006/relationships/hyperlink" Target="https://eur-lex.europa.eu/legal-content/EN/TXT/?uri=CELEX%3A32012R1257&amp;qid=1605100210098" TargetMode="External"/><Relationship Id="rId14" Type="http://schemas.openxmlformats.org/officeDocument/2006/relationships/hyperlink" Target="https://euipo.europa.eu/ohimportal/en/web/observatory/trends-in-trade-in-counterfeit-and-pirated-goods" TargetMode="External"/><Relationship Id="rId22" Type="http://schemas.openxmlformats.org/officeDocument/2006/relationships/hyperlink" Target="https://ec.europa.eu/info/law/better-regulation/have-your-say/initiatives/12421-Pharmaceutical-Strategy-Timely-patient-access-to-affordable-medicines" TargetMode="External"/><Relationship Id="rId27" Type="http://schemas.openxmlformats.org/officeDocument/2006/relationships/hyperlink" Target="https://eur-lex.europa.eu/legal-content/EN/TXT/?uri=CELEX:52020DC0381" TargetMode="External"/><Relationship Id="rId30" Type="http://schemas.openxmlformats.org/officeDocument/2006/relationships/hyperlink" Target="https://ec.europa.eu/info/law/better-regulation/have-your-say/initiatives/12664-Revision-of-the-EU-geographical-indications-GI-systems-in-agricultural-products-and-foodstuffs-wines-and-spirit-drinks" TargetMode="External"/><Relationship Id="rId35" Type="http://schemas.openxmlformats.org/officeDocument/2006/relationships/hyperlink" Target="http://data.europa.eu/doi/10.2759/458120" TargetMode="External"/><Relationship Id="rId43" Type="http://schemas.openxmlformats.org/officeDocument/2006/relationships/hyperlink" Target="https://eur-lex.europa.eu/legal-content/EN/TXT/?uri=CELEX%3A52016XC1108%2801%29" TargetMode="External"/><Relationship Id="rId48" Type="http://schemas.openxmlformats.org/officeDocument/2006/relationships/hyperlink" Target="https://euipo.europa.eu/ohimportal/en/web/observatory/sme-scoreboard" TargetMode="External"/><Relationship Id="rId56" Type="http://schemas.openxmlformats.org/officeDocument/2006/relationships/hyperlink" Target="https://eur-lex.europa.eu/legal-content/EN/TXT/HTML/?uri=CELEX:52020DC0245&amp;from=ES" TargetMode="External"/><Relationship Id="rId64" Type="http://schemas.openxmlformats.org/officeDocument/2006/relationships/hyperlink" Target="https://eur-lex.europa.eu/legal-content/EN/TXT/HTML/?uri=CELEX:52017DC0712&amp;from=EN" TargetMode="External"/><Relationship Id="rId69" Type="http://schemas.openxmlformats.org/officeDocument/2006/relationships/hyperlink" Target="https://op.europa.eu/en/publication-detail/-/publication/17b7b664-15f0-11e8-9253-01aa75ed71a1" TargetMode="External"/><Relationship Id="rId77" Type="http://schemas.openxmlformats.org/officeDocument/2006/relationships/hyperlink" Target="https://euipo.europa.eu/tunnel-web/secure/webdav/guest/document_library/observatory/documents/reports/2019_Risks_Posed_by_Counterfeits_to_Consumers_Study/2019_Risks_Posed_by_Counterfeits_to_Consumers_Study.pdf" TargetMode="External"/><Relationship Id="rId100" Type="http://schemas.openxmlformats.org/officeDocument/2006/relationships/hyperlink" Target="https://www.ipr-hub.eu/" TargetMode="External"/><Relationship Id="rId8" Type="http://schemas.openxmlformats.org/officeDocument/2006/relationships/hyperlink" Target="https://ec.europa.eu/health/human-use/strategy_en" TargetMode="External"/><Relationship Id="rId51" Type="http://schemas.openxmlformats.org/officeDocument/2006/relationships/hyperlink" Target="https://eur-lex.europa.eu/legal-content/EN/TXT/HTML/?uri=CELEX:52020DC0103&amp;from=EN" TargetMode="External"/><Relationship Id="rId72" Type="http://schemas.openxmlformats.org/officeDocument/2006/relationships/hyperlink" Target="https://ec.europa.eu/info/publications/2021-commission-work-programme-key-documents_en" TargetMode="External"/><Relationship Id="rId80" Type="http://schemas.openxmlformats.org/officeDocument/2006/relationships/hyperlink" Target="https://ec.europa.eu/info/law/better-regulation/have-your-say/initiatives/12417-Digital-Services-Act-deepening-the-Internal-Market-and-clarifying-responsibilities-for-digital-services" TargetMode="External"/><Relationship Id="rId85" Type="http://schemas.openxmlformats.org/officeDocument/2006/relationships/hyperlink" Target="https://ec.europa.eu/growth/industry/policy/intellectual-property/enforcement/memorandum-of-understanding-online-advertising-ipr_en" TargetMode="External"/><Relationship Id="rId93" Type="http://schemas.openxmlformats.org/officeDocument/2006/relationships/hyperlink" Target="https://euipo.europa.eu/tunnel-web/secure/webdav/guest/document_library/observatory/documents/reports/2019_Status_Report_on_IPR_infringement/2019_Status_Report_on_IPR_infringement_en.pdf" TargetMode="External"/><Relationship Id="rId98" Type="http://schemas.openxmlformats.org/officeDocument/2006/relationships/hyperlink" Target="https://eur-lex.europa.eu/legal-content/EN/TXT/HTML/?uri=CELEX:52020XC0326(03)&amp;from=EN" TargetMode="External"/><Relationship Id="rId3" Type="http://schemas.openxmlformats.org/officeDocument/2006/relationships/hyperlink" Target="http://documents.epo.org/projects/babylon/eponet.nsf/0/79B3608B5B4D3F71C125842D0040675A/$File/quality_report_2018_en.pdf" TargetMode="External"/><Relationship Id="rId12" Type="http://schemas.openxmlformats.org/officeDocument/2006/relationships/hyperlink" Target="https://ec.europa.eu/info/research-and-innovation/strategy/support-policy-making/support-national-research-and-innovation-policy-making/srip-report_en" TargetMode="External"/><Relationship Id="rId17" Type="http://schemas.openxmlformats.org/officeDocument/2006/relationships/hyperlink" Target="https://ec.europa.eu/info/law/better-regulation/have-your-say/initiatives/12510-Intellectual-Property-Action-Plan" TargetMode="External"/><Relationship Id="rId25" Type="http://schemas.openxmlformats.org/officeDocument/2006/relationships/hyperlink" Target="https://eur-lex.europa.eu/legal-content/EN/TXT/?uri=CELEX%3A31998L0071&amp;qid=1605102715242" TargetMode="External"/><Relationship Id="rId33" Type="http://schemas.openxmlformats.org/officeDocument/2006/relationships/hyperlink" Target="https://www.wipo.int/lisbon/en/" TargetMode="External"/><Relationship Id="rId38" Type="http://schemas.openxmlformats.org/officeDocument/2006/relationships/hyperlink" Target="https://eur-lex.europa.eu/legal-content/EN/TXT/?uri=CELEX%3A32011L0077&amp;qid=1605105177882" TargetMode="External"/><Relationship Id="rId46" Type="http://schemas.openxmlformats.org/officeDocument/2006/relationships/hyperlink" Target="https://www.clustercollaboration.eu/cluster-networks" TargetMode="External"/><Relationship Id="rId59" Type="http://schemas.openxmlformats.org/officeDocument/2006/relationships/hyperlink" Target="https://ec.europa.eu/info/research-and-innovation/research-area/health-research-and-innovation/coronavirus-research-and-innovation/covid-research-manifesto_en" TargetMode="External"/><Relationship Id="rId67" Type="http://schemas.openxmlformats.org/officeDocument/2006/relationships/hyperlink" Target="https://ec.europa.eu/commission/presscorner/detail/en/fs_20_283" TargetMode="External"/><Relationship Id="rId103" Type="http://schemas.openxmlformats.org/officeDocument/2006/relationships/hyperlink" Target="https://ec.europa.eu/info/strategy/priorities-2019-2024/new-push-european-democracy/strategic-foresight/2020-strategic-foresight-report_en" TargetMode="External"/><Relationship Id="rId20" Type="http://schemas.openxmlformats.org/officeDocument/2006/relationships/hyperlink" Target="https://eur-lex.europa.eu/legal-content/EN/TXT/?uri=CELEX%3A32019R0933&amp;qid=1605100367650" TargetMode="External"/><Relationship Id="rId41" Type="http://schemas.openxmlformats.org/officeDocument/2006/relationships/hyperlink" Target="https://eur-lex.europa.eu/legal-content/EN/TXT/?uri=CELEX%3A32017R1128&amp;qid=1605105470273" TargetMode="External"/><Relationship Id="rId54" Type="http://schemas.openxmlformats.org/officeDocument/2006/relationships/hyperlink" Target="https://ec.europa.eu/info/funding-tenders/opportunities/portal/screen/opportunities/horizon-results-platform" TargetMode="External"/><Relationship Id="rId62" Type="http://schemas.openxmlformats.org/officeDocument/2006/relationships/hyperlink" Target="https://etendering.ted.europa.eu/cft/cft-display.html?cftId=5859" TargetMode="External"/><Relationship Id="rId70" Type="http://schemas.openxmlformats.org/officeDocument/2006/relationships/hyperlink" Target="https://eur-lex.europa.eu/legal-content/EN/TXT/HTML/?uri=CELEX:31996L0009&amp;from=EN" TargetMode="External"/><Relationship Id="rId75" Type="http://schemas.openxmlformats.org/officeDocument/2006/relationships/hyperlink" Target="https://euipo.europa.eu/tunnel-web/secure/webdav/guest/document_library/observatory/documents/reports/trends_in_trade_in_counterfeit_and_pirated_goods/trends_in_trade_in_counterfeit_and_pirated_goods_en.pdf" TargetMode="External"/><Relationship Id="rId83" Type="http://schemas.openxmlformats.org/officeDocument/2006/relationships/hyperlink" Target="https://ec.europa.eu/taxation_customs/sites/taxation/files/customs-action-plan-2020_en.pdf" TargetMode="External"/><Relationship Id="rId88" Type="http://schemas.openxmlformats.org/officeDocument/2006/relationships/hyperlink" Target="https://ec.europa.eu/anti-fraud/media-corner/news/20-03-2020/olaf-launches-enquiry-fake-covid-19-related-products_en" TargetMode="External"/><Relationship Id="rId91" Type="http://schemas.openxmlformats.org/officeDocument/2006/relationships/hyperlink" Target="https://www.evz.de/en/shopping-internet/online-shopping/online-scams-and-counterfeit-goods.html;%20https:/fb.watch/1zwI0k2tjP/" TargetMode="External"/><Relationship Id="rId96" Type="http://schemas.openxmlformats.org/officeDocument/2006/relationships/hyperlink" Target="https://trade.ec.europa.eu/doclib/docs/2018/december/tradoc_157564.pdf" TargetMode="External"/><Relationship Id="rId1" Type="http://schemas.openxmlformats.org/officeDocument/2006/relationships/hyperlink" Target="https://ec.europa.eu/info/sites/info/files/economy-finance/dp047_en.pdf" TargetMode="External"/><Relationship Id="rId6" Type="http://schemas.openxmlformats.org/officeDocument/2006/relationships/hyperlink" Target="http://documents.epo.org/projects/babylon/eponet.nsf/0/6A51029C350D3C8EC1257F110056B93F/$File/climate_change_mitigation_technologies_europe_en.pdf" TargetMode="External"/><Relationship Id="rId15" Type="http://schemas.openxmlformats.org/officeDocument/2006/relationships/hyperlink" Target="https://euipo.europa.eu/ohimportal/en/web/observatory/status-reports-on-ip-infringement" TargetMode="External"/><Relationship Id="rId23" Type="http://schemas.openxmlformats.org/officeDocument/2006/relationships/hyperlink" Target="https://ec.europa.eu/growth/industry/policy/intellectual-property/trade-mark-protection_en" TargetMode="External"/><Relationship Id="rId28" Type="http://schemas.openxmlformats.org/officeDocument/2006/relationships/hyperlink" Target="https://ec.europa.eu/info/food-farming-fisheries/key-policies/common-agricultural-policy/cmef/products-and-markets/economic-value-eu-quality-schemes-geographical-indications-gis-and-traditional-specialities-guaranteed-tsgs_en" TargetMode="External"/><Relationship Id="rId36" Type="http://schemas.openxmlformats.org/officeDocument/2006/relationships/hyperlink" Target="https://eur-lex.europa.eu/legal-content/EN/TXT/?qid=1558431447846&amp;uri=CELEX:32019L0790" TargetMode="External"/><Relationship Id="rId49" Type="http://schemas.openxmlformats.org/officeDocument/2006/relationships/hyperlink" Target="https://op.europa.eu/en/publication-detail/-/publication/6a29075f-1f15-11eb-b57e-01aa75ed71a1" TargetMode="External"/><Relationship Id="rId57" Type="http://schemas.openxmlformats.org/officeDocument/2006/relationships/hyperlink" Target="https://apps.who.int/gb/ebwha/pdf_files/WHA73/A73_CONF1Rev1-en.pdf" TargetMode="External"/><Relationship Id="rId10" Type="http://schemas.openxmlformats.org/officeDocument/2006/relationships/hyperlink" Target="https://ec.europa.eu/commission/presscorner/detail/en/QANDA_19_5889" TargetMode="External"/><Relationship Id="rId31" Type="http://schemas.openxmlformats.org/officeDocument/2006/relationships/hyperlink" Target="https://op.europa.eu/en/publication-detail/-/publication/c210fcc6-5463-11ea-aece-01aa75ed71a1/language-en/format-PDF/source-120480323" TargetMode="External"/><Relationship Id="rId44" Type="http://schemas.openxmlformats.org/officeDocument/2006/relationships/hyperlink" Target="http://ipa4sme.eu/" TargetMode="External"/><Relationship Id="rId52" Type="http://schemas.openxmlformats.org/officeDocument/2006/relationships/hyperlink" Target="https://www.eif.org/what_we_do/guarantees/single_eu_debt_instrument/innovfin-guarantee-facility/" TargetMode="External"/><Relationship Id="rId60" Type="http://schemas.openxmlformats.org/officeDocument/2006/relationships/hyperlink" Target="https://eur-lex.europa.eu/legal-content/EN/TXT/HTML/?uri=CELEX:32006R0816&amp;from=EN" TargetMode="External"/><Relationship Id="rId65" Type="http://schemas.openxmlformats.org/officeDocument/2006/relationships/hyperlink" Target="https://publications.jrc.ec.europa.eu/repository/handle/JRC119894" TargetMode="External"/><Relationship Id="rId73" Type="http://schemas.openxmlformats.org/officeDocument/2006/relationships/hyperlink" Target="https://eur-lex.europa.eu/legal-content/EN/TXT/HTML/?uri=CELEX:32004L0048&amp;from=FR" TargetMode="External"/><Relationship Id="rId78" Type="http://schemas.openxmlformats.org/officeDocument/2006/relationships/hyperlink" Target="https://www.europol.europa.eu/newsroom/news/operation-silver-axe-strikes-for-fourth-time-seizing-over-550-tonnes-of-illegal-pesticides" TargetMode="External"/><Relationship Id="rId81" Type="http://schemas.openxmlformats.org/officeDocument/2006/relationships/hyperlink" Target="https://www.europol.europa.eu/empact" TargetMode="External"/><Relationship Id="rId86" Type="http://schemas.openxmlformats.org/officeDocument/2006/relationships/hyperlink" Target="https://euipo.europa.eu/ohimportal/en/web/observatory/ip-enforcement-portal-home-page" TargetMode="External"/><Relationship Id="rId94" Type="http://schemas.openxmlformats.org/officeDocument/2006/relationships/hyperlink" Target="https://www.consilium.europa.eu/en/press/press-releases/2019/08/26/g7-leaders-declaration-biarritz-26-august-2019/" TargetMode="External"/><Relationship Id="rId99" Type="http://schemas.openxmlformats.org/officeDocument/2006/relationships/hyperlink" Target="https://eur-lex.europa.eu/legal-content/EN/TXT/PDF/?uri=CELEX:32020D1127" TargetMode="External"/><Relationship Id="rId101" Type="http://schemas.openxmlformats.org/officeDocument/2006/relationships/hyperlink" Target="https://au.int/en/documents/20190214/continental-strategy-geographical-indications-africa-2018-2023" TargetMode="External"/><Relationship Id="rId4" Type="http://schemas.openxmlformats.org/officeDocument/2006/relationships/hyperlink" Target="https://iri.jrc.ec.europa.eu/scoreboard/2019-eu-industrial-rd-investment-scoreboard" TargetMode="External"/><Relationship Id="rId9" Type="http://schemas.openxmlformats.org/officeDocument/2006/relationships/hyperlink" Target="http://data.europa.eu/doi/10.2759/458120" TargetMode="External"/><Relationship Id="rId13" Type="http://schemas.openxmlformats.org/officeDocument/2006/relationships/hyperlink" Target="https://www.iplytics.com/wp-content/uploads/2020/02/5G-patent-study_TU-Berlin_IPlytics-2020.pdf" TargetMode="External"/><Relationship Id="rId18" Type="http://schemas.openxmlformats.org/officeDocument/2006/relationships/hyperlink" Target="https://www.bundesverfassungsgericht.de/e/rs20200213_2bvr073917.html" TargetMode="External"/><Relationship Id="rId39" Type="http://schemas.openxmlformats.org/officeDocument/2006/relationships/hyperlink" Target="https://eur-lex.europa.eu/legal-content/EN/TXT/?uri=CELEX%3A32014L0026&amp;qid=1605105311274" TargetMode="External"/><Relationship Id="rId34" Type="http://schemas.openxmlformats.org/officeDocument/2006/relationships/hyperlink" Target="https://www.epo.org/service-support/publications.html?pubid=201" TargetMode="External"/><Relationship Id="rId50" Type="http://schemas.openxmlformats.org/officeDocument/2006/relationships/hyperlink" Target="https://op.europa.eu/en/publication-detail/-/publication/6a29075f-1f15-11eb-b57e-01aa75ed71a1" TargetMode="External"/><Relationship Id="rId55" Type="http://schemas.openxmlformats.org/officeDocument/2006/relationships/hyperlink" Target="https://ec.europa.eu/info/research-and-innovation/research-area/health-research-and-innovation/coronavirus-research-and-innovation_en" TargetMode="External"/><Relationship Id="rId76" Type="http://schemas.openxmlformats.org/officeDocument/2006/relationships/hyperlink" Target="https://euipo.europa.eu/ohimportal/en/web/observatory/status-reports-on-ip-infringement" TargetMode="External"/><Relationship Id="rId97" Type="http://schemas.openxmlformats.org/officeDocument/2006/relationships/hyperlink" Target="https://trade.ec.europa.eu/doclib/docs/2020/january/tradoc_1585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36C4B6581E04CBD7684399E72404F" ma:contentTypeVersion="0" ma:contentTypeDescription="Create a new document." ma:contentTypeScope="" ma:versionID="26c54e532eaabe8c8b3ce95ed5e9a4aa">
  <xsd:schema xmlns:xsd="http://www.w3.org/2001/XMLSchema" xmlns:xs="http://www.w3.org/2001/XMLSchema" xmlns:p="http://schemas.microsoft.com/office/2006/metadata/properties" targetNamespace="http://schemas.microsoft.com/office/2006/metadata/properties" ma:root="true" ma:fieldsID="8d0ac40ea0c89b9fb540ebf68a0cbd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CC412C-7C4B-462A-8897-63E74A577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539E39-3894-4E3C-8A90-70231EF12DE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DE7170-3FEC-405F-81D8-4272AD78A4D0}">
  <ds:schemaRefs>
    <ds:schemaRef ds:uri="http://schemas.microsoft.com/sharepoint/v3/contenttype/forms"/>
  </ds:schemaRefs>
</ds:datastoreItem>
</file>

<file path=customXml/itemProps4.xml><?xml version="1.0" encoding="utf-8"?>
<ds:datastoreItem xmlns:ds="http://schemas.openxmlformats.org/officeDocument/2006/customXml" ds:itemID="{72762DF9-DC51-4BA7-9ADD-AAF2F1A4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8211</Words>
  <Characters>44838</Characters>
  <Application>Microsoft Office Word</Application>
  <DocSecurity>4</DocSecurity>
  <Lines>679</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2020-11-24T17:13:00Z</dcterms:created>
  <dcterms:modified xsi:type="dcterms:W3CDTF">2020-11-24T17:13:00Z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IsMyDocuments">
    <vt:bool>true</vt:bool>
  </property>
  <property fmtid="{D5CDD505-2E9C-101B-9397-08002B2CF9AE}" pid="9" name="_LW_INVALIDATED_ContentTypeId">
    <vt:lpwstr>0x010100B2436C4B6581E04CBD7684399E72404F</vt:lpwstr>
  </property>
</Properties>
</file>